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29C236" w14:textId="7216DD33" w:rsidR="00F43FEE" w:rsidRDefault="0023495E" w:rsidP="00C7548F">
      <w:pPr>
        <w:spacing w:line="360" w:lineRule="auto"/>
        <w:rPr>
          <w:rFonts w:ascii="Arial" w:hAnsi="Arial" w:cs="Arial"/>
          <w:b/>
          <w:bCs/>
          <w:u w:val="single"/>
        </w:rPr>
      </w:pPr>
      <w:r w:rsidRPr="0023495E">
        <w:rPr>
          <w:rFonts w:ascii="Arial" w:hAnsi="Arial" w:cs="Arial"/>
          <w:b/>
          <w:bCs/>
          <w:u w:val="single"/>
        </w:rPr>
        <w:t>Compare and contrast two different play-based approaches, you should include a critical analysis of the curricula guidance</w:t>
      </w:r>
    </w:p>
    <w:p w14:paraId="537DDF6E" w14:textId="3FB8F85C" w:rsidR="00687905" w:rsidRDefault="00687905" w:rsidP="00687905">
      <w:pPr>
        <w:spacing w:line="360" w:lineRule="auto"/>
        <w:rPr>
          <w:rFonts w:ascii="Arial" w:hAnsi="Arial" w:cs="Arial"/>
        </w:rPr>
      </w:pPr>
      <w:r w:rsidRPr="00687905">
        <w:rPr>
          <w:rFonts w:ascii="Arial" w:hAnsi="Arial" w:cs="Arial"/>
        </w:rPr>
        <w:t>Play is widely recognised as a fundamental component of early childhood education, underpinning cognitive, social, emotional and physical development. In Wales, educational reform has centred significantly around child-led, play-based approaches, particularly since the introduction of the Foundation Phase in 2008. More recently, the Curriculum for Wales (CfW) has emerged as a transformative successor, embedding play within a broader framework designed to empower both practitioners and learners (Welsh Government, 2024a). This essay compares and contrasts the Foundation Phase and the Curriculum for Wales as two distinct yet philosophically connected play-based approaches. Through critical analysis of curriculum guidance, including the Donaldson Report, independent evaluations, and government frameworks, the essay explores the evolution in pedagogy, assesses implementation challenges, and suggests ways to ensure quality and consistency in practice.</w:t>
      </w:r>
    </w:p>
    <w:p w14:paraId="7191808B" w14:textId="77777777" w:rsidR="00687905" w:rsidRPr="00687905" w:rsidRDefault="00687905" w:rsidP="00687905">
      <w:pPr>
        <w:spacing w:line="360" w:lineRule="auto"/>
        <w:rPr>
          <w:rFonts w:ascii="Arial" w:hAnsi="Arial" w:cs="Arial"/>
        </w:rPr>
      </w:pPr>
      <w:r w:rsidRPr="00687905">
        <w:rPr>
          <w:rFonts w:ascii="Arial" w:hAnsi="Arial" w:cs="Arial"/>
        </w:rPr>
        <w:t>The Foundation Phase (FP) was introduced to unify care and education for children aged 3 to 7 through a play-based, experiential curriculum (Welsh Government, 2008, 2015a). It drew inspiration from international models such as Reggio Emilia and Scandinavian practices, emphasising child-led exploration in seven Areas of Learning. These included personal and social development, language, and physical development, delivered in a holistic and developmentally appropriate way.</w:t>
      </w:r>
    </w:p>
    <w:p w14:paraId="75FD4915" w14:textId="77777777" w:rsidR="00687905" w:rsidRPr="00687905" w:rsidRDefault="00687905" w:rsidP="00687905">
      <w:pPr>
        <w:spacing w:line="360" w:lineRule="auto"/>
        <w:rPr>
          <w:rFonts w:ascii="Arial" w:hAnsi="Arial" w:cs="Arial"/>
        </w:rPr>
      </w:pPr>
      <w:r w:rsidRPr="00687905">
        <w:rPr>
          <w:rFonts w:ascii="Arial" w:hAnsi="Arial" w:cs="Arial"/>
        </w:rPr>
        <w:t>Evaluations revealed several strengths. Children were more engaged, autonomous, and motivated through hands-on experiences and continuous provision (WIZERD, 2015). The FP also aligned with the concept of the ‘unique child’, allowing for observation-led assessment and personalised planning (Welsh Government, 2015c).</w:t>
      </w:r>
    </w:p>
    <w:p w14:paraId="10E99CBF" w14:textId="77777777" w:rsidR="00687905" w:rsidRPr="00687905" w:rsidRDefault="00687905" w:rsidP="00687905">
      <w:pPr>
        <w:spacing w:line="360" w:lineRule="auto"/>
        <w:rPr>
          <w:rFonts w:ascii="Arial" w:hAnsi="Arial" w:cs="Arial"/>
        </w:rPr>
      </w:pPr>
      <w:r w:rsidRPr="00687905">
        <w:rPr>
          <w:rFonts w:ascii="Arial" w:hAnsi="Arial" w:cs="Arial"/>
        </w:rPr>
        <w:t xml:space="preserve">However, implementation was inconsistent. Siraj and Kingston (2014) found some practitioners reverted to structured, adult-led models due to a lack of confidence or misunderstanding of the play-based ethos. The </w:t>
      </w:r>
      <w:r w:rsidRPr="00687905">
        <w:rPr>
          <w:rFonts w:ascii="Arial" w:hAnsi="Arial" w:cs="Arial"/>
          <w:i/>
          <w:iCs/>
        </w:rPr>
        <w:t>Independent Stocktake of the Foundation Phase</w:t>
      </w:r>
      <w:r w:rsidRPr="00687905">
        <w:rPr>
          <w:rFonts w:ascii="Arial" w:hAnsi="Arial" w:cs="Arial"/>
        </w:rPr>
        <w:t xml:space="preserve"> (Welsh Government, 2014) and WIZERD (2015) highlighted variability in provision and a lack of coherent professional development. These issues led to inequities in how effectively the FP was embedded across settings.</w:t>
      </w:r>
    </w:p>
    <w:p w14:paraId="71D4B314" w14:textId="77777777" w:rsidR="00687905" w:rsidRPr="00687905" w:rsidRDefault="00687905" w:rsidP="00687905">
      <w:pPr>
        <w:spacing w:line="360" w:lineRule="auto"/>
        <w:rPr>
          <w:rFonts w:ascii="Arial" w:hAnsi="Arial" w:cs="Arial"/>
        </w:rPr>
      </w:pPr>
      <w:r w:rsidRPr="00687905">
        <w:rPr>
          <w:rFonts w:ascii="Arial" w:hAnsi="Arial" w:cs="Arial"/>
        </w:rPr>
        <w:t xml:space="preserve">The Curriculum for Wales (CfW), introduced in early years settings by 2022 and fully implemented by 2024, was designed as a more integrated and future-focused approach. It responds directly to the critiques of the FP raised in Donaldson’s </w:t>
      </w:r>
      <w:r w:rsidRPr="00687905">
        <w:rPr>
          <w:rFonts w:ascii="Arial" w:hAnsi="Arial" w:cs="Arial"/>
          <w:i/>
          <w:iCs/>
        </w:rPr>
        <w:t>Successful Futures</w:t>
      </w:r>
      <w:r w:rsidRPr="00687905">
        <w:rPr>
          <w:rFonts w:ascii="Arial" w:hAnsi="Arial" w:cs="Arial"/>
        </w:rPr>
        <w:t xml:space="preserve"> report (Donaldson, 2015), which called for a curriculum that was developmental, flexible, and reflective of global educational goals.</w:t>
      </w:r>
    </w:p>
    <w:p w14:paraId="07E6FAC8" w14:textId="77777777" w:rsidR="00687905" w:rsidRPr="00687905" w:rsidRDefault="00687905" w:rsidP="00687905">
      <w:pPr>
        <w:spacing w:line="360" w:lineRule="auto"/>
        <w:rPr>
          <w:rFonts w:ascii="Arial" w:hAnsi="Arial" w:cs="Arial"/>
        </w:rPr>
      </w:pPr>
      <w:r w:rsidRPr="00687905">
        <w:rPr>
          <w:rFonts w:ascii="Arial" w:hAnsi="Arial" w:cs="Arial"/>
        </w:rPr>
        <w:lastRenderedPageBreak/>
        <w:t>The CfW is built around four purposes, aiming to develop ambitious, capable learners; enterprising, creative contributors; ethical, informed citizens; and healthy, confident individuals (Welsh Government, 2024a). In early years practice, these purposes are realised through experiential, play-based learning rooted in the six Areas of Learning and Experience (AoLEs), such as Health and Well-being and Expressive Arts.</w:t>
      </w:r>
    </w:p>
    <w:p w14:paraId="432F8F84" w14:textId="77777777" w:rsidR="00687905" w:rsidRPr="00687905" w:rsidRDefault="00687905" w:rsidP="00687905">
      <w:pPr>
        <w:spacing w:line="360" w:lineRule="auto"/>
        <w:rPr>
          <w:rFonts w:ascii="Arial" w:hAnsi="Arial" w:cs="Arial"/>
        </w:rPr>
      </w:pPr>
      <w:r w:rsidRPr="00687905">
        <w:rPr>
          <w:rFonts w:ascii="Arial" w:hAnsi="Arial" w:cs="Arial"/>
        </w:rPr>
        <w:t>A key strength of the CfW is its flexibility. It allows practitioners to co-construct learning with children, adapting provision based on careful observation and formative assessment (Welsh Government, 2022). Unlike the more segmented FP, the CfW encourages interdisciplinary learning and supports progression rather than fixed attainment benchmarks, reflecting recommendations from OECD (2017).</w:t>
      </w:r>
    </w:p>
    <w:p w14:paraId="77A53789" w14:textId="77777777" w:rsidR="00687905" w:rsidRPr="00687905" w:rsidRDefault="00687905" w:rsidP="00687905">
      <w:pPr>
        <w:spacing w:line="360" w:lineRule="auto"/>
        <w:rPr>
          <w:rFonts w:ascii="Arial" w:hAnsi="Arial" w:cs="Arial"/>
        </w:rPr>
      </w:pPr>
      <w:r w:rsidRPr="00687905">
        <w:rPr>
          <w:rFonts w:ascii="Arial" w:hAnsi="Arial" w:cs="Arial"/>
        </w:rPr>
        <w:t>Both the Foundation Phase and the Curriculum for Wales acknowledge the central role of play in learning. However, key differences reflect an evolving educational philosophy in Wales. While the FP focused on structured Areas of Learning and a degree of uniformity, the CfW offers a more adaptive and holistic curriculum structure (Welsh Government, 2024a).</w:t>
      </w:r>
    </w:p>
    <w:p w14:paraId="1850848C" w14:textId="77777777" w:rsidR="00687905" w:rsidRPr="00687905" w:rsidRDefault="00687905" w:rsidP="00687905">
      <w:pPr>
        <w:spacing w:line="360" w:lineRule="auto"/>
        <w:rPr>
          <w:rFonts w:ascii="Arial" w:hAnsi="Arial" w:cs="Arial"/>
        </w:rPr>
      </w:pPr>
      <w:r w:rsidRPr="00687905">
        <w:rPr>
          <w:rFonts w:ascii="Arial" w:hAnsi="Arial" w:cs="Arial"/>
        </w:rPr>
        <w:t>The CfW represents a move away from attainment-focused outcomes toward a progression-based model. This shift addresses concerns raised during the FP era, where performance pressures sometimes overshadowed developmental goals (Macdonald, 2018). With CfW, the emphasis is on understanding how children learn over time through engagement, enquiry, and co-constructed knowledge (Welsh Government, 2024c).</w:t>
      </w:r>
    </w:p>
    <w:p w14:paraId="63F9B969" w14:textId="77777777" w:rsidR="00687905" w:rsidRPr="00687905" w:rsidRDefault="00687905" w:rsidP="00687905">
      <w:pPr>
        <w:spacing w:line="360" w:lineRule="auto"/>
        <w:rPr>
          <w:rFonts w:ascii="Arial" w:hAnsi="Arial" w:cs="Arial"/>
        </w:rPr>
      </w:pPr>
      <w:r w:rsidRPr="00687905">
        <w:rPr>
          <w:rFonts w:ascii="Arial" w:hAnsi="Arial" w:cs="Arial"/>
        </w:rPr>
        <w:t>In terms of pedagogy, the FP required practitioners to adopt a more nurturing, responsive role. However, the CfW expands this expectation, encouraging professional autonomy and greater flexibility in planning and delivery (Waters and Payler, 2015). This can empower educators but also presents challenges where training and confidence are lacking.</w:t>
      </w:r>
    </w:p>
    <w:p w14:paraId="7E4AE714" w14:textId="77777777" w:rsidR="00687905" w:rsidRPr="00687905" w:rsidRDefault="00687905" w:rsidP="00687905">
      <w:pPr>
        <w:spacing w:line="360" w:lineRule="auto"/>
        <w:rPr>
          <w:rFonts w:ascii="Arial" w:hAnsi="Arial" w:cs="Arial"/>
        </w:rPr>
      </w:pPr>
      <w:r w:rsidRPr="00687905">
        <w:rPr>
          <w:rFonts w:ascii="Arial" w:hAnsi="Arial" w:cs="Arial"/>
        </w:rPr>
        <w:t>Assessment has also evolved. FP used the Foundation Phase Outcomes (Welsh Government, 2015c), which were often seen as too structured and at odds with the play-based ethos. The CfW supports formative, observation-based assessment that emphasises progress, aligning with the work of Bell et al. (2002) on effective early years pedagogy.</w:t>
      </w:r>
    </w:p>
    <w:p w14:paraId="58FA4F54" w14:textId="77777777" w:rsidR="00687905" w:rsidRPr="00687905" w:rsidRDefault="00687905" w:rsidP="00687905">
      <w:pPr>
        <w:spacing w:line="360" w:lineRule="auto"/>
        <w:rPr>
          <w:rFonts w:ascii="Arial" w:hAnsi="Arial" w:cs="Arial"/>
        </w:rPr>
      </w:pPr>
      <w:r w:rsidRPr="00687905">
        <w:rPr>
          <w:rFonts w:ascii="Arial" w:hAnsi="Arial" w:cs="Arial"/>
        </w:rPr>
        <w:t>The Donaldson Report (</w:t>
      </w:r>
      <w:r w:rsidRPr="00687905">
        <w:rPr>
          <w:rFonts w:ascii="Arial" w:hAnsi="Arial" w:cs="Arial"/>
          <w:i/>
          <w:iCs/>
        </w:rPr>
        <w:t>Successful Futures</w:t>
      </w:r>
      <w:r w:rsidRPr="00687905">
        <w:rPr>
          <w:rFonts w:ascii="Arial" w:hAnsi="Arial" w:cs="Arial"/>
        </w:rPr>
        <w:t>) provided the foundation for the CfW. It criticised the FP’s inconsistent implementation and called for a more coherent, purpose-led curriculum rooted in child development and practitioner agency (Donaldson, 2015). As a response, the CfW was designed to be both rigorous and flexible, placing trust in educators to adapt practice to context.</w:t>
      </w:r>
    </w:p>
    <w:p w14:paraId="15C23A5C" w14:textId="77777777" w:rsidR="00687905" w:rsidRPr="00687905" w:rsidRDefault="00687905" w:rsidP="00687905">
      <w:pPr>
        <w:spacing w:line="360" w:lineRule="auto"/>
        <w:rPr>
          <w:rFonts w:ascii="Arial" w:hAnsi="Arial" w:cs="Arial"/>
        </w:rPr>
      </w:pPr>
      <w:r w:rsidRPr="00687905">
        <w:rPr>
          <w:rFonts w:ascii="Arial" w:hAnsi="Arial" w:cs="Arial"/>
        </w:rPr>
        <w:t xml:space="preserve">The </w:t>
      </w:r>
      <w:r w:rsidRPr="00687905">
        <w:rPr>
          <w:rFonts w:ascii="Arial" w:hAnsi="Arial" w:cs="Arial"/>
          <w:i/>
          <w:iCs/>
        </w:rPr>
        <w:t>Independent Stocktake of the Foundation Phase</w:t>
      </w:r>
      <w:r w:rsidRPr="00687905">
        <w:rPr>
          <w:rFonts w:ascii="Arial" w:hAnsi="Arial" w:cs="Arial"/>
        </w:rPr>
        <w:t xml:space="preserve"> (Welsh Government, 2014) highlighted a lack of consistency and professional development pathways. The CfW addresses this by </w:t>
      </w:r>
      <w:r w:rsidRPr="00687905">
        <w:rPr>
          <w:rFonts w:ascii="Arial" w:hAnsi="Arial" w:cs="Arial"/>
        </w:rPr>
        <w:lastRenderedPageBreak/>
        <w:t>embedding progression steps and offering greater autonomy, though it depends heavily on practitioner interpretation and skill (Welsh Government, 2024b).</w:t>
      </w:r>
    </w:p>
    <w:p w14:paraId="5745A407" w14:textId="77777777" w:rsidR="00687905" w:rsidRPr="00687905" w:rsidRDefault="00687905" w:rsidP="00687905">
      <w:pPr>
        <w:spacing w:line="360" w:lineRule="auto"/>
        <w:rPr>
          <w:rFonts w:ascii="Arial" w:hAnsi="Arial" w:cs="Arial"/>
        </w:rPr>
      </w:pPr>
      <w:r w:rsidRPr="00687905">
        <w:rPr>
          <w:rFonts w:ascii="Arial" w:hAnsi="Arial" w:cs="Arial"/>
        </w:rPr>
        <w:t xml:space="preserve">OECD (2017) similarly noted that while the FP was a strong start, it required refinement and alignment with broader education reform. The CfW aligns with the OECD’s </w:t>
      </w:r>
      <w:r w:rsidRPr="00687905">
        <w:rPr>
          <w:rFonts w:ascii="Arial" w:hAnsi="Arial" w:cs="Arial"/>
          <w:i/>
          <w:iCs/>
        </w:rPr>
        <w:t>Education 2030</w:t>
      </w:r>
      <w:r w:rsidRPr="00687905">
        <w:rPr>
          <w:rFonts w:ascii="Arial" w:hAnsi="Arial" w:cs="Arial"/>
        </w:rPr>
        <w:t xml:space="preserve"> vision and </w:t>
      </w:r>
      <w:r w:rsidRPr="00687905">
        <w:rPr>
          <w:rFonts w:ascii="Arial" w:hAnsi="Arial" w:cs="Arial"/>
          <w:i/>
          <w:iCs/>
        </w:rPr>
        <w:t>Starting Strong</w:t>
      </w:r>
      <w:r w:rsidRPr="00687905">
        <w:rPr>
          <w:rFonts w:ascii="Arial" w:hAnsi="Arial" w:cs="Arial"/>
        </w:rPr>
        <w:t xml:space="preserve"> principles, supporting play, child-centred practice, and professional development (OECD, n.d.).</w:t>
      </w:r>
    </w:p>
    <w:p w14:paraId="0C6CBF49" w14:textId="77777777" w:rsidR="00687905" w:rsidRPr="00687905" w:rsidRDefault="00687905" w:rsidP="00687905">
      <w:pPr>
        <w:spacing w:line="360" w:lineRule="auto"/>
        <w:rPr>
          <w:rFonts w:ascii="Arial" w:hAnsi="Arial" w:cs="Arial"/>
        </w:rPr>
      </w:pPr>
      <w:r w:rsidRPr="00687905">
        <w:rPr>
          <w:rFonts w:ascii="Arial" w:hAnsi="Arial" w:cs="Arial"/>
        </w:rPr>
        <w:t>Despite the strengths of the Curriculum for Wales, implementation has not been without challenges. A major issue is the inconsistency in workforce training. Practitioners require a deep understanding of play, progression, and formative assessment, but many have received limited or outdated training (Kingston and Siraj, 2017). Waters and Payler (2015) argue that sustainable change is only possible through ongoing, collaborative professional learning.</w:t>
      </w:r>
    </w:p>
    <w:p w14:paraId="42F2FB28" w14:textId="77777777" w:rsidR="00687905" w:rsidRPr="00687905" w:rsidRDefault="00687905" w:rsidP="00687905">
      <w:pPr>
        <w:spacing w:line="360" w:lineRule="auto"/>
        <w:rPr>
          <w:rFonts w:ascii="Arial" w:hAnsi="Arial" w:cs="Arial"/>
        </w:rPr>
      </w:pPr>
      <w:r w:rsidRPr="00687905">
        <w:rPr>
          <w:rFonts w:ascii="Arial" w:hAnsi="Arial" w:cs="Arial"/>
        </w:rPr>
        <w:t>Budget constraints further impede effective implementation. High-quality play environments and training require financial investment, but disparities in funding create uneven provision across settings (Wightwick, 2019). In some areas, resources are inadequate to meet the expectations of the CfW, especially in rural or disadvantaged communities.</w:t>
      </w:r>
    </w:p>
    <w:p w14:paraId="7E9A0ABD" w14:textId="77777777" w:rsidR="00687905" w:rsidRPr="00687905" w:rsidRDefault="00687905" w:rsidP="00687905">
      <w:pPr>
        <w:spacing w:line="360" w:lineRule="auto"/>
        <w:rPr>
          <w:rFonts w:ascii="Arial" w:hAnsi="Arial" w:cs="Arial"/>
        </w:rPr>
      </w:pPr>
      <w:r w:rsidRPr="00687905">
        <w:rPr>
          <w:rFonts w:ascii="Arial" w:hAnsi="Arial" w:cs="Arial"/>
        </w:rPr>
        <w:t>Time is also a concern. Adapting to a new curriculum requires space for professional dialogue, planning, and reflection. Many educators feel under pressure to ‘get it right’ quickly, despite the significant learning curve (Macdonald, 2018).</w:t>
      </w:r>
    </w:p>
    <w:p w14:paraId="769AF35C" w14:textId="77777777" w:rsidR="00687905" w:rsidRPr="00687905" w:rsidRDefault="00687905" w:rsidP="00687905">
      <w:pPr>
        <w:spacing w:line="360" w:lineRule="auto"/>
        <w:rPr>
          <w:rFonts w:ascii="Arial" w:hAnsi="Arial" w:cs="Arial"/>
        </w:rPr>
      </w:pPr>
      <w:r w:rsidRPr="00687905">
        <w:rPr>
          <w:rFonts w:ascii="Arial" w:hAnsi="Arial" w:cs="Arial"/>
        </w:rPr>
        <w:t>The ongoing separation between care and education in Wales also poses a structural barrier. Macdonald (2018) and Siraj and Kingston (2014) highlight how this divide can prevent cohesive implementation of a developmental, play-based curriculum.</w:t>
      </w:r>
    </w:p>
    <w:p w14:paraId="698DD4D5" w14:textId="77777777" w:rsidR="00687905" w:rsidRPr="00687905" w:rsidRDefault="00687905" w:rsidP="00687905">
      <w:pPr>
        <w:spacing w:line="360" w:lineRule="auto"/>
        <w:rPr>
          <w:rFonts w:ascii="Arial" w:hAnsi="Arial" w:cs="Arial"/>
        </w:rPr>
      </w:pPr>
      <w:r w:rsidRPr="00687905">
        <w:rPr>
          <w:rFonts w:ascii="Arial" w:hAnsi="Arial" w:cs="Arial"/>
        </w:rPr>
        <w:t>To realise the ambitions of the Curriculum for Wales, strategic investment and support are essential. First, professional development must be prioritised. Training should be context-specific, reflective, and embedded into daily practice, as recommended by Waters and Payler (2015). Practitioners must be supported to understand progression, child development, and the centrality of play.</w:t>
      </w:r>
    </w:p>
    <w:p w14:paraId="012ADA15" w14:textId="77777777" w:rsidR="00687905" w:rsidRPr="00687905" w:rsidRDefault="00687905" w:rsidP="00687905">
      <w:pPr>
        <w:spacing w:line="360" w:lineRule="auto"/>
        <w:rPr>
          <w:rFonts w:ascii="Arial" w:hAnsi="Arial" w:cs="Arial"/>
        </w:rPr>
      </w:pPr>
      <w:r w:rsidRPr="00687905">
        <w:rPr>
          <w:rFonts w:ascii="Arial" w:hAnsi="Arial" w:cs="Arial"/>
        </w:rPr>
        <w:t xml:space="preserve">Second, the Welsh Government should ensure equitable funding for early years settings, enabling all providers to offer quality environments and access up-to-date training (Welsh Government, 2024c). Guidance documents and frameworks, such as the </w:t>
      </w:r>
      <w:r w:rsidRPr="00687905">
        <w:rPr>
          <w:rFonts w:ascii="Arial" w:hAnsi="Arial" w:cs="Arial"/>
          <w:i/>
          <w:iCs/>
        </w:rPr>
        <w:t>Quality Framework for Early Childhood Play, Learning and Care</w:t>
      </w:r>
      <w:r w:rsidRPr="00687905">
        <w:rPr>
          <w:rFonts w:ascii="Arial" w:hAnsi="Arial" w:cs="Arial"/>
        </w:rPr>
        <w:t xml:space="preserve"> (Welsh Government, 2024c), should be used consistently to evaluate and improve practice.</w:t>
      </w:r>
    </w:p>
    <w:p w14:paraId="63FCFDEA" w14:textId="77777777" w:rsidR="00687905" w:rsidRPr="00687905" w:rsidRDefault="00687905" w:rsidP="00687905">
      <w:pPr>
        <w:spacing w:line="360" w:lineRule="auto"/>
        <w:rPr>
          <w:rFonts w:ascii="Arial" w:hAnsi="Arial" w:cs="Arial"/>
        </w:rPr>
      </w:pPr>
      <w:r w:rsidRPr="00687905">
        <w:rPr>
          <w:rFonts w:ascii="Arial" w:hAnsi="Arial" w:cs="Arial"/>
        </w:rPr>
        <w:lastRenderedPageBreak/>
        <w:t>Third, stronger communication is needed between policymakers and practitioners. Curriculum documents must be accessible and supported by practical examples of implementation (Welsh Government, 2024b). Peer-led networks and collaborative planning hubs could also aid consistency and shared understanding.</w:t>
      </w:r>
    </w:p>
    <w:p w14:paraId="7BA5F33D" w14:textId="77777777" w:rsidR="00687905" w:rsidRPr="00687905" w:rsidRDefault="00687905" w:rsidP="00687905">
      <w:pPr>
        <w:spacing w:line="360" w:lineRule="auto"/>
        <w:rPr>
          <w:rFonts w:ascii="Arial" w:hAnsi="Arial" w:cs="Arial"/>
        </w:rPr>
      </w:pPr>
      <w:r w:rsidRPr="00687905">
        <w:rPr>
          <w:rFonts w:ascii="Arial" w:hAnsi="Arial" w:cs="Arial"/>
        </w:rPr>
        <w:t>Finally, engaging families and communities is key to successful implementation. As Robinson (2010) and OECD (n.d.) note, education must reflect the evolving needs of learners and their wider world. Strengthening the home-setting partnership will reinforce the value of play and support holistic development.</w:t>
      </w:r>
    </w:p>
    <w:p w14:paraId="73058B4B" w14:textId="77777777" w:rsidR="00687905" w:rsidRPr="00687905" w:rsidRDefault="00687905" w:rsidP="00687905">
      <w:pPr>
        <w:spacing w:line="360" w:lineRule="auto"/>
        <w:rPr>
          <w:rFonts w:ascii="Arial" w:hAnsi="Arial" w:cs="Arial"/>
        </w:rPr>
      </w:pPr>
      <w:r w:rsidRPr="00687905">
        <w:rPr>
          <w:rFonts w:ascii="Arial" w:hAnsi="Arial" w:cs="Arial"/>
        </w:rPr>
        <w:t xml:space="preserve">In comparing the Foundation Phase and the Curriculum for Wales, it is clear that both approaches value play as central to early childhood learning. However, </w:t>
      </w:r>
      <w:r w:rsidRPr="00687905">
        <w:rPr>
          <w:rFonts w:ascii="Arial" w:hAnsi="Arial" w:cs="Arial"/>
          <w:b/>
          <w:bCs/>
        </w:rPr>
        <w:t xml:space="preserve">the Curriculum for </w:t>
      </w:r>
      <w:r w:rsidRPr="00687905">
        <w:rPr>
          <w:rFonts w:ascii="Arial" w:hAnsi="Arial" w:cs="Arial"/>
        </w:rPr>
        <w:t>Wales (CfW) represents a significant and progressive step forward. It builds on the strengths of the Foundation Phase—such as its emphasis on child-led learning and experiential play—while addressing its limitations, particularly the lack of clarity around progression and inconsistent implementation (Wizerd, 2015). The CfW provides a more coherent and flexible framework that centres the child’s development, progression, and individuality, moving away from prescriptive outcomes towards a deeper understanding of how children learn best.</w:t>
      </w:r>
    </w:p>
    <w:p w14:paraId="36BDAC91" w14:textId="77777777" w:rsidR="00687905" w:rsidRPr="00687905" w:rsidRDefault="00687905" w:rsidP="00687905">
      <w:pPr>
        <w:spacing w:line="360" w:lineRule="auto"/>
        <w:rPr>
          <w:rFonts w:ascii="Arial" w:hAnsi="Arial" w:cs="Arial"/>
        </w:rPr>
      </w:pPr>
      <w:r w:rsidRPr="00687905">
        <w:rPr>
          <w:rFonts w:ascii="Arial" w:hAnsi="Arial" w:cs="Arial"/>
        </w:rPr>
        <w:t>This vision aligns closely with international approaches like Reggio Emilia, where the child is viewed as a capable, curious co-constructor of knowledge. The CfW’s emphasis on voice, autonomy, and creative expression echoes Reggio's "hundred languages of children" philosophy (Edwards, Gandini &amp; Forman, 2012), and supports holistic, integrated learning grounded in real-life experiences. By embedding the four purposes, the CfW promotes equity, critical thinking, well-being, and a sense of identity—key elements in fostering lifelong learners.</w:t>
      </w:r>
    </w:p>
    <w:p w14:paraId="2591F4F1" w14:textId="77777777" w:rsidR="00687905" w:rsidRPr="00687905" w:rsidRDefault="00687905" w:rsidP="00687905">
      <w:pPr>
        <w:spacing w:line="360" w:lineRule="auto"/>
        <w:rPr>
          <w:rFonts w:ascii="Arial" w:hAnsi="Arial" w:cs="Arial"/>
        </w:rPr>
      </w:pPr>
      <w:r w:rsidRPr="00687905">
        <w:rPr>
          <w:rFonts w:ascii="Arial" w:hAnsi="Arial" w:cs="Arial"/>
        </w:rPr>
        <w:t>Although challenges such as staffing, training, and budget constraints remain (Welsh Government, 2014; Waters &amp; Payler, 2015), the CfW offers greater professional autonomy, encourages reflective pedagogy, and empowers settings to tailor learning to their communities. With sustained investment, collaboration, and reflective practice, the Curriculum for Wales has the potential to become a world-leading model, better preparing children for a rapidly changing world while respecting their right to play, explore, and flourish.</w:t>
      </w:r>
    </w:p>
    <w:p w14:paraId="13175749" w14:textId="77777777" w:rsidR="00687905" w:rsidRPr="00687905" w:rsidRDefault="00687905" w:rsidP="00687905">
      <w:pPr>
        <w:spacing w:line="360" w:lineRule="auto"/>
        <w:rPr>
          <w:rFonts w:ascii="Arial" w:hAnsi="Arial" w:cs="Arial"/>
        </w:rPr>
      </w:pPr>
    </w:p>
    <w:p w14:paraId="7ECD5334" w14:textId="77777777" w:rsidR="00687905" w:rsidRPr="00687905" w:rsidRDefault="00687905" w:rsidP="00C7548F">
      <w:pPr>
        <w:spacing w:line="360" w:lineRule="auto"/>
        <w:rPr>
          <w:rFonts w:ascii="Arial" w:hAnsi="Arial" w:cs="Arial"/>
        </w:rPr>
      </w:pPr>
    </w:p>
    <w:p w14:paraId="1D01A7A1" w14:textId="18FB1883" w:rsidR="0023495E" w:rsidRPr="0023495E" w:rsidRDefault="0023495E" w:rsidP="00C7548F">
      <w:pPr>
        <w:spacing w:line="360" w:lineRule="auto"/>
        <w:rPr>
          <w:rFonts w:ascii="Arial" w:hAnsi="Arial" w:cs="Arial"/>
          <w:b/>
          <w:bCs/>
          <w:u w:val="single"/>
        </w:rPr>
      </w:pPr>
      <w:r w:rsidRPr="0023495E">
        <w:rPr>
          <w:rFonts w:ascii="Arial" w:hAnsi="Arial" w:cs="Arial"/>
          <w:b/>
          <w:bCs/>
          <w:u w:val="single"/>
        </w:rPr>
        <w:t>Considering the concept of the ‘Unique Child’ , critically evaluate methods of assessment, progress tracking and age or stage related development models within play-based curricula</w:t>
      </w:r>
    </w:p>
    <w:p w14:paraId="14953D32" w14:textId="43A81B3D" w:rsidR="00C7548F" w:rsidRPr="00C7548F" w:rsidRDefault="00C7548F" w:rsidP="00C7548F">
      <w:pPr>
        <w:spacing w:line="360" w:lineRule="auto"/>
        <w:rPr>
          <w:rFonts w:ascii="Arial" w:hAnsi="Arial" w:cs="Arial"/>
        </w:rPr>
      </w:pPr>
      <w:r w:rsidRPr="00C7548F">
        <w:rPr>
          <w:rFonts w:ascii="Arial" w:hAnsi="Arial" w:cs="Arial"/>
        </w:rPr>
        <w:lastRenderedPageBreak/>
        <w:t>The concept of the ‘Unique Child’ is central to early years pedagogy and underpins inclusive, responsive practice in play-based learning environments. According to the Foundation Phase (Welsh Government, 2015:4), “Children acquire and develop skills at different rates and must be allowed to develop at their own unique, individual pace.” This approach recognises that each child brings their own culture, abilities, interests, and needs to their learning. Acknowledging this uniqueness is not only an ethical imperative but also a pedagogical one, influencing how assessment, observation, and progress tracking are conducted.</w:t>
      </w:r>
    </w:p>
    <w:p w14:paraId="3C59643B" w14:textId="77777777" w:rsidR="00C7548F" w:rsidRPr="00C7548F" w:rsidRDefault="00C7548F" w:rsidP="00C7548F">
      <w:pPr>
        <w:spacing w:line="360" w:lineRule="auto"/>
        <w:rPr>
          <w:rFonts w:ascii="Arial" w:hAnsi="Arial" w:cs="Arial"/>
        </w:rPr>
      </w:pPr>
      <w:r w:rsidRPr="00C7548F">
        <w:rPr>
          <w:rFonts w:ascii="Arial" w:hAnsi="Arial" w:cs="Arial"/>
        </w:rPr>
        <w:t>Children’s development is influenced by sociocultural factors, including language, cultural identity, and additional learning needs (ALN). As Bornman et al. (2010) explain, cultural mismatches between assessment tools and a child’s background can compromise validity. Devarakonda (2013) further argues that practitioners often hold superficial understandings of culture, affecting how they interpret children's learning and abilities. It is essential, therefore, that assessment methods in early years are flexible, inclusive, and sensitive to the individual child.</w:t>
      </w:r>
    </w:p>
    <w:p w14:paraId="4C6706B2" w14:textId="77777777" w:rsidR="00C7548F" w:rsidRPr="00C7548F" w:rsidRDefault="00C7548F" w:rsidP="00C7548F">
      <w:pPr>
        <w:spacing w:line="360" w:lineRule="auto"/>
        <w:rPr>
          <w:rFonts w:ascii="Arial" w:hAnsi="Arial" w:cs="Arial"/>
        </w:rPr>
      </w:pPr>
      <w:r w:rsidRPr="00C7548F">
        <w:rPr>
          <w:rFonts w:ascii="Arial" w:hAnsi="Arial" w:cs="Arial"/>
        </w:rPr>
        <w:t>Carol Dweck’s (1991) work on mindset also informs the concept of the unique child, suggesting that children’s beliefs about ability—formed through interaction with their environment—can shape motivation and learning. In early childhood, assessment must therefore aim to nurture confidence and self-efficacy, not label or limit children based on perceived ability (Parekh, 2017).</w:t>
      </w:r>
    </w:p>
    <w:p w14:paraId="5ABF90FF" w14:textId="79B123CA" w:rsidR="00C7548F" w:rsidRPr="00C7548F" w:rsidRDefault="00C7548F" w:rsidP="00C7548F">
      <w:pPr>
        <w:spacing w:line="360" w:lineRule="auto"/>
        <w:rPr>
          <w:rFonts w:ascii="Arial" w:hAnsi="Arial" w:cs="Arial"/>
        </w:rPr>
      </w:pPr>
      <w:r w:rsidRPr="00C7548F">
        <w:rPr>
          <w:rFonts w:ascii="Arial" w:hAnsi="Arial" w:cs="Arial"/>
        </w:rPr>
        <w:t>The Curriculum for Wales 2022 outlines that assessment should contribute to a “holistic picture of the learner – their strengths, the ways in which they learn, and their areas for development” (Welsh Government, 2021). This philosophy moves away from one-off judgements based on standardised milestones and encourages continuous, formative assessment that supports the child’s learning journey.</w:t>
      </w:r>
    </w:p>
    <w:p w14:paraId="2009BCC7" w14:textId="022A6979" w:rsidR="00112C9F" w:rsidRPr="00C7548F" w:rsidRDefault="00C7548F" w:rsidP="00C7548F">
      <w:pPr>
        <w:spacing w:line="360" w:lineRule="auto"/>
        <w:rPr>
          <w:rFonts w:ascii="Arial" w:hAnsi="Arial" w:cs="Arial"/>
        </w:rPr>
      </w:pPr>
      <w:r w:rsidRPr="00C7548F">
        <w:rPr>
          <w:rFonts w:ascii="Arial" w:hAnsi="Arial" w:cs="Arial"/>
        </w:rPr>
        <w:t>Assessment is described as an ongoing process that informs next steps in teaching and learning. It should involve noticing children’s interests (observation), analysing their development, and responding appropriately by planning future learning experiences (Welsh Government, 2023). Central to this is the principle of learner voice—engaging with the child’s perspective and supporting them to reflect on their own progress.</w:t>
      </w:r>
    </w:p>
    <w:p w14:paraId="5B24823F" w14:textId="4A08C1E1" w:rsidR="00C7548F" w:rsidRPr="00C7548F" w:rsidRDefault="00C7548F" w:rsidP="00C7548F">
      <w:pPr>
        <w:spacing w:line="360" w:lineRule="auto"/>
        <w:rPr>
          <w:rFonts w:ascii="Arial" w:hAnsi="Arial" w:cs="Arial"/>
        </w:rPr>
      </w:pPr>
      <w:r w:rsidRPr="00C7548F">
        <w:rPr>
          <w:rFonts w:ascii="Arial" w:hAnsi="Arial" w:cs="Arial"/>
        </w:rPr>
        <w:t xml:space="preserve">The Foundation Phase in Wales is underpinned by a strong commitment to child-centred, play-based learning, and its assessment framework reflects this philosophy. One of its key strengths lies in its emphasis on holistic, observation-based assessment, which aligns closely with developmental and sociocultural theories of learning. Practitioners are encouraged to observe children across different contexts and over time, building a </w:t>
      </w:r>
      <w:r w:rsidRPr="00C7548F">
        <w:rPr>
          <w:rFonts w:ascii="Arial" w:hAnsi="Arial" w:cs="Arial"/>
        </w:rPr>
        <w:lastRenderedPageBreak/>
        <w:t>comprehensive picture of each child’s cognitive, emotional, social, and physical development. As outlined in Enabling Pathways (Welsh Government, 2021), this enables educators to respond appropriately to children’s learning needs, interests, and strengths. By avoiding rigid, age-based expectations and instead using developmental pathways, the Foundation Phase supports the concept of the ‘unique child’ and affirms each child’s individual learning journey.</w:t>
      </w:r>
    </w:p>
    <w:p w14:paraId="461AA020" w14:textId="4D02A643" w:rsidR="00C7548F" w:rsidRPr="00C7548F" w:rsidRDefault="00C7548F" w:rsidP="00C7548F">
      <w:pPr>
        <w:spacing w:line="360" w:lineRule="auto"/>
        <w:rPr>
          <w:rFonts w:ascii="Arial" w:hAnsi="Arial" w:cs="Arial"/>
        </w:rPr>
      </w:pPr>
      <w:r w:rsidRPr="00C7548F">
        <w:rPr>
          <w:rFonts w:ascii="Arial" w:hAnsi="Arial" w:cs="Arial"/>
        </w:rPr>
        <w:t>Another significant strength is that this framework encourages child-initiated learning and values process over product. Children are assessed within authentic, meaningful experiences rather than through formalised testing, allowing their voice and agency to be heard in the assessment process. This approach supports children’s wellbeing and motivation, echoing Carol Dweck’s (1991) findings on growth mindset and resilience. Children are less likely to experience anxiety about being ‘judged’ and more likely to take risks and engage deeply with learning when assessments focus on effort and progress rather than ability or comparison.</w:t>
      </w:r>
    </w:p>
    <w:p w14:paraId="22F60D6E" w14:textId="1BB6F937" w:rsidR="00C7548F" w:rsidRPr="00C7548F" w:rsidRDefault="00C7548F" w:rsidP="00C7548F">
      <w:pPr>
        <w:spacing w:line="360" w:lineRule="auto"/>
        <w:rPr>
          <w:rFonts w:ascii="Arial" w:hAnsi="Arial" w:cs="Arial"/>
        </w:rPr>
      </w:pPr>
      <w:r w:rsidRPr="00C7548F">
        <w:rPr>
          <w:rFonts w:ascii="Arial" w:hAnsi="Arial" w:cs="Arial"/>
        </w:rPr>
        <w:t>However, despite these advantages, the Foundation Phase assessment framework is not without its challenges. A key weakness is the potential for subjectivity and inconsistency in observational assessment. Without clear moderation procedures and adequate training, practitioners may interpret children's behaviour differently based on their own beliefs or cultural assumptions (Devarakonda, 2013). For instance, perceptions of what constitutes ‘confidence’ or ‘curiosity’ may vary depending on cultural norms, leading to bias in the recording or interpretation of assessments. Bornman et al. (2010) emphasise that without culturally appropriate adaptations, assessment tools risk being invalid or inequitable for children from diverse linguistic and cultural backgrounds.</w:t>
      </w:r>
    </w:p>
    <w:p w14:paraId="32B98ABD" w14:textId="55837E22" w:rsidR="00C7548F" w:rsidRPr="00C7548F" w:rsidRDefault="00C7548F" w:rsidP="00C7548F">
      <w:pPr>
        <w:spacing w:line="360" w:lineRule="auto"/>
        <w:rPr>
          <w:rFonts w:ascii="Arial" w:hAnsi="Arial" w:cs="Arial"/>
        </w:rPr>
      </w:pPr>
      <w:r w:rsidRPr="00C7548F">
        <w:rPr>
          <w:rFonts w:ascii="Arial" w:hAnsi="Arial" w:cs="Arial"/>
        </w:rPr>
        <w:t>Additionally, the framework can be time-consuming and labour-intensive, requiring detailed documentation, reflection, and planning. In under-resourced settings, high staff-to-child ratios and limited time for staff training and collaboration can compromise the quality and consistency of observations. Furthermore, although the framework supports family engagement, the mechanisms for involving parents—particularly those with lower levels of literacy or limited English/Welsh—may not always be accessible or effective. This limits the potential to build a truly collaborative picture of the child across home and setting contexts.</w:t>
      </w:r>
    </w:p>
    <w:p w14:paraId="11E530B1" w14:textId="308ABF4F" w:rsidR="00C7548F" w:rsidRPr="00C7548F" w:rsidRDefault="00C7548F" w:rsidP="00C7548F">
      <w:pPr>
        <w:spacing w:line="360" w:lineRule="auto"/>
        <w:rPr>
          <w:rFonts w:ascii="Arial" w:hAnsi="Arial" w:cs="Arial"/>
        </w:rPr>
      </w:pPr>
      <w:r w:rsidRPr="00C7548F">
        <w:rPr>
          <w:rFonts w:ascii="Arial" w:hAnsi="Arial" w:cs="Arial"/>
        </w:rPr>
        <w:t xml:space="preserve">Seesaw, a digital platform for sharing children’s learning with families, brings a modern, interactive dimension to assessment in early years education. A primary strength of Seesaw is its ability to engage parents in real-time. Parents and carers can view photos, videos, and learning stories uploaded by practitioners, and can respond with comments or encouragement. This ongoing dialogue strengthens the home-setting partnership, which is </w:t>
      </w:r>
      <w:r w:rsidRPr="00C7548F">
        <w:rPr>
          <w:rFonts w:ascii="Arial" w:hAnsi="Arial" w:cs="Arial"/>
        </w:rPr>
        <w:lastRenderedPageBreak/>
        <w:t>crucial in recognising and responding to the unique needs of each child (Waters-Davies &amp; MacDonald, 2023). Unlike traditional assessment formats, Seesaw allows for more immediate feedback and two-way communication, fostering a sense of shared responsibility for a child’s learning journey.</w:t>
      </w:r>
    </w:p>
    <w:p w14:paraId="5F9302D0" w14:textId="55DA1530" w:rsidR="00C7548F" w:rsidRPr="00C7548F" w:rsidRDefault="00C7548F" w:rsidP="00C7548F">
      <w:pPr>
        <w:spacing w:line="360" w:lineRule="auto"/>
        <w:rPr>
          <w:rFonts w:ascii="Arial" w:hAnsi="Arial" w:cs="Arial"/>
        </w:rPr>
      </w:pPr>
      <w:r w:rsidRPr="00C7548F">
        <w:rPr>
          <w:rFonts w:ascii="Arial" w:hAnsi="Arial" w:cs="Arial"/>
        </w:rPr>
        <w:t>Furthermore, Seesaw supports multimodal assessment. Rather than relying solely on written observations or checklists, practitioners can capture children’s learning through video, voice recordings, and images. This is particularly beneficial for children with ALN, EAL (English as an Additional Language), or those who express themselves more effectively through non-verbal means. Such an approach reflects Vygotsky’s sociocultural theory, which emphasises the importance of tools, language, and interaction in learning. By making learning visible in different formats, Seesaw can promote inclusion and ensure that a wider range of skills and experiences are recognised.</w:t>
      </w:r>
    </w:p>
    <w:p w14:paraId="1576704E" w14:textId="2A6BA3F6" w:rsidR="00C7548F" w:rsidRPr="00C7548F" w:rsidRDefault="00C7548F" w:rsidP="00C7548F">
      <w:pPr>
        <w:spacing w:line="360" w:lineRule="auto"/>
        <w:rPr>
          <w:rFonts w:ascii="Arial" w:hAnsi="Arial" w:cs="Arial"/>
        </w:rPr>
      </w:pPr>
      <w:r w:rsidRPr="00C7548F">
        <w:rPr>
          <w:rFonts w:ascii="Arial" w:hAnsi="Arial" w:cs="Arial"/>
        </w:rPr>
        <w:t>However, Seesaw also presents certain limitations. One concern is the risk of superficiality. The ease with which content can be uploaded may lead to a focus on quantity over quality. Without careful reflection and pedagogical analysis, posts on Seesaw can become a digital scrapbook rather than a tool for deep assessment. For instance, a photo of a child building a tower might show engagement but may lack interpretation of what learning is occurring—such as problem-solving, spatial reasoning, or collaboration—unless practitioners take the time to analyse and annotate meaningfully (Roberts-Holmes, 2012).</w:t>
      </w:r>
    </w:p>
    <w:p w14:paraId="6F955FA2" w14:textId="7E7DDFD1" w:rsidR="00C7548F" w:rsidRPr="00C7548F" w:rsidRDefault="00C7548F" w:rsidP="00C7548F">
      <w:pPr>
        <w:spacing w:line="360" w:lineRule="auto"/>
        <w:rPr>
          <w:rFonts w:ascii="Arial" w:hAnsi="Arial" w:cs="Arial"/>
        </w:rPr>
      </w:pPr>
      <w:r w:rsidRPr="00C7548F">
        <w:rPr>
          <w:rFonts w:ascii="Arial" w:hAnsi="Arial" w:cs="Arial"/>
        </w:rPr>
        <w:t>Another weakness is the issue of digital inequality. Families without access to reliable internet, smartphones, or familiarity with digital platforms may be excluded from fully engaging with Seesaw. This digital divide can exacerbate existing inequalities, particularly for low-income or marginalised families. Moreover, not all practitioners feel confident using digital tools for assessment, which can result in inconsistency across settings. There is also a potential for performance bias, where children become aware that their actions are being recorded and respond accordingly, potentially undermining the authenticity of their play-based exploration.</w:t>
      </w:r>
    </w:p>
    <w:p w14:paraId="5082BA51" w14:textId="77777777" w:rsidR="00C7548F" w:rsidRPr="00C7548F" w:rsidRDefault="00C7548F" w:rsidP="00C7548F">
      <w:pPr>
        <w:spacing w:line="360" w:lineRule="auto"/>
        <w:rPr>
          <w:rFonts w:ascii="Arial" w:hAnsi="Arial" w:cs="Arial"/>
        </w:rPr>
      </w:pPr>
      <w:r w:rsidRPr="00C7548F">
        <w:rPr>
          <w:rFonts w:ascii="Arial" w:hAnsi="Arial" w:cs="Arial"/>
        </w:rPr>
        <w:t>Lastly, while Seesaw allows teachers to tag posts to curriculum goals, this process can become overly mechanistic if not supported by a sound understanding of child development. Over-reliance on app-generated ‘progress reports’ may shift the focus away from holistic development to isolated skill tracking, undermining the broader developmental goals of the Curriculum for Wales.</w:t>
      </w:r>
    </w:p>
    <w:p w14:paraId="5AEFCD60" w14:textId="77777777" w:rsidR="00C7548F" w:rsidRPr="00C7548F" w:rsidRDefault="00C7548F" w:rsidP="00C7548F">
      <w:pPr>
        <w:spacing w:line="360" w:lineRule="auto"/>
        <w:rPr>
          <w:rFonts w:ascii="Arial" w:hAnsi="Arial" w:cs="Arial"/>
        </w:rPr>
      </w:pPr>
    </w:p>
    <w:p w14:paraId="0464231F" w14:textId="3E0051C2" w:rsidR="00C7548F" w:rsidRPr="00C7548F" w:rsidRDefault="00C7548F" w:rsidP="00C7548F">
      <w:pPr>
        <w:spacing w:line="360" w:lineRule="auto"/>
        <w:rPr>
          <w:rFonts w:ascii="Arial" w:hAnsi="Arial" w:cs="Arial"/>
        </w:rPr>
      </w:pPr>
      <w:r w:rsidRPr="00C7548F">
        <w:rPr>
          <w:rFonts w:ascii="Arial" w:hAnsi="Arial" w:cs="Arial"/>
        </w:rPr>
        <w:lastRenderedPageBreak/>
        <w:t>Both methods offer valuable insights into children’s learning but must be applied critically to ensure they uphold the principles of recognising each child as unique.</w:t>
      </w:r>
    </w:p>
    <w:p w14:paraId="7F1F6CCC" w14:textId="2D4D4AA2" w:rsidR="00C7548F" w:rsidRPr="00C7548F" w:rsidRDefault="00C7548F" w:rsidP="00C7548F">
      <w:pPr>
        <w:spacing w:line="360" w:lineRule="auto"/>
        <w:rPr>
          <w:rFonts w:ascii="Arial" w:hAnsi="Arial" w:cs="Arial"/>
        </w:rPr>
      </w:pPr>
      <w:r w:rsidRPr="00C7548F">
        <w:rPr>
          <w:rFonts w:ascii="Arial" w:hAnsi="Arial" w:cs="Arial"/>
        </w:rPr>
        <w:t>The Foundation Phase, by prioritising play and holistic development, aligns strongly with theories of sociocultural learning (Vygotsky, 1978; Morton &amp; Guerin, 2017). However, the effectiveness of this approach depends on practitioner competence and reflective practice. In contrast, Seesaw introduces an accessible, digital format that engages families and offers visual records, which can be powerful tools for recognising diverse ways of expressing learning (Waters-Davies &amp; MacDonald, 2023).</w:t>
      </w:r>
    </w:p>
    <w:p w14:paraId="06F830B6" w14:textId="0934E373" w:rsidR="00C7548F" w:rsidRPr="00C7548F" w:rsidRDefault="00C7548F" w:rsidP="00C7548F">
      <w:pPr>
        <w:spacing w:line="360" w:lineRule="auto"/>
        <w:rPr>
          <w:rFonts w:ascii="Arial" w:hAnsi="Arial" w:cs="Arial"/>
        </w:rPr>
      </w:pPr>
      <w:r w:rsidRPr="00C7548F">
        <w:rPr>
          <w:rFonts w:ascii="Arial" w:hAnsi="Arial" w:cs="Arial"/>
        </w:rPr>
        <w:t>Yet, caution is needed. Without robust interpretation and professional judgement, digital tools can reduce assessment to a checklist of skills or moments. As Donaldson (2015) advocates, the goal of assessment in Wales should be to nurture ambitious, capable learners—not to fit children into predetermined boxes.</w:t>
      </w:r>
    </w:p>
    <w:p w14:paraId="7A716BB0" w14:textId="77777777" w:rsidR="00C7548F" w:rsidRPr="00C7548F" w:rsidRDefault="00C7548F" w:rsidP="00C7548F">
      <w:pPr>
        <w:spacing w:line="360" w:lineRule="auto"/>
        <w:rPr>
          <w:rFonts w:ascii="Arial" w:hAnsi="Arial" w:cs="Arial"/>
        </w:rPr>
      </w:pPr>
      <w:r w:rsidRPr="00C7548F">
        <w:rPr>
          <w:rFonts w:ascii="Arial" w:hAnsi="Arial" w:cs="Arial"/>
        </w:rPr>
        <w:t>The use of either method must be informed by culturally responsive pedagogy. For example, assessment language and expectations should reflect the child’s home experiences and values, avoiding assumptions based on dominant cultural norms (Banks, 1994; Schwartz &amp; Unger, 2010).</w:t>
      </w:r>
    </w:p>
    <w:p w14:paraId="2C638AB3" w14:textId="12E4EC82" w:rsidR="00C7548F" w:rsidRDefault="00C7548F" w:rsidP="00C7548F">
      <w:pPr>
        <w:spacing w:line="360" w:lineRule="auto"/>
        <w:rPr>
          <w:rFonts w:ascii="Arial" w:hAnsi="Arial" w:cs="Arial"/>
        </w:rPr>
      </w:pPr>
      <w:r w:rsidRPr="00C7548F">
        <w:rPr>
          <w:rFonts w:ascii="Arial" w:hAnsi="Arial" w:cs="Arial"/>
        </w:rPr>
        <w:t>Assessment in early years education should reflect and respect the individuality of every child. By comparing the Foundation Phase framework and the Seesaw app, it becomes clear that both offer valuable opportunities for observing, understanding, and supporting children’s learning. However, their effectiveness relies on how well practitioners apply them through a lens of inclusion, cultural awareness, and deep understanding of developmental theory. Ultimately, a balanced and critical approach that combines structured frameworks with flexible, real-time tools can best support the unique potential of every child.</w:t>
      </w:r>
    </w:p>
    <w:p w14:paraId="49EFE36B" w14:textId="77777777" w:rsidR="0023495E" w:rsidRDefault="0023495E" w:rsidP="00C7548F">
      <w:pPr>
        <w:spacing w:line="360" w:lineRule="auto"/>
        <w:rPr>
          <w:rFonts w:ascii="Arial" w:hAnsi="Arial" w:cs="Arial"/>
        </w:rPr>
      </w:pPr>
    </w:p>
    <w:p w14:paraId="422E17C8" w14:textId="0877BA8B" w:rsidR="0023495E" w:rsidRDefault="0023495E" w:rsidP="00C7548F">
      <w:pPr>
        <w:spacing w:line="360" w:lineRule="auto"/>
        <w:rPr>
          <w:rFonts w:ascii="Arial" w:hAnsi="Arial" w:cs="Arial"/>
          <w:b/>
          <w:bCs/>
          <w:u w:val="single"/>
        </w:rPr>
      </w:pPr>
      <w:r w:rsidRPr="0023495E">
        <w:rPr>
          <w:rFonts w:ascii="Arial" w:hAnsi="Arial" w:cs="Arial"/>
          <w:b/>
          <w:bCs/>
          <w:u w:val="single"/>
        </w:rPr>
        <w:t>Write a blog suitable for a professional publication linked to considerations needed when implementing a play-based curriculum/curriculum changes</w:t>
      </w:r>
    </w:p>
    <w:p w14:paraId="4A6C98FA" w14:textId="77777777" w:rsidR="0072011D" w:rsidRPr="0072011D" w:rsidRDefault="0072011D" w:rsidP="0072011D">
      <w:pPr>
        <w:spacing w:line="360" w:lineRule="auto"/>
        <w:rPr>
          <w:rFonts w:ascii="Arial" w:hAnsi="Arial" w:cs="Arial"/>
        </w:rPr>
      </w:pPr>
      <w:r w:rsidRPr="0072011D">
        <w:rPr>
          <w:rFonts w:ascii="Arial" w:hAnsi="Arial" w:cs="Arial"/>
        </w:rPr>
        <w:t xml:space="preserve">Transition in education is often misunderstood as a simple administrative procedure focused on induction activities. However, as Harris (2013) emphasizes in his works such as </w:t>
      </w:r>
      <w:r w:rsidRPr="0072011D">
        <w:rPr>
          <w:rFonts w:ascii="Arial" w:hAnsi="Arial" w:cs="Arial"/>
          <w:i/>
          <w:iCs/>
        </w:rPr>
        <w:t>There is Another Way</w:t>
      </w:r>
      <w:r w:rsidRPr="0072011D">
        <w:rPr>
          <w:rFonts w:ascii="Arial" w:hAnsi="Arial" w:cs="Arial"/>
        </w:rPr>
        <w:t xml:space="preserve"> and </w:t>
      </w:r>
      <w:r w:rsidRPr="0072011D">
        <w:rPr>
          <w:rFonts w:ascii="Arial" w:hAnsi="Arial" w:cs="Arial"/>
          <w:i/>
          <w:iCs/>
        </w:rPr>
        <w:t>Transition</w:t>
      </w:r>
      <w:r w:rsidRPr="0072011D">
        <w:rPr>
          <w:rFonts w:ascii="Arial" w:hAnsi="Arial" w:cs="Arial"/>
        </w:rPr>
        <w:t xml:space="preserve">, transition must be understood as a complex, developmentally-informed process that supports continuity and wellbeing across educational phases. This essay critically examines the considerations necessary when implementing a play-based curriculum alongside curriculum changes, particularly focusing on the transition from primary to secondary education around the traditional age of 11. It evaluates Harris’ seven-step transition framework, relevant developmental theories such as Maslow’s Hierarchy of Needs, </w:t>
      </w:r>
      <w:r w:rsidRPr="0072011D">
        <w:rPr>
          <w:rFonts w:ascii="Arial" w:hAnsi="Arial" w:cs="Arial"/>
        </w:rPr>
        <w:lastRenderedPageBreak/>
        <w:t>and the policy context in Wales to argue that the current transition model is insufficient and requires significant reform.</w:t>
      </w:r>
    </w:p>
    <w:p w14:paraId="43358271" w14:textId="77777777" w:rsidR="0072011D" w:rsidRPr="0072011D" w:rsidRDefault="0072011D" w:rsidP="0072011D">
      <w:pPr>
        <w:spacing w:line="360" w:lineRule="auto"/>
        <w:rPr>
          <w:rFonts w:ascii="Arial" w:hAnsi="Arial" w:cs="Arial"/>
        </w:rPr>
      </w:pPr>
      <w:r w:rsidRPr="0072011D">
        <w:rPr>
          <w:rFonts w:ascii="Arial" w:hAnsi="Arial" w:cs="Arial"/>
        </w:rPr>
        <w:t>The neurological development of children around age 11 contradicts the assumption that this is an appropriate time for a major school transition. Research in developmental neuroscience reveals that early adolescence is marked by an underdeveloped prefrontal cortex—the brain area responsible for executive functions—and a relatively heightened limbic system controlling emotional responses (Blakemore, 2018). This imbalance contributes to heightened emotional sensitivity and reduced cognitive control, meaning children at this age face a uniquely challenging internal landscape. Consequently, transitions at this stage can disrupt learning and wellbeing, particularly when the new school environment fails to meet foundational psychological needs. Maslow’s Hierarchy of Needs (1943) argues that children require safety, belonging, and esteem to be fulfilled before they can engage fully in learning, yet transition often threatens these needs by forcing children into unfamiliar, socially complex settings without sufficient emotional support.</w:t>
      </w:r>
    </w:p>
    <w:p w14:paraId="76D9F7CC" w14:textId="77777777" w:rsidR="0072011D" w:rsidRPr="0072011D" w:rsidRDefault="0072011D" w:rsidP="0072011D">
      <w:pPr>
        <w:spacing w:line="360" w:lineRule="auto"/>
        <w:rPr>
          <w:rFonts w:ascii="Arial" w:hAnsi="Arial" w:cs="Arial"/>
        </w:rPr>
      </w:pPr>
      <w:r w:rsidRPr="0072011D">
        <w:rPr>
          <w:rFonts w:ascii="Arial" w:hAnsi="Arial" w:cs="Arial"/>
        </w:rPr>
        <w:t xml:space="preserve">Dave Harris’ seven-step model for managing transition offers a comprehensive approach that foregrounds developmentally appropriate practices and collaboration across educational phases. The first step calls for agreement on the long-term aims of education within the local area, aligning with Wales’ </w:t>
      </w:r>
      <w:r w:rsidRPr="0072011D">
        <w:rPr>
          <w:rFonts w:ascii="Arial" w:hAnsi="Arial" w:cs="Arial"/>
          <w:i/>
          <w:iCs/>
        </w:rPr>
        <w:t>Curriculum for Wales</w:t>
      </w:r>
      <w:r w:rsidRPr="0072011D">
        <w:rPr>
          <w:rFonts w:ascii="Arial" w:hAnsi="Arial" w:cs="Arial"/>
        </w:rPr>
        <w:t>, which promotes four learner purposes: ambitious learners, healthy individuals, ethical citizens, and creative contributors (Donaldson, 2015). Establishing a shared vision ensures that transition supports these outcomes rather than merely serving logistical ends.</w:t>
      </w:r>
    </w:p>
    <w:p w14:paraId="230449A4" w14:textId="77777777" w:rsidR="0072011D" w:rsidRPr="0072011D" w:rsidRDefault="0072011D" w:rsidP="0072011D">
      <w:pPr>
        <w:spacing w:line="360" w:lineRule="auto"/>
        <w:rPr>
          <w:rFonts w:ascii="Arial" w:hAnsi="Arial" w:cs="Arial"/>
        </w:rPr>
      </w:pPr>
      <w:r w:rsidRPr="0072011D">
        <w:rPr>
          <w:rFonts w:ascii="Arial" w:hAnsi="Arial" w:cs="Arial"/>
        </w:rPr>
        <w:t>The second step involves increasing teacher understanding across phases, breaking down professional silos to foster empathy and shared expertise. Early years educators bring nuanced knowledge of child development and emotional needs, while secondary teachers contribute subject specialization; combining these perspectives benefits the learner (Harris, 2013). Third, pupils themselves must be supported to understand their educational journey’s purpose, empowering them to take ownership of their learning trajectories. When learners understand that their education forms a coherent journey rather than a series of disconnected stages, they are more likely to remain engaged and confident.</w:t>
      </w:r>
    </w:p>
    <w:p w14:paraId="7689EE38" w14:textId="77777777" w:rsidR="0072011D" w:rsidRPr="0072011D" w:rsidRDefault="0072011D" w:rsidP="0072011D">
      <w:pPr>
        <w:spacing w:line="360" w:lineRule="auto"/>
        <w:rPr>
          <w:rFonts w:ascii="Arial" w:hAnsi="Arial" w:cs="Arial"/>
        </w:rPr>
      </w:pPr>
      <w:r w:rsidRPr="0072011D">
        <w:rPr>
          <w:rFonts w:ascii="Arial" w:hAnsi="Arial" w:cs="Arial"/>
        </w:rPr>
        <w:t xml:space="preserve">Fourth, creating opportunities for cross-age learning fosters community and mentorship, reducing the anxiety typically associated with moving to a new school. This can involve joint projects, buddy systems, or shared celebrations. It builds a relational bridge that helps sustain emotional security—key for children entering new environments (Bronfenbrenner, 1979). Fifth, Harris advocates for a cohesive curriculum plan spanning infancy to adulthood, emphasizing the need to view play-based learning as a continuous methodology rather than </w:t>
      </w:r>
      <w:r w:rsidRPr="0072011D">
        <w:rPr>
          <w:rFonts w:ascii="Arial" w:hAnsi="Arial" w:cs="Arial"/>
        </w:rPr>
        <w:lastRenderedPageBreak/>
        <w:t>an early-years novelty. This aligns with the Curriculum for Wales’ focus on rich, experiential learning. Play does not simply disappear in adolescence; rather, it evolves into inquiry, creativity, and real-world application (Wood, 2013).</w:t>
      </w:r>
    </w:p>
    <w:p w14:paraId="2484CBCA" w14:textId="77777777" w:rsidR="0072011D" w:rsidRPr="0072011D" w:rsidRDefault="0072011D" w:rsidP="0072011D">
      <w:pPr>
        <w:spacing w:line="360" w:lineRule="auto"/>
        <w:rPr>
          <w:rFonts w:ascii="Arial" w:hAnsi="Arial" w:cs="Arial"/>
        </w:rPr>
      </w:pPr>
      <w:r w:rsidRPr="0072011D">
        <w:rPr>
          <w:rFonts w:ascii="Arial" w:hAnsi="Arial" w:cs="Arial"/>
        </w:rPr>
        <w:t>The sixth step suggests embedding learning experiences across phases into the school calendar, promoting continuity through collaborative projects and shared events. Finally, induction should be a component of the broader transition process, focused on helping the individual child settle within a strong organizational relationship, rather than a standalone procedure. Induction activities should be framed within a broader effort to build trust, emotional resilience, and learner identity.</w:t>
      </w:r>
    </w:p>
    <w:p w14:paraId="158AB829" w14:textId="77777777" w:rsidR="0072011D" w:rsidRPr="0072011D" w:rsidRDefault="0072011D" w:rsidP="0072011D">
      <w:pPr>
        <w:spacing w:line="360" w:lineRule="auto"/>
        <w:rPr>
          <w:rFonts w:ascii="Arial" w:hAnsi="Arial" w:cs="Arial"/>
        </w:rPr>
      </w:pPr>
      <w:r w:rsidRPr="0072011D">
        <w:rPr>
          <w:rFonts w:ascii="Arial" w:hAnsi="Arial" w:cs="Arial"/>
        </w:rPr>
        <w:t>Embedding play within the curriculum across all phases is crucial for maintaining developmental continuity. Play promotes autonomy, exploration, social interaction, and intrinsic motivation, essential for cognitive and emotional growth beyond early childhood (Taylor et al., 2015). However, as highlighted in the independent stocktake of the Foundation Phase, tensions between play-based philosophy and accountability pressures threaten consistent implementation, especially at transition points when disruption and stress are highest. The erosion of play-based approaches at KS2 and beyond represents a significant barrier to continuity of pedagogy, which can undermine a child’s confidence and curiosity as they move through the system.</w:t>
      </w:r>
    </w:p>
    <w:p w14:paraId="05C7C415" w14:textId="77777777" w:rsidR="0072011D" w:rsidRPr="0072011D" w:rsidRDefault="0072011D" w:rsidP="0072011D">
      <w:pPr>
        <w:spacing w:line="360" w:lineRule="auto"/>
        <w:rPr>
          <w:rFonts w:ascii="Arial" w:hAnsi="Arial" w:cs="Arial"/>
        </w:rPr>
      </w:pPr>
      <w:r w:rsidRPr="0072011D">
        <w:rPr>
          <w:rFonts w:ascii="Arial" w:hAnsi="Arial" w:cs="Arial"/>
        </w:rPr>
        <w:t xml:space="preserve">Leadership also plays a vital role in ensuring effective transition. Harris (2016) notes in </w:t>
      </w:r>
      <w:r w:rsidRPr="0072011D">
        <w:rPr>
          <w:rFonts w:ascii="Arial" w:hAnsi="Arial" w:cs="Arial"/>
          <w:i/>
          <w:iCs/>
        </w:rPr>
        <w:t>Brave Heads</w:t>
      </w:r>
      <w:r w:rsidRPr="0072011D">
        <w:rPr>
          <w:rFonts w:ascii="Arial" w:hAnsi="Arial" w:cs="Arial"/>
        </w:rPr>
        <w:t xml:space="preserve"> that courageous, principled leadership is required to resist performative pressures and instead prioritise learner wellbeing and relational practices. Leaders must facilitate shared professional development, promote coherence between policy and practice, and support staff in designing a curriculum that meets the emotional and developmental needs of children. The Curriculum for Wales encourages a holistic, play-informed approach, but realising its vision depends on empowered leaders who understand that true transition is relational, not merely procedural.</w:t>
      </w:r>
    </w:p>
    <w:p w14:paraId="5BB9FC2B" w14:textId="77777777" w:rsidR="0072011D" w:rsidRPr="0072011D" w:rsidRDefault="0072011D" w:rsidP="0072011D">
      <w:pPr>
        <w:spacing w:line="360" w:lineRule="auto"/>
        <w:rPr>
          <w:rFonts w:ascii="Arial" w:hAnsi="Arial" w:cs="Arial"/>
        </w:rPr>
      </w:pPr>
      <w:r w:rsidRPr="0072011D">
        <w:rPr>
          <w:rFonts w:ascii="Arial" w:hAnsi="Arial" w:cs="Arial"/>
        </w:rPr>
        <w:t>Policy in Wales has begun to embrace more holistic, child-centred education models through initiatives like the Donaldson Report (2015) and the Curriculum for Wales. Despite this progress, barriers persist. Budgetary constraints limit extended transition programming, and secondary schools’ focus on attainment can deprioritize relational work. Professional isolation between phases further complicates collaboration. It is not enough to reform curricula; the systems and cultures within which they are implemented must also shift. Effective transition is not about fitting children into existing structures, but reshaping those structures around children.</w:t>
      </w:r>
    </w:p>
    <w:p w14:paraId="090BF3B6" w14:textId="77777777" w:rsidR="0072011D" w:rsidRPr="0072011D" w:rsidRDefault="0072011D" w:rsidP="0072011D">
      <w:pPr>
        <w:spacing w:line="360" w:lineRule="auto"/>
        <w:rPr>
          <w:rFonts w:ascii="Arial" w:hAnsi="Arial" w:cs="Arial"/>
        </w:rPr>
      </w:pPr>
      <w:r w:rsidRPr="0072011D">
        <w:rPr>
          <w:rFonts w:ascii="Arial" w:hAnsi="Arial" w:cs="Arial"/>
        </w:rPr>
        <w:lastRenderedPageBreak/>
        <w:t>Nonetheless, promising practices exist. Some school clusters have implemented longitudinal transition initiatives, fostering co-designed learning environments that respect children’s developmental needs. Transition teams, pupil voice councils, and continuity-focused planning days are increasingly used to ensure that children feel heard and supported. This resonates with Bronfenbrenner’s ecological systems theory, which emphasizes the importance of context, relationships, and consistent support in development (Bronfenbrenner, 1979). When children experience a network of consistent, caring adults who communicate effectively, they are far more likely to thrive during periods of change.</w:t>
      </w:r>
    </w:p>
    <w:p w14:paraId="2A914AC9" w14:textId="2C9B99F4" w:rsidR="0072011D" w:rsidRPr="0072011D" w:rsidRDefault="0072011D" w:rsidP="0072011D">
      <w:pPr>
        <w:spacing w:line="360" w:lineRule="auto"/>
        <w:rPr>
          <w:rFonts w:ascii="Arial" w:hAnsi="Arial" w:cs="Arial"/>
        </w:rPr>
      </w:pPr>
      <w:r w:rsidRPr="0072011D">
        <w:rPr>
          <w:rFonts w:ascii="Arial" w:hAnsi="Arial" w:cs="Arial"/>
        </w:rPr>
        <w:t>In conclusion, the traditional model of transition—</w:t>
      </w:r>
      <w:r w:rsidRPr="0072011D">
        <w:rPr>
          <w:rFonts w:ascii="Arial" w:hAnsi="Arial" w:cs="Arial"/>
        </w:rPr>
        <w:t>cantered</w:t>
      </w:r>
      <w:r w:rsidRPr="0072011D">
        <w:rPr>
          <w:rFonts w:ascii="Arial" w:hAnsi="Arial" w:cs="Arial"/>
        </w:rPr>
        <w:t xml:space="preserve"> on age 11 induction—is inadequate and potentially harmful given children’s neurological and emotional development. Dave Harris’ seven-step framework offers a thoughtful, research-informed blueprint for redesigning transition as a prolonged, relational process aligned with play-based curricula and modern educational policy. Maslow’s theory reminds us that safety and belonging are preconditions for learning, and that a secure emotional base must be sustained beyond early childhood. Practitioners, leaders, and policymakers must embrace this paradigm shift, prioritizing continuity, wellbeing, and child agency over convenience and tradition. Only then can transition become a true bridge, supporting children’s flourishing as lifelong learners.</w:t>
      </w:r>
    </w:p>
    <w:p w14:paraId="4301DD01" w14:textId="77777777" w:rsidR="0023495E" w:rsidRPr="00295EA0" w:rsidRDefault="0023495E" w:rsidP="00C7548F">
      <w:pPr>
        <w:spacing w:line="360" w:lineRule="auto"/>
        <w:rPr>
          <w:rFonts w:ascii="Arial" w:hAnsi="Arial" w:cs="Arial"/>
        </w:rPr>
      </w:pPr>
    </w:p>
    <w:p w14:paraId="7351E754" w14:textId="77777777" w:rsidR="00C7548F" w:rsidRDefault="00C7548F">
      <w:pPr>
        <w:rPr>
          <w:rFonts w:ascii="Arial" w:hAnsi="Arial" w:cs="Arial"/>
        </w:rPr>
      </w:pPr>
      <w:r>
        <w:rPr>
          <w:rFonts w:ascii="Arial" w:hAnsi="Arial" w:cs="Arial"/>
        </w:rPr>
        <w:br w:type="page"/>
      </w:r>
    </w:p>
    <w:p w14:paraId="5AE067E3" w14:textId="170ABA08" w:rsidR="0023495E" w:rsidRDefault="0023495E" w:rsidP="00C7548F">
      <w:pPr>
        <w:spacing w:line="360" w:lineRule="auto"/>
        <w:rPr>
          <w:rFonts w:ascii="Arial" w:hAnsi="Arial" w:cs="Arial"/>
        </w:rPr>
      </w:pPr>
      <w:r>
        <w:rPr>
          <w:rFonts w:ascii="Arial" w:hAnsi="Arial" w:cs="Arial"/>
          <w:b/>
          <w:bCs/>
          <w:u w:val="single"/>
        </w:rPr>
        <w:lastRenderedPageBreak/>
        <w:t>Reference list</w:t>
      </w:r>
      <w:r w:rsidR="00C7548F" w:rsidRPr="00C7548F">
        <w:rPr>
          <w:rFonts w:ascii="Arial" w:hAnsi="Arial" w:cs="Arial"/>
        </w:rPr>
        <w:t xml:space="preserve"> </w:t>
      </w:r>
    </w:p>
    <w:p w14:paraId="4B67EC53" w14:textId="77777777" w:rsidR="00A56EBB" w:rsidRPr="00A56EBB" w:rsidRDefault="00A56EBB" w:rsidP="00A56EBB">
      <w:pPr>
        <w:spacing w:line="360" w:lineRule="auto"/>
        <w:rPr>
          <w:rFonts w:ascii="Arial" w:hAnsi="Arial" w:cs="Arial"/>
        </w:rPr>
      </w:pPr>
      <w:r w:rsidRPr="00A56EBB">
        <w:rPr>
          <w:rFonts w:ascii="Arial" w:hAnsi="Arial" w:cs="Arial"/>
        </w:rPr>
        <w:t xml:space="preserve">Banks, J.A., 1994. </w:t>
      </w:r>
      <w:r w:rsidRPr="00A56EBB">
        <w:rPr>
          <w:rFonts w:ascii="Arial" w:hAnsi="Arial" w:cs="Arial"/>
          <w:i/>
          <w:iCs/>
        </w:rPr>
        <w:t>An introduction to multicultural education</w:t>
      </w:r>
      <w:r w:rsidRPr="00A56EBB">
        <w:rPr>
          <w:rFonts w:ascii="Arial" w:hAnsi="Arial" w:cs="Arial"/>
        </w:rPr>
        <w:t>. Boston: Allyn &amp; Bacon.</w:t>
      </w:r>
    </w:p>
    <w:p w14:paraId="6CE2004B" w14:textId="77777777" w:rsidR="00A56EBB" w:rsidRPr="00A56EBB" w:rsidRDefault="00A56EBB" w:rsidP="00A56EBB">
      <w:pPr>
        <w:spacing w:line="360" w:lineRule="auto"/>
        <w:rPr>
          <w:rFonts w:ascii="Arial" w:hAnsi="Arial" w:cs="Arial"/>
        </w:rPr>
      </w:pPr>
      <w:r w:rsidRPr="00A56EBB">
        <w:rPr>
          <w:rFonts w:ascii="Arial" w:hAnsi="Arial" w:cs="Arial"/>
        </w:rPr>
        <w:t xml:space="preserve">Bell, D., Gilden, R., Muttock, S., Siraj, I. and Sylva, K., 2002. </w:t>
      </w:r>
      <w:r w:rsidRPr="00A56EBB">
        <w:rPr>
          <w:rFonts w:ascii="Arial" w:hAnsi="Arial" w:cs="Arial"/>
          <w:i/>
          <w:iCs/>
        </w:rPr>
        <w:t>Researching effective pedagogy in the early years</w:t>
      </w:r>
      <w:r w:rsidRPr="00A56EBB">
        <w:rPr>
          <w:rFonts w:ascii="Arial" w:hAnsi="Arial" w:cs="Arial"/>
        </w:rPr>
        <w:t>. Norwich: DfES.</w:t>
      </w:r>
    </w:p>
    <w:p w14:paraId="35323CC6" w14:textId="77777777" w:rsidR="00A56EBB" w:rsidRPr="00A56EBB" w:rsidRDefault="00A56EBB" w:rsidP="00A56EBB">
      <w:pPr>
        <w:spacing w:line="360" w:lineRule="auto"/>
        <w:rPr>
          <w:rFonts w:ascii="Arial" w:hAnsi="Arial" w:cs="Arial"/>
        </w:rPr>
      </w:pPr>
      <w:r w:rsidRPr="00A56EBB">
        <w:rPr>
          <w:rFonts w:ascii="Arial" w:hAnsi="Arial" w:cs="Arial"/>
        </w:rPr>
        <w:t xml:space="preserve">Blakemore, S.-J., 2018. </w:t>
      </w:r>
      <w:r w:rsidRPr="00A56EBB">
        <w:rPr>
          <w:rFonts w:ascii="Arial" w:hAnsi="Arial" w:cs="Arial"/>
          <w:i/>
          <w:iCs/>
        </w:rPr>
        <w:t>Inventing ourselves: The secret life of the teenage brain</w:t>
      </w:r>
      <w:r w:rsidRPr="00A56EBB">
        <w:rPr>
          <w:rFonts w:ascii="Arial" w:hAnsi="Arial" w:cs="Arial"/>
        </w:rPr>
        <w:t>. Oxford: Blackwell.</w:t>
      </w:r>
    </w:p>
    <w:p w14:paraId="635257C3" w14:textId="77777777" w:rsidR="00A56EBB" w:rsidRPr="00A56EBB" w:rsidRDefault="00A56EBB" w:rsidP="00A56EBB">
      <w:pPr>
        <w:spacing w:line="360" w:lineRule="auto"/>
        <w:rPr>
          <w:rFonts w:ascii="Arial" w:hAnsi="Arial" w:cs="Arial"/>
        </w:rPr>
      </w:pPr>
      <w:r w:rsidRPr="00A56EBB">
        <w:rPr>
          <w:rFonts w:ascii="Arial" w:hAnsi="Arial" w:cs="Arial"/>
        </w:rPr>
        <w:t xml:space="preserve">Bornman, J., Sevcik, R.A., Romski, M. and Pae, H.K., 2010. Successfully translating language and culture when adapting assessment measures. </w:t>
      </w:r>
      <w:r w:rsidRPr="00A56EBB">
        <w:rPr>
          <w:rFonts w:ascii="Arial" w:hAnsi="Arial" w:cs="Arial"/>
          <w:i/>
          <w:iCs/>
        </w:rPr>
        <w:t>Journal of Policy and Practice in Intellectual Disabilities</w:t>
      </w:r>
      <w:r w:rsidRPr="00A56EBB">
        <w:rPr>
          <w:rFonts w:ascii="Arial" w:hAnsi="Arial" w:cs="Arial"/>
        </w:rPr>
        <w:t>, 7(2), pp.111–118.</w:t>
      </w:r>
    </w:p>
    <w:p w14:paraId="68FDB9E4" w14:textId="77777777" w:rsidR="00A56EBB" w:rsidRPr="00A56EBB" w:rsidRDefault="00A56EBB" w:rsidP="00A56EBB">
      <w:pPr>
        <w:spacing w:line="360" w:lineRule="auto"/>
        <w:rPr>
          <w:rFonts w:ascii="Arial" w:hAnsi="Arial" w:cs="Arial"/>
        </w:rPr>
      </w:pPr>
      <w:r w:rsidRPr="00A56EBB">
        <w:rPr>
          <w:rFonts w:ascii="Arial" w:hAnsi="Arial" w:cs="Arial"/>
        </w:rPr>
        <w:t xml:space="preserve">Bronfenbrenner, U., 1979. </w:t>
      </w:r>
      <w:r w:rsidRPr="00A56EBB">
        <w:rPr>
          <w:rFonts w:ascii="Arial" w:hAnsi="Arial" w:cs="Arial"/>
          <w:i/>
          <w:iCs/>
        </w:rPr>
        <w:t>The ecology of human development: Experiments by nature and design</w:t>
      </w:r>
      <w:r w:rsidRPr="00A56EBB">
        <w:rPr>
          <w:rFonts w:ascii="Arial" w:hAnsi="Arial" w:cs="Arial"/>
        </w:rPr>
        <w:t>. Cambridge, MA: Harvard University Press.</w:t>
      </w:r>
    </w:p>
    <w:p w14:paraId="68D148CD" w14:textId="77777777" w:rsidR="00A56EBB" w:rsidRPr="00A56EBB" w:rsidRDefault="00A56EBB" w:rsidP="00A56EBB">
      <w:pPr>
        <w:spacing w:line="360" w:lineRule="auto"/>
        <w:rPr>
          <w:rFonts w:ascii="Arial" w:hAnsi="Arial" w:cs="Arial"/>
        </w:rPr>
      </w:pPr>
      <w:r w:rsidRPr="00A56EBB">
        <w:rPr>
          <w:rFonts w:ascii="Arial" w:hAnsi="Arial" w:cs="Arial"/>
        </w:rPr>
        <w:t xml:space="preserve">Devarakonda, C., 2013. </w:t>
      </w:r>
      <w:r w:rsidRPr="00A56EBB">
        <w:rPr>
          <w:rFonts w:ascii="Arial" w:hAnsi="Arial" w:cs="Arial"/>
          <w:i/>
          <w:iCs/>
        </w:rPr>
        <w:t>Diversity and inclusion in early childhood: An introduction</w:t>
      </w:r>
      <w:r w:rsidRPr="00A56EBB">
        <w:rPr>
          <w:rFonts w:ascii="Arial" w:hAnsi="Arial" w:cs="Arial"/>
        </w:rPr>
        <w:t>. London: Sage.</w:t>
      </w:r>
    </w:p>
    <w:p w14:paraId="3FE2CCAB" w14:textId="77777777" w:rsidR="00A56EBB" w:rsidRPr="00A56EBB" w:rsidRDefault="00A56EBB" w:rsidP="00A56EBB">
      <w:pPr>
        <w:spacing w:line="360" w:lineRule="auto"/>
        <w:rPr>
          <w:rFonts w:ascii="Arial" w:hAnsi="Arial" w:cs="Arial"/>
        </w:rPr>
      </w:pPr>
      <w:r w:rsidRPr="00A56EBB">
        <w:rPr>
          <w:rFonts w:ascii="Arial" w:hAnsi="Arial" w:cs="Arial"/>
        </w:rPr>
        <w:t xml:space="preserve">Donaldson, G., 2015. </w:t>
      </w:r>
      <w:r w:rsidRPr="00A56EBB">
        <w:rPr>
          <w:rFonts w:ascii="Arial" w:hAnsi="Arial" w:cs="Arial"/>
          <w:i/>
          <w:iCs/>
        </w:rPr>
        <w:t>Successful futures: Independent review of curriculum and assessment arrangements in Wales</w:t>
      </w:r>
      <w:r w:rsidRPr="00A56EBB">
        <w:rPr>
          <w:rFonts w:ascii="Arial" w:hAnsi="Arial" w:cs="Arial"/>
        </w:rPr>
        <w:t xml:space="preserve">. Cardiff: Welsh Government. Available at: </w:t>
      </w:r>
      <w:hyperlink r:id="rId7" w:tgtFrame="_new" w:history="1">
        <w:r w:rsidRPr="00A56EBB">
          <w:rPr>
            <w:rStyle w:val="Hyperlink"/>
            <w:rFonts w:ascii="Arial" w:hAnsi="Arial" w:cs="Arial"/>
          </w:rPr>
          <w:t>http://dera.ioe.ac.uk/22165/2/150225-successful-futures-en_Redacted.pdf</w:t>
        </w:r>
      </w:hyperlink>
      <w:r w:rsidRPr="00A56EBB">
        <w:rPr>
          <w:rFonts w:ascii="Arial" w:hAnsi="Arial" w:cs="Arial"/>
        </w:rPr>
        <w:t xml:space="preserve"> [Accessed 10 June 2025].</w:t>
      </w:r>
    </w:p>
    <w:p w14:paraId="7AD2A10C" w14:textId="77777777" w:rsidR="00A56EBB" w:rsidRPr="00A56EBB" w:rsidRDefault="00A56EBB" w:rsidP="00A56EBB">
      <w:pPr>
        <w:spacing w:line="360" w:lineRule="auto"/>
        <w:rPr>
          <w:rFonts w:ascii="Arial" w:hAnsi="Arial" w:cs="Arial"/>
        </w:rPr>
      </w:pPr>
      <w:r w:rsidRPr="00A56EBB">
        <w:rPr>
          <w:rFonts w:ascii="Arial" w:hAnsi="Arial" w:cs="Arial"/>
        </w:rPr>
        <w:t xml:space="preserve">Dweck, C.S., 1991. </w:t>
      </w:r>
      <w:r w:rsidRPr="00A56EBB">
        <w:rPr>
          <w:rFonts w:ascii="Arial" w:hAnsi="Arial" w:cs="Arial"/>
          <w:i/>
          <w:iCs/>
        </w:rPr>
        <w:t>Self-theories and goals: Their role in motivation, personality and development</w:t>
      </w:r>
      <w:r w:rsidRPr="00A56EBB">
        <w:rPr>
          <w:rFonts w:ascii="Arial" w:hAnsi="Arial" w:cs="Arial"/>
        </w:rPr>
        <w:t>. New York: Psychology Press.</w:t>
      </w:r>
    </w:p>
    <w:p w14:paraId="7D793CE5" w14:textId="77777777" w:rsidR="00A56EBB" w:rsidRPr="00A56EBB" w:rsidRDefault="00A56EBB" w:rsidP="00A56EBB">
      <w:pPr>
        <w:spacing w:line="360" w:lineRule="auto"/>
        <w:rPr>
          <w:rFonts w:ascii="Arial" w:hAnsi="Arial" w:cs="Arial"/>
        </w:rPr>
      </w:pPr>
      <w:r w:rsidRPr="00A56EBB">
        <w:rPr>
          <w:rFonts w:ascii="Arial" w:hAnsi="Arial" w:cs="Arial"/>
        </w:rPr>
        <w:t xml:space="preserve">Educational Leadership Project Ltd., 2019. PART 1: Learning stories are more than just a form of assessment. [video] Available at: </w:t>
      </w:r>
      <w:hyperlink r:id="rId8" w:tgtFrame="_new" w:history="1">
        <w:r w:rsidRPr="00A56EBB">
          <w:rPr>
            <w:rStyle w:val="Hyperlink"/>
            <w:rFonts w:ascii="Arial" w:hAnsi="Arial" w:cs="Arial"/>
          </w:rPr>
          <w:t>https://www.youtube.com/watch?v=jpor4bXCf44</w:t>
        </w:r>
      </w:hyperlink>
      <w:r w:rsidRPr="00A56EBB">
        <w:rPr>
          <w:rFonts w:ascii="Arial" w:hAnsi="Arial" w:cs="Arial"/>
        </w:rPr>
        <w:t xml:space="preserve"> [Accessed 9 June 2025].</w:t>
      </w:r>
    </w:p>
    <w:p w14:paraId="2F2220FE" w14:textId="77777777" w:rsidR="00A56EBB" w:rsidRPr="00A56EBB" w:rsidRDefault="00A56EBB" w:rsidP="00A56EBB">
      <w:pPr>
        <w:spacing w:line="360" w:lineRule="auto"/>
        <w:rPr>
          <w:rFonts w:ascii="Arial" w:hAnsi="Arial" w:cs="Arial"/>
        </w:rPr>
      </w:pPr>
      <w:r w:rsidRPr="00A56EBB">
        <w:rPr>
          <w:rFonts w:ascii="Arial" w:hAnsi="Arial" w:cs="Arial"/>
        </w:rPr>
        <w:t xml:space="preserve">Edwards, C., Gandini, L. and Forman, G., 2012. </w:t>
      </w:r>
      <w:r w:rsidRPr="00A56EBB">
        <w:rPr>
          <w:rFonts w:ascii="Arial" w:hAnsi="Arial" w:cs="Arial"/>
          <w:i/>
          <w:iCs/>
        </w:rPr>
        <w:t>The hundred languages of children: The Reggio Emilia experience in transformation</w:t>
      </w:r>
      <w:r w:rsidRPr="00A56EBB">
        <w:rPr>
          <w:rFonts w:ascii="Arial" w:hAnsi="Arial" w:cs="Arial"/>
        </w:rPr>
        <w:t>. 3rd ed. Santa Barbara, CA: Praeger.</w:t>
      </w:r>
    </w:p>
    <w:p w14:paraId="4B58773B" w14:textId="77777777" w:rsidR="00A56EBB" w:rsidRPr="00A56EBB" w:rsidRDefault="00A56EBB" w:rsidP="00A56EBB">
      <w:pPr>
        <w:spacing w:line="360" w:lineRule="auto"/>
        <w:rPr>
          <w:rFonts w:ascii="Arial" w:hAnsi="Arial" w:cs="Arial"/>
        </w:rPr>
      </w:pPr>
      <w:r w:rsidRPr="00A56EBB">
        <w:rPr>
          <w:rFonts w:ascii="Arial" w:hAnsi="Arial" w:cs="Arial"/>
        </w:rPr>
        <w:t xml:space="preserve">Harris, D., 2013. </w:t>
      </w:r>
      <w:r w:rsidRPr="00A56EBB">
        <w:rPr>
          <w:rFonts w:ascii="Arial" w:hAnsi="Arial" w:cs="Arial"/>
          <w:i/>
          <w:iCs/>
        </w:rPr>
        <w:t>There is another way</w:t>
      </w:r>
      <w:r w:rsidRPr="00A56EBB">
        <w:rPr>
          <w:rFonts w:ascii="Arial" w:hAnsi="Arial" w:cs="Arial"/>
        </w:rPr>
        <w:t>. Nottingham: Independent Thinking Press.</w:t>
      </w:r>
    </w:p>
    <w:p w14:paraId="1BE2ECCD" w14:textId="77777777" w:rsidR="00A56EBB" w:rsidRPr="00A56EBB" w:rsidRDefault="00A56EBB" w:rsidP="00A56EBB">
      <w:pPr>
        <w:spacing w:line="360" w:lineRule="auto"/>
        <w:rPr>
          <w:rFonts w:ascii="Arial" w:hAnsi="Arial" w:cs="Arial"/>
        </w:rPr>
      </w:pPr>
      <w:r w:rsidRPr="00A56EBB">
        <w:rPr>
          <w:rFonts w:ascii="Arial" w:hAnsi="Arial" w:cs="Arial"/>
        </w:rPr>
        <w:t xml:space="preserve">Harris, D., 2014. </w:t>
      </w:r>
      <w:r w:rsidRPr="00A56EBB">
        <w:rPr>
          <w:rFonts w:ascii="Arial" w:hAnsi="Arial" w:cs="Arial"/>
          <w:i/>
          <w:iCs/>
        </w:rPr>
        <w:t>Transition: Making the move from primary to secondary school</w:t>
      </w:r>
      <w:r w:rsidRPr="00A56EBB">
        <w:rPr>
          <w:rFonts w:ascii="Arial" w:hAnsi="Arial" w:cs="Arial"/>
        </w:rPr>
        <w:t>. Carmarthen: Crown House.</w:t>
      </w:r>
    </w:p>
    <w:p w14:paraId="6BA32A32" w14:textId="77777777" w:rsidR="00A56EBB" w:rsidRPr="00A56EBB" w:rsidRDefault="00A56EBB" w:rsidP="00A56EBB">
      <w:pPr>
        <w:spacing w:line="360" w:lineRule="auto"/>
        <w:rPr>
          <w:rFonts w:ascii="Arial" w:hAnsi="Arial" w:cs="Arial"/>
        </w:rPr>
      </w:pPr>
      <w:r w:rsidRPr="00A56EBB">
        <w:rPr>
          <w:rFonts w:ascii="Arial" w:hAnsi="Arial" w:cs="Arial"/>
        </w:rPr>
        <w:t xml:space="preserve">Harris, D., 2016. </w:t>
      </w:r>
      <w:r w:rsidRPr="00A56EBB">
        <w:rPr>
          <w:rFonts w:ascii="Arial" w:hAnsi="Arial" w:cs="Arial"/>
          <w:i/>
          <w:iCs/>
        </w:rPr>
        <w:t>Brave heads: How to lead a school without selling your soul</w:t>
      </w:r>
      <w:r w:rsidRPr="00A56EBB">
        <w:rPr>
          <w:rFonts w:ascii="Arial" w:hAnsi="Arial" w:cs="Arial"/>
        </w:rPr>
        <w:t>. Carmarthen: Crown House.</w:t>
      </w:r>
    </w:p>
    <w:p w14:paraId="6D96A311" w14:textId="77777777" w:rsidR="00A56EBB" w:rsidRPr="00A56EBB" w:rsidRDefault="00A56EBB" w:rsidP="00A56EBB">
      <w:pPr>
        <w:spacing w:line="360" w:lineRule="auto"/>
        <w:rPr>
          <w:rFonts w:ascii="Arial" w:hAnsi="Arial" w:cs="Arial"/>
        </w:rPr>
      </w:pPr>
      <w:r w:rsidRPr="00A56EBB">
        <w:rPr>
          <w:rFonts w:ascii="Arial" w:hAnsi="Arial" w:cs="Arial"/>
        </w:rPr>
        <w:t xml:space="preserve">Kingston, D. and Siraj, I., 2017. Supporting the implementation of the Foundation Phase through effective professional development. </w:t>
      </w:r>
      <w:r w:rsidRPr="00A56EBB">
        <w:rPr>
          <w:rFonts w:ascii="Arial" w:hAnsi="Arial" w:cs="Arial"/>
          <w:i/>
          <w:iCs/>
        </w:rPr>
        <w:t>Welsh Journal of Education</w:t>
      </w:r>
      <w:r w:rsidRPr="00A56EBB">
        <w:rPr>
          <w:rFonts w:ascii="Arial" w:hAnsi="Arial" w:cs="Arial"/>
        </w:rPr>
        <w:t>, 19(1), pp.39–68.</w:t>
      </w:r>
    </w:p>
    <w:p w14:paraId="46FABA63" w14:textId="77777777" w:rsidR="00A56EBB" w:rsidRPr="00A56EBB" w:rsidRDefault="00A56EBB" w:rsidP="00A56EBB">
      <w:pPr>
        <w:spacing w:line="360" w:lineRule="auto"/>
        <w:rPr>
          <w:rFonts w:ascii="Arial" w:hAnsi="Arial" w:cs="Arial"/>
        </w:rPr>
      </w:pPr>
      <w:r w:rsidRPr="00A56EBB">
        <w:rPr>
          <w:rFonts w:ascii="Arial" w:hAnsi="Arial" w:cs="Arial"/>
        </w:rPr>
        <w:lastRenderedPageBreak/>
        <w:t xml:space="preserve">Macdonald, N., 2018. </w:t>
      </w:r>
      <w:r w:rsidRPr="00A56EBB">
        <w:rPr>
          <w:rFonts w:ascii="Arial" w:hAnsi="Arial" w:cs="Arial"/>
          <w:i/>
          <w:iCs/>
        </w:rPr>
        <w:t>The great divide: Separation of care and education in Wales and examination of policy, reform and research evidence</w:t>
      </w:r>
      <w:r w:rsidRPr="00A56EBB">
        <w:rPr>
          <w:rFonts w:ascii="Arial" w:hAnsi="Arial" w:cs="Arial"/>
        </w:rPr>
        <w:t xml:space="preserve">. Available at: </w:t>
      </w:r>
      <w:hyperlink r:id="rId9" w:tgtFrame="_new" w:history="1">
        <w:r w:rsidRPr="00A56EBB">
          <w:rPr>
            <w:rStyle w:val="Hyperlink"/>
            <w:rFonts w:ascii="Arial" w:hAnsi="Arial" w:cs="Arial"/>
          </w:rPr>
          <w:t>https://www.researchgate.net/publication/328838084_The_Great_Divide_separation_of_care_and_education_in_Wales_an_examination_of_policy_reform_and_research_evidence</w:t>
        </w:r>
      </w:hyperlink>
      <w:r w:rsidRPr="00A56EBB">
        <w:rPr>
          <w:rFonts w:ascii="Arial" w:hAnsi="Arial" w:cs="Arial"/>
        </w:rPr>
        <w:t xml:space="preserve"> [Accessed 10 June 2025].</w:t>
      </w:r>
    </w:p>
    <w:p w14:paraId="1BCD4182" w14:textId="77777777" w:rsidR="00A56EBB" w:rsidRPr="00A56EBB" w:rsidRDefault="00A56EBB" w:rsidP="00A56EBB">
      <w:pPr>
        <w:spacing w:line="360" w:lineRule="auto"/>
        <w:rPr>
          <w:rFonts w:ascii="Arial" w:hAnsi="Arial" w:cs="Arial"/>
        </w:rPr>
      </w:pPr>
      <w:r w:rsidRPr="00A56EBB">
        <w:rPr>
          <w:rFonts w:ascii="Arial" w:hAnsi="Arial" w:cs="Arial"/>
        </w:rPr>
        <w:t xml:space="preserve">Maslow, A.H., 1943. A theory of human motivation. </w:t>
      </w:r>
      <w:r w:rsidRPr="00A56EBB">
        <w:rPr>
          <w:rFonts w:ascii="Arial" w:hAnsi="Arial" w:cs="Arial"/>
          <w:i/>
          <w:iCs/>
        </w:rPr>
        <w:t>Psychological Review</w:t>
      </w:r>
      <w:r w:rsidRPr="00A56EBB">
        <w:rPr>
          <w:rFonts w:ascii="Arial" w:hAnsi="Arial" w:cs="Arial"/>
        </w:rPr>
        <w:t>, 50(4), pp.370–396.</w:t>
      </w:r>
    </w:p>
    <w:p w14:paraId="2C56CE07" w14:textId="77777777" w:rsidR="00A56EBB" w:rsidRPr="00A56EBB" w:rsidRDefault="00A56EBB" w:rsidP="00A56EBB">
      <w:pPr>
        <w:spacing w:line="360" w:lineRule="auto"/>
        <w:rPr>
          <w:rFonts w:ascii="Arial" w:hAnsi="Arial" w:cs="Arial"/>
        </w:rPr>
      </w:pPr>
      <w:r w:rsidRPr="00A56EBB">
        <w:rPr>
          <w:rFonts w:ascii="Arial" w:hAnsi="Arial" w:cs="Arial"/>
        </w:rPr>
        <w:t xml:space="preserve">OECD, 2017. </w:t>
      </w:r>
      <w:r w:rsidRPr="00A56EBB">
        <w:rPr>
          <w:rFonts w:ascii="Arial" w:hAnsi="Arial" w:cs="Arial"/>
          <w:i/>
          <w:iCs/>
        </w:rPr>
        <w:t>The Welsh education reform journey: A rapid policy assessment</w:t>
      </w:r>
      <w:r w:rsidRPr="00A56EBB">
        <w:rPr>
          <w:rFonts w:ascii="Arial" w:hAnsi="Arial" w:cs="Arial"/>
        </w:rPr>
        <w:t xml:space="preserve">. Available at: </w:t>
      </w:r>
      <w:hyperlink r:id="rId10" w:tgtFrame="_new" w:history="1">
        <w:r w:rsidRPr="00A56EBB">
          <w:rPr>
            <w:rStyle w:val="Hyperlink"/>
            <w:rFonts w:ascii="Arial" w:hAnsi="Arial" w:cs="Arial"/>
          </w:rPr>
          <w:t>http://www.oecd.org/edu/The-Welsh-Education-Reform-Journey.pdf</w:t>
        </w:r>
      </w:hyperlink>
      <w:r w:rsidRPr="00A56EBB">
        <w:rPr>
          <w:rFonts w:ascii="Arial" w:hAnsi="Arial" w:cs="Arial"/>
        </w:rPr>
        <w:t xml:space="preserve"> [Accessed 10 June 2025].</w:t>
      </w:r>
    </w:p>
    <w:p w14:paraId="192AA60E" w14:textId="77777777" w:rsidR="00A56EBB" w:rsidRPr="00A56EBB" w:rsidRDefault="00A56EBB" w:rsidP="00A56EBB">
      <w:pPr>
        <w:spacing w:line="360" w:lineRule="auto"/>
        <w:rPr>
          <w:rFonts w:ascii="Arial" w:hAnsi="Arial" w:cs="Arial"/>
        </w:rPr>
      </w:pPr>
      <w:r w:rsidRPr="00A56EBB">
        <w:rPr>
          <w:rFonts w:ascii="Arial" w:hAnsi="Arial" w:cs="Arial"/>
        </w:rPr>
        <w:t xml:space="preserve">OECD, n.d. </w:t>
      </w:r>
      <w:r w:rsidRPr="00A56EBB">
        <w:rPr>
          <w:rFonts w:ascii="Arial" w:hAnsi="Arial" w:cs="Arial"/>
          <w:i/>
          <w:iCs/>
        </w:rPr>
        <w:t>Education 2030</w:t>
      </w:r>
      <w:r w:rsidRPr="00A56EBB">
        <w:rPr>
          <w:rFonts w:ascii="Arial" w:hAnsi="Arial" w:cs="Arial"/>
        </w:rPr>
        <w:t xml:space="preserve">. Available at: </w:t>
      </w:r>
      <w:hyperlink r:id="rId11" w:tgtFrame="_new" w:history="1">
        <w:r w:rsidRPr="00A56EBB">
          <w:rPr>
            <w:rStyle w:val="Hyperlink"/>
            <w:rFonts w:ascii="Arial" w:hAnsi="Arial" w:cs="Arial"/>
          </w:rPr>
          <w:t>http://www.oecd.org/edu/school/education-2030.htm</w:t>
        </w:r>
      </w:hyperlink>
      <w:r w:rsidRPr="00A56EBB">
        <w:rPr>
          <w:rFonts w:ascii="Arial" w:hAnsi="Arial" w:cs="Arial"/>
        </w:rPr>
        <w:t xml:space="preserve"> [Accessed 7 June 2025].</w:t>
      </w:r>
    </w:p>
    <w:p w14:paraId="143133D1" w14:textId="77777777" w:rsidR="00A56EBB" w:rsidRPr="00A56EBB" w:rsidRDefault="00A56EBB" w:rsidP="00A56EBB">
      <w:pPr>
        <w:spacing w:line="360" w:lineRule="auto"/>
        <w:rPr>
          <w:rFonts w:ascii="Arial" w:hAnsi="Arial" w:cs="Arial"/>
        </w:rPr>
      </w:pPr>
      <w:r w:rsidRPr="00A56EBB">
        <w:rPr>
          <w:rFonts w:ascii="Arial" w:hAnsi="Arial" w:cs="Arial"/>
        </w:rPr>
        <w:t xml:space="preserve">OECD, n.d. </w:t>
      </w:r>
      <w:r w:rsidRPr="00A56EBB">
        <w:rPr>
          <w:rFonts w:ascii="Arial" w:hAnsi="Arial" w:cs="Arial"/>
          <w:i/>
          <w:iCs/>
        </w:rPr>
        <w:t>Starting strong</w:t>
      </w:r>
      <w:r w:rsidRPr="00A56EBB">
        <w:rPr>
          <w:rFonts w:ascii="Arial" w:hAnsi="Arial" w:cs="Arial"/>
        </w:rPr>
        <w:t xml:space="preserve">. Available at: </w:t>
      </w:r>
      <w:hyperlink r:id="rId12" w:anchor="page12" w:tgtFrame="_new" w:history="1">
        <w:r w:rsidRPr="00A56EBB">
          <w:rPr>
            <w:rStyle w:val="Hyperlink"/>
            <w:rFonts w:ascii="Arial" w:hAnsi="Arial" w:cs="Arial"/>
          </w:rPr>
          <w:t>http://www.keepeek.com/Digital-Asset-Management/oecd/education/starting-strong-2017_9789264276116-en#page12</w:t>
        </w:r>
      </w:hyperlink>
      <w:r w:rsidRPr="00A56EBB">
        <w:rPr>
          <w:rFonts w:ascii="Arial" w:hAnsi="Arial" w:cs="Arial"/>
        </w:rPr>
        <w:t xml:space="preserve"> [Accessed 10 June 2025].</w:t>
      </w:r>
    </w:p>
    <w:p w14:paraId="3E9D8C67" w14:textId="77777777" w:rsidR="00A56EBB" w:rsidRPr="00A56EBB" w:rsidRDefault="00A56EBB" w:rsidP="00A56EBB">
      <w:pPr>
        <w:spacing w:line="360" w:lineRule="auto"/>
        <w:rPr>
          <w:rFonts w:ascii="Arial" w:hAnsi="Arial" w:cs="Arial"/>
        </w:rPr>
      </w:pPr>
      <w:r w:rsidRPr="00A56EBB">
        <w:rPr>
          <w:rFonts w:ascii="Arial" w:hAnsi="Arial" w:cs="Arial"/>
        </w:rPr>
        <w:t xml:space="preserve">Parekh, G., 2017. The tyranny of ‘ability’. </w:t>
      </w:r>
      <w:r w:rsidRPr="00A56EBB">
        <w:rPr>
          <w:rFonts w:ascii="Arial" w:hAnsi="Arial" w:cs="Arial"/>
          <w:i/>
          <w:iCs/>
        </w:rPr>
        <w:t>Curriculum Inquiry</w:t>
      </w:r>
      <w:r w:rsidRPr="00A56EBB">
        <w:rPr>
          <w:rFonts w:ascii="Arial" w:hAnsi="Arial" w:cs="Arial"/>
        </w:rPr>
        <w:t>, 47(4), pp.337–343.</w:t>
      </w:r>
    </w:p>
    <w:p w14:paraId="3D201D17" w14:textId="77777777" w:rsidR="00A56EBB" w:rsidRPr="00A56EBB" w:rsidRDefault="00A56EBB" w:rsidP="00A56EBB">
      <w:pPr>
        <w:spacing w:line="360" w:lineRule="auto"/>
        <w:rPr>
          <w:rFonts w:ascii="Arial" w:hAnsi="Arial" w:cs="Arial"/>
        </w:rPr>
      </w:pPr>
      <w:r w:rsidRPr="00A56EBB">
        <w:rPr>
          <w:rFonts w:ascii="Arial" w:hAnsi="Arial" w:cs="Arial"/>
        </w:rPr>
        <w:t xml:space="preserve">Roberts-Holmes, G., 2012. It's the bread and butter of our practice: experiencing the Early Years Foundation Stage. </w:t>
      </w:r>
      <w:r w:rsidRPr="00A56EBB">
        <w:rPr>
          <w:rFonts w:ascii="Arial" w:hAnsi="Arial" w:cs="Arial"/>
          <w:i/>
          <w:iCs/>
        </w:rPr>
        <w:t>International Journal of Early Years Education</w:t>
      </w:r>
      <w:r w:rsidRPr="00A56EBB">
        <w:rPr>
          <w:rFonts w:ascii="Arial" w:hAnsi="Arial" w:cs="Arial"/>
        </w:rPr>
        <w:t>, 20(1), pp.30–42.</w:t>
      </w:r>
    </w:p>
    <w:p w14:paraId="1408D4BF" w14:textId="77777777" w:rsidR="00A56EBB" w:rsidRPr="00A56EBB" w:rsidRDefault="00A56EBB" w:rsidP="00A56EBB">
      <w:pPr>
        <w:spacing w:line="360" w:lineRule="auto"/>
        <w:rPr>
          <w:rFonts w:ascii="Arial" w:hAnsi="Arial" w:cs="Arial"/>
        </w:rPr>
      </w:pPr>
      <w:r w:rsidRPr="00A56EBB">
        <w:rPr>
          <w:rFonts w:ascii="Arial" w:hAnsi="Arial" w:cs="Arial"/>
        </w:rPr>
        <w:t xml:space="preserve">Robinson, K., 2010. RSA Animate: Changing education paradigms. [video] RSA Animate. Available at: </w:t>
      </w:r>
      <w:hyperlink r:id="rId13" w:tgtFrame="_new" w:history="1">
        <w:r w:rsidRPr="00A56EBB">
          <w:rPr>
            <w:rStyle w:val="Hyperlink"/>
            <w:rFonts w:ascii="Arial" w:hAnsi="Arial" w:cs="Arial"/>
          </w:rPr>
          <w:t>https://www.youtube.com/watch?v=zDZFcDGpL4U</w:t>
        </w:r>
      </w:hyperlink>
      <w:r w:rsidRPr="00A56EBB">
        <w:rPr>
          <w:rFonts w:ascii="Arial" w:hAnsi="Arial" w:cs="Arial"/>
        </w:rPr>
        <w:t xml:space="preserve"> [Accessed 6 June 2025].</w:t>
      </w:r>
    </w:p>
    <w:p w14:paraId="31D6719D" w14:textId="77777777" w:rsidR="00A56EBB" w:rsidRPr="00A56EBB" w:rsidRDefault="00A56EBB" w:rsidP="00A56EBB">
      <w:pPr>
        <w:spacing w:line="360" w:lineRule="auto"/>
        <w:rPr>
          <w:rFonts w:ascii="Arial" w:hAnsi="Arial" w:cs="Arial"/>
        </w:rPr>
      </w:pPr>
      <w:r w:rsidRPr="00A56EBB">
        <w:rPr>
          <w:rFonts w:ascii="Arial" w:hAnsi="Arial" w:cs="Arial"/>
        </w:rPr>
        <w:t xml:space="preserve">Schwartz, S.J. and Unger, J.B., 2010. Biculturalism and context: What is biculturalism, and when is it adaptive? </w:t>
      </w:r>
      <w:r w:rsidRPr="00A56EBB">
        <w:rPr>
          <w:rFonts w:ascii="Arial" w:hAnsi="Arial" w:cs="Arial"/>
          <w:i/>
          <w:iCs/>
        </w:rPr>
        <w:t>Human Development</w:t>
      </w:r>
      <w:r w:rsidRPr="00A56EBB">
        <w:rPr>
          <w:rFonts w:ascii="Arial" w:hAnsi="Arial" w:cs="Arial"/>
        </w:rPr>
        <w:t>, 53(1), pp.26–32.</w:t>
      </w:r>
    </w:p>
    <w:p w14:paraId="0AD15FCB" w14:textId="77777777" w:rsidR="00A56EBB" w:rsidRPr="00A56EBB" w:rsidRDefault="00A56EBB" w:rsidP="00A56EBB">
      <w:pPr>
        <w:spacing w:line="360" w:lineRule="auto"/>
        <w:rPr>
          <w:rFonts w:ascii="Arial" w:hAnsi="Arial" w:cs="Arial"/>
        </w:rPr>
      </w:pPr>
      <w:r w:rsidRPr="00A56EBB">
        <w:rPr>
          <w:rFonts w:ascii="Arial" w:hAnsi="Arial" w:cs="Arial"/>
        </w:rPr>
        <w:t xml:space="preserve">Siraj, I. and Kingston, D., 2014. </w:t>
      </w:r>
      <w:r w:rsidRPr="00A56EBB">
        <w:rPr>
          <w:rFonts w:ascii="Arial" w:hAnsi="Arial" w:cs="Arial"/>
          <w:i/>
          <w:iCs/>
        </w:rPr>
        <w:t>An independent stocktake of the Foundation Phase in Wales: Final report September 2013 – March 2014</w:t>
      </w:r>
      <w:r w:rsidRPr="00A56EBB">
        <w:rPr>
          <w:rFonts w:ascii="Arial" w:hAnsi="Arial" w:cs="Arial"/>
        </w:rPr>
        <w:t>. Cardiff: Welsh Government.</w:t>
      </w:r>
    </w:p>
    <w:p w14:paraId="1D54945D" w14:textId="77777777" w:rsidR="00A56EBB" w:rsidRPr="00A56EBB" w:rsidRDefault="00A56EBB" w:rsidP="00A56EBB">
      <w:pPr>
        <w:spacing w:line="360" w:lineRule="auto"/>
        <w:rPr>
          <w:rFonts w:ascii="Arial" w:hAnsi="Arial" w:cs="Arial"/>
        </w:rPr>
      </w:pPr>
      <w:r w:rsidRPr="00A56EBB">
        <w:rPr>
          <w:rFonts w:ascii="Arial" w:hAnsi="Arial" w:cs="Arial"/>
        </w:rPr>
        <w:t xml:space="preserve">Taylor, C., Rhys, M., Waldron, S. and Davies, R., 2015. </w:t>
      </w:r>
      <w:r w:rsidRPr="00A56EBB">
        <w:rPr>
          <w:rFonts w:ascii="Arial" w:hAnsi="Arial" w:cs="Arial"/>
          <w:i/>
          <w:iCs/>
        </w:rPr>
        <w:t>An independent stocktake of the Foundation Phase in Wales</w:t>
      </w:r>
      <w:r w:rsidRPr="00A56EBB">
        <w:rPr>
          <w:rFonts w:ascii="Arial" w:hAnsi="Arial" w:cs="Arial"/>
        </w:rPr>
        <w:t>. Cardiff: Cardiff University.</w:t>
      </w:r>
    </w:p>
    <w:p w14:paraId="50CC6E4E" w14:textId="77777777" w:rsidR="00A56EBB" w:rsidRPr="00A56EBB" w:rsidRDefault="00A56EBB" w:rsidP="00A56EBB">
      <w:pPr>
        <w:spacing w:line="360" w:lineRule="auto"/>
        <w:rPr>
          <w:rFonts w:ascii="Arial" w:hAnsi="Arial" w:cs="Arial"/>
        </w:rPr>
      </w:pPr>
      <w:r w:rsidRPr="00A56EBB">
        <w:rPr>
          <w:rFonts w:ascii="Arial" w:hAnsi="Arial" w:cs="Arial"/>
        </w:rPr>
        <w:t xml:space="preserve">Waters, J. and Payler, J., 2015. The professional development of early years educators – achieving systematic, sustainable and transformative change. </w:t>
      </w:r>
      <w:r w:rsidRPr="00A56EBB">
        <w:rPr>
          <w:rFonts w:ascii="Arial" w:hAnsi="Arial" w:cs="Arial"/>
          <w:i/>
          <w:iCs/>
        </w:rPr>
        <w:t>Professional Development in Education</w:t>
      </w:r>
      <w:r w:rsidRPr="00A56EBB">
        <w:rPr>
          <w:rFonts w:ascii="Arial" w:hAnsi="Arial" w:cs="Arial"/>
        </w:rPr>
        <w:t>, 41(2), pp.161–168.</w:t>
      </w:r>
    </w:p>
    <w:p w14:paraId="4DB07ADB" w14:textId="77777777" w:rsidR="00A56EBB" w:rsidRPr="00A56EBB" w:rsidRDefault="00A56EBB" w:rsidP="00A56EBB">
      <w:pPr>
        <w:spacing w:line="360" w:lineRule="auto"/>
        <w:rPr>
          <w:rFonts w:ascii="Arial" w:hAnsi="Arial" w:cs="Arial"/>
        </w:rPr>
      </w:pPr>
      <w:r w:rsidRPr="00A56EBB">
        <w:rPr>
          <w:rFonts w:ascii="Arial" w:hAnsi="Arial" w:cs="Arial"/>
        </w:rPr>
        <w:t xml:space="preserve">Waters-Davies, J. and MacDonald, N., 2023. The capable child as a threshold concept for inclusive early childhood education and care. In: Conn, C. and Murphy, A., eds. </w:t>
      </w:r>
      <w:r w:rsidRPr="00A56EBB">
        <w:rPr>
          <w:rFonts w:ascii="Arial" w:hAnsi="Arial" w:cs="Arial"/>
          <w:i/>
          <w:iCs/>
        </w:rPr>
        <w:t xml:space="preserve">Inclusive </w:t>
      </w:r>
      <w:r w:rsidRPr="00A56EBB">
        <w:rPr>
          <w:rFonts w:ascii="Arial" w:hAnsi="Arial" w:cs="Arial"/>
          <w:i/>
          <w:iCs/>
        </w:rPr>
        <w:lastRenderedPageBreak/>
        <w:t>pedagogies for early childhood education: Respecting and responding to differences in learning</w:t>
      </w:r>
      <w:r w:rsidRPr="00A56EBB">
        <w:rPr>
          <w:rFonts w:ascii="Arial" w:hAnsi="Arial" w:cs="Arial"/>
        </w:rPr>
        <w:t>. London: Routledge.</w:t>
      </w:r>
    </w:p>
    <w:p w14:paraId="0665F935"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2008, 2015a. </w:t>
      </w:r>
      <w:r w:rsidRPr="00A56EBB">
        <w:rPr>
          <w:rFonts w:ascii="Arial" w:hAnsi="Arial" w:cs="Arial"/>
          <w:i/>
          <w:iCs/>
        </w:rPr>
        <w:t>Foundation Phase framework</w:t>
      </w:r>
      <w:r w:rsidRPr="00A56EBB">
        <w:rPr>
          <w:rFonts w:ascii="Arial" w:hAnsi="Arial" w:cs="Arial"/>
        </w:rPr>
        <w:t xml:space="preserve">. Cardiff: Welsh Government. Available at: </w:t>
      </w:r>
      <w:hyperlink r:id="rId14" w:tgtFrame="_new" w:history="1">
        <w:r w:rsidRPr="00A56EBB">
          <w:rPr>
            <w:rStyle w:val="Hyperlink"/>
            <w:rFonts w:ascii="Arial" w:hAnsi="Arial" w:cs="Arial"/>
          </w:rPr>
          <w:t>https://gov.wales/sites/default/files/publications/2018-03/foundation-phase-framework.pdf</w:t>
        </w:r>
      </w:hyperlink>
      <w:r w:rsidRPr="00A56EBB">
        <w:rPr>
          <w:rFonts w:ascii="Arial" w:hAnsi="Arial" w:cs="Arial"/>
        </w:rPr>
        <w:t xml:space="preserve"> [Accessed 10 June 2025].</w:t>
      </w:r>
    </w:p>
    <w:p w14:paraId="11160AF9"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2014. </w:t>
      </w:r>
      <w:r w:rsidRPr="00A56EBB">
        <w:rPr>
          <w:rFonts w:ascii="Arial" w:hAnsi="Arial" w:cs="Arial"/>
          <w:i/>
          <w:iCs/>
        </w:rPr>
        <w:t>Independent stocktake of the Foundation Phase in Wales: Final report</w:t>
      </w:r>
      <w:r w:rsidRPr="00A56EBB">
        <w:rPr>
          <w:rFonts w:ascii="Arial" w:hAnsi="Arial" w:cs="Arial"/>
        </w:rPr>
        <w:t xml:space="preserve">. Cardiff: Welsh Government. Available at: </w:t>
      </w:r>
      <w:hyperlink r:id="rId15" w:tgtFrame="_new" w:history="1">
        <w:r w:rsidRPr="00A56EBB">
          <w:rPr>
            <w:rStyle w:val="Hyperlink"/>
            <w:rFonts w:ascii="Arial" w:hAnsi="Arial" w:cs="Arial"/>
          </w:rPr>
          <w:t>https://gov.wales/sites/default/files/publications/2018-03/an-independent-stocktake-of-the-foundation-phase-in-wales-final-report.pdf</w:t>
        </w:r>
      </w:hyperlink>
      <w:r w:rsidRPr="00A56EBB">
        <w:rPr>
          <w:rFonts w:ascii="Arial" w:hAnsi="Arial" w:cs="Arial"/>
        </w:rPr>
        <w:t xml:space="preserve"> [Accessed 10 June 2025].</w:t>
      </w:r>
    </w:p>
    <w:p w14:paraId="15AFA616"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2015c. </w:t>
      </w:r>
      <w:r w:rsidRPr="00A56EBB">
        <w:rPr>
          <w:rFonts w:ascii="Arial" w:hAnsi="Arial" w:cs="Arial"/>
          <w:i/>
          <w:iCs/>
        </w:rPr>
        <w:t>Curriculum for Wales Foundation Phase outcomes (revised 2015)</w:t>
      </w:r>
      <w:r w:rsidRPr="00A56EBB">
        <w:rPr>
          <w:rFonts w:ascii="Arial" w:hAnsi="Arial" w:cs="Arial"/>
        </w:rPr>
        <w:t xml:space="preserve">. Cardiff: Welsh Government. Available at: </w:t>
      </w:r>
      <w:hyperlink r:id="rId16" w:tgtFrame="_new" w:history="1">
        <w:r w:rsidRPr="00A56EBB">
          <w:rPr>
            <w:rStyle w:val="Hyperlink"/>
            <w:rFonts w:ascii="Arial" w:hAnsi="Arial" w:cs="Arial"/>
          </w:rPr>
          <w:t>http://gov.wales/docs/dcells/publications/150803-fp-framework-en.pdf</w:t>
        </w:r>
      </w:hyperlink>
      <w:r w:rsidRPr="00A56EBB">
        <w:rPr>
          <w:rFonts w:ascii="Arial" w:hAnsi="Arial" w:cs="Arial"/>
        </w:rPr>
        <w:t xml:space="preserve"> [Accessed 10 June 2025].</w:t>
      </w:r>
    </w:p>
    <w:p w14:paraId="0E83533E"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2015d. Minister accepts ‘Successful Futures’ recommendations in full. Available at: </w:t>
      </w:r>
      <w:hyperlink r:id="rId17" w:tgtFrame="_new" w:history="1">
        <w:r w:rsidRPr="00A56EBB">
          <w:rPr>
            <w:rStyle w:val="Hyperlink"/>
            <w:rFonts w:ascii="Arial" w:hAnsi="Arial" w:cs="Arial"/>
          </w:rPr>
          <w:t>http://gov.wales/newsroom/educationandskills/2015/10323651/?lang=en</w:t>
        </w:r>
      </w:hyperlink>
      <w:r w:rsidRPr="00A56EBB">
        <w:rPr>
          <w:rFonts w:ascii="Arial" w:hAnsi="Arial" w:cs="Arial"/>
        </w:rPr>
        <w:t xml:space="preserve"> [Accessed 10 June 2025].</w:t>
      </w:r>
    </w:p>
    <w:p w14:paraId="5F1D1C4E"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2021. </w:t>
      </w:r>
      <w:r w:rsidRPr="00A56EBB">
        <w:rPr>
          <w:rFonts w:ascii="Arial" w:hAnsi="Arial" w:cs="Arial"/>
          <w:i/>
          <w:iCs/>
        </w:rPr>
        <w:t>Curriculum for funded non-maintained nursery settings</w:t>
      </w:r>
      <w:r w:rsidRPr="00A56EBB">
        <w:rPr>
          <w:rFonts w:ascii="Arial" w:hAnsi="Arial" w:cs="Arial"/>
        </w:rPr>
        <w:t xml:space="preserve">. Available at: </w:t>
      </w:r>
      <w:hyperlink r:id="rId18" w:tgtFrame="_new" w:history="1">
        <w:r w:rsidRPr="00A56EBB">
          <w:rPr>
            <w:rStyle w:val="Hyperlink"/>
            <w:rFonts w:ascii="Arial" w:hAnsi="Arial" w:cs="Arial"/>
          </w:rPr>
          <w:t>https://gov.wales</w:t>
        </w:r>
      </w:hyperlink>
      <w:r w:rsidRPr="00A56EBB">
        <w:rPr>
          <w:rFonts w:ascii="Arial" w:hAnsi="Arial" w:cs="Arial"/>
        </w:rPr>
        <w:t xml:space="preserve"> [Accessed 9 June 2025].</w:t>
      </w:r>
    </w:p>
    <w:p w14:paraId="7AD3D1AC"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2022. </w:t>
      </w:r>
      <w:r w:rsidRPr="00A56EBB">
        <w:rPr>
          <w:rFonts w:ascii="Arial" w:hAnsi="Arial" w:cs="Arial"/>
          <w:i/>
          <w:iCs/>
        </w:rPr>
        <w:t>Curriculum for funded non-maintained nursery settings</w:t>
      </w:r>
      <w:r w:rsidRPr="00A56EBB">
        <w:rPr>
          <w:rFonts w:ascii="Arial" w:hAnsi="Arial" w:cs="Arial"/>
        </w:rPr>
        <w:t xml:space="preserve">. Cardiff: Welsh Government. Available at: </w:t>
      </w:r>
      <w:hyperlink r:id="rId19" w:tgtFrame="_new" w:history="1">
        <w:r w:rsidRPr="00A56EBB">
          <w:rPr>
            <w:rStyle w:val="Hyperlink"/>
            <w:rFonts w:ascii="Arial" w:hAnsi="Arial" w:cs="Arial"/>
          </w:rPr>
          <w:t>https://hwb.gov.wales/curriculum-for-wales/early-years/curriculum-for-funded-non-maintained-nursery-settings/</w:t>
        </w:r>
      </w:hyperlink>
      <w:r w:rsidRPr="00A56EBB">
        <w:rPr>
          <w:rFonts w:ascii="Arial" w:hAnsi="Arial" w:cs="Arial"/>
        </w:rPr>
        <w:t xml:space="preserve"> [Accessed 8 June 2025].</w:t>
      </w:r>
    </w:p>
    <w:p w14:paraId="2B1F9E8F"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2023. </w:t>
      </w:r>
      <w:r w:rsidRPr="00A56EBB">
        <w:rPr>
          <w:rFonts w:ascii="Arial" w:hAnsi="Arial" w:cs="Arial"/>
          <w:i/>
          <w:iCs/>
        </w:rPr>
        <w:t>Assessment arrangements for funded non-maintained nursery settings</w:t>
      </w:r>
      <w:r w:rsidRPr="00A56EBB">
        <w:rPr>
          <w:rFonts w:ascii="Arial" w:hAnsi="Arial" w:cs="Arial"/>
        </w:rPr>
        <w:t xml:space="preserve">. Available at: </w:t>
      </w:r>
      <w:hyperlink r:id="rId20" w:tgtFrame="_new" w:history="1">
        <w:r w:rsidRPr="00A56EBB">
          <w:rPr>
            <w:rStyle w:val="Hyperlink"/>
            <w:rFonts w:ascii="Arial" w:hAnsi="Arial" w:cs="Arial"/>
          </w:rPr>
          <w:t>https://hwb.gov.wales</w:t>
        </w:r>
      </w:hyperlink>
      <w:r w:rsidRPr="00A56EBB">
        <w:rPr>
          <w:rFonts w:ascii="Arial" w:hAnsi="Arial" w:cs="Arial"/>
        </w:rPr>
        <w:t xml:space="preserve"> [Accessed 9 June 2025].</w:t>
      </w:r>
    </w:p>
    <w:p w14:paraId="77129D27"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2024a. </w:t>
      </w:r>
      <w:r w:rsidRPr="00A56EBB">
        <w:rPr>
          <w:rFonts w:ascii="Arial" w:hAnsi="Arial" w:cs="Arial"/>
          <w:i/>
          <w:iCs/>
        </w:rPr>
        <w:t>Curriculum for Wales</w:t>
      </w:r>
      <w:r w:rsidRPr="00A56EBB">
        <w:rPr>
          <w:rFonts w:ascii="Arial" w:hAnsi="Arial" w:cs="Arial"/>
        </w:rPr>
        <w:t xml:space="preserve">. Cardiff: Welsh Government. Available at: </w:t>
      </w:r>
      <w:hyperlink r:id="rId21" w:tgtFrame="_new" w:history="1">
        <w:r w:rsidRPr="00A56EBB">
          <w:rPr>
            <w:rStyle w:val="Hyperlink"/>
            <w:rFonts w:ascii="Arial" w:hAnsi="Arial" w:cs="Arial"/>
          </w:rPr>
          <w:t>https://hwb.gov.wales/curriculum-for-wales/</w:t>
        </w:r>
      </w:hyperlink>
      <w:r w:rsidRPr="00A56EBB">
        <w:rPr>
          <w:rFonts w:ascii="Arial" w:hAnsi="Arial" w:cs="Arial"/>
        </w:rPr>
        <w:t xml:space="preserve"> [Accessed 10 June 2025].</w:t>
      </w:r>
    </w:p>
    <w:p w14:paraId="2023CCC4" w14:textId="77777777" w:rsidR="00A56EBB" w:rsidRPr="00A56EBB" w:rsidRDefault="00A56EBB" w:rsidP="00A56EBB">
      <w:pPr>
        <w:spacing w:line="360" w:lineRule="auto"/>
        <w:rPr>
          <w:rFonts w:ascii="Arial" w:hAnsi="Arial" w:cs="Arial"/>
        </w:rPr>
      </w:pPr>
      <w:r w:rsidRPr="00A56EBB">
        <w:rPr>
          <w:rFonts w:ascii="Arial" w:hAnsi="Arial" w:cs="Arial"/>
        </w:rPr>
        <w:t xml:space="preserve">Welsh Government, 2024b. </w:t>
      </w:r>
      <w:r w:rsidRPr="00A56EBB">
        <w:rPr>
          <w:rFonts w:ascii="Arial" w:hAnsi="Arial" w:cs="Arial"/>
          <w:i/>
          <w:iCs/>
        </w:rPr>
        <w:t>Early childhood play, learning and care in Wales: Resources and guidance</w:t>
      </w:r>
      <w:r w:rsidRPr="00A56EBB">
        <w:rPr>
          <w:rFonts w:ascii="Arial" w:hAnsi="Arial" w:cs="Arial"/>
        </w:rPr>
        <w:t xml:space="preserve">. Cardiff: Welsh Government. Available at: </w:t>
      </w:r>
      <w:hyperlink r:id="rId22" w:tgtFrame="_new" w:history="1">
        <w:r w:rsidRPr="00A56EBB">
          <w:rPr>
            <w:rStyle w:val="Hyperlink"/>
            <w:rFonts w:ascii="Arial" w:hAnsi="Arial" w:cs="Arial"/>
          </w:rPr>
          <w:t>https://hwb.gov.wales/curriculum-for-wales/early-years/early-childhood-play-learning-and-care-in-wales/</w:t>
        </w:r>
      </w:hyperlink>
      <w:r w:rsidRPr="00A56EBB">
        <w:rPr>
          <w:rFonts w:ascii="Arial" w:hAnsi="Arial" w:cs="Arial"/>
        </w:rPr>
        <w:t xml:space="preserve"> [Accessed 7 June 2025].</w:t>
      </w:r>
    </w:p>
    <w:p w14:paraId="18734EC0" w14:textId="0A481E42" w:rsidR="00A56EBB" w:rsidRPr="00A56EBB" w:rsidRDefault="00A56EBB" w:rsidP="00A56EBB">
      <w:pPr>
        <w:spacing w:line="360" w:lineRule="auto"/>
        <w:rPr>
          <w:rFonts w:ascii="Arial" w:hAnsi="Arial" w:cs="Arial"/>
        </w:rPr>
      </w:pPr>
      <w:r w:rsidRPr="00A56EBB">
        <w:rPr>
          <w:rFonts w:ascii="Arial" w:hAnsi="Arial" w:cs="Arial"/>
        </w:rPr>
        <w:t xml:space="preserve">Welsh Government, 2024c. </w:t>
      </w:r>
      <w:r w:rsidRPr="00A56EBB">
        <w:rPr>
          <w:rFonts w:ascii="Arial" w:hAnsi="Arial" w:cs="Arial"/>
          <w:i/>
          <w:iCs/>
        </w:rPr>
        <w:t>A quality framework for early childhood play, learning and care in Wales</w:t>
      </w:r>
      <w:r w:rsidRPr="00A56EBB">
        <w:rPr>
          <w:rFonts w:ascii="Arial" w:hAnsi="Arial" w:cs="Arial"/>
        </w:rPr>
        <w:t xml:space="preserve">. Cardiff: Welsh Government. Available at: </w:t>
      </w:r>
      <w:hyperlink r:id="rId23" w:tgtFrame="_new" w:history="1">
        <w:r w:rsidRPr="00A56EBB">
          <w:rPr>
            <w:rStyle w:val="Hyperlink"/>
            <w:rFonts w:ascii="Arial" w:hAnsi="Arial" w:cs="Arial"/>
          </w:rPr>
          <w:t>https://www.gov.wales/quality-framework-early-childhood-play-learning-and-care-wales</w:t>
        </w:r>
      </w:hyperlink>
      <w:r w:rsidRPr="00A56EBB">
        <w:rPr>
          <w:rFonts w:ascii="Arial" w:hAnsi="Arial" w:cs="Arial"/>
        </w:rPr>
        <w:t xml:space="preserve"> [Accessed </w:t>
      </w:r>
      <w:r>
        <w:rPr>
          <w:rFonts w:ascii="Arial" w:hAnsi="Arial" w:cs="Arial"/>
        </w:rPr>
        <w:t>7 June</w:t>
      </w:r>
      <w:r w:rsidRPr="00A56EBB">
        <w:rPr>
          <w:rFonts w:ascii="Arial" w:hAnsi="Arial" w:cs="Arial"/>
        </w:rPr>
        <w:t xml:space="preserve"> 202</w:t>
      </w:r>
      <w:r>
        <w:rPr>
          <w:rFonts w:ascii="Arial" w:hAnsi="Arial" w:cs="Arial"/>
        </w:rPr>
        <w:t>5</w:t>
      </w:r>
      <w:r w:rsidRPr="00A56EBB">
        <w:rPr>
          <w:rFonts w:ascii="Arial" w:hAnsi="Arial" w:cs="Arial"/>
        </w:rPr>
        <w:t>].</w:t>
      </w:r>
    </w:p>
    <w:p w14:paraId="1AA0E389" w14:textId="77777777" w:rsidR="00A56EBB" w:rsidRPr="00A56EBB" w:rsidRDefault="00A56EBB" w:rsidP="00A56EBB">
      <w:pPr>
        <w:spacing w:line="360" w:lineRule="auto"/>
        <w:rPr>
          <w:rFonts w:ascii="Arial" w:hAnsi="Arial" w:cs="Arial"/>
        </w:rPr>
      </w:pPr>
      <w:r w:rsidRPr="00A56EBB">
        <w:rPr>
          <w:rFonts w:ascii="Arial" w:hAnsi="Arial" w:cs="Arial"/>
        </w:rPr>
        <w:lastRenderedPageBreak/>
        <w:t xml:space="preserve">Wightwick, A., 2016. Full Pisa results 2016 show Wales' schools are still adrift of the rest of the UK. </w:t>
      </w:r>
      <w:r w:rsidRPr="00A56EBB">
        <w:rPr>
          <w:rFonts w:ascii="Arial" w:hAnsi="Arial" w:cs="Arial"/>
          <w:i/>
          <w:iCs/>
        </w:rPr>
        <w:t>Wales Online</w:t>
      </w:r>
      <w:r w:rsidRPr="00A56EBB">
        <w:rPr>
          <w:rFonts w:ascii="Arial" w:hAnsi="Arial" w:cs="Arial"/>
        </w:rPr>
        <w:t>, 6 December.</w:t>
      </w:r>
    </w:p>
    <w:p w14:paraId="2945B2B2" w14:textId="77777777" w:rsidR="00A56EBB" w:rsidRPr="00A56EBB" w:rsidRDefault="00A56EBB" w:rsidP="00A56EBB">
      <w:pPr>
        <w:spacing w:line="360" w:lineRule="auto"/>
        <w:rPr>
          <w:rFonts w:ascii="Arial" w:hAnsi="Arial" w:cs="Arial"/>
        </w:rPr>
      </w:pPr>
      <w:r w:rsidRPr="00A56EBB">
        <w:rPr>
          <w:rFonts w:ascii="Arial" w:hAnsi="Arial" w:cs="Arial"/>
        </w:rPr>
        <w:t xml:space="preserve">Wightwick, A., 2019. New international Pisa schools tables show Wales remains behind other UK nations but is improving. </w:t>
      </w:r>
      <w:r w:rsidRPr="00A56EBB">
        <w:rPr>
          <w:rFonts w:ascii="Arial" w:hAnsi="Arial" w:cs="Arial"/>
          <w:i/>
          <w:iCs/>
        </w:rPr>
        <w:t>Wales Online</w:t>
      </w:r>
      <w:r w:rsidRPr="00A56EBB">
        <w:rPr>
          <w:rFonts w:ascii="Arial" w:hAnsi="Arial" w:cs="Arial"/>
        </w:rPr>
        <w:t>, 3 December.</w:t>
      </w:r>
    </w:p>
    <w:p w14:paraId="71E52BC8" w14:textId="77777777" w:rsidR="00A56EBB" w:rsidRPr="00A56EBB" w:rsidRDefault="00A56EBB" w:rsidP="00A56EBB">
      <w:pPr>
        <w:spacing w:line="360" w:lineRule="auto"/>
        <w:rPr>
          <w:rFonts w:ascii="Arial" w:hAnsi="Arial" w:cs="Arial"/>
        </w:rPr>
      </w:pPr>
      <w:r w:rsidRPr="00A56EBB">
        <w:rPr>
          <w:rFonts w:ascii="Arial" w:hAnsi="Arial" w:cs="Arial"/>
        </w:rPr>
        <w:t xml:space="preserve">WIZERD, 2015. </w:t>
      </w:r>
      <w:r w:rsidRPr="00A56EBB">
        <w:rPr>
          <w:rFonts w:ascii="Arial" w:hAnsi="Arial" w:cs="Arial"/>
          <w:i/>
          <w:iCs/>
        </w:rPr>
        <w:t>Evaluating the Foundation Phase: Final report</w:t>
      </w:r>
      <w:r w:rsidRPr="00A56EBB">
        <w:rPr>
          <w:rFonts w:ascii="Arial" w:hAnsi="Arial" w:cs="Arial"/>
        </w:rPr>
        <w:t xml:space="preserve">. Cardiff: Welsh Government. Available at: </w:t>
      </w:r>
      <w:hyperlink r:id="rId24" w:tgtFrame="_new" w:history="1">
        <w:r w:rsidRPr="00A56EBB">
          <w:rPr>
            <w:rStyle w:val="Hyperlink"/>
            <w:rFonts w:ascii="Arial" w:hAnsi="Arial" w:cs="Arial"/>
          </w:rPr>
          <w:t>https://dera.ioe.ac.uk/23035/3/150514-foundation-phase-final-en_Redacted.pdf</w:t>
        </w:r>
      </w:hyperlink>
      <w:r w:rsidRPr="00A56EBB">
        <w:rPr>
          <w:rFonts w:ascii="Arial" w:hAnsi="Arial" w:cs="Arial"/>
        </w:rPr>
        <w:t xml:space="preserve"> [Accessed 10 June 2025].</w:t>
      </w:r>
    </w:p>
    <w:p w14:paraId="7FCD7EAE" w14:textId="77777777" w:rsidR="00A56EBB" w:rsidRPr="00A56EBB" w:rsidRDefault="00A56EBB" w:rsidP="00A56EBB">
      <w:pPr>
        <w:spacing w:line="360" w:lineRule="auto"/>
        <w:rPr>
          <w:rFonts w:ascii="Arial" w:hAnsi="Arial" w:cs="Arial"/>
        </w:rPr>
      </w:pPr>
      <w:r w:rsidRPr="00A56EBB">
        <w:rPr>
          <w:rFonts w:ascii="Arial" w:hAnsi="Arial" w:cs="Arial"/>
        </w:rPr>
        <w:t xml:space="preserve">Wood, E., 2013. </w:t>
      </w:r>
      <w:r w:rsidRPr="00A56EBB">
        <w:rPr>
          <w:rFonts w:ascii="Arial" w:hAnsi="Arial" w:cs="Arial"/>
          <w:i/>
          <w:iCs/>
        </w:rPr>
        <w:t>Play, learning and the early childhood curriculum</w:t>
      </w:r>
      <w:r w:rsidRPr="00A56EBB">
        <w:rPr>
          <w:rFonts w:ascii="Arial" w:hAnsi="Arial" w:cs="Arial"/>
        </w:rPr>
        <w:t>. 3rd ed. London: SAGE.</w:t>
      </w:r>
    </w:p>
    <w:p w14:paraId="0DCD6A36" w14:textId="5CF326DE" w:rsidR="0072011D" w:rsidRPr="0072011D" w:rsidRDefault="0072011D" w:rsidP="0072011D">
      <w:pPr>
        <w:spacing w:line="360" w:lineRule="auto"/>
        <w:rPr>
          <w:rFonts w:ascii="Arial" w:hAnsi="Arial" w:cs="Arial"/>
        </w:rPr>
      </w:pPr>
    </w:p>
    <w:sectPr w:rsidR="0072011D" w:rsidRPr="0072011D">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120B12" w14:textId="77777777" w:rsidR="00690F05" w:rsidRDefault="00690F05" w:rsidP="001D41D7">
      <w:pPr>
        <w:spacing w:after="0" w:line="240" w:lineRule="auto"/>
      </w:pPr>
      <w:r>
        <w:separator/>
      </w:r>
    </w:p>
  </w:endnote>
  <w:endnote w:type="continuationSeparator" w:id="0">
    <w:p w14:paraId="6FDB7985" w14:textId="77777777" w:rsidR="00690F05" w:rsidRDefault="00690F05" w:rsidP="001D41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3D640F" w14:textId="77777777" w:rsidR="00690F05" w:rsidRDefault="00690F05" w:rsidP="001D41D7">
      <w:pPr>
        <w:spacing w:after="0" w:line="240" w:lineRule="auto"/>
      </w:pPr>
      <w:r>
        <w:separator/>
      </w:r>
    </w:p>
  </w:footnote>
  <w:footnote w:type="continuationSeparator" w:id="0">
    <w:p w14:paraId="3FEC0C9B" w14:textId="77777777" w:rsidR="00690F05" w:rsidRDefault="00690F05" w:rsidP="001D41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A92A64" w14:textId="62E67CA4" w:rsidR="001D41D7" w:rsidRDefault="001D41D7">
    <w:pPr>
      <w:pStyle w:val="Header"/>
    </w:pPr>
    <w:r>
      <w:t>1203786</w:t>
    </w:r>
    <w:r>
      <w:ptab w:relativeTo="margin" w:alignment="center" w:leader="none"/>
    </w:r>
    <w:r>
      <w:t>ECEY6010</w:t>
    </w:r>
    <w:r>
      <w:ptab w:relativeTo="margin" w:alignment="right" w:leader="none"/>
    </w:r>
    <w:r w:rsidR="0072011D">
      <w:t>3944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385A77"/>
    <w:multiLevelType w:val="hybridMultilevel"/>
    <w:tmpl w:val="AF98FFC2"/>
    <w:lvl w:ilvl="0" w:tplc="79203684">
      <w:start w:val="1"/>
      <w:numFmt w:val="bullet"/>
      <w:lvlText w:val="•"/>
      <w:lvlJc w:val="left"/>
      <w:pPr>
        <w:tabs>
          <w:tab w:val="num" w:pos="720"/>
        </w:tabs>
        <w:ind w:left="720" w:hanging="360"/>
      </w:pPr>
      <w:rPr>
        <w:rFonts w:ascii="Arial" w:hAnsi="Arial" w:hint="default"/>
      </w:rPr>
    </w:lvl>
    <w:lvl w:ilvl="1" w:tplc="ACF48DFE" w:tentative="1">
      <w:start w:val="1"/>
      <w:numFmt w:val="bullet"/>
      <w:lvlText w:val="•"/>
      <w:lvlJc w:val="left"/>
      <w:pPr>
        <w:tabs>
          <w:tab w:val="num" w:pos="1440"/>
        </w:tabs>
        <w:ind w:left="1440" w:hanging="360"/>
      </w:pPr>
      <w:rPr>
        <w:rFonts w:ascii="Arial" w:hAnsi="Arial" w:hint="default"/>
      </w:rPr>
    </w:lvl>
    <w:lvl w:ilvl="2" w:tplc="B66490BE" w:tentative="1">
      <w:start w:val="1"/>
      <w:numFmt w:val="bullet"/>
      <w:lvlText w:val="•"/>
      <w:lvlJc w:val="left"/>
      <w:pPr>
        <w:tabs>
          <w:tab w:val="num" w:pos="2160"/>
        </w:tabs>
        <w:ind w:left="2160" w:hanging="360"/>
      </w:pPr>
      <w:rPr>
        <w:rFonts w:ascii="Arial" w:hAnsi="Arial" w:hint="default"/>
      </w:rPr>
    </w:lvl>
    <w:lvl w:ilvl="3" w:tplc="2BC8DE3C" w:tentative="1">
      <w:start w:val="1"/>
      <w:numFmt w:val="bullet"/>
      <w:lvlText w:val="•"/>
      <w:lvlJc w:val="left"/>
      <w:pPr>
        <w:tabs>
          <w:tab w:val="num" w:pos="2880"/>
        </w:tabs>
        <w:ind w:left="2880" w:hanging="360"/>
      </w:pPr>
      <w:rPr>
        <w:rFonts w:ascii="Arial" w:hAnsi="Arial" w:hint="default"/>
      </w:rPr>
    </w:lvl>
    <w:lvl w:ilvl="4" w:tplc="2C98165A" w:tentative="1">
      <w:start w:val="1"/>
      <w:numFmt w:val="bullet"/>
      <w:lvlText w:val="•"/>
      <w:lvlJc w:val="left"/>
      <w:pPr>
        <w:tabs>
          <w:tab w:val="num" w:pos="3600"/>
        </w:tabs>
        <w:ind w:left="3600" w:hanging="360"/>
      </w:pPr>
      <w:rPr>
        <w:rFonts w:ascii="Arial" w:hAnsi="Arial" w:hint="default"/>
      </w:rPr>
    </w:lvl>
    <w:lvl w:ilvl="5" w:tplc="E486770C" w:tentative="1">
      <w:start w:val="1"/>
      <w:numFmt w:val="bullet"/>
      <w:lvlText w:val="•"/>
      <w:lvlJc w:val="left"/>
      <w:pPr>
        <w:tabs>
          <w:tab w:val="num" w:pos="4320"/>
        </w:tabs>
        <w:ind w:left="4320" w:hanging="360"/>
      </w:pPr>
      <w:rPr>
        <w:rFonts w:ascii="Arial" w:hAnsi="Arial" w:hint="default"/>
      </w:rPr>
    </w:lvl>
    <w:lvl w:ilvl="6" w:tplc="855C9972" w:tentative="1">
      <w:start w:val="1"/>
      <w:numFmt w:val="bullet"/>
      <w:lvlText w:val="•"/>
      <w:lvlJc w:val="left"/>
      <w:pPr>
        <w:tabs>
          <w:tab w:val="num" w:pos="5040"/>
        </w:tabs>
        <w:ind w:left="5040" w:hanging="360"/>
      </w:pPr>
      <w:rPr>
        <w:rFonts w:ascii="Arial" w:hAnsi="Arial" w:hint="default"/>
      </w:rPr>
    </w:lvl>
    <w:lvl w:ilvl="7" w:tplc="4AF40136" w:tentative="1">
      <w:start w:val="1"/>
      <w:numFmt w:val="bullet"/>
      <w:lvlText w:val="•"/>
      <w:lvlJc w:val="left"/>
      <w:pPr>
        <w:tabs>
          <w:tab w:val="num" w:pos="5760"/>
        </w:tabs>
        <w:ind w:left="5760" w:hanging="360"/>
      </w:pPr>
      <w:rPr>
        <w:rFonts w:ascii="Arial" w:hAnsi="Arial" w:hint="default"/>
      </w:rPr>
    </w:lvl>
    <w:lvl w:ilvl="8" w:tplc="B72EF880" w:tentative="1">
      <w:start w:val="1"/>
      <w:numFmt w:val="bullet"/>
      <w:lvlText w:val="•"/>
      <w:lvlJc w:val="left"/>
      <w:pPr>
        <w:tabs>
          <w:tab w:val="num" w:pos="6480"/>
        </w:tabs>
        <w:ind w:left="6480" w:hanging="360"/>
      </w:pPr>
      <w:rPr>
        <w:rFonts w:ascii="Arial" w:hAnsi="Arial" w:hint="default"/>
      </w:rPr>
    </w:lvl>
  </w:abstractNum>
  <w:num w:numId="1" w16cid:durableId="2126464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48F"/>
    <w:rsid w:val="00112C9F"/>
    <w:rsid w:val="001D41D7"/>
    <w:rsid w:val="0023495E"/>
    <w:rsid w:val="00295EA0"/>
    <w:rsid w:val="00687905"/>
    <w:rsid w:val="00690F05"/>
    <w:rsid w:val="006C4BF9"/>
    <w:rsid w:val="0072011D"/>
    <w:rsid w:val="008C0343"/>
    <w:rsid w:val="00A56EBB"/>
    <w:rsid w:val="00C7548F"/>
    <w:rsid w:val="00D93949"/>
    <w:rsid w:val="00E15BE7"/>
    <w:rsid w:val="00F3720F"/>
    <w:rsid w:val="00F43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C3190C"/>
  <w15:chartTrackingRefBased/>
  <w15:docId w15:val="{A13828AE-56E2-4853-B816-0C70607F4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4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54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54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54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54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54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4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4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4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4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54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54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54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54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54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4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4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48F"/>
    <w:rPr>
      <w:rFonts w:eastAsiaTheme="majorEastAsia" w:cstheme="majorBidi"/>
      <w:color w:val="272727" w:themeColor="text1" w:themeTint="D8"/>
    </w:rPr>
  </w:style>
  <w:style w:type="paragraph" w:styleId="Title">
    <w:name w:val="Title"/>
    <w:basedOn w:val="Normal"/>
    <w:next w:val="Normal"/>
    <w:link w:val="TitleChar"/>
    <w:uiPriority w:val="10"/>
    <w:qFormat/>
    <w:rsid w:val="00C754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4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4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4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48F"/>
    <w:pPr>
      <w:spacing w:before="160"/>
      <w:jc w:val="center"/>
    </w:pPr>
    <w:rPr>
      <w:i/>
      <w:iCs/>
      <w:color w:val="404040" w:themeColor="text1" w:themeTint="BF"/>
    </w:rPr>
  </w:style>
  <w:style w:type="character" w:customStyle="1" w:styleId="QuoteChar">
    <w:name w:val="Quote Char"/>
    <w:basedOn w:val="DefaultParagraphFont"/>
    <w:link w:val="Quote"/>
    <w:uiPriority w:val="29"/>
    <w:rsid w:val="00C7548F"/>
    <w:rPr>
      <w:i/>
      <w:iCs/>
      <w:color w:val="404040" w:themeColor="text1" w:themeTint="BF"/>
    </w:rPr>
  </w:style>
  <w:style w:type="paragraph" w:styleId="ListParagraph">
    <w:name w:val="List Paragraph"/>
    <w:basedOn w:val="Normal"/>
    <w:uiPriority w:val="34"/>
    <w:qFormat/>
    <w:rsid w:val="00C7548F"/>
    <w:pPr>
      <w:ind w:left="720"/>
      <w:contextualSpacing/>
    </w:pPr>
  </w:style>
  <w:style w:type="character" w:styleId="IntenseEmphasis">
    <w:name w:val="Intense Emphasis"/>
    <w:basedOn w:val="DefaultParagraphFont"/>
    <w:uiPriority w:val="21"/>
    <w:qFormat/>
    <w:rsid w:val="00C7548F"/>
    <w:rPr>
      <w:i/>
      <w:iCs/>
      <w:color w:val="0F4761" w:themeColor="accent1" w:themeShade="BF"/>
    </w:rPr>
  </w:style>
  <w:style w:type="paragraph" w:styleId="IntenseQuote">
    <w:name w:val="Intense Quote"/>
    <w:basedOn w:val="Normal"/>
    <w:next w:val="Normal"/>
    <w:link w:val="IntenseQuoteChar"/>
    <w:uiPriority w:val="30"/>
    <w:qFormat/>
    <w:rsid w:val="00C754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548F"/>
    <w:rPr>
      <w:i/>
      <w:iCs/>
      <w:color w:val="0F4761" w:themeColor="accent1" w:themeShade="BF"/>
    </w:rPr>
  </w:style>
  <w:style w:type="character" w:styleId="IntenseReference">
    <w:name w:val="Intense Reference"/>
    <w:basedOn w:val="DefaultParagraphFont"/>
    <w:uiPriority w:val="32"/>
    <w:qFormat/>
    <w:rsid w:val="00C7548F"/>
    <w:rPr>
      <w:b/>
      <w:bCs/>
      <w:smallCaps/>
      <w:color w:val="0F4761" w:themeColor="accent1" w:themeShade="BF"/>
      <w:spacing w:val="5"/>
    </w:rPr>
  </w:style>
  <w:style w:type="character" w:styleId="Hyperlink">
    <w:name w:val="Hyperlink"/>
    <w:basedOn w:val="DefaultParagraphFont"/>
    <w:uiPriority w:val="99"/>
    <w:unhideWhenUsed/>
    <w:rsid w:val="00C7548F"/>
    <w:rPr>
      <w:color w:val="467886" w:themeColor="hyperlink"/>
      <w:u w:val="single"/>
    </w:rPr>
  </w:style>
  <w:style w:type="character" w:styleId="UnresolvedMention">
    <w:name w:val="Unresolved Mention"/>
    <w:basedOn w:val="DefaultParagraphFont"/>
    <w:uiPriority w:val="99"/>
    <w:semiHidden/>
    <w:unhideWhenUsed/>
    <w:rsid w:val="00C7548F"/>
    <w:rPr>
      <w:color w:val="605E5C"/>
      <w:shd w:val="clear" w:color="auto" w:fill="E1DFDD"/>
    </w:rPr>
  </w:style>
  <w:style w:type="paragraph" w:styleId="Header">
    <w:name w:val="header"/>
    <w:basedOn w:val="Normal"/>
    <w:link w:val="HeaderChar"/>
    <w:uiPriority w:val="99"/>
    <w:unhideWhenUsed/>
    <w:rsid w:val="001D41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1D7"/>
  </w:style>
  <w:style w:type="paragraph" w:styleId="Footer">
    <w:name w:val="footer"/>
    <w:basedOn w:val="Normal"/>
    <w:link w:val="FooterChar"/>
    <w:uiPriority w:val="99"/>
    <w:unhideWhenUsed/>
    <w:rsid w:val="001D41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949579">
      <w:bodyDiv w:val="1"/>
      <w:marLeft w:val="0"/>
      <w:marRight w:val="0"/>
      <w:marTop w:val="0"/>
      <w:marBottom w:val="0"/>
      <w:divBdr>
        <w:top w:val="none" w:sz="0" w:space="0" w:color="auto"/>
        <w:left w:val="none" w:sz="0" w:space="0" w:color="auto"/>
        <w:bottom w:val="none" w:sz="0" w:space="0" w:color="auto"/>
        <w:right w:val="none" w:sz="0" w:space="0" w:color="auto"/>
      </w:divBdr>
    </w:div>
    <w:div w:id="159590265">
      <w:bodyDiv w:val="1"/>
      <w:marLeft w:val="0"/>
      <w:marRight w:val="0"/>
      <w:marTop w:val="0"/>
      <w:marBottom w:val="0"/>
      <w:divBdr>
        <w:top w:val="none" w:sz="0" w:space="0" w:color="auto"/>
        <w:left w:val="none" w:sz="0" w:space="0" w:color="auto"/>
        <w:bottom w:val="none" w:sz="0" w:space="0" w:color="auto"/>
        <w:right w:val="none" w:sz="0" w:space="0" w:color="auto"/>
      </w:divBdr>
    </w:div>
    <w:div w:id="188837504">
      <w:bodyDiv w:val="1"/>
      <w:marLeft w:val="0"/>
      <w:marRight w:val="0"/>
      <w:marTop w:val="0"/>
      <w:marBottom w:val="0"/>
      <w:divBdr>
        <w:top w:val="none" w:sz="0" w:space="0" w:color="auto"/>
        <w:left w:val="none" w:sz="0" w:space="0" w:color="auto"/>
        <w:bottom w:val="none" w:sz="0" w:space="0" w:color="auto"/>
        <w:right w:val="none" w:sz="0" w:space="0" w:color="auto"/>
      </w:divBdr>
    </w:div>
    <w:div w:id="190922739">
      <w:bodyDiv w:val="1"/>
      <w:marLeft w:val="0"/>
      <w:marRight w:val="0"/>
      <w:marTop w:val="0"/>
      <w:marBottom w:val="0"/>
      <w:divBdr>
        <w:top w:val="none" w:sz="0" w:space="0" w:color="auto"/>
        <w:left w:val="none" w:sz="0" w:space="0" w:color="auto"/>
        <w:bottom w:val="none" w:sz="0" w:space="0" w:color="auto"/>
        <w:right w:val="none" w:sz="0" w:space="0" w:color="auto"/>
      </w:divBdr>
    </w:div>
    <w:div w:id="253058156">
      <w:bodyDiv w:val="1"/>
      <w:marLeft w:val="0"/>
      <w:marRight w:val="0"/>
      <w:marTop w:val="0"/>
      <w:marBottom w:val="0"/>
      <w:divBdr>
        <w:top w:val="none" w:sz="0" w:space="0" w:color="auto"/>
        <w:left w:val="none" w:sz="0" w:space="0" w:color="auto"/>
        <w:bottom w:val="none" w:sz="0" w:space="0" w:color="auto"/>
        <w:right w:val="none" w:sz="0" w:space="0" w:color="auto"/>
      </w:divBdr>
    </w:div>
    <w:div w:id="298150897">
      <w:bodyDiv w:val="1"/>
      <w:marLeft w:val="0"/>
      <w:marRight w:val="0"/>
      <w:marTop w:val="0"/>
      <w:marBottom w:val="0"/>
      <w:divBdr>
        <w:top w:val="none" w:sz="0" w:space="0" w:color="auto"/>
        <w:left w:val="none" w:sz="0" w:space="0" w:color="auto"/>
        <w:bottom w:val="none" w:sz="0" w:space="0" w:color="auto"/>
        <w:right w:val="none" w:sz="0" w:space="0" w:color="auto"/>
      </w:divBdr>
    </w:div>
    <w:div w:id="332143217">
      <w:bodyDiv w:val="1"/>
      <w:marLeft w:val="0"/>
      <w:marRight w:val="0"/>
      <w:marTop w:val="0"/>
      <w:marBottom w:val="0"/>
      <w:divBdr>
        <w:top w:val="none" w:sz="0" w:space="0" w:color="auto"/>
        <w:left w:val="none" w:sz="0" w:space="0" w:color="auto"/>
        <w:bottom w:val="none" w:sz="0" w:space="0" w:color="auto"/>
        <w:right w:val="none" w:sz="0" w:space="0" w:color="auto"/>
      </w:divBdr>
    </w:div>
    <w:div w:id="539560953">
      <w:bodyDiv w:val="1"/>
      <w:marLeft w:val="0"/>
      <w:marRight w:val="0"/>
      <w:marTop w:val="0"/>
      <w:marBottom w:val="0"/>
      <w:divBdr>
        <w:top w:val="none" w:sz="0" w:space="0" w:color="auto"/>
        <w:left w:val="none" w:sz="0" w:space="0" w:color="auto"/>
        <w:bottom w:val="none" w:sz="0" w:space="0" w:color="auto"/>
        <w:right w:val="none" w:sz="0" w:space="0" w:color="auto"/>
      </w:divBdr>
    </w:div>
    <w:div w:id="593980161">
      <w:bodyDiv w:val="1"/>
      <w:marLeft w:val="0"/>
      <w:marRight w:val="0"/>
      <w:marTop w:val="0"/>
      <w:marBottom w:val="0"/>
      <w:divBdr>
        <w:top w:val="none" w:sz="0" w:space="0" w:color="auto"/>
        <w:left w:val="none" w:sz="0" w:space="0" w:color="auto"/>
        <w:bottom w:val="none" w:sz="0" w:space="0" w:color="auto"/>
        <w:right w:val="none" w:sz="0" w:space="0" w:color="auto"/>
      </w:divBdr>
    </w:div>
    <w:div w:id="744956324">
      <w:bodyDiv w:val="1"/>
      <w:marLeft w:val="0"/>
      <w:marRight w:val="0"/>
      <w:marTop w:val="0"/>
      <w:marBottom w:val="0"/>
      <w:divBdr>
        <w:top w:val="none" w:sz="0" w:space="0" w:color="auto"/>
        <w:left w:val="none" w:sz="0" w:space="0" w:color="auto"/>
        <w:bottom w:val="none" w:sz="0" w:space="0" w:color="auto"/>
        <w:right w:val="none" w:sz="0" w:space="0" w:color="auto"/>
      </w:divBdr>
    </w:div>
    <w:div w:id="766077211">
      <w:bodyDiv w:val="1"/>
      <w:marLeft w:val="0"/>
      <w:marRight w:val="0"/>
      <w:marTop w:val="0"/>
      <w:marBottom w:val="0"/>
      <w:divBdr>
        <w:top w:val="none" w:sz="0" w:space="0" w:color="auto"/>
        <w:left w:val="none" w:sz="0" w:space="0" w:color="auto"/>
        <w:bottom w:val="none" w:sz="0" w:space="0" w:color="auto"/>
        <w:right w:val="none" w:sz="0" w:space="0" w:color="auto"/>
      </w:divBdr>
    </w:div>
    <w:div w:id="919875195">
      <w:bodyDiv w:val="1"/>
      <w:marLeft w:val="0"/>
      <w:marRight w:val="0"/>
      <w:marTop w:val="0"/>
      <w:marBottom w:val="0"/>
      <w:divBdr>
        <w:top w:val="none" w:sz="0" w:space="0" w:color="auto"/>
        <w:left w:val="none" w:sz="0" w:space="0" w:color="auto"/>
        <w:bottom w:val="none" w:sz="0" w:space="0" w:color="auto"/>
        <w:right w:val="none" w:sz="0" w:space="0" w:color="auto"/>
      </w:divBdr>
    </w:div>
    <w:div w:id="948126558">
      <w:bodyDiv w:val="1"/>
      <w:marLeft w:val="0"/>
      <w:marRight w:val="0"/>
      <w:marTop w:val="0"/>
      <w:marBottom w:val="0"/>
      <w:divBdr>
        <w:top w:val="none" w:sz="0" w:space="0" w:color="auto"/>
        <w:left w:val="none" w:sz="0" w:space="0" w:color="auto"/>
        <w:bottom w:val="none" w:sz="0" w:space="0" w:color="auto"/>
        <w:right w:val="none" w:sz="0" w:space="0" w:color="auto"/>
      </w:divBdr>
      <w:divsChild>
        <w:div w:id="1105737330">
          <w:marLeft w:val="360"/>
          <w:marRight w:val="0"/>
          <w:marTop w:val="200"/>
          <w:marBottom w:val="0"/>
          <w:divBdr>
            <w:top w:val="none" w:sz="0" w:space="0" w:color="auto"/>
            <w:left w:val="none" w:sz="0" w:space="0" w:color="auto"/>
            <w:bottom w:val="none" w:sz="0" w:space="0" w:color="auto"/>
            <w:right w:val="none" w:sz="0" w:space="0" w:color="auto"/>
          </w:divBdr>
        </w:div>
      </w:divsChild>
    </w:div>
    <w:div w:id="1168592515">
      <w:bodyDiv w:val="1"/>
      <w:marLeft w:val="0"/>
      <w:marRight w:val="0"/>
      <w:marTop w:val="0"/>
      <w:marBottom w:val="0"/>
      <w:divBdr>
        <w:top w:val="none" w:sz="0" w:space="0" w:color="auto"/>
        <w:left w:val="none" w:sz="0" w:space="0" w:color="auto"/>
        <w:bottom w:val="none" w:sz="0" w:space="0" w:color="auto"/>
        <w:right w:val="none" w:sz="0" w:space="0" w:color="auto"/>
      </w:divBdr>
    </w:div>
    <w:div w:id="1187325846">
      <w:bodyDiv w:val="1"/>
      <w:marLeft w:val="0"/>
      <w:marRight w:val="0"/>
      <w:marTop w:val="0"/>
      <w:marBottom w:val="0"/>
      <w:divBdr>
        <w:top w:val="none" w:sz="0" w:space="0" w:color="auto"/>
        <w:left w:val="none" w:sz="0" w:space="0" w:color="auto"/>
        <w:bottom w:val="none" w:sz="0" w:space="0" w:color="auto"/>
        <w:right w:val="none" w:sz="0" w:space="0" w:color="auto"/>
      </w:divBdr>
    </w:div>
    <w:div w:id="1207718395">
      <w:bodyDiv w:val="1"/>
      <w:marLeft w:val="0"/>
      <w:marRight w:val="0"/>
      <w:marTop w:val="0"/>
      <w:marBottom w:val="0"/>
      <w:divBdr>
        <w:top w:val="none" w:sz="0" w:space="0" w:color="auto"/>
        <w:left w:val="none" w:sz="0" w:space="0" w:color="auto"/>
        <w:bottom w:val="none" w:sz="0" w:space="0" w:color="auto"/>
        <w:right w:val="none" w:sz="0" w:space="0" w:color="auto"/>
      </w:divBdr>
    </w:div>
    <w:div w:id="1313172460">
      <w:bodyDiv w:val="1"/>
      <w:marLeft w:val="0"/>
      <w:marRight w:val="0"/>
      <w:marTop w:val="0"/>
      <w:marBottom w:val="0"/>
      <w:divBdr>
        <w:top w:val="none" w:sz="0" w:space="0" w:color="auto"/>
        <w:left w:val="none" w:sz="0" w:space="0" w:color="auto"/>
        <w:bottom w:val="none" w:sz="0" w:space="0" w:color="auto"/>
        <w:right w:val="none" w:sz="0" w:space="0" w:color="auto"/>
      </w:divBdr>
    </w:div>
    <w:div w:id="1350839539">
      <w:bodyDiv w:val="1"/>
      <w:marLeft w:val="0"/>
      <w:marRight w:val="0"/>
      <w:marTop w:val="0"/>
      <w:marBottom w:val="0"/>
      <w:divBdr>
        <w:top w:val="none" w:sz="0" w:space="0" w:color="auto"/>
        <w:left w:val="none" w:sz="0" w:space="0" w:color="auto"/>
        <w:bottom w:val="none" w:sz="0" w:space="0" w:color="auto"/>
        <w:right w:val="none" w:sz="0" w:space="0" w:color="auto"/>
      </w:divBdr>
    </w:div>
    <w:div w:id="1374381360">
      <w:bodyDiv w:val="1"/>
      <w:marLeft w:val="0"/>
      <w:marRight w:val="0"/>
      <w:marTop w:val="0"/>
      <w:marBottom w:val="0"/>
      <w:divBdr>
        <w:top w:val="none" w:sz="0" w:space="0" w:color="auto"/>
        <w:left w:val="none" w:sz="0" w:space="0" w:color="auto"/>
        <w:bottom w:val="none" w:sz="0" w:space="0" w:color="auto"/>
        <w:right w:val="none" w:sz="0" w:space="0" w:color="auto"/>
      </w:divBdr>
    </w:div>
    <w:div w:id="1463495133">
      <w:bodyDiv w:val="1"/>
      <w:marLeft w:val="0"/>
      <w:marRight w:val="0"/>
      <w:marTop w:val="0"/>
      <w:marBottom w:val="0"/>
      <w:divBdr>
        <w:top w:val="none" w:sz="0" w:space="0" w:color="auto"/>
        <w:left w:val="none" w:sz="0" w:space="0" w:color="auto"/>
        <w:bottom w:val="none" w:sz="0" w:space="0" w:color="auto"/>
        <w:right w:val="none" w:sz="0" w:space="0" w:color="auto"/>
      </w:divBdr>
    </w:div>
    <w:div w:id="1493135609">
      <w:bodyDiv w:val="1"/>
      <w:marLeft w:val="0"/>
      <w:marRight w:val="0"/>
      <w:marTop w:val="0"/>
      <w:marBottom w:val="0"/>
      <w:divBdr>
        <w:top w:val="none" w:sz="0" w:space="0" w:color="auto"/>
        <w:left w:val="none" w:sz="0" w:space="0" w:color="auto"/>
        <w:bottom w:val="none" w:sz="0" w:space="0" w:color="auto"/>
        <w:right w:val="none" w:sz="0" w:space="0" w:color="auto"/>
      </w:divBdr>
    </w:div>
    <w:div w:id="1552570549">
      <w:bodyDiv w:val="1"/>
      <w:marLeft w:val="0"/>
      <w:marRight w:val="0"/>
      <w:marTop w:val="0"/>
      <w:marBottom w:val="0"/>
      <w:divBdr>
        <w:top w:val="none" w:sz="0" w:space="0" w:color="auto"/>
        <w:left w:val="none" w:sz="0" w:space="0" w:color="auto"/>
        <w:bottom w:val="none" w:sz="0" w:space="0" w:color="auto"/>
        <w:right w:val="none" w:sz="0" w:space="0" w:color="auto"/>
      </w:divBdr>
    </w:div>
    <w:div w:id="1554120774">
      <w:bodyDiv w:val="1"/>
      <w:marLeft w:val="0"/>
      <w:marRight w:val="0"/>
      <w:marTop w:val="0"/>
      <w:marBottom w:val="0"/>
      <w:divBdr>
        <w:top w:val="none" w:sz="0" w:space="0" w:color="auto"/>
        <w:left w:val="none" w:sz="0" w:space="0" w:color="auto"/>
        <w:bottom w:val="none" w:sz="0" w:space="0" w:color="auto"/>
        <w:right w:val="none" w:sz="0" w:space="0" w:color="auto"/>
      </w:divBdr>
    </w:div>
    <w:div w:id="1658529615">
      <w:bodyDiv w:val="1"/>
      <w:marLeft w:val="0"/>
      <w:marRight w:val="0"/>
      <w:marTop w:val="0"/>
      <w:marBottom w:val="0"/>
      <w:divBdr>
        <w:top w:val="none" w:sz="0" w:space="0" w:color="auto"/>
        <w:left w:val="none" w:sz="0" w:space="0" w:color="auto"/>
        <w:bottom w:val="none" w:sz="0" w:space="0" w:color="auto"/>
        <w:right w:val="none" w:sz="0" w:space="0" w:color="auto"/>
      </w:divBdr>
    </w:div>
    <w:div w:id="1898468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por4bXCf44" TargetMode="External"/><Relationship Id="rId13" Type="http://schemas.openxmlformats.org/officeDocument/2006/relationships/hyperlink" Target="https://www.youtube.com/watch?v=zDZFcDGpL4U" TargetMode="External"/><Relationship Id="rId18" Type="http://schemas.openxmlformats.org/officeDocument/2006/relationships/hyperlink" Target="https://gov.wal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hwb.gov.wales/curriculum-for-wales/" TargetMode="External"/><Relationship Id="rId7" Type="http://schemas.openxmlformats.org/officeDocument/2006/relationships/hyperlink" Target="http://dera.ioe.ac.uk/22165/2/150225-successful-futures-en_Redacted.pdf" TargetMode="External"/><Relationship Id="rId12" Type="http://schemas.openxmlformats.org/officeDocument/2006/relationships/hyperlink" Target="http://www.keepeek.com/Digital-Asset-Management/oecd/education/starting-strong-2017_9789264276116-en" TargetMode="External"/><Relationship Id="rId17" Type="http://schemas.openxmlformats.org/officeDocument/2006/relationships/hyperlink" Target="http://gov.wales/newsroom/educationandskills/2015/10323651/?lang=e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gov.wales/docs/dcells/publications/150803-fp-framework-en.pdf" TargetMode="External"/><Relationship Id="rId20" Type="http://schemas.openxmlformats.org/officeDocument/2006/relationships/hyperlink" Target="https://hwb.gov.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oecd.org/edu/school/education-2030.htm" TargetMode="External"/><Relationship Id="rId24" Type="http://schemas.openxmlformats.org/officeDocument/2006/relationships/hyperlink" Target="https://dera.ioe.ac.uk/23035/3/150514-foundation-phase-final-en_Redacted.pdf" TargetMode="External"/><Relationship Id="rId5" Type="http://schemas.openxmlformats.org/officeDocument/2006/relationships/footnotes" Target="footnotes.xml"/><Relationship Id="rId15" Type="http://schemas.openxmlformats.org/officeDocument/2006/relationships/hyperlink" Target="https://gov.wales/sites/default/files/publications/2018-03/an-independent-stocktake-of-the-foundation-phase-in-wales-final-report.pdf" TargetMode="External"/><Relationship Id="rId23" Type="http://schemas.openxmlformats.org/officeDocument/2006/relationships/hyperlink" Target="https://www.gov.wales/quality-framework-early-childhood-play-learning-and-care-wales" TargetMode="External"/><Relationship Id="rId10" Type="http://schemas.openxmlformats.org/officeDocument/2006/relationships/hyperlink" Target="http://www.oecd.org/edu/The-Welsh-Education-Reform-Journey.pdf" TargetMode="External"/><Relationship Id="rId19" Type="http://schemas.openxmlformats.org/officeDocument/2006/relationships/hyperlink" Target="https://hwb.gov.wales/curriculum-for-wales/early-years/curriculum-for-funded-non-maintained-nursery-settings/" TargetMode="External"/><Relationship Id="rId4" Type="http://schemas.openxmlformats.org/officeDocument/2006/relationships/webSettings" Target="webSettings.xml"/><Relationship Id="rId9" Type="http://schemas.openxmlformats.org/officeDocument/2006/relationships/hyperlink" Target="https://www.researchgate.net/publication/328838084_The_Great_Divide_separation_of_care_and_education_in_Wales_an_examination_of_policy_reform_and_research_evidence" TargetMode="External"/><Relationship Id="rId14" Type="http://schemas.openxmlformats.org/officeDocument/2006/relationships/hyperlink" Target="https://gov.wales/sites/default/files/publications/2018-03/foundation-phase-framework.pdf" TargetMode="External"/><Relationship Id="rId22" Type="http://schemas.openxmlformats.org/officeDocument/2006/relationships/hyperlink" Target="https://hwb.gov.wales/curriculum-for-wales/early-years/early-childhood-play-learning-and-care-in-wal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15</Pages>
  <Words>5652</Words>
  <Characters>32218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LEWIS (Ysgol Y Bedol)</dc:creator>
  <cp:keywords/>
  <dc:description/>
  <cp:lastModifiedBy>L LEWIS (Ysgol Y Bedol)</cp:lastModifiedBy>
  <cp:revision>3</cp:revision>
  <dcterms:created xsi:type="dcterms:W3CDTF">2025-06-10T17:22:00Z</dcterms:created>
  <dcterms:modified xsi:type="dcterms:W3CDTF">2025-06-10T17:51:00Z</dcterms:modified>
</cp:coreProperties>
</file>