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6859C" w14:textId="46764FCA" w:rsidR="00174D5D" w:rsidRPr="009E7DF7" w:rsidRDefault="00174D5D" w:rsidP="00174D5D">
      <w:pPr>
        <w:spacing w:before="100" w:beforeAutospacing="1" w:after="100" w:afterAutospacing="1" w:line="240" w:lineRule="auto"/>
        <w:jc w:val="center"/>
        <w:rPr>
          <w:rFonts w:ascii="Times New Roman" w:eastAsia="Times New Roman" w:hAnsi="Times New Roman" w:cs="Times New Roman"/>
          <w:kern w:val="0"/>
          <w:sz w:val="36"/>
          <w:szCs w:val="36"/>
          <w:lang w:eastAsia="en-GB"/>
          <w14:ligatures w14:val="none"/>
        </w:rPr>
      </w:pPr>
      <w:r w:rsidRPr="009E7DF7">
        <w:rPr>
          <w:rFonts w:ascii="Times New Roman" w:eastAsia="Times New Roman" w:hAnsi="Times New Roman" w:cs="Times New Roman"/>
          <w:kern w:val="0"/>
          <w:sz w:val="36"/>
          <w:szCs w:val="36"/>
          <w:lang w:eastAsia="en-GB"/>
          <w14:ligatures w14:val="none"/>
        </w:rPr>
        <w:t xml:space="preserve">Jozef Sugar </w:t>
      </w:r>
    </w:p>
    <w:p w14:paraId="7AC5FD09" w14:textId="054CB7A6" w:rsidR="00174D5D" w:rsidRPr="009E7DF7" w:rsidRDefault="00174D5D" w:rsidP="00174D5D">
      <w:pPr>
        <w:spacing w:before="100" w:beforeAutospacing="1" w:after="100" w:afterAutospacing="1" w:line="240" w:lineRule="auto"/>
        <w:jc w:val="center"/>
        <w:rPr>
          <w:rFonts w:ascii="Times New Roman" w:eastAsia="Times New Roman" w:hAnsi="Times New Roman" w:cs="Times New Roman"/>
          <w:kern w:val="0"/>
          <w:sz w:val="36"/>
          <w:szCs w:val="36"/>
          <w:lang w:eastAsia="en-GB"/>
          <w14:ligatures w14:val="none"/>
        </w:rPr>
      </w:pPr>
      <w:r w:rsidRPr="009E7DF7">
        <w:rPr>
          <w:rFonts w:ascii="Times New Roman" w:eastAsia="Times New Roman" w:hAnsi="Times New Roman" w:cs="Times New Roman"/>
          <w:kern w:val="0"/>
          <w:sz w:val="36"/>
          <w:szCs w:val="36"/>
          <w:lang w:eastAsia="en-GB"/>
          <w14:ligatures w14:val="none"/>
        </w:rPr>
        <w:t>Essay – Writing for University module</w:t>
      </w:r>
    </w:p>
    <w:p w14:paraId="48763BE3"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25C9803D"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230967F8"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31037C13" w14:textId="3E49748F" w:rsidR="00174D5D" w:rsidRPr="00174D5D" w:rsidRDefault="00174D5D" w:rsidP="00174D5D">
      <w:pPr>
        <w:spacing w:before="100" w:beforeAutospacing="1" w:after="100" w:afterAutospacing="1" w:line="240" w:lineRule="auto"/>
        <w:jc w:val="center"/>
        <w:rPr>
          <w:rFonts w:ascii="Times New Roman" w:eastAsia="Times New Roman" w:hAnsi="Times New Roman" w:cs="Times New Roman"/>
          <w:kern w:val="0"/>
          <w:sz w:val="32"/>
          <w:szCs w:val="32"/>
          <w:lang w:eastAsia="en-GB"/>
          <w14:ligatures w14:val="none"/>
        </w:rPr>
      </w:pPr>
      <w:r w:rsidRPr="00174D5D">
        <w:rPr>
          <w:rFonts w:ascii="Times New Roman" w:eastAsia="Times New Roman" w:hAnsi="Times New Roman" w:cs="Times New Roman"/>
          <w:kern w:val="0"/>
          <w:sz w:val="32"/>
          <w:szCs w:val="32"/>
          <w:lang w:eastAsia="en-GB"/>
          <w14:ligatures w14:val="none"/>
        </w:rPr>
        <w:t>The Role and Impact of Academic Book Reviews on Scholarly Discourse</w:t>
      </w:r>
    </w:p>
    <w:p w14:paraId="6DBBB154"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4D5D">
        <w:rPr>
          <w:rFonts w:ascii="Times New Roman" w:eastAsia="Times New Roman" w:hAnsi="Times New Roman" w:cs="Times New Roman"/>
          <w:kern w:val="0"/>
          <w:lang w:eastAsia="en-GB"/>
          <w14:ligatures w14:val="none"/>
        </w:rPr>
        <w:t> </w:t>
      </w:r>
    </w:p>
    <w:p w14:paraId="577B103E" w14:textId="79A05B72"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Critics of university books serve multiple ends in learned discourse, acting as a critical bridge between published works and the university community. They offer evaluative information on the contributions of new publications, improve the body of literature in specific fields, and cultivate a culture of learned conversation. The structure of criticisms of university books generally follows a systematic approach, often characterised by an introduction, a summary of the work examined, a critical analysis and a conclusion that often includes recommendations (</w:t>
      </w:r>
      <w:proofErr w:type="spellStart"/>
      <w:r w:rsidRPr="00174D5D">
        <w:rPr>
          <w:rFonts w:ascii="Times New Roman" w:eastAsia="Times New Roman" w:hAnsi="Times New Roman" w:cs="Times New Roman"/>
          <w:kern w:val="0"/>
          <w:sz w:val="28"/>
          <w:szCs w:val="28"/>
          <w:lang w:eastAsia="en-GB"/>
          <w14:ligatures w14:val="none"/>
        </w:rPr>
        <w:t>Vassileva</w:t>
      </w:r>
      <w:proofErr w:type="spellEnd"/>
      <w:r w:rsidRPr="00174D5D">
        <w:rPr>
          <w:rFonts w:ascii="Times New Roman" w:eastAsia="Times New Roman" w:hAnsi="Times New Roman" w:cs="Times New Roman"/>
          <w:kern w:val="0"/>
          <w:sz w:val="28"/>
          <w:szCs w:val="28"/>
          <w:lang w:eastAsia="en-GB"/>
          <w14:ligatures w14:val="none"/>
        </w:rPr>
        <w:t>, 2023; Booth et al., 2021). This essay explores the goal, structure and meaning of the criticisms of academic books, emphasising their role in the continuous evaluation of learned contributions and their importance in the advancement of knowledge in specific disciplines.</w:t>
      </w:r>
      <w:r w:rsidRPr="009E7DF7">
        <w:rPr>
          <w:rFonts w:ascii="Times New Roman" w:eastAsia="Times New Roman" w:hAnsi="Times New Roman" w:cs="Times New Roman"/>
          <w:kern w:val="0"/>
          <w:sz w:val="28"/>
          <w:szCs w:val="28"/>
          <w:lang w:eastAsia="en-GB"/>
          <w14:ligatures w14:val="none"/>
        </w:rPr>
        <w:t xml:space="preserve">  </w:t>
      </w:r>
    </w:p>
    <w:p w14:paraId="781D30E2" w14:textId="17E10B85"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One of the main objectives of a university book review is to assess the merit of a newly published work, contributing to the evolution of an area by facilitating the dissemination of ideas and criticism (</w:t>
      </w:r>
      <w:proofErr w:type="spellStart"/>
      <w:r w:rsidRPr="00174D5D">
        <w:rPr>
          <w:rFonts w:ascii="Times New Roman" w:eastAsia="Times New Roman" w:hAnsi="Times New Roman" w:cs="Times New Roman"/>
          <w:kern w:val="0"/>
          <w:sz w:val="28"/>
          <w:szCs w:val="28"/>
          <w:lang w:eastAsia="en-GB"/>
          <w14:ligatures w14:val="none"/>
        </w:rPr>
        <w:t>Vassileva</w:t>
      </w:r>
      <w:proofErr w:type="spellEnd"/>
      <w:r w:rsidRPr="00174D5D">
        <w:rPr>
          <w:rFonts w:ascii="Times New Roman" w:eastAsia="Times New Roman" w:hAnsi="Times New Roman" w:cs="Times New Roman"/>
          <w:kern w:val="0"/>
          <w:sz w:val="28"/>
          <w:szCs w:val="28"/>
          <w:lang w:eastAsia="en-GB"/>
          <w14:ligatures w14:val="none"/>
        </w:rPr>
        <w:t xml:space="preserve">, 2023). Book criticisms provide a platform for researchers to discuss the relevance and originality of the content, the methodologies adopted by the author and the implications of the results presented. This critical feedback is essential because it influences the perspectives of other researchers, shaping future research programs and motivating surveys on the under-explored aspects (Dichev and </w:t>
      </w:r>
      <w:proofErr w:type="spellStart"/>
      <w:r w:rsidRPr="00174D5D">
        <w:rPr>
          <w:rFonts w:ascii="Times New Roman" w:eastAsia="Times New Roman" w:hAnsi="Times New Roman" w:cs="Times New Roman"/>
          <w:kern w:val="0"/>
          <w:sz w:val="28"/>
          <w:szCs w:val="28"/>
          <w:lang w:eastAsia="en-GB"/>
          <w14:ligatures w14:val="none"/>
        </w:rPr>
        <w:t>Dicheva</w:t>
      </w:r>
      <w:proofErr w:type="spellEnd"/>
      <w:r w:rsidRPr="00174D5D">
        <w:rPr>
          <w:rFonts w:ascii="Times New Roman" w:eastAsia="Times New Roman" w:hAnsi="Times New Roman" w:cs="Times New Roman"/>
          <w:kern w:val="0"/>
          <w:sz w:val="28"/>
          <w:szCs w:val="28"/>
          <w:lang w:eastAsia="en-GB"/>
          <w14:ligatures w14:val="none"/>
        </w:rPr>
        <w:t>, 2017).</w:t>
      </w:r>
    </w:p>
    <w:p w14:paraId="7A5DCEE6"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w:t>
      </w: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 xml:space="preserve">The structure of an academic book review is crucial for achieving its objectives. A well -structured review generally begins with an introduction presenting the title and the author of the book, alongside a thesis statement describing the overall assessment of criticism (Galvan &amp;amp; Galvan, 2017). After the introduction, the critic summarises the main arguments and themes of </w:t>
      </w:r>
      <w:r w:rsidRPr="00174D5D">
        <w:rPr>
          <w:rFonts w:ascii="Times New Roman" w:eastAsia="Times New Roman" w:hAnsi="Times New Roman" w:cs="Times New Roman"/>
          <w:kern w:val="0"/>
          <w:sz w:val="28"/>
          <w:szCs w:val="28"/>
          <w:lang w:eastAsia="en-GB"/>
          <w14:ligatures w14:val="none"/>
        </w:rPr>
        <w:lastRenderedPageBreak/>
        <w:t xml:space="preserve">the book, providing readers with an understanding of the basic content without requiring a reading of the whole work. This summary is intrinsically critical; It allows the reviewer to engage with the main claims of the text in a critical way, to connect them to the existing literature and to indicate the areas of force and weakness (Bettany-Saltikov &amp;amp; </w:t>
      </w:r>
      <w:proofErr w:type="spellStart"/>
      <w:r w:rsidRPr="00174D5D">
        <w:rPr>
          <w:rFonts w:ascii="Times New Roman" w:eastAsia="Times New Roman" w:hAnsi="Times New Roman" w:cs="Times New Roman"/>
          <w:kern w:val="0"/>
          <w:sz w:val="28"/>
          <w:szCs w:val="28"/>
          <w:lang w:eastAsia="en-GB"/>
          <w14:ligatures w14:val="none"/>
        </w:rPr>
        <w:t>Mcsherry</w:t>
      </w:r>
      <w:proofErr w:type="spellEnd"/>
      <w:r w:rsidRPr="00174D5D">
        <w:rPr>
          <w:rFonts w:ascii="Times New Roman" w:eastAsia="Times New Roman" w:hAnsi="Times New Roman" w:cs="Times New Roman"/>
          <w:kern w:val="0"/>
          <w:sz w:val="28"/>
          <w:szCs w:val="28"/>
          <w:lang w:eastAsia="en-GB"/>
          <w14:ligatures w14:val="none"/>
        </w:rPr>
        <w:t>, 2024).</w:t>
      </w:r>
      <w:r w:rsidRPr="009E7DF7">
        <w:rPr>
          <w:rFonts w:ascii="Times New Roman" w:eastAsia="Times New Roman" w:hAnsi="Times New Roman" w:cs="Times New Roman"/>
          <w:kern w:val="0"/>
          <w:sz w:val="28"/>
          <w:szCs w:val="28"/>
          <w:lang w:eastAsia="en-GB"/>
          <w14:ligatures w14:val="none"/>
        </w:rPr>
        <w:t xml:space="preserve">   </w:t>
      </w:r>
    </w:p>
    <w:p w14:paraId="617439EF"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The critical analysis section of a book review is perhaps the most important, where criticisms dissect the author methodologies, theoretical frameworks and conclusions. The examinations must not only affirm the work contributions but also question his hypotheses, his relevance and his conclusions (</w:t>
      </w:r>
      <w:proofErr w:type="spellStart"/>
      <w:r w:rsidRPr="00174D5D">
        <w:rPr>
          <w:rFonts w:ascii="Times New Roman" w:eastAsia="Times New Roman" w:hAnsi="Times New Roman" w:cs="Times New Roman"/>
          <w:kern w:val="0"/>
          <w:sz w:val="28"/>
          <w:szCs w:val="28"/>
          <w:lang w:eastAsia="en-GB"/>
          <w14:ligatures w14:val="none"/>
        </w:rPr>
        <w:t>Granić</w:t>
      </w:r>
      <w:proofErr w:type="spellEnd"/>
      <w:r w:rsidRPr="00174D5D">
        <w:rPr>
          <w:rFonts w:ascii="Times New Roman" w:eastAsia="Times New Roman" w:hAnsi="Times New Roman" w:cs="Times New Roman"/>
          <w:kern w:val="0"/>
          <w:sz w:val="28"/>
          <w:szCs w:val="28"/>
          <w:lang w:eastAsia="en-GB"/>
          <w14:ligatures w14:val="none"/>
        </w:rPr>
        <w:t xml:space="preserve"> and </w:t>
      </w:r>
      <w:proofErr w:type="spellStart"/>
      <w:r w:rsidRPr="00174D5D">
        <w:rPr>
          <w:rFonts w:ascii="Times New Roman" w:eastAsia="Times New Roman" w:hAnsi="Times New Roman" w:cs="Times New Roman"/>
          <w:kern w:val="0"/>
          <w:sz w:val="28"/>
          <w:szCs w:val="28"/>
          <w:lang w:eastAsia="en-GB"/>
          <w14:ligatures w14:val="none"/>
        </w:rPr>
        <w:t>Marangunić</w:t>
      </w:r>
      <w:proofErr w:type="spellEnd"/>
      <w:r w:rsidRPr="00174D5D">
        <w:rPr>
          <w:rFonts w:ascii="Times New Roman" w:eastAsia="Times New Roman" w:hAnsi="Times New Roman" w:cs="Times New Roman"/>
          <w:kern w:val="0"/>
          <w:sz w:val="28"/>
          <w:szCs w:val="28"/>
          <w:lang w:eastAsia="en-GB"/>
          <w14:ligatures w14:val="none"/>
        </w:rPr>
        <w:t>, 2019). Such a rigorous examination encourages deeper learned dialogue and invites readers to consider alternative points of view or to propose additional research, which advances the field. For example, when a review criticises the validity of the results of a study or the solidity of its methodology, it serves as a management exercise in academic integrity and encourages authors to comply with high standards in their research practices.</w:t>
      </w:r>
      <w:r w:rsidRPr="009E7DF7">
        <w:rPr>
          <w:rFonts w:ascii="Times New Roman" w:eastAsia="Times New Roman" w:hAnsi="Times New Roman" w:cs="Times New Roman"/>
          <w:kern w:val="0"/>
          <w:sz w:val="28"/>
          <w:szCs w:val="28"/>
          <w:lang w:eastAsia="en-GB"/>
          <w14:ligatures w14:val="none"/>
        </w:rPr>
        <w:t xml:space="preserve">  </w:t>
      </w:r>
    </w:p>
    <w:p w14:paraId="17D0CE1E"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In the final remarks on the journal, the examiner can offer recommendations for a potential audience and suggest much more reading or areas for new research. This aspect of book criticism is important; It not only helps to position work in the broader academic landscape but also highlights the interdependence of various studies, theories and methodologies in a specific field (Strayhorn, 2018). This network of knowledge is crucial for educators and researchers as they seek to locate their own work in the current university discourse.</w:t>
      </w:r>
      <w:r w:rsidRPr="009E7DF7">
        <w:rPr>
          <w:rFonts w:ascii="Times New Roman" w:eastAsia="Times New Roman" w:hAnsi="Times New Roman" w:cs="Times New Roman"/>
          <w:kern w:val="0"/>
          <w:sz w:val="28"/>
          <w:szCs w:val="28"/>
          <w:lang w:eastAsia="en-GB"/>
          <w14:ligatures w14:val="none"/>
        </w:rPr>
        <w:t xml:space="preserve"> </w:t>
      </w:r>
    </w:p>
    <w:p w14:paraId="35BB6B8D"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The importance of criticism of university books transcends the simple evaluation of individual work; They play an essential role in the evaluation and evolution of whole areas of study. By engaging with new publications, the examiners contribute to what Booth et al. (2021) called a process of review of systematic literature, which not only catalogues existing research but also highlights gaps and inconsistencies in knowledge. Therefore, critics of university books help clarify the state of scholarships and facilitate a more in -depth understanding of the evolution of paradigms, trends and pivotal themes within specific disciplines.</w:t>
      </w:r>
      <w:r w:rsidRPr="009E7DF7">
        <w:rPr>
          <w:rFonts w:ascii="Times New Roman" w:eastAsia="Times New Roman" w:hAnsi="Times New Roman" w:cs="Times New Roman"/>
          <w:kern w:val="0"/>
          <w:sz w:val="28"/>
          <w:szCs w:val="28"/>
          <w:lang w:eastAsia="en-GB"/>
          <w14:ligatures w14:val="none"/>
        </w:rPr>
        <w:t xml:space="preserve">  </w:t>
      </w:r>
    </w:p>
    <w:p w14:paraId="2F6F7804" w14:textId="77777777" w:rsidR="00174D5D" w:rsidRPr="009E7DF7"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 xml:space="preserve">In addition, criticisms of university books are not only intended for academics; They serve as invaluable resources for students and professionals who seek to deepen their understanding of an area. The summary and evaluative information can guide new arrivals in the field to navigate in complex literature organs by identifying seminal works and current debates (Dichev and </w:t>
      </w:r>
      <w:proofErr w:type="spellStart"/>
      <w:r w:rsidRPr="00174D5D">
        <w:rPr>
          <w:rFonts w:ascii="Times New Roman" w:eastAsia="Times New Roman" w:hAnsi="Times New Roman" w:cs="Times New Roman"/>
          <w:kern w:val="0"/>
          <w:sz w:val="28"/>
          <w:szCs w:val="28"/>
          <w:lang w:eastAsia="en-GB"/>
          <w14:ligatures w14:val="none"/>
        </w:rPr>
        <w:t>Dicheva</w:t>
      </w:r>
      <w:proofErr w:type="spellEnd"/>
      <w:r w:rsidRPr="00174D5D">
        <w:rPr>
          <w:rFonts w:ascii="Times New Roman" w:eastAsia="Times New Roman" w:hAnsi="Times New Roman" w:cs="Times New Roman"/>
          <w:kern w:val="0"/>
          <w:sz w:val="28"/>
          <w:szCs w:val="28"/>
          <w:lang w:eastAsia="en-GB"/>
          <w14:ligatures w14:val="none"/>
        </w:rPr>
        <w:t xml:space="preserve">, 2017). In education, for example, systematic journals shed light on teaching practices and the development of programs by providing information based on evidence on effective methodologies and approaches (Bettany-Saltikov and </w:t>
      </w:r>
      <w:r w:rsidRPr="00174D5D">
        <w:rPr>
          <w:rFonts w:ascii="Times New Roman" w:eastAsia="Times New Roman" w:hAnsi="Times New Roman" w:cs="Times New Roman"/>
          <w:kern w:val="0"/>
          <w:sz w:val="28"/>
          <w:szCs w:val="28"/>
          <w:lang w:eastAsia="en-GB"/>
          <w14:ligatures w14:val="none"/>
        </w:rPr>
        <w:lastRenderedPageBreak/>
        <w:t>McSherry, 2024). The accessibility of books facilitates the dialogue and sharing of knowledge in progress, which is essential in the increasingly interconnected global academic environment of today.</w:t>
      </w: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 xml:space="preserve">The role of the criticism of university books in learned discourse cannot be overestimated. They promote a dynamic intellectual community by anchoring new works in existing frameworks, offering constructive criticism and establishing links between various investigations. While researchers are committed to book criticism, they participate in a broader conversation that improves their own work and informs their understanding of the </w:t>
      </w:r>
      <w:r w:rsidRPr="009E7DF7">
        <w:rPr>
          <w:rFonts w:ascii="Times New Roman" w:eastAsia="Times New Roman" w:hAnsi="Times New Roman" w:cs="Times New Roman"/>
          <w:kern w:val="0"/>
          <w:sz w:val="28"/>
          <w:szCs w:val="28"/>
          <w:lang w:eastAsia="en-GB"/>
          <w14:ligatures w14:val="none"/>
        </w:rPr>
        <w:t>domain</w:t>
      </w:r>
      <w:r w:rsidRPr="00174D5D">
        <w:rPr>
          <w:rFonts w:ascii="Times New Roman" w:eastAsia="Times New Roman" w:hAnsi="Times New Roman" w:cs="Times New Roman"/>
          <w:kern w:val="0"/>
          <w:sz w:val="28"/>
          <w:szCs w:val="28"/>
          <w:lang w:eastAsia="en-GB"/>
          <w14:ligatures w14:val="none"/>
        </w:rPr>
        <w:t xml:space="preserve"> (Galvan and Galvan, 2017).</w:t>
      </w:r>
      <w:r w:rsidRPr="009E7DF7">
        <w:rPr>
          <w:rFonts w:ascii="Times New Roman" w:eastAsia="Times New Roman" w:hAnsi="Times New Roman" w:cs="Times New Roman"/>
          <w:kern w:val="0"/>
          <w:sz w:val="28"/>
          <w:szCs w:val="28"/>
          <w:lang w:eastAsia="en-GB"/>
          <w14:ligatures w14:val="none"/>
        </w:rPr>
        <w:t xml:space="preserve">   </w:t>
      </w:r>
    </w:p>
    <w:p w14:paraId="68C028A6" w14:textId="1658F0D0"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E7DF7">
        <w:rPr>
          <w:rFonts w:ascii="Times New Roman" w:eastAsia="Times New Roman" w:hAnsi="Times New Roman" w:cs="Times New Roman"/>
          <w:kern w:val="0"/>
          <w:sz w:val="28"/>
          <w:szCs w:val="28"/>
          <w:lang w:eastAsia="en-GB"/>
          <w14:ligatures w14:val="none"/>
        </w:rPr>
        <w:t xml:space="preserve">     </w:t>
      </w:r>
      <w:r w:rsidRPr="00174D5D">
        <w:rPr>
          <w:rFonts w:ascii="Times New Roman" w:eastAsia="Times New Roman" w:hAnsi="Times New Roman" w:cs="Times New Roman"/>
          <w:kern w:val="0"/>
          <w:sz w:val="28"/>
          <w:szCs w:val="28"/>
          <w:lang w:eastAsia="en-GB"/>
          <w14:ligatures w14:val="none"/>
        </w:rPr>
        <w:t>In conclusion, criticisms of university books are essential to learned discourse, providing structured and critical assessments of new publications that enrich the understanding of the academic community in various fields of study. Their objective extends beyond the evaluation; They cultivate continuous dialogue, clarify current knowledge, and guide future research orientations. By systematically engaging with newly published work, examiners significantly contribute to the evolution of disciplines, ensuring that the stock market remains dynamic, relevant and rigorously tested. As such, criticism of university books must be recognised not only as an evaluation tool but also as a pivotal component of learned communication and the progress of knowledge.</w:t>
      </w:r>
    </w:p>
    <w:p w14:paraId="061A644A" w14:textId="77777777" w:rsidR="00174D5D" w:rsidRPr="009E7DF7" w:rsidRDefault="00174D5D" w:rsidP="00174D5D">
      <w:pPr>
        <w:spacing w:before="100" w:beforeAutospacing="1" w:after="100" w:afterAutospacing="1"/>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w:t>
      </w:r>
      <w:r w:rsidRPr="009E7DF7">
        <w:rPr>
          <w:rFonts w:ascii="Times New Roman" w:eastAsia="Times New Roman" w:hAnsi="Times New Roman" w:cs="Times New Roman"/>
          <w:b/>
          <w:bCs/>
          <w:kern w:val="0"/>
          <w:sz w:val="28"/>
          <w:szCs w:val="28"/>
          <w:lang w:eastAsia="en-GB"/>
          <w14:ligatures w14:val="none"/>
        </w:rPr>
        <w:t>References</w:t>
      </w:r>
    </w:p>
    <w:p w14:paraId="3D861D76"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xml:space="preserve">Bettany-Saltikov, J. and McSherry, R., 2024. </w:t>
      </w:r>
      <w:r w:rsidRPr="00174D5D">
        <w:rPr>
          <w:rFonts w:ascii="Times New Roman" w:eastAsia="Times New Roman" w:hAnsi="Times New Roman" w:cs="Times New Roman"/>
          <w:i/>
          <w:iCs/>
          <w:kern w:val="0"/>
          <w:sz w:val="28"/>
          <w:szCs w:val="28"/>
          <w:lang w:eastAsia="en-GB"/>
          <w14:ligatures w14:val="none"/>
        </w:rPr>
        <w:t>How to do a Systematic Literature Review in Nursing: A Step-by-Step Guide</w:t>
      </w:r>
      <w:r w:rsidRPr="00174D5D">
        <w:rPr>
          <w:rFonts w:ascii="Times New Roman" w:eastAsia="Times New Roman" w:hAnsi="Times New Roman" w:cs="Times New Roman"/>
          <w:kern w:val="0"/>
          <w:sz w:val="28"/>
          <w:szCs w:val="28"/>
          <w:lang w:eastAsia="en-GB"/>
          <w14:ligatures w14:val="none"/>
        </w:rPr>
        <w:t>. 3rd ed. London: Open University Press.</w:t>
      </w:r>
    </w:p>
    <w:p w14:paraId="5D2502A5"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xml:space="preserve">Booth, A., Martyn-St James, M., Clowes, M. and Sutton, A., 2021. </w:t>
      </w:r>
      <w:r w:rsidRPr="00174D5D">
        <w:rPr>
          <w:rFonts w:ascii="Times New Roman" w:eastAsia="Times New Roman" w:hAnsi="Times New Roman" w:cs="Times New Roman"/>
          <w:i/>
          <w:iCs/>
          <w:kern w:val="0"/>
          <w:sz w:val="28"/>
          <w:szCs w:val="28"/>
          <w:lang w:eastAsia="en-GB"/>
          <w14:ligatures w14:val="none"/>
        </w:rPr>
        <w:t>Systematic Approaches to a Successful Literature Review</w:t>
      </w:r>
      <w:r w:rsidRPr="00174D5D">
        <w:rPr>
          <w:rFonts w:ascii="Times New Roman" w:eastAsia="Times New Roman" w:hAnsi="Times New Roman" w:cs="Times New Roman"/>
          <w:kern w:val="0"/>
          <w:sz w:val="28"/>
          <w:szCs w:val="28"/>
          <w:lang w:eastAsia="en-GB"/>
          <w14:ligatures w14:val="none"/>
        </w:rPr>
        <w:t>. 3rd ed. London: SAGE Publications.</w:t>
      </w:r>
    </w:p>
    <w:p w14:paraId="6FE3586B"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xml:space="preserve">Dichev, C. and </w:t>
      </w:r>
      <w:proofErr w:type="spellStart"/>
      <w:r w:rsidRPr="00174D5D">
        <w:rPr>
          <w:rFonts w:ascii="Times New Roman" w:eastAsia="Times New Roman" w:hAnsi="Times New Roman" w:cs="Times New Roman"/>
          <w:kern w:val="0"/>
          <w:sz w:val="28"/>
          <w:szCs w:val="28"/>
          <w:lang w:eastAsia="en-GB"/>
          <w14:ligatures w14:val="none"/>
        </w:rPr>
        <w:t>Dicheva</w:t>
      </w:r>
      <w:proofErr w:type="spellEnd"/>
      <w:r w:rsidRPr="00174D5D">
        <w:rPr>
          <w:rFonts w:ascii="Times New Roman" w:eastAsia="Times New Roman" w:hAnsi="Times New Roman" w:cs="Times New Roman"/>
          <w:kern w:val="0"/>
          <w:sz w:val="28"/>
          <w:szCs w:val="28"/>
          <w:lang w:eastAsia="en-GB"/>
          <w14:ligatures w14:val="none"/>
        </w:rPr>
        <w:t xml:space="preserve">, D., 2017. Gamifying education: what is known, what is believed and what remains uncertain: a critical review. </w:t>
      </w:r>
      <w:r w:rsidRPr="00174D5D">
        <w:rPr>
          <w:rFonts w:ascii="Times New Roman" w:eastAsia="Times New Roman" w:hAnsi="Times New Roman" w:cs="Times New Roman"/>
          <w:i/>
          <w:iCs/>
          <w:kern w:val="0"/>
          <w:sz w:val="28"/>
          <w:szCs w:val="28"/>
          <w:lang w:eastAsia="en-GB"/>
          <w14:ligatures w14:val="none"/>
        </w:rPr>
        <w:t>International Journal of Educational Technology in Higher Education</w:t>
      </w:r>
      <w:r w:rsidRPr="00174D5D">
        <w:rPr>
          <w:rFonts w:ascii="Times New Roman" w:eastAsia="Times New Roman" w:hAnsi="Times New Roman" w:cs="Times New Roman"/>
          <w:kern w:val="0"/>
          <w:sz w:val="28"/>
          <w:szCs w:val="28"/>
          <w:lang w:eastAsia="en-GB"/>
          <w14:ligatures w14:val="none"/>
        </w:rPr>
        <w:t>, 14(1), pp.1–36.</w:t>
      </w:r>
    </w:p>
    <w:p w14:paraId="7FC3F0F6"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xml:space="preserve">Galvan, J.L. and Galvan, M.C., 2017. </w:t>
      </w:r>
      <w:r w:rsidRPr="00174D5D">
        <w:rPr>
          <w:rFonts w:ascii="Times New Roman" w:eastAsia="Times New Roman" w:hAnsi="Times New Roman" w:cs="Times New Roman"/>
          <w:i/>
          <w:iCs/>
          <w:kern w:val="0"/>
          <w:sz w:val="28"/>
          <w:szCs w:val="28"/>
          <w:lang w:eastAsia="en-GB"/>
          <w14:ligatures w14:val="none"/>
        </w:rPr>
        <w:t xml:space="preserve">Writing Literature Reviews: A Guide for Students of the Social and </w:t>
      </w:r>
      <w:proofErr w:type="spellStart"/>
      <w:r w:rsidRPr="00174D5D">
        <w:rPr>
          <w:rFonts w:ascii="Times New Roman" w:eastAsia="Times New Roman" w:hAnsi="Times New Roman" w:cs="Times New Roman"/>
          <w:i/>
          <w:iCs/>
          <w:kern w:val="0"/>
          <w:sz w:val="28"/>
          <w:szCs w:val="28"/>
          <w:lang w:eastAsia="en-GB"/>
          <w14:ligatures w14:val="none"/>
        </w:rPr>
        <w:t>Behavioral</w:t>
      </w:r>
      <w:proofErr w:type="spellEnd"/>
      <w:r w:rsidRPr="00174D5D">
        <w:rPr>
          <w:rFonts w:ascii="Times New Roman" w:eastAsia="Times New Roman" w:hAnsi="Times New Roman" w:cs="Times New Roman"/>
          <w:i/>
          <w:iCs/>
          <w:kern w:val="0"/>
          <w:sz w:val="28"/>
          <w:szCs w:val="28"/>
          <w:lang w:eastAsia="en-GB"/>
          <w14:ligatures w14:val="none"/>
        </w:rPr>
        <w:t xml:space="preserve"> Sciences</w:t>
      </w:r>
      <w:r w:rsidRPr="00174D5D">
        <w:rPr>
          <w:rFonts w:ascii="Times New Roman" w:eastAsia="Times New Roman" w:hAnsi="Times New Roman" w:cs="Times New Roman"/>
          <w:kern w:val="0"/>
          <w:sz w:val="28"/>
          <w:szCs w:val="28"/>
          <w:lang w:eastAsia="en-GB"/>
          <w14:ligatures w14:val="none"/>
        </w:rPr>
        <w:t>. 7th ed. New York: Routledge.</w:t>
      </w:r>
    </w:p>
    <w:p w14:paraId="1B000362"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174D5D">
        <w:rPr>
          <w:rFonts w:ascii="Times New Roman" w:eastAsia="Times New Roman" w:hAnsi="Times New Roman" w:cs="Times New Roman"/>
          <w:kern w:val="0"/>
          <w:sz w:val="28"/>
          <w:szCs w:val="28"/>
          <w:lang w:eastAsia="en-GB"/>
          <w14:ligatures w14:val="none"/>
        </w:rPr>
        <w:t>Granić</w:t>
      </w:r>
      <w:proofErr w:type="spellEnd"/>
      <w:r w:rsidRPr="00174D5D">
        <w:rPr>
          <w:rFonts w:ascii="Times New Roman" w:eastAsia="Times New Roman" w:hAnsi="Times New Roman" w:cs="Times New Roman"/>
          <w:kern w:val="0"/>
          <w:sz w:val="28"/>
          <w:szCs w:val="28"/>
          <w:lang w:eastAsia="en-GB"/>
          <w14:ligatures w14:val="none"/>
        </w:rPr>
        <w:t xml:space="preserve">, A. and </w:t>
      </w:r>
      <w:proofErr w:type="spellStart"/>
      <w:r w:rsidRPr="00174D5D">
        <w:rPr>
          <w:rFonts w:ascii="Times New Roman" w:eastAsia="Times New Roman" w:hAnsi="Times New Roman" w:cs="Times New Roman"/>
          <w:kern w:val="0"/>
          <w:sz w:val="28"/>
          <w:szCs w:val="28"/>
          <w:lang w:eastAsia="en-GB"/>
          <w14:ligatures w14:val="none"/>
        </w:rPr>
        <w:t>Marangunić</w:t>
      </w:r>
      <w:proofErr w:type="spellEnd"/>
      <w:r w:rsidRPr="00174D5D">
        <w:rPr>
          <w:rFonts w:ascii="Times New Roman" w:eastAsia="Times New Roman" w:hAnsi="Times New Roman" w:cs="Times New Roman"/>
          <w:kern w:val="0"/>
          <w:sz w:val="28"/>
          <w:szCs w:val="28"/>
          <w:lang w:eastAsia="en-GB"/>
          <w14:ligatures w14:val="none"/>
        </w:rPr>
        <w:t xml:space="preserve">, N., 2019. Technology acceptance model in the educational context: A systematic literature review. </w:t>
      </w:r>
      <w:r w:rsidRPr="00174D5D">
        <w:rPr>
          <w:rFonts w:ascii="Times New Roman" w:eastAsia="Times New Roman" w:hAnsi="Times New Roman" w:cs="Times New Roman"/>
          <w:i/>
          <w:iCs/>
          <w:kern w:val="0"/>
          <w:sz w:val="28"/>
          <w:szCs w:val="28"/>
          <w:lang w:eastAsia="en-GB"/>
          <w14:ligatures w14:val="none"/>
        </w:rPr>
        <w:t>British Journal of Educational Technology</w:t>
      </w:r>
      <w:r w:rsidRPr="00174D5D">
        <w:rPr>
          <w:rFonts w:ascii="Times New Roman" w:eastAsia="Times New Roman" w:hAnsi="Times New Roman" w:cs="Times New Roman"/>
          <w:kern w:val="0"/>
          <w:sz w:val="28"/>
          <w:szCs w:val="28"/>
          <w:lang w:eastAsia="en-GB"/>
          <w14:ligatures w14:val="none"/>
        </w:rPr>
        <w:t>, 50(5), pp.2572–2593.</w:t>
      </w:r>
    </w:p>
    <w:p w14:paraId="6A8E7D5F"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74D5D">
        <w:rPr>
          <w:rFonts w:ascii="Times New Roman" w:eastAsia="Times New Roman" w:hAnsi="Times New Roman" w:cs="Times New Roman"/>
          <w:kern w:val="0"/>
          <w:sz w:val="28"/>
          <w:szCs w:val="28"/>
          <w:lang w:eastAsia="en-GB"/>
          <w14:ligatures w14:val="none"/>
        </w:rPr>
        <w:t xml:space="preserve">Strayhorn, T.L., 2018. </w:t>
      </w:r>
      <w:r w:rsidRPr="00174D5D">
        <w:rPr>
          <w:rFonts w:ascii="Times New Roman" w:eastAsia="Times New Roman" w:hAnsi="Times New Roman" w:cs="Times New Roman"/>
          <w:i/>
          <w:iCs/>
          <w:kern w:val="0"/>
          <w:sz w:val="28"/>
          <w:szCs w:val="28"/>
          <w:lang w:eastAsia="en-GB"/>
          <w14:ligatures w14:val="none"/>
        </w:rPr>
        <w:t>College Students’ Sense of Belonging: A Key to Educational Success for All Students</w:t>
      </w:r>
      <w:r w:rsidRPr="00174D5D">
        <w:rPr>
          <w:rFonts w:ascii="Times New Roman" w:eastAsia="Times New Roman" w:hAnsi="Times New Roman" w:cs="Times New Roman"/>
          <w:kern w:val="0"/>
          <w:sz w:val="28"/>
          <w:szCs w:val="28"/>
          <w:lang w:eastAsia="en-GB"/>
          <w14:ligatures w14:val="none"/>
        </w:rPr>
        <w:t>. 2nd ed. New York: Routledge.</w:t>
      </w:r>
    </w:p>
    <w:p w14:paraId="776C9D3E" w14:textId="77777777"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174D5D">
        <w:rPr>
          <w:rFonts w:ascii="Times New Roman" w:eastAsia="Times New Roman" w:hAnsi="Times New Roman" w:cs="Times New Roman"/>
          <w:kern w:val="0"/>
          <w:sz w:val="28"/>
          <w:szCs w:val="28"/>
          <w:lang w:eastAsia="en-GB"/>
          <w14:ligatures w14:val="none"/>
        </w:rPr>
        <w:lastRenderedPageBreak/>
        <w:t>Vassileva</w:t>
      </w:r>
      <w:proofErr w:type="spellEnd"/>
      <w:r w:rsidRPr="00174D5D">
        <w:rPr>
          <w:rFonts w:ascii="Times New Roman" w:eastAsia="Times New Roman" w:hAnsi="Times New Roman" w:cs="Times New Roman"/>
          <w:kern w:val="0"/>
          <w:sz w:val="28"/>
          <w:szCs w:val="28"/>
          <w:lang w:eastAsia="en-GB"/>
          <w14:ligatures w14:val="none"/>
        </w:rPr>
        <w:t xml:space="preserve">, I., 2023. The Academic Book Review. In: I. </w:t>
      </w:r>
      <w:proofErr w:type="spellStart"/>
      <w:r w:rsidRPr="00174D5D">
        <w:rPr>
          <w:rFonts w:ascii="Times New Roman" w:eastAsia="Times New Roman" w:hAnsi="Times New Roman" w:cs="Times New Roman"/>
          <w:kern w:val="0"/>
          <w:sz w:val="28"/>
          <w:szCs w:val="28"/>
          <w:lang w:eastAsia="en-GB"/>
          <w14:ligatures w14:val="none"/>
        </w:rPr>
        <w:t>Vassileva</w:t>
      </w:r>
      <w:proofErr w:type="spellEnd"/>
      <w:r w:rsidRPr="00174D5D">
        <w:rPr>
          <w:rFonts w:ascii="Times New Roman" w:eastAsia="Times New Roman" w:hAnsi="Times New Roman" w:cs="Times New Roman"/>
          <w:kern w:val="0"/>
          <w:sz w:val="28"/>
          <w:szCs w:val="28"/>
          <w:lang w:eastAsia="en-GB"/>
          <w14:ligatures w14:val="none"/>
        </w:rPr>
        <w:t xml:space="preserve">, ed. </w:t>
      </w:r>
      <w:r w:rsidRPr="00174D5D">
        <w:rPr>
          <w:rFonts w:ascii="Times New Roman" w:eastAsia="Times New Roman" w:hAnsi="Times New Roman" w:cs="Times New Roman"/>
          <w:i/>
          <w:iCs/>
          <w:kern w:val="0"/>
          <w:sz w:val="28"/>
          <w:szCs w:val="28"/>
          <w:lang w:eastAsia="en-GB"/>
          <w14:ligatures w14:val="none"/>
        </w:rPr>
        <w:t>Confrontation in Academic Communication</w:t>
      </w:r>
      <w:r w:rsidRPr="00174D5D">
        <w:rPr>
          <w:rFonts w:ascii="Times New Roman" w:eastAsia="Times New Roman" w:hAnsi="Times New Roman" w:cs="Times New Roman"/>
          <w:kern w:val="0"/>
          <w:sz w:val="28"/>
          <w:szCs w:val="28"/>
          <w:lang w:eastAsia="en-GB"/>
          <w14:ligatures w14:val="none"/>
        </w:rPr>
        <w:t>. Cham: Springer Nature Switzerland, pp.33–70.</w:t>
      </w:r>
    </w:p>
    <w:p w14:paraId="2EE4697C" w14:textId="1CD95DC5" w:rsidR="00174D5D" w:rsidRPr="00174D5D" w:rsidRDefault="00174D5D" w:rsidP="00174D5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F30A57" w14:textId="77777777" w:rsidR="002B16FA" w:rsidRDefault="002B16FA"/>
    <w:sectPr w:rsidR="002B16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C38BB" w14:textId="77777777" w:rsidR="008200A8" w:rsidRDefault="008200A8" w:rsidP="00B77D3B">
      <w:pPr>
        <w:spacing w:after="0" w:line="240" w:lineRule="auto"/>
      </w:pPr>
      <w:r>
        <w:separator/>
      </w:r>
    </w:p>
  </w:endnote>
  <w:endnote w:type="continuationSeparator" w:id="0">
    <w:p w14:paraId="2E3E0FF0" w14:textId="77777777" w:rsidR="008200A8" w:rsidRDefault="008200A8" w:rsidP="00B77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D05BB" w14:textId="77777777" w:rsidR="008200A8" w:rsidRDefault="008200A8" w:rsidP="00B77D3B">
      <w:pPr>
        <w:spacing w:after="0" w:line="240" w:lineRule="auto"/>
      </w:pPr>
      <w:r>
        <w:separator/>
      </w:r>
    </w:p>
  </w:footnote>
  <w:footnote w:type="continuationSeparator" w:id="0">
    <w:p w14:paraId="2FC0CB0C" w14:textId="77777777" w:rsidR="008200A8" w:rsidRDefault="008200A8" w:rsidP="00B77D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D5D"/>
    <w:rsid w:val="00174D5D"/>
    <w:rsid w:val="002B16FA"/>
    <w:rsid w:val="006C0F9D"/>
    <w:rsid w:val="008200A8"/>
    <w:rsid w:val="009E7DF7"/>
    <w:rsid w:val="00B77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0C0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4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D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4D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4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D5D"/>
    <w:rPr>
      <w:rFonts w:eastAsiaTheme="majorEastAsia" w:cstheme="majorBidi"/>
      <w:color w:val="272727" w:themeColor="text1" w:themeTint="D8"/>
    </w:rPr>
  </w:style>
  <w:style w:type="paragraph" w:styleId="Title">
    <w:name w:val="Title"/>
    <w:basedOn w:val="Normal"/>
    <w:next w:val="Normal"/>
    <w:link w:val="TitleChar"/>
    <w:uiPriority w:val="10"/>
    <w:qFormat/>
    <w:rsid w:val="00174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D5D"/>
    <w:pPr>
      <w:spacing w:before="160"/>
      <w:jc w:val="center"/>
    </w:pPr>
    <w:rPr>
      <w:i/>
      <w:iCs/>
      <w:color w:val="404040" w:themeColor="text1" w:themeTint="BF"/>
    </w:rPr>
  </w:style>
  <w:style w:type="character" w:customStyle="1" w:styleId="QuoteChar">
    <w:name w:val="Quote Char"/>
    <w:basedOn w:val="DefaultParagraphFont"/>
    <w:link w:val="Quote"/>
    <w:uiPriority w:val="29"/>
    <w:rsid w:val="00174D5D"/>
    <w:rPr>
      <w:i/>
      <w:iCs/>
      <w:color w:val="404040" w:themeColor="text1" w:themeTint="BF"/>
    </w:rPr>
  </w:style>
  <w:style w:type="paragraph" w:styleId="ListParagraph">
    <w:name w:val="List Paragraph"/>
    <w:basedOn w:val="Normal"/>
    <w:uiPriority w:val="34"/>
    <w:qFormat/>
    <w:rsid w:val="00174D5D"/>
    <w:pPr>
      <w:ind w:left="720"/>
      <w:contextualSpacing/>
    </w:pPr>
  </w:style>
  <w:style w:type="character" w:styleId="IntenseEmphasis">
    <w:name w:val="Intense Emphasis"/>
    <w:basedOn w:val="DefaultParagraphFont"/>
    <w:uiPriority w:val="21"/>
    <w:qFormat/>
    <w:rsid w:val="00174D5D"/>
    <w:rPr>
      <w:i/>
      <w:iCs/>
      <w:color w:val="0F4761" w:themeColor="accent1" w:themeShade="BF"/>
    </w:rPr>
  </w:style>
  <w:style w:type="paragraph" w:styleId="IntenseQuote">
    <w:name w:val="Intense Quote"/>
    <w:basedOn w:val="Normal"/>
    <w:next w:val="Normal"/>
    <w:link w:val="IntenseQuoteChar"/>
    <w:uiPriority w:val="30"/>
    <w:qFormat/>
    <w:rsid w:val="00174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D5D"/>
    <w:rPr>
      <w:i/>
      <w:iCs/>
      <w:color w:val="0F4761" w:themeColor="accent1" w:themeShade="BF"/>
    </w:rPr>
  </w:style>
  <w:style w:type="character" w:styleId="IntenseReference">
    <w:name w:val="Intense Reference"/>
    <w:basedOn w:val="DefaultParagraphFont"/>
    <w:uiPriority w:val="32"/>
    <w:qFormat/>
    <w:rsid w:val="00174D5D"/>
    <w:rPr>
      <w:b/>
      <w:bCs/>
      <w:smallCaps/>
      <w:color w:val="0F4761" w:themeColor="accent1" w:themeShade="BF"/>
      <w:spacing w:val="5"/>
    </w:rPr>
  </w:style>
  <w:style w:type="paragraph" w:styleId="Header">
    <w:name w:val="header"/>
    <w:basedOn w:val="Normal"/>
    <w:link w:val="HeaderChar"/>
    <w:uiPriority w:val="99"/>
    <w:unhideWhenUsed/>
    <w:rsid w:val="00B77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D3B"/>
  </w:style>
  <w:style w:type="paragraph" w:styleId="Footer">
    <w:name w:val="footer"/>
    <w:basedOn w:val="Normal"/>
    <w:link w:val="FooterChar"/>
    <w:uiPriority w:val="99"/>
    <w:unhideWhenUsed/>
    <w:rsid w:val="00B77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662511">
      <w:bodyDiv w:val="1"/>
      <w:marLeft w:val="0"/>
      <w:marRight w:val="0"/>
      <w:marTop w:val="0"/>
      <w:marBottom w:val="0"/>
      <w:divBdr>
        <w:top w:val="none" w:sz="0" w:space="0" w:color="auto"/>
        <w:left w:val="none" w:sz="0" w:space="0" w:color="auto"/>
        <w:bottom w:val="none" w:sz="0" w:space="0" w:color="auto"/>
        <w:right w:val="none" w:sz="0" w:space="0" w:color="auto"/>
      </w:divBdr>
    </w:div>
    <w:div w:id="119939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6441</Characters>
  <Application>Microsoft Office Word</Application>
  <DocSecurity>0</DocSecurity>
  <Lines>53</Lines>
  <Paragraphs>15</Paragraphs>
  <ScaleCrop>false</ScaleCrop>
  <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2025-04-30T10:36:00Z</dcterms:created>
  <dcterms:modified xsi:type="dcterms:W3CDTF">2025-04-30T10:36:00Z</dcterms:modified>
</cp:coreProperties>
</file>