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525699" w14:textId="77777777" w:rsidR="008269CA" w:rsidRPr="008269CA" w:rsidRDefault="008269CA" w:rsidP="008269CA">
      <w:pPr>
        <w:rPr>
          <w:b/>
          <w:sz w:val="28"/>
          <w:szCs w:val="28"/>
          <w:u w:val="single"/>
        </w:rPr>
      </w:pPr>
      <w:r w:rsidRPr="008269CA">
        <w:rPr>
          <w:b/>
          <w:sz w:val="28"/>
          <w:szCs w:val="28"/>
          <w:u w:val="single"/>
        </w:rPr>
        <w:t>Critically explore the issues that can have an impact on the mental health and well-being in young people.</w:t>
      </w:r>
    </w:p>
    <w:p w14:paraId="16D11802" w14:textId="77777777" w:rsidR="008269CA" w:rsidRPr="008269CA" w:rsidRDefault="008269CA" w:rsidP="008269CA"/>
    <w:p w14:paraId="6E92B1D5" w14:textId="77777777" w:rsidR="008269CA" w:rsidRPr="008269CA" w:rsidRDefault="008269CA" w:rsidP="008269CA">
      <w:pPr>
        <w:spacing w:line="360" w:lineRule="auto"/>
        <w:jc w:val="both"/>
        <w:rPr>
          <w:sz w:val="24"/>
          <w:szCs w:val="24"/>
        </w:rPr>
      </w:pPr>
      <w:r w:rsidRPr="008269CA">
        <w:rPr>
          <w:sz w:val="24"/>
          <w:szCs w:val="24"/>
        </w:rPr>
        <w:t>The ‘</w:t>
      </w:r>
      <w:r w:rsidRPr="008269CA">
        <w:rPr>
          <w:i/>
          <w:iCs/>
          <w:sz w:val="24"/>
          <w:szCs w:val="24"/>
        </w:rPr>
        <w:t xml:space="preserve">World Health Organisation </w:t>
      </w:r>
      <w:r w:rsidRPr="008269CA">
        <w:rPr>
          <w:sz w:val="24"/>
          <w:szCs w:val="24"/>
        </w:rPr>
        <w:t xml:space="preserve">states that health is a state of complete physical, mental and social well-being’, with all factors dependent and intertwined (WHO, 1986).  Physical well-being is simpler to assess and recognise with measurable parameters and well-established guidelines. For example, heart rate or weight. Whereas, mental health and well-being can be challenging to define and may depend on context (WAG, 2010).  Mental Health may be considered the, ‘psychological state of someone who is functioning at a satisfactory level of emotional and behavioural adjustment’ (Children’s Society, 2008) with well-being considered ‘an individual’s quality of life’(WG, 2015).The Welsh Government recognises the importance of the ‘development of a healthier Wales’ with the introduction of the </w:t>
      </w:r>
      <w:r w:rsidRPr="008269CA">
        <w:rPr>
          <w:i/>
          <w:iCs/>
          <w:sz w:val="24"/>
          <w:szCs w:val="24"/>
        </w:rPr>
        <w:t>Well-being of Future Generations (Wales) Act 2015,</w:t>
      </w:r>
      <w:r w:rsidRPr="008269CA">
        <w:rPr>
          <w:sz w:val="24"/>
          <w:szCs w:val="24"/>
        </w:rPr>
        <w:t xml:space="preserve">with policies to support ‘social, environmental, economic and cultural’ improvements’. A duty is placed upon the Welsh Government, under the </w:t>
      </w:r>
      <w:r w:rsidRPr="008269CA">
        <w:rPr>
          <w:i/>
          <w:iCs/>
          <w:sz w:val="24"/>
          <w:szCs w:val="24"/>
        </w:rPr>
        <w:t xml:space="preserve">National Health Service (Wales) Act 2006, </w:t>
      </w:r>
      <w:r w:rsidRPr="008269CA">
        <w:rPr>
          <w:sz w:val="24"/>
          <w:szCs w:val="24"/>
        </w:rPr>
        <w:t xml:space="preserve">to provide a ‘comprehensive health service to secure the improvement in physical and mental health of the people of Wales, in the prevention, diagnosis and illness’ and thus improve the overall health of the nation. Although, physical, mental, social and emotional wellbeing are intertwined, this essay will essentially focus upon mental health, with some associated issues that affect young people. A range of factors that may affect a young person’s mental health, what and why places a child at greater risk from developing a mental health issue will be evaluated. Various governmental policies and services that are available to recognise and support a young person’s mental health will be considered plus the vital role that schools play in this provision. All Welsh Governmental policies that apply to young people, whether it be education or health issues work in accordance with the </w:t>
      </w:r>
      <w:r w:rsidRPr="008269CA">
        <w:rPr>
          <w:i/>
          <w:iCs/>
          <w:sz w:val="24"/>
          <w:szCs w:val="24"/>
        </w:rPr>
        <w:t xml:space="preserve">United Nations Convention of the Rights of Child (1989) </w:t>
      </w:r>
      <w:r w:rsidRPr="008269CA">
        <w:rPr>
          <w:sz w:val="24"/>
          <w:szCs w:val="24"/>
        </w:rPr>
        <w:t>(UNCRC), with that ethos embedded in policy to support/protect children’s rights. The subject of mental health is vast with multiple subtopics/specialities that will not be covered in the scope of this essay.</w:t>
      </w:r>
    </w:p>
    <w:p w14:paraId="0CBD1F8F" w14:textId="77777777" w:rsidR="008269CA" w:rsidRPr="008269CA" w:rsidRDefault="008269CA" w:rsidP="008269CA">
      <w:pPr>
        <w:spacing w:line="360" w:lineRule="auto"/>
        <w:jc w:val="both"/>
        <w:rPr>
          <w:sz w:val="24"/>
          <w:szCs w:val="24"/>
        </w:rPr>
      </w:pPr>
      <w:r w:rsidRPr="008269CA">
        <w:rPr>
          <w:sz w:val="24"/>
          <w:szCs w:val="24"/>
        </w:rPr>
        <w:t xml:space="preserve">Although, data is limited on ‘the prevalence of mental health problems in children in Wales’ it is estimated that 10% will have a diagnosable mental health condition’. There is ‘no specific cause ‘why a child may develop mental health issues, but it may be a ‘combination of </w:t>
      </w:r>
      <w:r w:rsidRPr="008269CA">
        <w:rPr>
          <w:sz w:val="24"/>
          <w:szCs w:val="24"/>
        </w:rPr>
        <w:lastRenderedPageBreak/>
        <w:t>contributory factors’ (National Centre for Children and Families, 2020). ‘Risks (factors) are cumulative, as should a child (experience) one risk the probability of a mental health issue is 1-2% increasing to over 20% with four or more risks’ (WAG, 2010). Living in poverty can contribute to that risk and given that ‘30% of children in Wales are living in relative poverty’ (National Centre for Children and Families, 2020) approximately a third of our children are already at risk without any further subjection. Exposure to an</w:t>
      </w:r>
      <w:r w:rsidRPr="008269CA">
        <w:rPr>
          <w:i/>
          <w:iCs/>
          <w:sz w:val="24"/>
          <w:szCs w:val="24"/>
        </w:rPr>
        <w:t xml:space="preserve"> Adverse Childhood Experience (ACEs</w:t>
      </w:r>
      <w:r w:rsidRPr="008269CA">
        <w:rPr>
          <w:sz w:val="24"/>
          <w:szCs w:val="24"/>
        </w:rPr>
        <w:t xml:space="preserve">) – a ‘stressful event that occurs in childhood’ can increase susceptibility to both mental and physical health issues throughout the ‘life course’. ACE’s include ‘abuse (physical, verbal, sexual), parental separation, neglect, household mental illness, household substance misuse and household incarceration’ (PHW, 2016). ‘Exposure to ACE’s is associated with permanent changes in childhood neurological, immunological and hormonal development. With prolonged exposure to childhood trauma compromising how children regulate emotions, impulses and behaviour’ (PHW, 2016) and thus increase mental health risks. The development of a mental health issue due to exposure to an ACE is supported Maslow’s </w:t>
      </w:r>
      <w:r w:rsidRPr="008269CA">
        <w:rPr>
          <w:i/>
          <w:iCs/>
          <w:sz w:val="24"/>
          <w:szCs w:val="24"/>
        </w:rPr>
        <w:t>Theory of Motivation</w:t>
      </w:r>
      <w:r w:rsidRPr="008269CA">
        <w:rPr>
          <w:sz w:val="24"/>
          <w:szCs w:val="24"/>
        </w:rPr>
        <w:t xml:space="preserve"> (1942), that should an individual’s basic needs not be fulfilled, to be warm, feel safe or have food that they are unlikely to advance to their next level of needs, in this case ‘psychological needs’, hence the increased risk to mental health problems. This ultimately, prevents one from ‘meeting more advanced needs’ and thus impairs their ‘ability to self-actualise and fulfil their full potential’ (Healy, 2016). Hence, children with mental health issues are more likely to be academic underachievers as unable to achieve their full potential.  </w:t>
      </w:r>
    </w:p>
    <w:p w14:paraId="4E706912" w14:textId="77777777" w:rsidR="008269CA" w:rsidRPr="008269CA" w:rsidRDefault="008269CA" w:rsidP="008269CA">
      <w:pPr>
        <w:spacing w:line="360" w:lineRule="auto"/>
        <w:jc w:val="both"/>
        <w:rPr>
          <w:bCs/>
          <w:sz w:val="24"/>
          <w:szCs w:val="24"/>
        </w:rPr>
      </w:pPr>
      <w:r w:rsidRPr="008269CA">
        <w:rPr>
          <w:sz w:val="24"/>
          <w:szCs w:val="24"/>
        </w:rPr>
        <w:t xml:space="preserve">Children with additional learning needs are vulnerable to developing mental health issues, as ‘they can become aware of their differences and academic abilities’, leading to possible low self-esteem. The additional learning need may also lead to ‘communication difficulties and understanding’ (Attwood, 2007, p98), thus the young person may not understand or be able to express their thoughts, emotions and therefore not seek appropriate help. Additional Learning Needs may include children with ‘physical disabilities, sensory issues or pervasive development disorder such as Attention Deficit Hyperactivity Disorder’, where ‘difficulty in concentrating, restlessness and impulsive behaviour’ can lead to difficult relationships with peers, family and teachers (NHS, 2018).All children are likely to experience bullying at some point, with children with additional needs being four times more likely to experience bullying (Attwood, 2007, p 99). ‘Differences seems to be the key issue with bullying (whether that be) </w:t>
      </w:r>
      <w:r w:rsidRPr="008269CA">
        <w:rPr>
          <w:sz w:val="24"/>
          <w:szCs w:val="24"/>
        </w:rPr>
        <w:lastRenderedPageBreak/>
        <w:t>ethnicity, disability, poverty or gender’ (Children’s Commissioner for Wales, 2017). ‘Bullying can have a devasting, destructive effect, with strong negative emotions’ thus impacting upon mental health (Children’ Commissioner for Wales, 2017).  ‘Cyber bullying is a concern’ (Children’ Commissioner for Wales, 2017) with social media providing a constant stimulating bombardment of filtered visual imagery to portray what is considered to be attractive. Perceived differences may lead to ‘distress and anxiety’, leading to possible ‘</w:t>
      </w:r>
      <w:r w:rsidRPr="008269CA">
        <w:rPr>
          <w:bCs/>
          <w:sz w:val="24"/>
          <w:szCs w:val="24"/>
        </w:rPr>
        <w:t xml:space="preserve">Body Dysmorphic Disorder’ (BDD), with BDD noted to be to main contributor towards eating disorders (Mind, 2018). </w:t>
      </w:r>
    </w:p>
    <w:p w14:paraId="497BB340" w14:textId="77777777" w:rsidR="008269CA" w:rsidRPr="008269CA" w:rsidRDefault="008269CA" w:rsidP="008269CA">
      <w:pPr>
        <w:spacing w:line="360" w:lineRule="auto"/>
        <w:jc w:val="both"/>
        <w:rPr>
          <w:bCs/>
          <w:sz w:val="24"/>
          <w:szCs w:val="24"/>
        </w:rPr>
      </w:pPr>
      <w:r w:rsidRPr="008269CA">
        <w:rPr>
          <w:bCs/>
          <w:sz w:val="24"/>
          <w:szCs w:val="24"/>
        </w:rPr>
        <w:t>The ‘constant overload from social media is over stimulating for young minds, with their brains not being developed enough to deal will all the information, stimulation and instant gratification that social media provides. Their brain isn’t able to cope with it all and process it. This over stimulation is affecting their mental health, as they rarely have any down time’ (Barry, 2020).</w:t>
      </w:r>
    </w:p>
    <w:p w14:paraId="299884AE" w14:textId="77777777" w:rsidR="008269CA" w:rsidRPr="008269CA" w:rsidRDefault="008269CA" w:rsidP="008269CA">
      <w:pPr>
        <w:spacing w:line="360" w:lineRule="auto"/>
        <w:jc w:val="both"/>
        <w:rPr>
          <w:bCs/>
          <w:sz w:val="24"/>
          <w:szCs w:val="24"/>
        </w:rPr>
      </w:pPr>
    </w:p>
    <w:p w14:paraId="5B26C64D" w14:textId="77777777" w:rsidR="008269CA" w:rsidRPr="008269CA" w:rsidRDefault="008269CA" w:rsidP="008269CA">
      <w:pPr>
        <w:spacing w:line="360" w:lineRule="auto"/>
        <w:jc w:val="both"/>
        <w:rPr>
          <w:sz w:val="24"/>
          <w:szCs w:val="24"/>
        </w:rPr>
      </w:pPr>
      <w:r w:rsidRPr="008269CA">
        <w:rPr>
          <w:sz w:val="24"/>
          <w:szCs w:val="24"/>
        </w:rPr>
        <w:t xml:space="preserve"> It is ‘highly likely that children inherit their vulnerabilities and resilience to stress through their genetic make -up’ (WAG, 2010) and thus their predisposition to a mental health issue. This may be considered ‘</w:t>
      </w:r>
      <w:r w:rsidRPr="008269CA">
        <w:rPr>
          <w:i/>
          <w:iCs/>
          <w:sz w:val="24"/>
          <w:szCs w:val="24"/>
        </w:rPr>
        <w:t>a nature versus nurture’</w:t>
      </w:r>
      <w:r w:rsidRPr="008269CA">
        <w:rPr>
          <w:sz w:val="24"/>
          <w:szCs w:val="24"/>
        </w:rPr>
        <w:t xml:space="preserve"> factor, as children with carers with mental health illness themselves being at a higher risk of developing a mental health issue (WAG, 2010). Being resilient, indicates ‘appropriate self-esteem and self-confidence’. That ‘good dependable relationships’ are maintained with an effectiveness ‘to cope with change’ (WAG, 2010). ‘Resilience develops with maturity’ due to more opportunity to reflect upon experiences (WAG, 2010). It seems that ‘children who establish a secure relationship in their first year of life’ with their ‘</w:t>
      </w:r>
      <w:r w:rsidRPr="008269CA">
        <w:rPr>
          <w:i/>
          <w:iCs/>
          <w:sz w:val="24"/>
          <w:szCs w:val="24"/>
        </w:rPr>
        <w:t>Primary Caregiver’</w:t>
      </w:r>
      <w:r w:rsidRPr="008269CA">
        <w:rPr>
          <w:sz w:val="24"/>
          <w:szCs w:val="24"/>
        </w:rPr>
        <w:t xml:space="preserve"> are able to manage stress more effectively (WAG, 2010). This supports Carl Roger’s theory that a child requires an early strong bond with their primary caregiver that provides them with ‘unconditional positive regard’, thus creating an essential base for a ‘child to develop their own self-worth’ (Glassman, 2000) and thus be secure in the knowledge of who and where they belong in the world.</w:t>
      </w:r>
    </w:p>
    <w:p w14:paraId="79924F90" w14:textId="77777777" w:rsidR="008269CA" w:rsidRPr="008269CA" w:rsidRDefault="008269CA" w:rsidP="008269CA">
      <w:pPr>
        <w:spacing w:line="360" w:lineRule="auto"/>
        <w:jc w:val="both"/>
        <w:rPr>
          <w:sz w:val="24"/>
          <w:szCs w:val="24"/>
        </w:rPr>
      </w:pPr>
      <w:r w:rsidRPr="008269CA">
        <w:rPr>
          <w:sz w:val="24"/>
          <w:szCs w:val="24"/>
        </w:rPr>
        <w:t xml:space="preserve">The </w:t>
      </w:r>
      <w:r w:rsidRPr="008269CA">
        <w:rPr>
          <w:i/>
          <w:iCs/>
          <w:sz w:val="24"/>
          <w:szCs w:val="24"/>
        </w:rPr>
        <w:t xml:space="preserve">Estyn Common Inspection Framework </w:t>
      </w:r>
      <w:r w:rsidRPr="008269CA">
        <w:rPr>
          <w:sz w:val="24"/>
          <w:szCs w:val="24"/>
        </w:rPr>
        <w:t xml:space="preserve">(2017) stipulated ‘that schools should ensure policies comprehensively cover effective promotion of emotional health and well-being for all pupils”. As ‘improving the emotional and mental health of young people can have a positive </w:t>
      </w:r>
      <w:r w:rsidRPr="008269CA">
        <w:rPr>
          <w:sz w:val="24"/>
          <w:szCs w:val="24"/>
        </w:rPr>
        <w:lastRenderedPageBreak/>
        <w:t xml:space="preserve">effect on personal, social and educational attainment’ (WG, 2016) and has the potential to ‘prevent more serious mental health issues later in life’ (WG, 2016). The planned introduction of </w:t>
      </w:r>
      <w:r w:rsidRPr="008269CA">
        <w:rPr>
          <w:i/>
          <w:iCs/>
          <w:sz w:val="24"/>
          <w:szCs w:val="24"/>
        </w:rPr>
        <w:t>Curriculum 2022</w:t>
      </w:r>
      <w:r w:rsidRPr="008269CA">
        <w:rPr>
          <w:sz w:val="24"/>
          <w:szCs w:val="24"/>
        </w:rPr>
        <w:t xml:space="preserve"> supports the ‘whole school approach to emotional wellbeing’(National Centre for Children and Families, 2020), as  part of the four core purposes aims for pupils to become, ‘ethically informed citizens’ that are ‘healthy, confident individuals’ by incorporating ‘</w:t>
      </w:r>
      <w:r w:rsidRPr="008269CA">
        <w:rPr>
          <w:i/>
          <w:iCs/>
          <w:sz w:val="24"/>
          <w:szCs w:val="24"/>
        </w:rPr>
        <w:t>Health and Well-being</w:t>
      </w:r>
      <w:r w:rsidRPr="008269CA">
        <w:rPr>
          <w:sz w:val="24"/>
          <w:szCs w:val="24"/>
        </w:rPr>
        <w:t>’ as one of the six ‘</w:t>
      </w:r>
      <w:r w:rsidRPr="008269CA">
        <w:rPr>
          <w:i/>
          <w:iCs/>
          <w:sz w:val="24"/>
          <w:szCs w:val="24"/>
        </w:rPr>
        <w:t>Areas of Learning and Experience’</w:t>
      </w:r>
      <w:r w:rsidRPr="008269CA">
        <w:rPr>
          <w:sz w:val="24"/>
          <w:szCs w:val="24"/>
        </w:rPr>
        <w:t xml:space="preserve"> interwoven in to the </w:t>
      </w:r>
      <w:r w:rsidRPr="008269CA">
        <w:rPr>
          <w:i/>
          <w:iCs/>
          <w:sz w:val="24"/>
          <w:szCs w:val="24"/>
        </w:rPr>
        <w:t xml:space="preserve">Curriculum 2022 </w:t>
      </w:r>
      <w:r w:rsidRPr="008269CA">
        <w:rPr>
          <w:sz w:val="24"/>
          <w:szCs w:val="24"/>
        </w:rPr>
        <w:t xml:space="preserve">(Donaldson, 2015).   As schools maybe the ‘first point of contact in recognising that a child is struggling with their mental health and well-being, thus have ‘the responsibility for initial assessment and intervention’ (WAG, 2010). </w:t>
      </w:r>
      <w:r w:rsidRPr="008269CA">
        <w:rPr>
          <w:i/>
          <w:iCs/>
          <w:sz w:val="24"/>
          <w:szCs w:val="24"/>
        </w:rPr>
        <w:t>Everybody’s Business</w:t>
      </w:r>
      <w:r w:rsidRPr="008269CA">
        <w:rPr>
          <w:sz w:val="24"/>
          <w:szCs w:val="24"/>
        </w:rPr>
        <w:t xml:space="preserve"> (2001) specified that ‘Childhood and Adolescent Mental Health Services (CAMHS)’ should have a’ four tier support system in place, with tier one being primary services such as school staff that do not necessarily have any specialist  mental health training through to tier four which offers highly specialist support such as residential schooling’, cognitive behavioural therapy, medication or inpatient units (WAG, 2010). Where, in the most extreme cases a patient can ‘be detained/treated without their consent’ (or parental) under the </w:t>
      </w:r>
      <w:r w:rsidRPr="008269CA">
        <w:rPr>
          <w:i/>
          <w:iCs/>
          <w:sz w:val="24"/>
          <w:szCs w:val="24"/>
        </w:rPr>
        <w:t>Mental Health Act 1983,2015,</w:t>
      </w:r>
      <w:r w:rsidRPr="008269CA">
        <w:rPr>
          <w:sz w:val="24"/>
          <w:szCs w:val="24"/>
        </w:rPr>
        <w:t xml:space="preserve"> for their ‘own safety or the protection of others. </w:t>
      </w:r>
    </w:p>
    <w:p w14:paraId="7D032E1C" w14:textId="77777777" w:rsidR="008269CA" w:rsidRPr="008269CA" w:rsidRDefault="008269CA" w:rsidP="008269CA">
      <w:pPr>
        <w:spacing w:line="360" w:lineRule="auto"/>
        <w:jc w:val="both"/>
        <w:rPr>
          <w:sz w:val="24"/>
          <w:szCs w:val="24"/>
        </w:rPr>
      </w:pPr>
      <w:r w:rsidRPr="008269CA">
        <w:rPr>
          <w:sz w:val="24"/>
          <w:szCs w:val="24"/>
        </w:rPr>
        <w:t xml:space="preserve">Tier one of CAMHS support maybe comparable to the ‘Microsystem’ of </w:t>
      </w:r>
      <w:r w:rsidRPr="008269CA">
        <w:rPr>
          <w:i/>
          <w:iCs/>
          <w:sz w:val="24"/>
          <w:szCs w:val="24"/>
        </w:rPr>
        <w:t>Bronfenbrenner’s Bioecological Model</w:t>
      </w:r>
      <w:r w:rsidRPr="008269CA">
        <w:rPr>
          <w:sz w:val="24"/>
          <w:szCs w:val="24"/>
        </w:rPr>
        <w:t xml:space="preserve"> (1979), as ‘school staff in contact with the child (are) able to ‘support the emotional health and well-being’ and thus have a ‘direct powerful influence’ (Aubrey, 2019, p 153) upon that child hence the importance of being a positive role model. With tier four of CAMHS at the ‘Mesosystem level’, with the interactions between the child and a support service essential, thus ‘bridging aspects of the child’s life’ (Aubrey, 2019, p161) offering guidance and intervention. Both are at the mercy of the </w:t>
      </w:r>
      <w:r w:rsidRPr="008269CA">
        <w:rPr>
          <w:i/>
          <w:iCs/>
          <w:sz w:val="24"/>
          <w:szCs w:val="24"/>
        </w:rPr>
        <w:t>Exosystem level</w:t>
      </w:r>
      <w:r w:rsidRPr="008269CA">
        <w:rPr>
          <w:sz w:val="24"/>
          <w:szCs w:val="24"/>
        </w:rPr>
        <w:t xml:space="preserve">, to include governmental policies and funding, whether that be for school staffing or a particular specialist service. As staff are in regular contact with a child, they become aware of personal traits and behaviours of that child thus become aware of changes in that particular child. A non-attender does not go unnoticed either through monitoring via the </w:t>
      </w:r>
      <w:r w:rsidRPr="008269CA">
        <w:rPr>
          <w:i/>
          <w:iCs/>
          <w:sz w:val="24"/>
          <w:szCs w:val="24"/>
        </w:rPr>
        <w:t xml:space="preserve">Educational Welfare </w:t>
      </w:r>
      <w:r w:rsidRPr="008269CA">
        <w:rPr>
          <w:sz w:val="24"/>
          <w:szCs w:val="24"/>
        </w:rPr>
        <w:t>service</w:t>
      </w:r>
      <w:r w:rsidRPr="008269CA">
        <w:rPr>
          <w:i/>
          <w:iCs/>
          <w:sz w:val="24"/>
          <w:szCs w:val="24"/>
        </w:rPr>
        <w:t>.</w:t>
      </w:r>
      <w:r w:rsidRPr="008269CA">
        <w:rPr>
          <w:sz w:val="24"/>
          <w:szCs w:val="24"/>
        </w:rPr>
        <w:t xml:space="preserve"> </w:t>
      </w:r>
    </w:p>
    <w:p w14:paraId="7E0CF077" w14:textId="77777777" w:rsidR="008269CA" w:rsidRPr="008269CA" w:rsidRDefault="008269CA" w:rsidP="008269CA">
      <w:pPr>
        <w:spacing w:line="360" w:lineRule="auto"/>
        <w:jc w:val="both"/>
        <w:rPr>
          <w:sz w:val="24"/>
          <w:szCs w:val="24"/>
        </w:rPr>
      </w:pPr>
      <w:r w:rsidRPr="008269CA">
        <w:rPr>
          <w:sz w:val="24"/>
          <w:szCs w:val="24"/>
        </w:rPr>
        <w:t xml:space="preserve">Staff in School A, which is a  small bilingual comprehensive based in South West Wales, are able to refer or a child can self-refer under </w:t>
      </w:r>
      <w:r w:rsidRPr="008269CA">
        <w:rPr>
          <w:i/>
          <w:iCs/>
          <w:sz w:val="24"/>
          <w:szCs w:val="24"/>
        </w:rPr>
        <w:t>The Learning and Skills Act 2000, section 123(1),</w:t>
      </w:r>
      <w:r w:rsidRPr="008269CA">
        <w:rPr>
          <w:sz w:val="24"/>
          <w:szCs w:val="24"/>
        </w:rPr>
        <w:t xml:space="preserve"> to an on-site school-based youth worker that is able to offer ‘support and experiences, both </w:t>
      </w:r>
      <w:r w:rsidRPr="008269CA">
        <w:rPr>
          <w:sz w:val="24"/>
          <w:szCs w:val="24"/>
        </w:rPr>
        <w:lastRenderedPageBreak/>
        <w:t xml:space="preserve">formally and informally to support young people in achieving their full potential’ (WG, 2016). The youth worker facilitates a ‘gate way to other external services’ (Barry, 2020). The advantage of such a system is that early intervention can potentially take place before a crisis situation is reached, that the youth worker is able to regularly ‘touch base’ with the young person simply due to frequency of contact and that external services may be accessed in a ‘timely manner’ (Barry, 2020). It is recognised that ‘early intervention is the best form of prevention’ (WG, 2016), therefore is supportive </w:t>
      </w:r>
      <w:r w:rsidRPr="008269CA">
        <w:rPr>
          <w:i/>
          <w:iCs/>
          <w:sz w:val="24"/>
          <w:szCs w:val="24"/>
        </w:rPr>
        <w:t xml:space="preserve">Article 12 </w:t>
      </w:r>
      <w:r w:rsidRPr="008269CA">
        <w:rPr>
          <w:sz w:val="24"/>
          <w:szCs w:val="24"/>
        </w:rPr>
        <w:t xml:space="preserve">of the </w:t>
      </w:r>
      <w:r w:rsidRPr="008269CA">
        <w:rPr>
          <w:i/>
          <w:iCs/>
          <w:sz w:val="24"/>
          <w:szCs w:val="24"/>
        </w:rPr>
        <w:t>UNCRC, ‘</w:t>
      </w:r>
      <w:r w:rsidRPr="008269CA">
        <w:rPr>
          <w:sz w:val="24"/>
          <w:szCs w:val="24"/>
        </w:rPr>
        <w:t>where the voice of the child should be listened to and incorporated into decisions/reviews relating to services that support the emotional and mental health of young people’. However, the youth worker stated, ‘that as services had been routinely cut back over recent years, it was becoming impossible to meet the demands on the service particularly with the current Covid 19 pandemic’ (Barry, 2020). Noting,’ a massive increase in the levels of anxiety, exam stress and exposure to domestic violence’ being a particular worry. With the ‘same noted with other colleagues based in other schools’ (Barry, 2020). The on-site mandatory counselling service ‘</w:t>
      </w:r>
      <w:r w:rsidRPr="008269CA">
        <w:rPr>
          <w:i/>
          <w:iCs/>
          <w:sz w:val="24"/>
          <w:szCs w:val="24"/>
        </w:rPr>
        <w:t>Area 43 ’</w:t>
      </w:r>
      <w:r w:rsidRPr="008269CA">
        <w:rPr>
          <w:sz w:val="24"/>
          <w:szCs w:val="24"/>
        </w:rPr>
        <w:t>provided under the</w:t>
      </w:r>
      <w:r w:rsidRPr="008269CA">
        <w:rPr>
          <w:i/>
          <w:iCs/>
          <w:sz w:val="24"/>
          <w:szCs w:val="24"/>
        </w:rPr>
        <w:t xml:space="preserve"> School Standards and Organisation (Wales) Act 2013, </w:t>
      </w:r>
      <w:r w:rsidRPr="008269CA">
        <w:rPr>
          <w:sz w:val="24"/>
          <w:szCs w:val="24"/>
        </w:rPr>
        <w:t xml:space="preserve">has also been placed under increasing pressure amidst the Covid 19 pandemic. </w:t>
      </w:r>
    </w:p>
    <w:p w14:paraId="5171EEA7" w14:textId="77777777" w:rsidR="008269CA" w:rsidRPr="008269CA" w:rsidRDefault="008269CA" w:rsidP="008269CA">
      <w:pPr>
        <w:spacing w:line="360" w:lineRule="auto"/>
        <w:jc w:val="both"/>
        <w:rPr>
          <w:sz w:val="24"/>
          <w:szCs w:val="24"/>
        </w:rPr>
      </w:pPr>
      <w:r w:rsidRPr="008269CA">
        <w:rPr>
          <w:sz w:val="24"/>
          <w:szCs w:val="24"/>
        </w:rPr>
        <w:t>Reactions have been mixed with children in response to governmental lockdown measures imposed by Covid 19 during 2020, some have ‘enjoyed being off school’, with opportunities ‘to spend time with family and reflect’ (NHS, 2020). Whereas others, have struggled with ‘self-isolating, bereavement or worries about catching/transmitting virus’ (NHS, 2020). ‘Quarantined children reported an increase in depressive/anxiety symptoms with negative psychological consequences’ (Mental Health Foundation, 2020). Loneliness is a massive factor, due to the ‘loss of peer group support’ as ‘peer interaction is important for brain development, self-concept construction and for mental health and well-being’. ‘Levels of distress (also) noted to be higher as a result of increased consumption of social media’ (Mental Health Foundation, 2020).  ‘Quarantine may (have) lead to an increased exposure to violence (witnessed), abuse, neglect, substance misuse and parental separation’ (Mental health Foundation, 2020). The effects on vulnerable groups have been recognised with the ‘</w:t>
      </w:r>
      <w:r w:rsidRPr="008269CA">
        <w:rPr>
          <w:i/>
          <w:iCs/>
          <w:sz w:val="24"/>
          <w:szCs w:val="24"/>
        </w:rPr>
        <w:t>Check in, catch up and prepare ’</w:t>
      </w:r>
      <w:r w:rsidRPr="008269CA">
        <w:rPr>
          <w:sz w:val="24"/>
          <w:szCs w:val="24"/>
        </w:rPr>
        <w:t xml:space="preserve">initiative organised by the Welsh Government (WG, 2020).Covid 19 has placed an unplanned increasing demand upon already overstretched children’s mental health services, whether at an informal Tier 1 school staff lead level or </w:t>
      </w:r>
      <w:r w:rsidRPr="008269CA">
        <w:rPr>
          <w:sz w:val="24"/>
          <w:szCs w:val="24"/>
        </w:rPr>
        <w:lastRenderedPageBreak/>
        <w:t>specialised interventions/treatments offered at Tier 4 through CAMHS and other mental health services. Article 39 of UNCRC states, ‘children who have been neglected or abused should receive special help to restore their self-respect’ and the service/support is struggling to identify and provide with the full consequence of the pandemic as yet unknown.</w:t>
      </w:r>
    </w:p>
    <w:p w14:paraId="1ADD6C63" w14:textId="77777777" w:rsidR="008269CA" w:rsidRPr="008269CA" w:rsidRDefault="008269CA" w:rsidP="008269CA">
      <w:pPr>
        <w:spacing w:line="360" w:lineRule="auto"/>
        <w:jc w:val="both"/>
        <w:rPr>
          <w:sz w:val="24"/>
          <w:szCs w:val="24"/>
        </w:rPr>
      </w:pPr>
      <w:r w:rsidRPr="008269CA">
        <w:rPr>
          <w:sz w:val="24"/>
          <w:szCs w:val="24"/>
        </w:rPr>
        <w:t xml:space="preserve"> The British model for mental health support has a system of formal referrals, assessments and pathways to follow, in contrast to the French model which aims to support young peoples’ mental health by providing over a hundred ‘integrated youth friendly facilities’ known as ‘</w:t>
      </w:r>
      <w:r w:rsidRPr="008269CA">
        <w:rPr>
          <w:i/>
          <w:iCs/>
          <w:sz w:val="24"/>
          <w:szCs w:val="24"/>
        </w:rPr>
        <w:t>Maisons Des Adolescents’</w:t>
      </w:r>
      <w:r w:rsidRPr="008269CA">
        <w:rPr>
          <w:sz w:val="24"/>
          <w:szCs w:val="24"/>
        </w:rPr>
        <w:t xml:space="preserve"> across the country. Since 1999, ‘primary prevention’ through ‘multi-disciplinary consultations’ has enable French young people to access services to support their mental health and also normalise the stigma of mental illness (Benoit et al, 2018, p 1000). The service provided ranges from ‘a drop in’ to more highly specialised mental health support. However, the access and range of services that are provided in Wales can be a ‘postcode lottery’, with 16 individuals waiting up to 4 weeks for a CAMHS assessment in the Powys Teaching Local Health Board between September 2020 – November 2020. And 171 waiting in excess of 4 weeks in Swansea Bay University Health Board for the same time period (Stats Wales, 2020).</w:t>
      </w:r>
    </w:p>
    <w:p w14:paraId="3B93E523" w14:textId="77777777" w:rsidR="008269CA" w:rsidRPr="008269CA" w:rsidRDefault="008269CA" w:rsidP="008269CA">
      <w:pPr>
        <w:spacing w:line="360" w:lineRule="auto"/>
        <w:jc w:val="both"/>
        <w:rPr>
          <w:sz w:val="24"/>
          <w:szCs w:val="24"/>
        </w:rPr>
      </w:pPr>
      <w:r w:rsidRPr="008269CA">
        <w:rPr>
          <w:sz w:val="24"/>
          <w:szCs w:val="24"/>
        </w:rPr>
        <w:t xml:space="preserve">The Welsh Government have developed initiative’s, policies and practice to  support the mental health, well-being and improve the overall health of the nation (WG, 2015).Plans for a whole school approach to support emotional, social and mental health awareness (National Centre for Children and Families, 2020) with the introduction of school-based youth workers (Learning and Skills Act, 2000) and the provision of counselling services for children aged 11-18 (Schools Standards and Organisation (Wales) Act 2013).  It seems that it is appreciated that well-being in childhood does have a massive impact on health in adult life, impacting on mental health and increasing the frequency ‘health harming activities’ which increase co-morbidities (PHW, 2016), that create an additional strain on the National Health Service. The factors that influence mental health and </w:t>
      </w:r>
      <w:proofErr w:type="spellStart"/>
      <w:r w:rsidRPr="008269CA">
        <w:rPr>
          <w:sz w:val="24"/>
          <w:szCs w:val="24"/>
        </w:rPr>
        <w:t>well being</w:t>
      </w:r>
      <w:proofErr w:type="spellEnd"/>
      <w:r w:rsidRPr="008269CA">
        <w:rPr>
          <w:sz w:val="24"/>
          <w:szCs w:val="24"/>
        </w:rPr>
        <w:t xml:space="preserve"> are extremely complex and appear to involve multiple social economic factors, such as poverty (National Centre for Children and Families, 2020) and the risk of childhood exposure to ACE’s (PHW, 2016). It is appreciated that ‘early intervention is the best form of prevention’ (WG, 2016), thus the Welsh Governments initiatives to tackle mental health while an individual is young would seem prudent. However, the services that provide this valuable support do seem to be a target for frequent cuts leading </w:t>
      </w:r>
      <w:r w:rsidRPr="008269CA">
        <w:rPr>
          <w:sz w:val="24"/>
          <w:szCs w:val="24"/>
        </w:rPr>
        <w:lastRenderedPageBreak/>
        <w:t>to excessive waiting times for intervention (Stats Wales, 2020). There does appear to formality in the referral system with ‘red tape’ slowing the system combined with a ‘postcode lottery’ to availability of actual services. The community based, more informal French model does lend itself to some consideration of the direction that services may which to pursue in the future, allowing young people to access services earlier rather than waiting months for an assessment. Although, systems are under pressure that support mental health services which are further compounded by Covid 19, the Government has recognised the importance to maintain one’s mental health and the impact poor mental health can have on well-being and the drain upon resources. Therefore, policies are actively being developing/updated to support the physical, mental, social and economic well-being of people of Wales, thus aiming for a positive more prosperous future.</w:t>
      </w:r>
    </w:p>
    <w:p w14:paraId="0E858B6B" w14:textId="77777777" w:rsidR="008269CA" w:rsidRPr="008269CA" w:rsidRDefault="008269CA" w:rsidP="008269CA">
      <w:pPr>
        <w:spacing w:line="360" w:lineRule="auto"/>
        <w:jc w:val="both"/>
        <w:rPr>
          <w:sz w:val="24"/>
          <w:szCs w:val="24"/>
        </w:rPr>
      </w:pPr>
    </w:p>
    <w:sectPr w:rsidR="008269CA" w:rsidRPr="00826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0A4B7E"/>
    <w:multiLevelType w:val="hybridMultilevel"/>
    <w:tmpl w:val="1BEA2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D52EBA"/>
    <w:multiLevelType w:val="hybridMultilevel"/>
    <w:tmpl w:val="B0E4C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9CA"/>
    <w:rsid w:val="00826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EFDA7"/>
  <w15:chartTrackingRefBased/>
  <w15:docId w15:val="{F57C358B-EFD5-4A6E-B513-EE77AB018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9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69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9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69C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269CA"/>
    <w:pPr>
      <w:ind w:left="720"/>
      <w:contextualSpacing/>
    </w:pPr>
  </w:style>
  <w:style w:type="character" w:styleId="Hyperlink">
    <w:name w:val="Hyperlink"/>
    <w:basedOn w:val="DefaultParagraphFont"/>
    <w:uiPriority w:val="99"/>
    <w:unhideWhenUsed/>
    <w:rsid w:val="008269CA"/>
    <w:rPr>
      <w:color w:val="0563C1" w:themeColor="hyperlink"/>
      <w:u w:val="single"/>
    </w:rPr>
  </w:style>
  <w:style w:type="character" w:styleId="UnresolvedMention">
    <w:name w:val="Unresolved Mention"/>
    <w:basedOn w:val="DefaultParagraphFont"/>
    <w:uiPriority w:val="99"/>
    <w:semiHidden/>
    <w:unhideWhenUsed/>
    <w:rsid w:val="00826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2553</Words>
  <Characters>14555</Characters>
  <Application>Microsoft Office Word</Application>
  <DocSecurity>0</DocSecurity>
  <Lines>121</Lines>
  <Paragraphs>34</Paragraphs>
  <ScaleCrop>false</ScaleCrop>
  <Company/>
  <LinksUpToDate>false</LinksUpToDate>
  <CharactersWithSpaces>17074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Pound</dc:creator>
  <cp:keywords/>
  <dc:description/>
  <cp:lastModifiedBy>Tanya Pound</cp:lastModifiedBy>
  <cp:revision>1</cp:revision>
  <dcterms:created xsi:type="dcterms:W3CDTF">2021-01-06T16:33:00Z</dcterms:created>
  <dcterms:modified xsi:type="dcterms:W3CDTF">2021-01-06T16:35:00Z</dcterms:modified>
</cp:coreProperties>
</file>