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F0AD21" w14:textId="42FD22AA" w:rsidR="00F07CEB" w:rsidRDefault="00F07CEB" w:rsidP="007D5D5A">
      <w:pPr>
        <w:pStyle w:val="Title"/>
        <w:jc w:val="both"/>
        <w:rPr>
          <w:u w:val="single"/>
        </w:rPr>
      </w:pPr>
      <w:r w:rsidRPr="007D5D5A">
        <w:rPr>
          <w:u w:val="single"/>
        </w:rPr>
        <w:t>Rawls original position</w:t>
      </w:r>
      <w:r w:rsidR="0025699C">
        <w:rPr>
          <w:u w:val="single"/>
        </w:rPr>
        <w:t>;</w:t>
      </w:r>
    </w:p>
    <w:p w14:paraId="6E64639A" w14:textId="7BDC06C8" w:rsidR="0025699C" w:rsidRPr="0025699C" w:rsidRDefault="0025699C" w:rsidP="0025699C">
      <w:pPr>
        <w:pStyle w:val="Subtitle"/>
      </w:pPr>
      <w:r w:rsidRPr="00933528">
        <w:t>What does Rawls mean by the ‘Original Position’? Is his account of the knowledge and ignorance features of the Original Position justified?</w:t>
      </w:r>
    </w:p>
    <w:p w14:paraId="062E8E21" w14:textId="77777777" w:rsidR="00B81061" w:rsidRDefault="00B81061" w:rsidP="007D5D5A">
      <w:pPr>
        <w:jc w:val="both"/>
      </w:pPr>
    </w:p>
    <w:p w14:paraId="430F31E0" w14:textId="77777777" w:rsidR="007D5D5A" w:rsidRDefault="003B0FB4" w:rsidP="006830E1">
      <w:pPr>
        <w:pStyle w:val="Heading1"/>
      </w:pPr>
      <w:r>
        <w:t>Intro</w:t>
      </w:r>
      <w:r w:rsidR="006830E1">
        <w:t>duction</w:t>
      </w:r>
    </w:p>
    <w:p w14:paraId="38F92675" w14:textId="77777777" w:rsidR="005B1756" w:rsidRDefault="00933528" w:rsidP="007D5D5A">
      <w:pPr>
        <w:jc w:val="both"/>
      </w:pPr>
      <w:r>
        <w:t>The question that I have decided to tackle for this essay is q</w:t>
      </w:r>
      <w:r w:rsidR="003B0FB4">
        <w:t>uestion</w:t>
      </w:r>
      <w:r>
        <w:t xml:space="preserve"> 1 o</w:t>
      </w:r>
      <w:r w:rsidR="005B1756">
        <w:t>n</w:t>
      </w:r>
      <w:r>
        <w:t xml:space="preserve"> Equality, “</w:t>
      </w:r>
      <w:r w:rsidRPr="00933528">
        <w:t>What does Rawls mean by the ‘Original Position’? Is his account of the knowledge and ignorance features of the Original Position justified?</w:t>
      </w:r>
      <w:r>
        <w:t>”.</w:t>
      </w:r>
    </w:p>
    <w:p w14:paraId="4945264D" w14:textId="6A7F1317" w:rsidR="00933528" w:rsidRDefault="003B0FB4" w:rsidP="007D5D5A">
      <w:pPr>
        <w:jc w:val="both"/>
      </w:pPr>
      <w:r>
        <w:t>I am arguing against Rawls</w:t>
      </w:r>
      <w:r w:rsidR="00933528">
        <w:t xml:space="preserve"> </w:t>
      </w:r>
      <w:r w:rsidR="005B1756" w:rsidRPr="0025699C">
        <w:rPr>
          <w:i/>
        </w:rPr>
        <w:t xml:space="preserve">social contract </w:t>
      </w:r>
      <w:r w:rsidR="00933528" w:rsidRPr="0025699C">
        <w:rPr>
          <w:i/>
        </w:rPr>
        <w:t>theory</w:t>
      </w:r>
      <w:r w:rsidR="005B1756">
        <w:t xml:space="preserve"> and thought experiment</w:t>
      </w:r>
      <w:r w:rsidR="00933528">
        <w:t xml:space="preserve">, </w:t>
      </w:r>
      <w:r w:rsidR="00666DA3">
        <w:t>on the grounds that the knowledge and ignorance features are fallacious. I</w:t>
      </w:r>
      <w:r w:rsidR="00933528">
        <w:t>n doing so, I will be systemically approaching the topic of egalitarian liberalism with a degree of libertarianism</w:t>
      </w:r>
      <w:r w:rsidR="006830E1">
        <w:t xml:space="preserve"> rationalit</w:t>
      </w:r>
      <w:r w:rsidR="0025699C">
        <w:t>y a</w:t>
      </w:r>
      <w:r w:rsidR="006830E1">
        <w:t>s I see this as being a fitting way to</w:t>
      </w:r>
      <w:r w:rsidR="0025699C">
        <w:t xml:space="preserve"> approach,</w:t>
      </w:r>
      <w:r w:rsidR="006830E1">
        <w:t xml:space="preserve"> analyse</w:t>
      </w:r>
      <w:r w:rsidR="005B1756">
        <w:t xml:space="preserve"> and discriminate </w:t>
      </w:r>
      <w:r w:rsidR="006830E1">
        <w:t>Rawls’ work.</w:t>
      </w:r>
    </w:p>
    <w:p w14:paraId="7CDB42F8" w14:textId="77777777" w:rsidR="006176FF" w:rsidRPr="006176FF" w:rsidRDefault="006176FF" w:rsidP="007D5D5A">
      <w:pPr>
        <w:pStyle w:val="Heading1"/>
        <w:jc w:val="both"/>
      </w:pPr>
      <w:r>
        <w:t>Part 1</w:t>
      </w:r>
    </w:p>
    <w:p w14:paraId="02A50C9F" w14:textId="77777777" w:rsidR="007D5D5A" w:rsidRPr="007D5D5A" w:rsidRDefault="006176FF" w:rsidP="007D5D5A">
      <w:pPr>
        <w:pStyle w:val="Subtitle"/>
        <w:jc w:val="both"/>
      </w:pPr>
      <w:r w:rsidRPr="006176FF">
        <w:t>What does Rawls mean by the ‘Original Position’</w:t>
      </w:r>
      <w:r w:rsidR="00C74647">
        <w:t>?</w:t>
      </w:r>
    </w:p>
    <w:p w14:paraId="10E1F23A" w14:textId="6D7C9AF0" w:rsidR="00F44374" w:rsidRPr="00FA72E3" w:rsidRDefault="00EB41DE" w:rsidP="007D5D5A">
      <w:pPr>
        <w:spacing w:before="240" w:line="360" w:lineRule="auto"/>
        <w:jc w:val="both"/>
      </w:pPr>
      <w:r>
        <w:t xml:space="preserve">Within his works on Social Justice, Rawls utilises the idea of an </w:t>
      </w:r>
      <w:r>
        <w:rPr>
          <w:i/>
        </w:rPr>
        <w:t>Original Position</w:t>
      </w:r>
      <w:r w:rsidR="00F33999">
        <w:rPr>
          <w:rStyle w:val="FootnoteReference"/>
          <w:i/>
        </w:rPr>
        <w:footnoteReference w:id="1"/>
      </w:r>
      <w:r>
        <w:t xml:space="preserve"> </w:t>
      </w:r>
      <w:r w:rsidR="00F46F9B">
        <w:t xml:space="preserve">as a tool </w:t>
      </w:r>
      <w:r>
        <w:t>to de</w:t>
      </w:r>
      <w:r w:rsidR="00F33999">
        <w:t>fine principles of justice</w:t>
      </w:r>
      <w:r w:rsidR="00F33999">
        <w:rPr>
          <w:rStyle w:val="FootnoteReference"/>
        </w:rPr>
        <w:footnoteReference w:id="2"/>
      </w:r>
      <w:r w:rsidR="00F33999">
        <w:t>.</w:t>
      </w:r>
      <w:r w:rsidR="00F44374">
        <w:t xml:space="preserve"> </w:t>
      </w:r>
      <w:r w:rsidR="00F46F9B">
        <w:t xml:space="preserve">The </w:t>
      </w:r>
      <w:r w:rsidR="00F46F9B" w:rsidRPr="0025699C">
        <w:rPr>
          <w:i/>
        </w:rPr>
        <w:t xml:space="preserve">Original </w:t>
      </w:r>
      <w:r w:rsidR="0025699C" w:rsidRPr="0025699C">
        <w:rPr>
          <w:i/>
        </w:rPr>
        <w:t>Po</w:t>
      </w:r>
      <w:r w:rsidR="00F46F9B" w:rsidRPr="0025699C">
        <w:rPr>
          <w:i/>
        </w:rPr>
        <w:t>sition</w:t>
      </w:r>
      <w:r w:rsidR="00F46F9B">
        <w:t xml:space="preserve"> seeks to strip</w:t>
      </w:r>
      <w:r w:rsidR="00FA72E3">
        <w:t xml:space="preserve"> away</w:t>
      </w:r>
      <w:r w:rsidR="00F46F9B">
        <w:t xml:space="preserve"> the </w:t>
      </w:r>
      <w:r w:rsidR="00FA72E3">
        <w:t xml:space="preserve">subjective aspects of human nature, leaving a perfectly objective being </w:t>
      </w:r>
      <w:r w:rsidR="0025699C">
        <w:t>who</w:t>
      </w:r>
      <w:r w:rsidR="00FA72E3">
        <w:t xml:space="preserve">, without bias, can introduce </w:t>
      </w:r>
      <w:r w:rsidR="00FA72E3">
        <w:rPr>
          <w:i/>
        </w:rPr>
        <w:t xml:space="preserve">a priori </w:t>
      </w:r>
      <w:r w:rsidR="00FA72E3">
        <w:t xml:space="preserve">principles of justice, principles which should be </w:t>
      </w:r>
      <w:proofErr w:type="spellStart"/>
      <w:r w:rsidR="00FA72E3" w:rsidRPr="00842945">
        <w:rPr>
          <w:i/>
        </w:rPr>
        <w:t>clarus</w:t>
      </w:r>
      <w:proofErr w:type="spellEnd"/>
      <w:r w:rsidR="00FA72E3" w:rsidRPr="00842945">
        <w:rPr>
          <w:i/>
        </w:rPr>
        <w:t xml:space="preserve"> et </w:t>
      </w:r>
      <w:proofErr w:type="spellStart"/>
      <w:r w:rsidR="00FA72E3" w:rsidRPr="00842945">
        <w:rPr>
          <w:i/>
        </w:rPr>
        <w:t>distinctus</w:t>
      </w:r>
      <w:proofErr w:type="spellEnd"/>
      <w:r w:rsidR="00FA72E3" w:rsidRPr="00FA72E3">
        <w:rPr>
          <w:rStyle w:val="FootnoteReference"/>
        </w:rPr>
        <w:footnoteReference w:id="3"/>
      </w:r>
      <w:r w:rsidR="00FA72E3">
        <w:rPr>
          <w:i/>
        </w:rPr>
        <w:t xml:space="preserve">. </w:t>
      </w:r>
      <w:r w:rsidR="00FA72E3">
        <w:t>Rawls did not hold theories of self-evident axioms in high regard</w:t>
      </w:r>
      <w:r w:rsidR="0025699C">
        <w:t>,</w:t>
      </w:r>
      <w:r w:rsidR="00FA72E3">
        <w:t xml:space="preserve"> so</w:t>
      </w:r>
      <w:r w:rsidR="0025699C">
        <w:t>,</w:t>
      </w:r>
      <w:r w:rsidR="00FA72E3">
        <w:t xml:space="preserve"> in a </w:t>
      </w:r>
      <w:r w:rsidR="009A72AB">
        <w:t>pursuit</w:t>
      </w:r>
      <w:r w:rsidR="00FA72E3">
        <w:t xml:space="preserve"> to rule out experimental error (within the variable nature of humanity, </w:t>
      </w:r>
      <w:r w:rsidR="009A72AB">
        <w:t>regardless</w:t>
      </w:r>
      <w:r w:rsidR="00FA72E3">
        <w:t xml:space="preserve"> of whether the impact was positive or negative), he explores </w:t>
      </w:r>
      <w:r w:rsidR="005B1756">
        <w:t>a</w:t>
      </w:r>
      <w:r w:rsidR="00FA72E3">
        <w:t xml:space="preserve"> thought experiment</w:t>
      </w:r>
      <w:r w:rsidR="005B1756">
        <w:t xml:space="preserve"> which </w:t>
      </w:r>
      <w:r w:rsidR="002F7C5E">
        <w:t>pursues an unprejudiced goal</w:t>
      </w:r>
      <w:r w:rsidR="00666DA3">
        <w:t xml:space="preserve"> through the implementation of systematic ignorance and required knowledge</w:t>
      </w:r>
      <w:r w:rsidR="00FA72E3">
        <w:t>.</w:t>
      </w:r>
    </w:p>
    <w:p w14:paraId="471652F8" w14:textId="315F66B3" w:rsidR="002E3DFA" w:rsidRDefault="00B86704" w:rsidP="007D5D5A">
      <w:pPr>
        <w:spacing w:before="240" w:line="360" w:lineRule="auto"/>
        <w:jc w:val="both"/>
      </w:pPr>
      <w:r>
        <w:t>Th</w:t>
      </w:r>
      <w:r w:rsidR="00FA72E3">
        <w:t>is</w:t>
      </w:r>
      <w:r>
        <w:t xml:space="preserve"> objective proxy</w:t>
      </w:r>
      <w:r w:rsidR="0025699C">
        <w:t xml:space="preserve"> or </w:t>
      </w:r>
      <w:r w:rsidR="0025699C" w:rsidRPr="0025699C">
        <w:rPr>
          <w:i/>
        </w:rPr>
        <w:t>Reflective Equilibrium</w:t>
      </w:r>
      <w:r>
        <w:t xml:space="preserve">, </w:t>
      </w:r>
      <w:r w:rsidR="00FA72E3">
        <w:t>(the</w:t>
      </w:r>
      <w:r>
        <w:t xml:space="preserve"> </w:t>
      </w:r>
      <w:r w:rsidR="0025699C">
        <w:rPr>
          <w:i/>
        </w:rPr>
        <w:t>Or</w:t>
      </w:r>
      <w:r w:rsidRPr="00B86704">
        <w:rPr>
          <w:i/>
        </w:rPr>
        <w:t xml:space="preserve">iginal </w:t>
      </w:r>
      <w:r w:rsidR="0025699C">
        <w:rPr>
          <w:i/>
        </w:rPr>
        <w:t>P</w:t>
      </w:r>
      <w:r w:rsidRPr="00B86704">
        <w:rPr>
          <w:i/>
        </w:rPr>
        <w:t>osition</w:t>
      </w:r>
      <w:r w:rsidR="00FA72E3">
        <w:rPr>
          <w:i/>
        </w:rPr>
        <w:t>)</w:t>
      </w:r>
      <w:r>
        <w:t xml:space="preserve"> seeks to </w:t>
      </w:r>
      <w:r w:rsidRPr="00466283">
        <w:t>remove</w:t>
      </w:r>
      <w:r w:rsidR="00666DA3">
        <w:t xml:space="preserve"> (or to make the subject ignorant of)</w:t>
      </w:r>
      <w:r w:rsidRPr="00466283">
        <w:t xml:space="preserve"> </w:t>
      </w:r>
      <w:r w:rsidR="00FA72E3">
        <w:t>many</w:t>
      </w:r>
      <w:r w:rsidRPr="00466283">
        <w:t xml:space="preserve"> </w:t>
      </w:r>
      <w:r w:rsidR="001F6C66" w:rsidRPr="00466283">
        <w:t>characteristics</w:t>
      </w:r>
      <w:r w:rsidRPr="00466283">
        <w:t xml:space="preserve"> of </w:t>
      </w:r>
      <w:r w:rsidR="002E3DFA" w:rsidRPr="00466283">
        <w:t xml:space="preserve">what makes </w:t>
      </w:r>
      <w:r w:rsidR="00034DE9" w:rsidRPr="00466283">
        <w:t>people</w:t>
      </w:r>
      <w:r w:rsidR="00EB14D8">
        <w:t xml:space="preserve"> </w:t>
      </w:r>
      <w:r w:rsidR="00034DE9" w:rsidRPr="00466283">
        <w:t>what they a</w:t>
      </w:r>
      <w:r w:rsidR="002E3DFA" w:rsidRPr="00466283">
        <w:t>re</w:t>
      </w:r>
      <w:r w:rsidR="00C13968">
        <w:t xml:space="preserve">; </w:t>
      </w:r>
      <w:r w:rsidR="002F7C5E">
        <w:t xml:space="preserve">to stand behind </w:t>
      </w:r>
      <w:r w:rsidR="002F7C5E" w:rsidRPr="002F7C5E">
        <w:rPr>
          <w:i/>
        </w:rPr>
        <w:t>the veil</w:t>
      </w:r>
      <w:r w:rsidR="002F7C5E">
        <w:t xml:space="preserve">, </w:t>
      </w:r>
      <w:r w:rsidR="00C13968" w:rsidRPr="00C13968">
        <w:t>we would be without knowing of social status, class, gender, age, sexual orientation, race/heritage</w:t>
      </w:r>
      <w:r w:rsidR="0025699C">
        <w:t xml:space="preserve">, </w:t>
      </w:r>
      <w:r w:rsidR="00C13968" w:rsidRPr="00C13968">
        <w:t>their dominion over natural and made assets, their abilities, intelligence, strength, notions of good and evil, life plan, achievements, features of psychology, willingness to take risks and optimism</w:t>
      </w:r>
      <w:r w:rsidR="007D5D5A">
        <w:t xml:space="preserve"> and/or </w:t>
      </w:r>
      <w:r w:rsidR="00C13968" w:rsidRPr="00C13968">
        <w:t>pessimism</w:t>
      </w:r>
      <w:r w:rsidR="00C13968" w:rsidRPr="00C13968">
        <w:rPr>
          <w:rStyle w:val="FootnoteReference"/>
        </w:rPr>
        <w:footnoteReference w:id="4"/>
      </w:r>
      <w:r w:rsidR="00C13968" w:rsidRPr="00C13968">
        <w:t xml:space="preserve">. </w:t>
      </w:r>
      <w:r>
        <w:t xml:space="preserve">Rawls proposed in </w:t>
      </w:r>
      <w:r w:rsidR="00C13968">
        <w:t xml:space="preserve">this </w:t>
      </w:r>
      <w:r>
        <w:t>thought experiment that</w:t>
      </w:r>
      <w:r w:rsidR="002E3DFA">
        <w:t xml:space="preserve"> we (or</w:t>
      </w:r>
      <w:r>
        <w:t xml:space="preserve"> </w:t>
      </w:r>
      <w:r w:rsidR="0025699C">
        <w:t xml:space="preserve">whoever </w:t>
      </w:r>
      <w:r>
        <w:t xml:space="preserve">the </w:t>
      </w:r>
      <w:r>
        <w:lastRenderedPageBreak/>
        <w:t>people charged with deciphering equality</w:t>
      </w:r>
      <w:r w:rsidR="002E3DFA">
        <w:t>) are</w:t>
      </w:r>
      <w:r>
        <w:t xml:space="preserve"> to be placed outside of prior </w:t>
      </w:r>
      <w:r w:rsidR="002E3DFA">
        <w:t xml:space="preserve">cognisance </w:t>
      </w:r>
      <w:r w:rsidR="00BC6EE5">
        <w:t>(or</w:t>
      </w:r>
      <w:r w:rsidR="002E3DFA">
        <w:t xml:space="preserve"> simply,</w:t>
      </w:r>
      <w:r w:rsidR="00BC6EE5">
        <w:t xml:space="preserve"> </w:t>
      </w:r>
      <w:r w:rsidR="00BC6EE5" w:rsidRPr="002E3DFA">
        <w:rPr>
          <w:i/>
        </w:rPr>
        <w:t>behind a veil of ignorance</w:t>
      </w:r>
      <w:r w:rsidR="00BC6EE5">
        <w:rPr>
          <w:rStyle w:val="FootnoteReference"/>
        </w:rPr>
        <w:footnoteReference w:id="5"/>
      </w:r>
      <w:r w:rsidR="00BC6EE5">
        <w:t>)</w:t>
      </w:r>
      <w:r w:rsidR="002E3DFA">
        <w:t>.</w:t>
      </w:r>
    </w:p>
    <w:p w14:paraId="3E79D1E8" w14:textId="77777777" w:rsidR="00052AE7" w:rsidRDefault="00052AE7" w:rsidP="00052AE7">
      <w:pPr>
        <w:pStyle w:val="Heading1"/>
      </w:pPr>
      <w:r>
        <w:t>Part 2</w:t>
      </w:r>
    </w:p>
    <w:p w14:paraId="627674A4" w14:textId="77777777" w:rsidR="00052AE7" w:rsidRDefault="00052AE7" w:rsidP="00052AE7">
      <w:pPr>
        <w:pStyle w:val="Subtitle"/>
      </w:pPr>
      <w:r w:rsidRPr="00933528">
        <w:t xml:space="preserve">Is </w:t>
      </w:r>
      <w:r>
        <w:t>[Rawls’]</w:t>
      </w:r>
      <w:r w:rsidRPr="00933528">
        <w:t xml:space="preserve"> account of the knowledge and ignorance features of the Original Position justified</w:t>
      </w:r>
      <w:r>
        <w:t>?</w:t>
      </w:r>
    </w:p>
    <w:p w14:paraId="75659CBA" w14:textId="147A7766" w:rsidR="002E3DFA" w:rsidRDefault="00052AE7" w:rsidP="007D5D5A">
      <w:pPr>
        <w:spacing w:before="240" w:line="360" w:lineRule="auto"/>
        <w:jc w:val="both"/>
      </w:pPr>
      <w:r>
        <w:t>A</w:t>
      </w:r>
      <w:r w:rsidR="002E3DFA">
        <w:t xml:space="preserve">s entities behind this </w:t>
      </w:r>
      <w:r w:rsidR="002E3DFA" w:rsidRPr="007D5D5A">
        <w:rPr>
          <w:i/>
        </w:rPr>
        <w:t>veil</w:t>
      </w:r>
      <w:r w:rsidR="00C13968">
        <w:t xml:space="preserve">, </w:t>
      </w:r>
      <w:r w:rsidR="00BA2EC0">
        <w:t>it could be brought into question whether</w:t>
      </w:r>
      <w:r w:rsidR="00331002">
        <w:t xml:space="preserve">, while behind the </w:t>
      </w:r>
      <w:r w:rsidR="00331002" w:rsidRPr="007D5D5A">
        <w:rPr>
          <w:i/>
        </w:rPr>
        <w:t>veil of ignorance</w:t>
      </w:r>
      <w:r w:rsidR="00331002">
        <w:t xml:space="preserve">, </w:t>
      </w:r>
      <w:r w:rsidR="007928B5">
        <w:t>if</w:t>
      </w:r>
      <w:r w:rsidR="00331002">
        <w:t xml:space="preserve"> we actually have our </w:t>
      </w:r>
      <w:r w:rsidR="00C13968">
        <w:t xml:space="preserve">best wishes </w:t>
      </w:r>
      <w:r w:rsidR="007928B5">
        <w:t xml:space="preserve">at heart </w:t>
      </w:r>
      <w:r w:rsidR="00331002">
        <w:t>(for ourselves and for others)</w:t>
      </w:r>
      <w:r w:rsidR="008E0445">
        <w:t xml:space="preserve">, maybe the very act of limiting the expression of autonomy (including the right to act in an unjust manner) would impede the illusive right to freewill; </w:t>
      </w:r>
      <w:r w:rsidR="00D83F29">
        <w:t>What if we find that these principles once in practice, rigid and restrictive (although objectively the ideal prescription)? T</w:t>
      </w:r>
      <w:r w:rsidR="008E0445">
        <w:t>hen called into answer is the question of what matters more, freedom or justice? And who decides?</w:t>
      </w:r>
      <w:r w:rsidR="007842F7">
        <w:t xml:space="preserve">  </w:t>
      </w:r>
      <w:r w:rsidR="00D83F29">
        <w:t>W</w:t>
      </w:r>
      <w:r w:rsidR="007842F7">
        <w:t xml:space="preserve">hat is justice worth without </w:t>
      </w:r>
      <w:proofErr w:type="gramStart"/>
      <w:r w:rsidR="007842F7">
        <w:t>freedom.</w:t>
      </w:r>
      <w:proofErr w:type="gramEnd"/>
    </w:p>
    <w:p w14:paraId="563A9404" w14:textId="64541B74" w:rsidR="00A72D2F" w:rsidRDefault="00A72D2F" w:rsidP="00A40B6C">
      <w:pPr>
        <w:spacing w:before="240" w:line="360" w:lineRule="auto"/>
        <w:jc w:val="both"/>
      </w:pPr>
      <w:r w:rsidRPr="00A72D2F">
        <w:t>If we investigate th</w:t>
      </w:r>
      <w:r>
        <w:t>e</w:t>
      </w:r>
      <w:r w:rsidRPr="00A72D2F">
        <w:t xml:space="preserve"> idea that equality might not be the highest priority</w:t>
      </w:r>
      <w:r>
        <w:t xml:space="preserve"> for human people</w:t>
      </w:r>
      <w:r w:rsidRPr="00A72D2F">
        <w:t>, it could be necessary to ask whether it is even possible for equality to exist within a species, whos</w:t>
      </w:r>
      <w:r w:rsidR="00A80715">
        <w:t>e</w:t>
      </w:r>
      <w:r w:rsidRPr="00A72D2F">
        <w:t xml:space="preserve"> very nature is so deeply ingrained with disparity and has a great many behaviours which endlessly perpetuate unfairness. </w:t>
      </w:r>
      <w:r w:rsidR="00A80715">
        <w:t>I</w:t>
      </w:r>
      <w:r>
        <w:t>f it is possible, c</w:t>
      </w:r>
      <w:r w:rsidRPr="00A72D2F">
        <w:t>ould we cope with equality, with its knock-on effects such as the loss of our competitive nature</w:t>
      </w:r>
      <w:r w:rsidR="004E7A48">
        <w:t>,</w:t>
      </w:r>
      <w:r w:rsidRPr="00A72D2F">
        <w:t xml:space="preserve"> ambition</w:t>
      </w:r>
      <w:r w:rsidR="004E7A48">
        <w:t xml:space="preserve"> and glory</w:t>
      </w:r>
      <w:r w:rsidR="00A80715">
        <w:t>?</w:t>
      </w:r>
      <w:r>
        <w:t xml:space="preserve"> </w:t>
      </w:r>
      <w:r w:rsidR="00A80715">
        <w:t>Is this not a</w:t>
      </w:r>
      <w:r>
        <w:t xml:space="preserve"> driving factor for many of us</w:t>
      </w:r>
      <w:r w:rsidR="00A80715">
        <w:t xml:space="preserve">? Also, as the nature of true equality rarely ever stretches further than our immediate friends and family, would this not this make it very unlikely for us, a specie boasting a rich heritage of individualism, discrimination and colonialism, to become </w:t>
      </w:r>
      <w:r w:rsidR="00A40B6C">
        <w:t>one of the few species in the animal kingdom to assimilate equality, turning our backs on individualism, something which has allowed humans to dominate its environment for many millennia and become the rebel specie it has, threatening its own extinction.</w:t>
      </w:r>
    </w:p>
    <w:p w14:paraId="204D2E74" w14:textId="0559CAA0" w:rsidR="005C45C1" w:rsidRDefault="008C2E65" w:rsidP="007D5D5A">
      <w:pPr>
        <w:spacing w:before="240" w:line="360" w:lineRule="auto"/>
        <w:jc w:val="both"/>
      </w:pPr>
      <w:r>
        <w:t xml:space="preserve">Assuming however that </w:t>
      </w:r>
      <w:r w:rsidR="00E12C27">
        <w:t>humans are communalist animals by nature</w:t>
      </w:r>
      <w:r w:rsidR="00EB57BE">
        <w:rPr>
          <w:rStyle w:val="FootnoteReference"/>
        </w:rPr>
        <w:footnoteReference w:id="6"/>
      </w:r>
      <w:r w:rsidR="00E12C27">
        <w:t xml:space="preserve"> and will adapt very well to a just life</w:t>
      </w:r>
      <w:r w:rsidR="00D83F29">
        <w:t>;</w:t>
      </w:r>
      <w:r w:rsidR="00E12C27">
        <w:t xml:space="preserve"> is The Veil of Ignorance really an adequate surrogate for determining the most </w:t>
      </w:r>
      <w:r w:rsidR="00E12C27" w:rsidRPr="004E7A48">
        <w:rPr>
          <w:i/>
        </w:rPr>
        <w:t>just</w:t>
      </w:r>
      <w:r w:rsidR="00E12C27">
        <w:t xml:space="preserve"> state for us to live in? After all, who decides on which characteristics are vital to be torn from the human animal to make it impartial and which ones are to remain to make this observer </w:t>
      </w:r>
      <w:r w:rsidR="00666DA3">
        <w:t>knowledgeable</w:t>
      </w:r>
      <w:r w:rsidR="00E12C27">
        <w:t xml:space="preserve"> enough for this role. Is Rawls the best choice of character</w:t>
      </w:r>
      <w:r w:rsidR="005B1756">
        <w:rPr>
          <w:rStyle w:val="FootnoteReference"/>
        </w:rPr>
        <w:footnoteReference w:id="7"/>
      </w:r>
      <w:r w:rsidR="00E12C27">
        <w:t>? Who would be</w:t>
      </w:r>
      <w:r w:rsidR="009A72AB">
        <w:t xml:space="preserve">? </w:t>
      </w:r>
      <w:r w:rsidR="00D83F29">
        <w:t>Is t</w:t>
      </w:r>
      <w:r w:rsidR="009A72AB">
        <w:t xml:space="preserve">his not </w:t>
      </w:r>
      <w:proofErr w:type="gramStart"/>
      <w:r w:rsidR="009A72AB">
        <w:t>similar to</w:t>
      </w:r>
      <w:proofErr w:type="gramEnd"/>
      <w:r w:rsidR="009A72AB">
        <w:t xml:space="preserve"> Plato’s suggestion of </w:t>
      </w:r>
      <w:proofErr w:type="spellStart"/>
      <w:r w:rsidR="009A72AB" w:rsidRPr="009A72AB">
        <w:rPr>
          <w:i/>
        </w:rPr>
        <w:t>noocracy</w:t>
      </w:r>
      <w:proofErr w:type="spellEnd"/>
      <w:r w:rsidR="009A72AB">
        <w:rPr>
          <w:i/>
        </w:rPr>
        <w:t xml:space="preserve"> </w:t>
      </w:r>
      <w:r w:rsidR="009A72AB">
        <w:t xml:space="preserve">within the </w:t>
      </w:r>
      <w:r w:rsidR="009A72AB" w:rsidRPr="009A72AB">
        <w:t>Republic</w:t>
      </w:r>
      <w:r w:rsidR="004B7BE7">
        <w:rPr>
          <w:rStyle w:val="FootnoteReference"/>
        </w:rPr>
        <w:footnoteReference w:id="8"/>
      </w:r>
      <w:r w:rsidR="009A72AB">
        <w:t>, where he proposes that a philosopher should be king</w:t>
      </w:r>
      <w:r w:rsidR="00D83F29">
        <w:t>?</w:t>
      </w:r>
      <w:r w:rsidR="00E12C27">
        <w:t xml:space="preserve"> An agent would need to be called forth who is in their very essence</w:t>
      </w:r>
      <w:r w:rsidR="00D83F29">
        <w:t>,</w:t>
      </w:r>
      <w:r w:rsidR="00E12C27">
        <w:t xml:space="preserve"> just</w:t>
      </w:r>
      <w:r w:rsidR="00D83F29">
        <w:t>;</w:t>
      </w:r>
      <w:r w:rsidR="00E12C27">
        <w:t xml:space="preserve"> not wishing to influence the decision of principles through the choice of criteria to meet their own </w:t>
      </w:r>
      <w:r w:rsidR="005C45C1">
        <w:t xml:space="preserve">self-serving </w:t>
      </w:r>
      <w:r w:rsidR="00E12C27">
        <w:t xml:space="preserve">ends. If such an </w:t>
      </w:r>
      <w:r w:rsidR="004E7A48">
        <w:t xml:space="preserve">impartial </w:t>
      </w:r>
      <w:r w:rsidR="00E12C27">
        <w:t xml:space="preserve">agent </w:t>
      </w:r>
      <w:r w:rsidR="00E12C27">
        <w:lastRenderedPageBreak/>
        <w:t>existed, could</w:t>
      </w:r>
      <w:r w:rsidR="005C45C1">
        <w:t xml:space="preserve"> we not </w:t>
      </w:r>
      <w:r w:rsidR="00E12C27">
        <w:t>just call the whole thought experiment off</w:t>
      </w:r>
      <w:r w:rsidR="004E7A48">
        <w:t xml:space="preserve"> and settle for an existence in a fair world</w:t>
      </w:r>
      <w:r w:rsidR="00E12C27">
        <w:t>?</w:t>
      </w:r>
    </w:p>
    <w:p w14:paraId="4BFBD92E" w14:textId="5F3C8C55" w:rsidR="00F10838" w:rsidRDefault="0023034F" w:rsidP="00502B87">
      <w:pPr>
        <w:spacing w:before="240" w:line="360" w:lineRule="auto"/>
        <w:jc w:val="both"/>
      </w:pPr>
      <w:r>
        <w:t xml:space="preserve">It could be argued that the entire point of this thought experiment, might well be invalid, after all, the proxy is not a true representative (like for like) of the human animal, even though before going behind the veil, it was the same. </w:t>
      </w:r>
      <w:r w:rsidR="005C45C1">
        <w:t>A consideration is that in removing aspects of the human character, no matter how negative they are, are we not destroying the essence of the human being</w:t>
      </w:r>
      <w:r w:rsidR="00666DA3">
        <w:t xml:space="preserve"> when we manipulate its’ limits of knowledge and ignorance</w:t>
      </w:r>
      <w:r w:rsidR="005C45C1">
        <w:t xml:space="preserve">. As with </w:t>
      </w:r>
      <w:r w:rsidRPr="0023034F">
        <w:rPr>
          <w:i/>
        </w:rPr>
        <w:t>The Ship of Theseus</w:t>
      </w:r>
      <w:r w:rsidR="004B7BE7">
        <w:rPr>
          <w:rStyle w:val="FootnoteReference"/>
          <w:i/>
        </w:rPr>
        <w:footnoteReference w:id="9"/>
      </w:r>
      <w:r w:rsidR="005C45C1">
        <w:t>, when the ship is repaired and parts of its physicality discarded, the ship ceases to be the</w:t>
      </w:r>
      <w:r w:rsidR="00666DA3">
        <w:t xml:space="preserve"> exact</w:t>
      </w:r>
      <w:r w:rsidR="005C45C1">
        <w:t xml:space="preserve"> </w:t>
      </w:r>
      <w:r w:rsidR="005C45C1">
        <w:rPr>
          <w:i/>
        </w:rPr>
        <w:t>same</w:t>
      </w:r>
      <w:r w:rsidR="005C45C1">
        <w:t xml:space="preserve"> ship that left Athens at T</w:t>
      </w:r>
      <w:r w:rsidR="005C45C1" w:rsidRPr="0023034F">
        <w:rPr>
          <w:vertAlign w:val="superscript"/>
        </w:rPr>
        <w:t>1</w:t>
      </w:r>
      <w:r w:rsidR="005C45C1">
        <w:t>, no matter how whole and similar it may appear</w:t>
      </w:r>
      <w:r w:rsidR="006F77A2">
        <w:t xml:space="preserve"> when observed at T</w:t>
      </w:r>
      <w:r w:rsidR="006F77A2" w:rsidRPr="0023034F">
        <w:rPr>
          <w:vertAlign w:val="superscript"/>
        </w:rPr>
        <w:t>2</w:t>
      </w:r>
      <w:r w:rsidR="00B16405">
        <w:t xml:space="preserve">. </w:t>
      </w:r>
      <w:r w:rsidR="005C45C1">
        <w:t>As we see with nature, the removal of any elements within a system, causes it to become destabilised, vulnerable and collapse of original identity, this phenomenon is called a “</w:t>
      </w:r>
      <w:r w:rsidR="005C45C1">
        <w:rPr>
          <w:i/>
        </w:rPr>
        <w:t>leverage point”</w:t>
      </w:r>
      <w:r w:rsidR="005C45C1">
        <w:t>, the maximum change for minimum effort</w:t>
      </w:r>
      <w:r w:rsidR="006F77A2">
        <w:t>.</w:t>
      </w:r>
      <w:r w:rsidR="005C45C1">
        <w:t xml:space="preserve"> </w:t>
      </w:r>
      <w:r w:rsidR="006F77A2">
        <w:t xml:space="preserve">As Rawls expects, this </w:t>
      </w:r>
      <w:r w:rsidR="0091034B">
        <w:t xml:space="preserve">(wholly objective) </w:t>
      </w:r>
      <w:r w:rsidR="006F77A2">
        <w:t>human-like entity resulting from when the human person steps behind the veil</w:t>
      </w:r>
      <w:r w:rsidR="003B0FB4">
        <w:t>,</w:t>
      </w:r>
      <w:r w:rsidR="006F77A2">
        <w:t xml:space="preserve"> will not have many </w:t>
      </w:r>
      <w:r w:rsidR="003B0FB4">
        <w:t xml:space="preserve">of the </w:t>
      </w:r>
      <w:r w:rsidR="006F77A2">
        <w:t>similarities it should share with the original human person</w:t>
      </w:r>
      <w:r w:rsidR="00B16405">
        <w:rPr>
          <w:rStyle w:val="FootnoteReference"/>
        </w:rPr>
        <w:footnoteReference w:id="10"/>
      </w:r>
      <w:r w:rsidR="006F77A2">
        <w:t>. Therefore,</w:t>
      </w:r>
      <w:r w:rsidR="005C45C1">
        <w:t xml:space="preserve"> </w:t>
      </w:r>
      <w:r w:rsidR="006F77A2">
        <w:t>this</w:t>
      </w:r>
      <w:r w:rsidR="005C45C1">
        <w:t xml:space="preserve"> </w:t>
      </w:r>
      <w:r w:rsidR="005C45C1" w:rsidRPr="005C45C1">
        <w:rPr>
          <w:i/>
        </w:rPr>
        <w:t>cool observer</w:t>
      </w:r>
      <w:r w:rsidR="005C45C1">
        <w:rPr>
          <w:rStyle w:val="FootnoteReference"/>
        </w:rPr>
        <w:footnoteReference w:id="11"/>
      </w:r>
      <w:r w:rsidR="005C45C1">
        <w:rPr>
          <w:i/>
        </w:rPr>
        <w:t xml:space="preserve"> </w:t>
      </w:r>
      <w:r w:rsidR="005C45C1">
        <w:t xml:space="preserve">who might be </w:t>
      </w:r>
      <w:r w:rsidR="006F77A2">
        <w:t>perfectly</w:t>
      </w:r>
      <w:r w:rsidR="005C45C1">
        <w:t xml:space="preserve"> impartial</w:t>
      </w:r>
      <w:r w:rsidR="006F77A2">
        <w:t xml:space="preserve">, is not an accurate approximation for a human person, this is not a suitable proxy, they are not the </w:t>
      </w:r>
      <w:r w:rsidR="006F77A2">
        <w:rPr>
          <w:i/>
        </w:rPr>
        <w:t>same</w:t>
      </w:r>
      <w:r w:rsidR="006F77A2">
        <w:t xml:space="preserve">; the only kind that it could pass judgement for would be for humans </w:t>
      </w:r>
      <w:r w:rsidR="006F77A2" w:rsidRPr="006F77A2">
        <w:t>behind</w:t>
      </w:r>
      <w:r w:rsidR="006F77A2">
        <w:rPr>
          <w:i/>
        </w:rPr>
        <w:t xml:space="preserve"> the veil of ignorance</w:t>
      </w:r>
      <w:r w:rsidR="006F77A2">
        <w:t>.</w:t>
      </w:r>
      <w:r w:rsidR="00AC111A">
        <w:t xml:space="preserve"> For this reason, the essence of justice and equality for all human people, that John Rawls was searching for within this thought experiment, would have been destroyed by the very dissection of humanity; after all,</w:t>
      </w:r>
      <w:r w:rsidR="00B16405">
        <w:t xml:space="preserve"> “To dissect</w:t>
      </w:r>
      <w:r w:rsidR="00081C8C">
        <w:t>,</w:t>
      </w:r>
      <w:r w:rsidR="00B16405">
        <w:t xml:space="preserve"> we murder</w:t>
      </w:r>
      <w:r w:rsidR="00335EF6">
        <w:rPr>
          <w:rStyle w:val="FootnoteReference"/>
        </w:rPr>
        <w:footnoteReference w:id="12"/>
      </w:r>
      <w:r w:rsidR="00B16405">
        <w:t>” a take on Wordsworth</w:t>
      </w:r>
      <w:r w:rsidR="00AC111A">
        <w:rPr>
          <w:rStyle w:val="FootnoteReference"/>
        </w:rPr>
        <w:footnoteReference w:id="13"/>
      </w:r>
      <w:r w:rsidR="00AC111A">
        <w:t>.</w:t>
      </w:r>
      <w:r w:rsidR="005728AD">
        <w:t xml:space="preserve"> So for such a being as a human altered by the influence of the veil of ignorance to be in charge, yet fundamentally not the </w:t>
      </w:r>
      <w:r w:rsidR="005728AD">
        <w:rPr>
          <w:i/>
        </w:rPr>
        <w:t>same</w:t>
      </w:r>
      <w:r w:rsidR="005728AD">
        <w:t>, of delivering justice and equality, why are all the subjective aspects of personhood not being taken into consideration</w:t>
      </w:r>
      <w:r w:rsidR="00644E1A">
        <w:t>?</w:t>
      </w:r>
      <w:r w:rsidR="005728AD">
        <w:t xml:space="preserve"> </w:t>
      </w:r>
      <w:r w:rsidR="00644E1A">
        <w:t>I</w:t>
      </w:r>
      <w:r w:rsidR="00967A10">
        <w:t xml:space="preserve">t is through this very combination of subjective and objective reality that the nature of the human being (in all its variable forms) is constructed and for this to not be taken into consideration, and only the </w:t>
      </w:r>
      <w:r w:rsidR="00502B87">
        <w:rPr>
          <w:i/>
        </w:rPr>
        <w:t>a priori</w:t>
      </w:r>
      <w:r w:rsidR="00967A10">
        <w:t xml:space="preserve"> </w:t>
      </w:r>
      <w:r w:rsidR="00502B87">
        <w:t xml:space="preserve">knowledge </w:t>
      </w:r>
      <w:r w:rsidR="00967A10">
        <w:t>characteristics</w:t>
      </w:r>
      <w:r w:rsidR="0091034B">
        <w:t xml:space="preserve"> retained</w:t>
      </w:r>
      <w:r w:rsidR="00967A10">
        <w:t xml:space="preserve">, seems to be a </w:t>
      </w:r>
      <w:r w:rsidR="00B337FB">
        <w:t>g</w:t>
      </w:r>
      <w:r w:rsidR="00967A10">
        <w:t>rievous oversight.</w:t>
      </w:r>
    </w:p>
    <w:p w14:paraId="17C786AA" w14:textId="4D9D179E" w:rsidR="00F10838" w:rsidRDefault="0002094F" w:rsidP="007D5D5A">
      <w:pPr>
        <w:spacing w:before="240" w:line="360" w:lineRule="auto"/>
        <w:jc w:val="both"/>
      </w:pPr>
      <w:r>
        <w:t xml:space="preserve">After all this effort to </w:t>
      </w:r>
      <w:r w:rsidR="00353B40">
        <w:t>define</w:t>
      </w:r>
      <w:r>
        <w:t xml:space="preserve"> justice for human people, how would </w:t>
      </w:r>
      <w:r w:rsidR="00353B40">
        <w:t>it be</w:t>
      </w:r>
      <w:r>
        <w:t xml:space="preserve"> implement</w:t>
      </w:r>
      <w:r w:rsidR="00353B40">
        <w:t xml:space="preserve">ed? In </w:t>
      </w:r>
      <w:r w:rsidR="00AC2EBD">
        <w:t xml:space="preserve">Robert </w:t>
      </w:r>
      <w:r w:rsidR="00353B40">
        <w:t>Nozick’s response</w:t>
      </w:r>
      <w:r w:rsidR="00097EAA">
        <w:rPr>
          <w:rStyle w:val="FootnoteReference"/>
        </w:rPr>
        <w:footnoteReference w:id="14"/>
      </w:r>
      <w:r w:rsidR="00353B40">
        <w:t xml:space="preserve"> to John Rawls </w:t>
      </w:r>
      <w:r w:rsidR="00097EAA">
        <w:t xml:space="preserve">version of </w:t>
      </w:r>
      <w:r w:rsidR="00F10838">
        <w:t>social contract</w:t>
      </w:r>
      <w:r w:rsidR="00097EAA">
        <w:t xml:space="preserve"> </w:t>
      </w:r>
      <w:r w:rsidR="00353B40">
        <w:t>theory</w:t>
      </w:r>
      <w:r w:rsidR="00AC2EBD">
        <w:rPr>
          <w:rStyle w:val="FootnoteReference"/>
        </w:rPr>
        <w:footnoteReference w:id="15"/>
      </w:r>
      <w:r w:rsidR="00353B40">
        <w:t xml:space="preserve">, he shows concern at the </w:t>
      </w:r>
      <w:r w:rsidR="00AC2EBD">
        <w:t xml:space="preserve">social </w:t>
      </w:r>
      <w:r w:rsidR="00353B40">
        <w:lastRenderedPageBreak/>
        <w:t xml:space="preserve">costs that implementation of justice would have on the population, </w:t>
      </w:r>
      <w:r w:rsidR="00AC2EBD">
        <w:t>a major</w:t>
      </w:r>
      <w:r w:rsidR="00353B40">
        <w:t xml:space="preserve"> cost being</w:t>
      </w:r>
      <w:r w:rsidR="00AC2EBD">
        <w:t xml:space="preserve"> that of</w:t>
      </w:r>
      <w:r w:rsidR="00353B40">
        <w:t xml:space="preserve"> liberty and free will</w:t>
      </w:r>
      <w:r w:rsidR="00081C8C">
        <w:t>, something a libertarian could not accept</w:t>
      </w:r>
      <w:r w:rsidR="00353B40">
        <w:t xml:space="preserve">. </w:t>
      </w:r>
      <w:r w:rsidR="00AC2EBD">
        <w:t>Nozick argues that if we are to pursue equality, that it cannot be at the cost of freedom</w:t>
      </w:r>
      <w:r w:rsidR="00F10838">
        <w:t>.</w:t>
      </w:r>
      <w:r w:rsidR="00AC2EBD">
        <w:t xml:space="preserve"> Rawls</w:t>
      </w:r>
      <w:r w:rsidR="00527BCC">
        <w:t>’</w:t>
      </w:r>
      <w:r w:rsidR="00AC2EBD">
        <w:t xml:space="preserve"> work assumes that the socio-political institutions charged with the</w:t>
      </w:r>
      <w:r w:rsidR="00F10838">
        <w:t xml:space="preserve"> power to distribute fairness</w:t>
      </w:r>
      <w:r w:rsidR="00AC2EBD">
        <w:t xml:space="preserve"> of justice</w:t>
      </w:r>
      <w:r w:rsidR="00F10838">
        <w:t>, however such institutions</w:t>
      </w:r>
      <w:r w:rsidR="00AC2EBD">
        <w:t xml:space="preserve"> are essentially non-voluntary and with a </w:t>
      </w:r>
      <w:r w:rsidR="00081C8C">
        <w:t>probable</w:t>
      </w:r>
      <w:r w:rsidR="00F10838">
        <w:t xml:space="preserve"> a</w:t>
      </w:r>
      <w:r w:rsidR="00AC2EBD">
        <w:t>utocra</w:t>
      </w:r>
      <w:r w:rsidR="00F10838">
        <w:t>tic leaning</w:t>
      </w:r>
      <w:r w:rsidR="00AC2EBD">
        <w:t xml:space="preserve">. Nozick’s consent theory </w:t>
      </w:r>
      <w:r w:rsidR="00F10838">
        <w:t>is backed up by his entitlement theory in which he believes that the distribution of property should be a direct consequence of fair acquisition</w:t>
      </w:r>
      <w:r w:rsidR="00F10838">
        <w:rPr>
          <w:rStyle w:val="FootnoteReference"/>
        </w:rPr>
        <w:footnoteReference w:id="16"/>
      </w:r>
      <w:r w:rsidR="00527BCC">
        <w:t>.</w:t>
      </w:r>
    </w:p>
    <w:p w14:paraId="5C85F023" w14:textId="2CFC4630" w:rsidR="00006E4F" w:rsidRDefault="00F10838" w:rsidP="00B337FB">
      <w:pPr>
        <w:spacing w:before="240" w:line="360" w:lineRule="auto"/>
        <w:jc w:val="both"/>
      </w:pPr>
      <w:r>
        <w:t xml:space="preserve">Entitlement theory </w:t>
      </w:r>
      <w:r w:rsidR="00081C8C">
        <w:t xml:space="preserve">however </w:t>
      </w:r>
      <w:r w:rsidR="004A1B2E">
        <w:t xml:space="preserve">has some major </w:t>
      </w:r>
      <w:r>
        <w:t xml:space="preserve">flaws, for example </w:t>
      </w:r>
      <w:r w:rsidRPr="00527BCC">
        <w:rPr>
          <w:i/>
        </w:rPr>
        <w:t>living property</w:t>
      </w:r>
      <w:r>
        <w:t xml:space="preserve"> </w:t>
      </w:r>
      <w:r w:rsidR="004A1B2E">
        <w:t>(</w:t>
      </w:r>
      <w:r>
        <w:t xml:space="preserve">such as slaves and </w:t>
      </w:r>
      <w:r w:rsidR="004A1B2E">
        <w:t>the potential of non-human persons)</w:t>
      </w:r>
      <w:r>
        <w:t xml:space="preserve">; </w:t>
      </w:r>
      <w:r w:rsidR="004A1B2E">
        <w:t>to possess a person is not allowed within this theory (as a person cannot be property of another) however, the owner would have to, at his own leisure divest himself from this property</w:t>
      </w:r>
      <w:r w:rsidR="00527BCC">
        <w:t xml:space="preserve">. </w:t>
      </w:r>
      <w:r w:rsidR="004A1B2E">
        <w:t xml:space="preserve"> </w:t>
      </w:r>
      <w:r w:rsidR="00527BCC">
        <w:t>N</w:t>
      </w:r>
      <w:r w:rsidR="004A1B2E">
        <w:t xml:space="preserve">o other party would be able to force his hand </w:t>
      </w:r>
      <w:r w:rsidR="00527BCC">
        <w:t xml:space="preserve">to dispose of property </w:t>
      </w:r>
      <w:r w:rsidR="004A1B2E">
        <w:t>according to Nozick’s Distributive Justice theory</w:t>
      </w:r>
      <w:r w:rsidR="004A1B2E">
        <w:rPr>
          <w:rStyle w:val="FootnoteReference"/>
        </w:rPr>
        <w:footnoteReference w:id="17"/>
      </w:r>
      <w:r w:rsidR="00527BCC">
        <w:t>; These views on persons as property would not stand within Rawls’ theory. Noz</w:t>
      </w:r>
      <w:r w:rsidR="004A1B2E">
        <w:t>ick’s alternative ideals</w:t>
      </w:r>
      <w:r w:rsidR="00527BCC">
        <w:t>,</w:t>
      </w:r>
      <w:r w:rsidR="004A1B2E">
        <w:t xml:space="preserve"> state that one has the right to pursue their own fundamental interests, personal ends and right to property and that no one has the right to interrupt this, for whatever reason</w:t>
      </w:r>
      <w:r w:rsidR="00527BCC">
        <w:t>s</w:t>
      </w:r>
      <w:r w:rsidR="004A1B2E">
        <w:t xml:space="preserve">; a </w:t>
      </w:r>
      <w:r w:rsidR="00527BCC">
        <w:t>libertarian</w:t>
      </w:r>
      <w:r w:rsidR="004A1B2E">
        <w:t xml:space="preserve"> system of maximum liberty and minimal state power and intervention, </w:t>
      </w:r>
      <w:r w:rsidR="00EB57BE">
        <w:t xml:space="preserve">the only types of power that this </w:t>
      </w:r>
      <w:r w:rsidR="00EB57BE" w:rsidRPr="00EB57BE">
        <w:rPr>
          <w:i/>
        </w:rPr>
        <w:t>minimal state</w:t>
      </w:r>
      <w:r w:rsidR="00EB57BE">
        <w:t xml:space="preserve"> should have is to protect “…against force, theft, fraud, the enforcement of contracts and so on…”</w:t>
      </w:r>
      <w:r w:rsidR="00EB57BE">
        <w:rPr>
          <w:rStyle w:val="FootnoteReference"/>
        </w:rPr>
        <w:footnoteReference w:id="18"/>
      </w:r>
      <w:r w:rsidR="00EB57BE">
        <w:t xml:space="preserve"> as he believes that a more extensive state naturally violates person’s rights and is innately unjust, no matter the justification</w:t>
      </w:r>
      <w:r w:rsidR="00A41CC1">
        <w:t>; though this goes directly against Rawls’ ideals on redistribution, although the difference principle (though more restricted than Nozick’s views)</w:t>
      </w:r>
      <w:r w:rsidR="0023034F">
        <w:t>, does allow distributive inequality, so long as it benefits everyone, especially the worst off</w:t>
      </w:r>
      <w:r w:rsidR="0023034F">
        <w:rPr>
          <w:rStyle w:val="FootnoteReference"/>
        </w:rPr>
        <w:footnoteReference w:id="19"/>
      </w:r>
      <w:r w:rsidR="0023034F">
        <w:t>.</w:t>
      </w:r>
    </w:p>
    <w:p w14:paraId="195A5A64" w14:textId="493B6AE9" w:rsidR="00933528" w:rsidRDefault="00502B87" w:rsidP="007D5D5A">
      <w:pPr>
        <w:spacing w:before="240" w:line="360" w:lineRule="auto"/>
        <w:jc w:val="both"/>
      </w:pPr>
      <w:r>
        <w:t>Could we not base our understanding of equality and fairness on that of a</w:t>
      </w:r>
      <w:r w:rsidR="00006E4F">
        <w:t xml:space="preserve">n </w:t>
      </w:r>
      <w:r w:rsidR="00081C8C">
        <w:t>inherent</w:t>
      </w:r>
      <w:r w:rsidR="00006E4F">
        <w:t xml:space="preserve"> morality, that as Jean-Jacques Rousseau describes </w:t>
      </w:r>
      <w:r w:rsidR="00B337FB">
        <w:t xml:space="preserve">that humans have a </w:t>
      </w:r>
      <w:r w:rsidR="00F46F9B">
        <w:t>cognisant</w:t>
      </w:r>
      <w:r w:rsidR="00B337FB">
        <w:t xml:space="preserve"> understanding of goodness, right and wrong and equality, or as </w:t>
      </w:r>
      <w:r w:rsidR="00F60088">
        <w:t>he</w:t>
      </w:r>
      <w:r w:rsidR="00B337FB">
        <w:t xml:space="preserve"> put it </w:t>
      </w:r>
      <w:r w:rsidR="00F60088">
        <w:t xml:space="preserve">in Emile, or On Education </w:t>
      </w:r>
      <w:r w:rsidR="00B337FB">
        <w:t>“</w:t>
      </w:r>
      <w:r w:rsidR="00F60088" w:rsidRPr="00F60088">
        <w:t>Everything is good as it comes from the hands of the Maker of the world, but degenerates once it gets into the hands of man</w:t>
      </w:r>
      <w:r w:rsidR="00B337FB">
        <w:t>”</w:t>
      </w:r>
      <w:r w:rsidR="00B337FB">
        <w:rPr>
          <w:rStyle w:val="FootnoteReference"/>
        </w:rPr>
        <w:footnoteReference w:id="20"/>
      </w:r>
      <w:r w:rsidR="00006E4F">
        <w:t xml:space="preserve">, an idea which </w:t>
      </w:r>
      <w:r w:rsidR="0023034F">
        <w:t xml:space="preserve">also </w:t>
      </w:r>
      <w:r w:rsidR="00006E4F">
        <w:t xml:space="preserve">found a place in the philosophy of Karl Marx and Immanuel Kant, among others. For this reason, the best representation of equality and justice would be afforded by a holistic view rather than a </w:t>
      </w:r>
      <w:r w:rsidR="0023034F">
        <w:t>restrictive</w:t>
      </w:r>
      <w:r w:rsidR="00006E4F">
        <w:t xml:space="preserve"> one, allowing the naturally good nature of the being to </w:t>
      </w:r>
      <w:r w:rsidR="00B337FB">
        <w:t>cleanse itself of</w:t>
      </w:r>
      <w:r w:rsidR="00006E4F">
        <w:t xml:space="preserve"> disparity</w:t>
      </w:r>
      <w:r w:rsidR="00B337FB">
        <w:t xml:space="preserve"> by the </w:t>
      </w:r>
      <w:r w:rsidR="00B337FB">
        <w:lastRenderedPageBreak/>
        <w:t>realisation of an ideal society which no longer contaminates human nature</w:t>
      </w:r>
      <w:r w:rsidR="0023034F">
        <w:rPr>
          <w:rStyle w:val="FootnoteReference"/>
        </w:rPr>
        <w:footnoteReference w:id="21"/>
      </w:r>
      <w:r w:rsidR="00B337FB">
        <w:t>.</w:t>
      </w:r>
      <w:r w:rsidR="009A72AB">
        <w:t xml:space="preserve"> Only through a system in which the </w:t>
      </w:r>
      <w:r w:rsidR="00933528">
        <w:t>affected parties are directly involved in modification and reinforcement of principles, can the system be protected against irrelevancy and socio-cultural evolution and aberration</w:t>
      </w:r>
      <w:r w:rsidR="00933528">
        <w:rPr>
          <w:rStyle w:val="FootnoteReference"/>
        </w:rPr>
        <w:footnoteReference w:id="22"/>
      </w:r>
      <w:r w:rsidR="00052AE7">
        <w:t>, we cannot be fooled by a promise of a one size fits all</w:t>
      </w:r>
      <w:r w:rsidR="0023034F">
        <w:t>, snake oil</w:t>
      </w:r>
      <w:r w:rsidR="00052AE7">
        <w:t xml:space="preserve"> set of principles, as pointed out by Nozick in his analogy of the Desert-people</w:t>
      </w:r>
      <w:r w:rsidR="00052AE7">
        <w:rPr>
          <w:rStyle w:val="FootnoteReference"/>
        </w:rPr>
        <w:footnoteReference w:id="23"/>
      </w:r>
      <w:r w:rsidR="00933528">
        <w:t>.</w:t>
      </w:r>
    </w:p>
    <w:p w14:paraId="47A822E0" w14:textId="0FE9E5B8" w:rsidR="0030680D" w:rsidRDefault="002F01A2" w:rsidP="00C91BDE">
      <w:pPr>
        <w:spacing w:before="240" w:line="360" w:lineRule="auto"/>
        <w:jc w:val="both"/>
      </w:pPr>
      <w:r w:rsidRPr="00967A10">
        <w:t xml:space="preserve">We need not to argue whether a </w:t>
      </w:r>
      <w:r w:rsidR="0030680D" w:rsidRPr="00967A10">
        <w:t xml:space="preserve">single </w:t>
      </w:r>
      <w:r w:rsidRPr="00967A10">
        <w:t>part</w:t>
      </w:r>
      <w:r w:rsidR="00967A10" w:rsidRPr="00967A10">
        <w:t xml:space="preserve"> (or an incomplete combination of parts)</w:t>
      </w:r>
      <w:r w:rsidRPr="00967A10">
        <w:t xml:space="preserve"> of the whole can </w:t>
      </w:r>
      <w:r w:rsidR="0030680D" w:rsidRPr="00967A10">
        <w:t>ever be equal</w:t>
      </w:r>
      <w:r w:rsidR="00372A84" w:rsidRPr="00967A10">
        <w:t xml:space="preserve"> </w:t>
      </w:r>
      <w:r w:rsidR="0030680D" w:rsidRPr="00967A10">
        <w:t xml:space="preserve">or the same as the whole; therefore </w:t>
      </w:r>
      <w:r w:rsidR="00A41CC1">
        <w:t>is it n</w:t>
      </w:r>
      <w:r w:rsidR="0030680D" w:rsidRPr="00967A10">
        <w:t xml:space="preserve">ecessary to defile the </w:t>
      </w:r>
      <w:r w:rsidR="00F46F9B">
        <w:t>very nature of mankind to</w:t>
      </w:r>
      <w:r w:rsidR="0030680D" w:rsidRPr="00967A10">
        <w:t xml:space="preserve"> </w:t>
      </w:r>
      <w:r w:rsidR="00372A84" w:rsidRPr="00967A10">
        <w:t xml:space="preserve">attempt to </w:t>
      </w:r>
      <w:r w:rsidR="0030680D" w:rsidRPr="00967A10">
        <w:t>find equality</w:t>
      </w:r>
      <w:r w:rsidR="00A41CC1">
        <w:t xml:space="preserve">; </w:t>
      </w:r>
      <w:r w:rsidR="00F46F9B">
        <w:t>especially when many more plausible and inclusive theories which make accordance to the complexity of the human being</w:t>
      </w:r>
      <w:r w:rsidR="00A41CC1">
        <w:t xml:space="preserve"> exist</w:t>
      </w:r>
      <w:r w:rsidR="00F46F9B">
        <w:t xml:space="preserve">, </w:t>
      </w:r>
      <w:r w:rsidR="00A41CC1">
        <w:t xml:space="preserve">an alternative could be Kantianism (including the </w:t>
      </w:r>
      <w:r w:rsidR="00F46F9B">
        <w:t>Universal Law</w:t>
      </w:r>
      <w:r w:rsidR="00F46F9B">
        <w:rPr>
          <w:rStyle w:val="FootnoteReference"/>
        </w:rPr>
        <w:footnoteReference w:id="24"/>
      </w:r>
      <w:r w:rsidR="00A41CC1">
        <w:t>) as suggested by Nozick</w:t>
      </w:r>
      <w:r w:rsidR="00A41CC1">
        <w:rPr>
          <w:rStyle w:val="FootnoteReference"/>
        </w:rPr>
        <w:footnoteReference w:id="25"/>
      </w:r>
      <w:r w:rsidR="00372A84" w:rsidRPr="00967A10">
        <w:t xml:space="preserve">. </w:t>
      </w:r>
      <w:r w:rsidR="00F46F9B">
        <w:t>It will ultimately be through the inclusion of these human traits that we find true equality and justice</w:t>
      </w:r>
      <w:r w:rsidR="00372A84" w:rsidRPr="00967A10">
        <w:t xml:space="preserve"> </w:t>
      </w:r>
      <w:r w:rsidR="00F46F9B">
        <w:t>for people</w:t>
      </w:r>
      <w:r w:rsidR="00081C8C">
        <w:t>, not through the programmed</w:t>
      </w:r>
      <w:bookmarkStart w:id="14" w:name="_GoBack"/>
      <w:bookmarkEnd w:id="14"/>
      <w:r w:rsidR="00081C8C">
        <w:t xml:space="preserve"> ignorance of them</w:t>
      </w:r>
      <w:r w:rsidR="0030680D" w:rsidRPr="00967A10">
        <w:t>.</w:t>
      </w:r>
      <w:r w:rsidR="0030680D">
        <w:t xml:space="preserve"> </w:t>
      </w:r>
      <w:r w:rsidR="00741297">
        <w:t>Human nature, it is what it is</w:t>
      </w:r>
      <w:r w:rsidR="00A41CC1">
        <w:t>;</w:t>
      </w:r>
      <w:r w:rsidR="00F46F9B">
        <w:t xml:space="preserve"> we should not wish to change it.</w:t>
      </w:r>
      <w:r w:rsidR="006176FF">
        <w:br w:type="page"/>
      </w:r>
    </w:p>
    <w:p w14:paraId="184EB6C1" w14:textId="77777777" w:rsidR="006176FF" w:rsidRDefault="006176FF" w:rsidP="007D5D5A">
      <w:pPr>
        <w:jc w:val="both"/>
      </w:pPr>
    </w:p>
    <w:p w14:paraId="1EC5D99D" w14:textId="77777777" w:rsidR="006176FF" w:rsidRDefault="006176FF" w:rsidP="007D5D5A">
      <w:pPr>
        <w:pStyle w:val="Heading1"/>
        <w:jc w:val="both"/>
      </w:pPr>
      <w:r>
        <w:t>References</w:t>
      </w:r>
    </w:p>
    <w:p w14:paraId="10F82E84" w14:textId="77777777" w:rsidR="004B7BE7" w:rsidRDefault="004B7BE7" w:rsidP="00E9377B">
      <w:pPr>
        <w:pStyle w:val="FootnoteText"/>
      </w:pPr>
      <w:r>
        <w:t>Bader, R. M., Meadowcroft, J. (2011) “7.7.2: The negative argument: desert and entitlement” in “Chapter 7: Nozick’s critique of Rawls:</w:t>
      </w:r>
      <w:r w:rsidRPr="00593EB7">
        <w:t xml:space="preserve"> </w:t>
      </w:r>
      <w:r w:rsidRPr="00052AE7">
        <w:t>Distribution, entitlement, and the assumptive world of a theory of justice</w:t>
      </w:r>
      <w:r>
        <w:t>”, “</w:t>
      </w:r>
      <w:r w:rsidRPr="00593EB7">
        <w:t>The Cambridge Companion to Nozick's Anarchy, State, and Utopia</w:t>
      </w:r>
      <w:r>
        <w:t>” Cambridge University Press, Cambridge. p189</w:t>
      </w:r>
    </w:p>
    <w:p w14:paraId="1C1D3122" w14:textId="77777777" w:rsidR="004B7BE7" w:rsidRDefault="004B7BE7" w:rsidP="00E9377B">
      <w:pPr>
        <w:pStyle w:val="FootnoteText"/>
      </w:pPr>
      <w:r>
        <w:t>Fukuoka, M. (1978) “</w:t>
      </w:r>
      <w:r>
        <w:rPr>
          <w:i/>
        </w:rPr>
        <w:t>One Straw Revolution”.</w:t>
      </w:r>
      <w:r>
        <w:t xml:space="preserve"> New York Review Books, New York, p.26</w:t>
      </w:r>
    </w:p>
    <w:p w14:paraId="26F29B27" w14:textId="77777777" w:rsidR="004B7BE7" w:rsidRDefault="004B7BE7" w:rsidP="00E9377B">
      <w:pPr>
        <w:pStyle w:val="FootnoteText"/>
      </w:pPr>
      <w:r w:rsidRPr="00BA3D78">
        <w:t>Haldane, E. S. (1911) “The Philosophical Works of Descartes” Cambridge University Press. p. 2</w:t>
      </w:r>
    </w:p>
    <w:p w14:paraId="4436EAAE" w14:textId="77777777" w:rsidR="004B7BE7" w:rsidRDefault="004B7BE7" w:rsidP="00E9377B">
      <w:pPr>
        <w:pStyle w:val="FootnoteText"/>
      </w:pPr>
      <w:r w:rsidRPr="00F46F9B">
        <w:t xml:space="preserve">Kant, </w:t>
      </w:r>
      <w:r>
        <w:t xml:space="preserve">I. </w:t>
      </w:r>
      <w:r w:rsidRPr="00F46F9B">
        <w:t>(1993) [1785]. Grounding for the Metaphysics of Morals. Translated by Ellington, J</w:t>
      </w:r>
      <w:r>
        <w:t>.</w:t>
      </w:r>
      <w:r w:rsidRPr="00F46F9B">
        <w:t xml:space="preserve"> W. (3rd ed.). Hackett</w:t>
      </w:r>
      <w:r>
        <w:t xml:space="preserve"> Press, Indianapolis</w:t>
      </w:r>
      <w:r w:rsidRPr="00F46F9B">
        <w:t>. p. 30.</w:t>
      </w:r>
    </w:p>
    <w:p w14:paraId="09D5E1F1" w14:textId="77777777" w:rsidR="004B7BE7" w:rsidRDefault="004B7BE7" w:rsidP="00E9377B">
      <w:pPr>
        <w:pStyle w:val="FootnoteText"/>
      </w:pPr>
      <w:r>
        <w:t>Locke, J. (1695) “</w:t>
      </w:r>
      <w:r w:rsidRPr="003137E2">
        <w:t>The Reasonableness of Christianity As Delivered in the Scriptures</w:t>
      </w:r>
      <w:r>
        <w:t>”, Clarendon Press, Oxford. p87.</w:t>
      </w:r>
    </w:p>
    <w:p w14:paraId="6D498E06" w14:textId="77777777" w:rsidR="004B7BE7" w:rsidRDefault="004B7BE7" w:rsidP="00E9377B">
      <w:pPr>
        <w:pStyle w:val="FootnoteText"/>
      </w:pPr>
      <w:r>
        <w:t xml:space="preserve">Nagel, T. (1973) “Rawls on Justice” </w:t>
      </w:r>
      <w:r w:rsidRPr="00F33999">
        <w:t>The Philosophical Review</w:t>
      </w:r>
      <w:r>
        <w:t>, Vol. 82, No. 2, pp. 222</w:t>
      </w:r>
      <w:r w:rsidRPr="00F33999">
        <w:t>.</w:t>
      </w:r>
    </w:p>
    <w:p w14:paraId="39DA7437" w14:textId="77777777" w:rsidR="004B7BE7" w:rsidRDefault="004B7BE7" w:rsidP="00E9377B">
      <w:pPr>
        <w:pStyle w:val="FootnoteText"/>
      </w:pPr>
      <w:r w:rsidRPr="00B14B09">
        <w:t>Niebuhr</w:t>
      </w:r>
      <w:r>
        <w:t>, R. (2002) “</w:t>
      </w:r>
      <w:r w:rsidRPr="003137E2">
        <w:t>Moral Man and Immoral Society: Study in Ethics and Politic</w:t>
      </w:r>
      <w:r>
        <w:t>s” 20</w:t>
      </w:r>
      <w:r w:rsidRPr="003137E2">
        <w:rPr>
          <w:vertAlign w:val="superscript"/>
        </w:rPr>
        <w:t>th</w:t>
      </w:r>
      <w:r>
        <w:t xml:space="preserve"> edition, Westminster John Knox Press, Louisville. p. 123</w:t>
      </w:r>
    </w:p>
    <w:p w14:paraId="0CA93B86" w14:textId="77777777" w:rsidR="004B7BE7" w:rsidRDefault="004B7BE7" w:rsidP="00E9377B">
      <w:pPr>
        <w:pStyle w:val="FootnoteText"/>
      </w:pPr>
      <w:r>
        <w:t>Nozick, R. (1974) “</w:t>
      </w:r>
      <w:r w:rsidRPr="00353B40">
        <w:rPr>
          <w:i/>
        </w:rPr>
        <w:t>Anarchy, State</w:t>
      </w:r>
      <w:r>
        <w:rPr>
          <w:i/>
        </w:rPr>
        <w:t>,</w:t>
      </w:r>
      <w:r w:rsidRPr="00353B40">
        <w:rPr>
          <w:i/>
        </w:rPr>
        <w:t xml:space="preserve"> and Utopia</w:t>
      </w:r>
      <w:r>
        <w:t>”, Blackwell, Oxford.</w:t>
      </w:r>
    </w:p>
    <w:p w14:paraId="535D397A" w14:textId="77777777" w:rsidR="004B7BE7" w:rsidRDefault="004B7BE7" w:rsidP="00E9377B">
      <w:pPr>
        <w:pStyle w:val="FootnoteText"/>
      </w:pPr>
      <w:r>
        <w:t>Nozick, R. (1974) “Distributive Justice” in “Anarchy, State, and Utopia”, Blackwell, Oxford, p. 151-153</w:t>
      </w:r>
    </w:p>
    <w:p w14:paraId="3A72E732" w14:textId="77777777" w:rsidR="004B7BE7" w:rsidRDefault="004B7BE7" w:rsidP="00E9377B">
      <w:pPr>
        <w:pStyle w:val="FootnoteText"/>
      </w:pPr>
      <w:r w:rsidRPr="00A41CC1">
        <w:t>Nozick, R. (1974) “</w:t>
      </w:r>
      <w:r>
        <w:t>Moral Constraints and the State</w:t>
      </w:r>
      <w:r w:rsidRPr="00A41CC1">
        <w:t>” in “Anarchy, State, and Utopia”, Blackwell, Oxford, p. 150</w:t>
      </w:r>
    </w:p>
    <w:p w14:paraId="651C35E4" w14:textId="77777777" w:rsidR="004B7BE7" w:rsidRDefault="004B7BE7" w:rsidP="00E9377B">
      <w:pPr>
        <w:pStyle w:val="FootnoteText"/>
      </w:pPr>
      <w:r>
        <w:t>Nozick, R. (1974) “Preface” in “Anarchy, State, and Utopia”, Blackwell, Oxford, p. 9</w:t>
      </w:r>
    </w:p>
    <w:p w14:paraId="064C45AC" w14:textId="77777777" w:rsidR="004B7BE7" w:rsidRDefault="004B7BE7" w:rsidP="00E9377B">
      <w:pPr>
        <w:pStyle w:val="FootnoteText"/>
      </w:pPr>
      <w:r w:rsidRPr="00A41CC1">
        <w:t>Nozick, R. (1974) “The Entitlement Theory” in “Anarchy, State, and Utopia”, Blackwell, Oxford, p. 150</w:t>
      </w:r>
    </w:p>
    <w:p w14:paraId="371982CB" w14:textId="77777777" w:rsidR="004B7BE7" w:rsidRDefault="004B7BE7" w:rsidP="004B7BE7">
      <w:pPr>
        <w:pStyle w:val="FootnoteText"/>
      </w:pPr>
      <w:r w:rsidRPr="004B7BE7">
        <w:t xml:space="preserve">Plato (1925). </w:t>
      </w:r>
      <w:r>
        <w:t>“</w:t>
      </w:r>
      <w:r w:rsidRPr="004B7BE7">
        <w:t>Parmenides</w:t>
      </w:r>
      <w:r>
        <w:t>”</w:t>
      </w:r>
      <w:r w:rsidRPr="004B7BE7">
        <w:t>. Translated by N. Fowler, Harold. London: Harvard University Press. p. 139.</w:t>
      </w:r>
    </w:p>
    <w:p w14:paraId="68BB7F22" w14:textId="77777777" w:rsidR="004B7BE7" w:rsidRDefault="004B7BE7" w:rsidP="004B7BE7">
      <w:pPr>
        <w:pStyle w:val="FootnoteText"/>
      </w:pPr>
      <w:r w:rsidRPr="004B7BE7">
        <w:t>Plato. and Lee, H. (1974). The Republic. Harmondsworth: Penguin.</w:t>
      </w:r>
    </w:p>
    <w:p w14:paraId="7C092FF0" w14:textId="77777777" w:rsidR="004B7BE7" w:rsidRDefault="004B7BE7" w:rsidP="00E9377B">
      <w:pPr>
        <w:pStyle w:val="FootnoteText"/>
      </w:pPr>
      <w:r>
        <w:t>Rawls, J. (1971) “A Theory of Justice”, Harvard University Press, Cambridge</w:t>
      </w:r>
    </w:p>
    <w:p w14:paraId="0780FC4F" w14:textId="77777777" w:rsidR="004B7BE7" w:rsidRDefault="004B7BE7" w:rsidP="00E9377B">
      <w:pPr>
        <w:pStyle w:val="FootnoteText"/>
      </w:pPr>
      <w:r>
        <w:t>Rawls, J. (1971) “Chapter 1: Justice as Fairness” in “A Theory of Justice”, Harvard University Press, Cambridge p. 11</w:t>
      </w:r>
    </w:p>
    <w:p w14:paraId="7A5C0863" w14:textId="77777777" w:rsidR="004B7BE7" w:rsidRDefault="004B7BE7" w:rsidP="00E9377B">
      <w:pPr>
        <w:pStyle w:val="FootnoteText"/>
      </w:pPr>
      <w:r>
        <w:t>Rawls, J. (1971) “Chapter 1: Justice as Fairness” in “A Theory of Justice”, Harvard University Press, Cambridge p. 11-12</w:t>
      </w:r>
    </w:p>
    <w:p w14:paraId="37BAA5D1" w14:textId="77777777" w:rsidR="004B7BE7" w:rsidRDefault="004B7BE7" w:rsidP="00E9377B">
      <w:pPr>
        <w:pStyle w:val="FootnoteText"/>
      </w:pPr>
      <w:r>
        <w:t>Rawls, J. (1971) “Chapter 24: The Veil of Ignorance” in “A Theory of Justice”, Harvard University Press, Cambridge p. 118</w:t>
      </w:r>
    </w:p>
    <w:p w14:paraId="0E78137A" w14:textId="77777777" w:rsidR="004B7BE7" w:rsidRDefault="004B7BE7" w:rsidP="00E9377B">
      <w:pPr>
        <w:pStyle w:val="FootnoteText"/>
      </w:pPr>
      <w:r>
        <w:t>Rawls, J. (1971) “Chapter 24: The Veil of Ignorance” in “A Theory of Justice”, Harvard University Press, Cambridge p. 237</w:t>
      </w:r>
    </w:p>
    <w:p w14:paraId="2F8FECEA" w14:textId="77777777" w:rsidR="004B7BE7" w:rsidRDefault="004B7BE7" w:rsidP="00E9377B">
      <w:pPr>
        <w:pStyle w:val="FootnoteText"/>
      </w:pPr>
      <w:r w:rsidRPr="00006E4F">
        <w:t>Rousseau, J</w:t>
      </w:r>
      <w:r>
        <w:t>. J</w:t>
      </w:r>
      <w:r w:rsidRPr="00006E4F">
        <w:t>.</w:t>
      </w:r>
      <w:r>
        <w:t xml:space="preserve"> (1979)</w:t>
      </w:r>
      <w:r w:rsidRPr="00006E4F">
        <w:t xml:space="preserve"> </w:t>
      </w:r>
      <w:r>
        <w:t>“</w:t>
      </w:r>
      <w:r w:rsidRPr="00F60088">
        <w:t>Emile, or On Education</w:t>
      </w:r>
      <w:r>
        <w:t>”. Basic Books, New York. p. 11</w:t>
      </w:r>
    </w:p>
    <w:p w14:paraId="3F808C53" w14:textId="77777777" w:rsidR="004B7BE7" w:rsidRDefault="004B7BE7" w:rsidP="004B7BE7">
      <w:pPr>
        <w:pStyle w:val="FootnoteText"/>
      </w:pPr>
      <w:r>
        <w:t>Wood, A. W. (2004), “</w:t>
      </w:r>
      <w:r w:rsidRPr="00502B87">
        <w:t>Karl Marx (Arguments of the Philosophers)</w:t>
      </w:r>
      <w:r>
        <w:t>”. Routledge, London. p. 16-21</w:t>
      </w:r>
    </w:p>
    <w:p w14:paraId="3DBC33BB" w14:textId="77777777" w:rsidR="004B7BE7" w:rsidRPr="006176FF" w:rsidRDefault="004B7BE7" w:rsidP="007D5D5A">
      <w:pPr>
        <w:jc w:val="both"/>
      </w:pPr>
    </w:p>
    <w:sectPr w:rsidR="004B7BE7" w:rsidRPr="006176FF" w:rsidSect="001003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B06693" w14:textId="77777777" w:rsidR="00C8168F" w:rsidRDefault="00C8168F" w:rsidP="00B52EAF">
      <w:pPr>
        <w:spacing w:after="0" w:line="240" w:lineRule="auto"/>
      </w:pPr>
      <w:r>
        <w:separator/>
      </w:r>
    </w:p>
  </w:endnote>
  <w:endnote w:type="continuationSeparator" w:id="0">
    <w:p w14:paraId="0E1F8978" w14:textId="77777777" w:rsidR="00C8168F" w:rsidRDefault="00C8168F" w:rsidP="00B52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A9F07" w14:textId="77777777" w:rsidR="00C8168F" w:rsidRDefault="00C8168F" w:rsidP="00B52EAF">
      <w:pPr>
        <w:spacing w:after="0" w:line="240" w:lineRule="auto"/>
      </w:pPr>
      <w:r>
        <w:separator/>
      </w:r>
    </w:p>
  </w:footnote>
  <w:footnote w:type="continuationSeparator" w:id="0">
    <w:p w14:paraId="669FDBD0" w14:textId="77777777" w:rsidR="00C8168F" w:rsidRDefault="00C8168F" w:rsidP="00B52EAF">
      <w:pPr>
        <w:spacing w:after="0" w:line="240" w:lineRule="auto"/>
      </w:pPr>
      <w:r>
        <w:continuationSeparator/>
      </w:r>
    </w:p>
  </w:footnote>
  <w:footnote w:id="1">
    <w:p w14:paraId="353F2F33" w14:textId="77777777" w:rsidR="00F8476E" w:rsidRDefault="00006E4F">
      <w:pPr>
        <w:pStyle w:val="FootnoteText"/>
      </w:pPr>
      <w:r>
        <w:rPr>
          <w:rStyle w:val="FootnoteReference"/>
        </w:rPr>
        <w:footnoteRef/>
      </w:r>
      <w:r>
        <w:t xml:space="preserve"> Defined first in 1958 by Rawls as his version of Social Contract theory</w:t>
      </w:r>
      <w:r w:rsidR="00F8476E">
        <w:t>. Rawls, J. (1971) p. 237</w:t>
      </w:r>
    </w:p>
  </w:footnote>
  <w:footnote w:id="2">
    <w:p w14:paraId="54027604" w14:textId="77777777" w:rsidR="00006E4F" w:rsidRDefault="00006E4F">
      <w:pPr>
        <w:pStyle w:val="FootnoteText"/>
      </w:pPr>
      <w:r>
        <w:rPr>
          <w:rStyle w:val="FootnoteReference"/>
        </w:rPr>
        <w:footnoteRef/>
      </w:r>
      <w:r>
        <w:t xml:space="preserve"> </w:t>
      </w:r>
      <w:r w:rsidR="00CD52FB">
        <w:t>The fi</w:t>
      </w:r>
      <w:r>
        <w:t xml:space="preserve">rst being equal liberty to all and the second permitting difference within primary economic and social advantages so long as even the poorest off are benefitted. </w:t>
      </w:r>
      <w:bookmarkStart w:id="0" w:name="_Hlk3984327"/>
      <w:r>
        <w:t>Nagel, T. (1973) p. 222</w:t>
      </w:r>
      <w:r w:rsidRPr="00F33999">
        <w:t>.</w:t>
      </w:r>
    </w:p>
    <w:bookmarkEnd w:id="0"/>
  </w:footnote>
  <w:footnote w:id="3">
    <w:p w14:paraId="7D766405" w14:textId="77777777" w:rsidR="00FA72E3" w:rsidRDefault="00FA72E3" w:rsidP="00FA72E3">
      <w:pPr>
        <w:pStyle w:val="FootnoteText"/>
      </w:pPr>
      <w:r>
        <w:rPr>
          <w:rStyle w:val="FootnoteReference"/>
        </w:rPr>
        <w:footnoteRef/>
      </w:r>
      <w:r>
        <w:t xml:space="preserve"> Descartes, R. Meditation III. As an epistemological description of indubitable knowledge</w:t>
      </w:r>
      <w:r w:rsidR="00CD52FB">
        <w:t xml:space="preserve">, free of fallacy. </w:t>
      </w:r>
      <w:bookmarkStart w:id="1" w:name="_Hlk3984523"/>
      <w:r w:rsidR="00F8476E" w:rsidRPr="00BA3D78">
        <w:t>Haldane, E. S. (1911) p. 2</w:t>
      </w:r>
    </w:p>
    <w:bookmarkEnd w:id="1"/>
  </w:footnote>
  <w:footnote w:id="4">
    <w:p w14:paraId="41E81B96" w14:textId="77777777" w:rsidR="00006E4F" w:rsidRDefault="00006E4F" w:rsidP="00C13968">
      <w:pPr>
        <w:pStyle w:val="FootnoteText"/>
      </w:pPr>
      <w:r>
        <w:rPr>
          <w:rStyle w:val="FootnoteReference"/>
        </w:rPr>
        <w:footnoteRef/>
      </w:r>
      <w:r>
        <w:t xml:space="preserve"> </w:t>
      </w:r>
      <w:bookmarkStart w:id="2" w:name="_Hlk3984857"/>
      <w:r>
        <w:t>Rawls, J. (1971) p. 118</w:t>
      </w:r>
      <w:bookmarkEnd w:id="2"/>
    </w:p>
  </w:footnote>
  <w:footnote w:id="5">
    <w:p w14:paraId="0077286E" w14:textId="77777777" w:rsidR="00006E4F" w:rsidRDefault="00006E4F" w:rsidP="00BC6EE5">
      <w:pPr>
        <w:pStyle w:val="FootnoteText"/>
      </w:pPr>
      <w:r>
        <w:rPr>
          <w:rStyle w:val="FootnoteReference"/>
        </w:rPr>
        <w:footnoteRef/>
      </w:r>
      <w:r>
        <w:t xml:space="preserve"> </w:t>
      </w:r>
      <w:bookmarkStart w:id="3" w:name="_Hlk3985094"/>
      <w:r>
        <w:t>Rawls, J. (1971).</w:t>
      </w:r>
      <w:r w:rsidR="004912B7">
        <w:t xml:space="preserve"> p.</w:t>
      </w:r>
      <w:r>
        <w:t xml:space="preserve"> 11</w:t>
      </w:r>
    </w:p>
    <w:bookmarkEnd w:id="3"/>
  </w:footnote>
  <w:footnote w:id="6">
    <w:p w14:paraId="7656BCC1" w14:textId="77777777" w:rsidR="00006E4F" w:rsidRDefault="00006E4F">
      <w:pPr>
        <w:pStyle w:val="FootnoteText"/>
      </w:pPr>
      <w:r>
        <w:rPr>
          <w:rStyle w:val="FootnoteReference"/>
        </w:rPr>
        <w:footnoteRef/>
      </w:r>
      <w:r>
        <w:t xml:space="preserve"> </w:t>
      </w:r>
      <w:bookmarkStart w:id="4" w:name="_Hlk3985248"/>
      <w:r w:rsidR="004912B7">
        <w:t xml:space="preserve">Wood, A. W. (2004). </w:t>
      </w:r>
      <w:r>
        <w:t>p. 16-21</w:t>
      </w:r>
    </w:p>
    <w:bookmarkEnd w:id="4"/>
  </w:footnote>
  <w:footnote w:id="7">
    <w:p w14:paraId="78942C2D" w14:textId="77777777" w:rsidR="005B1756" w:rsidRDefault="005B1756">
      <w:pPr>
        <w:pStyle w:val="FootnoteText"/>
      </w:pPr>
      <w:r>
        <w:rPr>
          <w:rStyle w:val="FootnoteReference"/>
        </w:rPr>
        <w:footnoteRef/>
      </w:r>
      <w:r>
        <w:t xml:space="preserve"> </w:t>
      </w:r>
      <w:r w:rsidRPr="005B1756">
        <w:t xml:space="preserve">“Men are to decide in advance how they are to regulate their claims against one another and what is to be the foundation charter of their society” </w:t>
      </w:r>
      <w:r w:rsidR="00B14B09">
        <w:t>Rawls, J. (1971). p. 11-12</w:t>
      </w:r>
    </w:p>
  </w:footnote>
  <w:footnote w:id="8">
    <w:p w14:paraId="13104C6E" w14:textId="2F019C46" w:rsidR="004B7BE7" w:rsidRDefault="004B7BE7">
      <w:pPr>
        <w:pStyle w:val="FootnoteText"/>
      </w:pPr>
      <w:r>
        <w:rPr>
          <w:rStyle w:val="FootnoteReference"/>
        </w:rPr>
        <w:footnoteRef/>
      </w:r>
      <w:r>
        <w:t xml:space="preserve"> </w:t>
      </w:r>
      <w:r w:rsidRPr="004B7BE7">
        <w:t>Plato. and Lee, H. (1974).</w:t>
      </w:r>
    </w:p>
  </w:footnote>
  <w:footnote w:id="9">
    <w:p w14:paraId="58F665A3" w14:textId="78346C19" w:rsidR="004B7BE7" w:rsidRDefault="004B7BE7">
      <w:pPr>
        <w:pStyle w:val="FootnoteText"/>
      </w:pPr>
      <w:r>
        <w:rPr>
          <w:rStyle w:val="FootnoteReference"/>
        </w:rPr>
        <w:footnoteRef/>
      </w:r>
      <w:r>
        <w:t xml:space="preserve"> </w:t>
      </w:r>
      <w:r w:rsidRPr="004B7BE7">
        <w:t xml:space="preserve">Plato (1925). </w:t>
      </w:r>
      <w:r>
        <w:t>“</w:t>
      </w:r>
      <w:r w:rsidRPr="004B7BE7">
        <w:t>Parmenides</w:t>
      </w:r>
      <w:r>
        <w:t>”</w:t>
      </w:r>
      <w:r w:rsidRPr="004B7BE7">
        <w:t>. Translated by N. Fowler, Harold. London: Harvard University Press. p. 139.</w:t>
      </w:r>
    </w:p>
  </w:footnote>
  <w:footnote w:id="10">
    <w:p w14:paraId="676FADA9" w14:textId="77777777" w:rsidR="00006E4F" w:rsidRDefault="00006E4F">
      <w:pPr>
        <w:pStyle w:val="FootnoteText"/>
      </w:pPr>
      <w:r>
        <w:rPr>
          <w:rStyle w:val="FootnoteReference"/>
        </w:rPr>
        <w:footnoteRef/>
      </w:r>
      <w:r>
        <w:t xml:space="preserve"> </w:t>
      </w:r>
      <w:bookmarkStart w:id="5" w:name="_Hlk3985466"/>
      <w:r w:rsidR="00B14B09">
        <w:t>“</w:t>
      </w:r>
      <w:r w:rsidR="00B14B09" w:rsidRPr="00B16405">
        <w:t>An object seen in isolation from the whole is not the real thing</w:t>
      </w:r>
      <w:r w:rsidR="00B14B09">
        <w:rPr>
          <w:i/>
        </w:rPr>
        <w:t>”</w:t>
      </w:r>
      <w:r w:rsidR="00B14B09">
        <w:t xml:space="preserve">. </w:t>
      </w:r>
      <w:r>
        <w:t>Fukuoka, M. (1978)</w:t>
      </w:r>
      <w:r w:rsidR="00B14B09">
        <w:t xml:space="preserve">. </w:t>
      </w:r>
      <w:r>
        <w:t>p.26</w:t>
      </w:r>
      <w:bookmarkEnd w:id="5"/>
    </w:p>
  </w:footnote>
  <w:footnote w:id="11">
    <w:p w14:paraId="42661B37" w14:textId="57F671F1" w:rsidR="003137E2" w:rsidRDefault="00006E4F">
      <w:pPr>
        <w:pStyle w:val="FootnoteText"/>
      </w:pPr>
      <w:r>
        <w:rPr>
          <w:rStyle w:val="FootnoteReference"/>
        </w:rPr>
        <w:footnoteRef/>
      </w:r>
      <w:r>
        <w:t xml:space="preserve"> </w:t>
      </w:r>
      <w:r w:rsidR="00B14B09">
        <w:t>“…</w:t>
      </w:r>
      <w:r w:rsidR="00B14B09" w:rsidRPr="00B14B09">
        <w:t>Rationality belongs to the cool observer, but because of the stupidity of the average man he follows not reason</w:t>
      </w:r>
      <w:r w:rsidR="00B14B09">
        <w:t xml:space="preserve">…” </w:t>
      </w:r>
      <w:bookmarkStart w:id="6" w:name="_Hlk3986166"/>
      <w:r w:rsidR="00B14B09" w:rsidRPr="00B14B09">
        <w:t>Niebuhr</w:t>
      </w:r>
      <w:r w:rsidR="003137E2">
        <w:t>, R. (2002)</w:t>
      </w:r>
      <w:r w:rsidR="000B6F26">
        <w:t xml:space="preserve">. </w:t>
      </w:r>
      <w:r w:rsidR="003137E2">
        <w:t>p. 123</w:t>
      </w:r>
      <w:bookmarkEnd w:id="6"/>
      <w:r w:rsidR="000B6F26">
        <w:t xml:space="preserve">; </w:t>
      </w:r>
      <w:r w:rsidR="003137E2">
        <w:t>in response to John Locke’s</w:t>
      </w:r>
      <w:proofErr w:type="gramStart"/>
      <w:r w:rsidR="00527BCC">
        <w:t>,</w:t>
      </w:r>
      <w:r w:rsidR="003137E2">
        <w:t xml:space="preserve"> </w:t>
      </w:r>
      <w:r w:rsidR="00B14B09" w:rsidRPr="00B14B09">
        <w:t>”The</w:t>
      </w:r>
      <w:proofErr w:type="gramEnd"/>
      <w:r w:rsidR="00B14B09" w:rsidRPr="00B14B09">
        <w:t xml:space="preserve"> day labourers and tradesmen, the spinsters and dairy maids must be told what to think. The greatest part cannot know, and therefore they must believe.”</w:t>
      </w:r>
      <w:r>
        <w:t xml:space="preserve"> </w:t>
      </w:r>
      <w:bookmarkStart w:id="7" w:name="_Hlk3986723"/>
      <w:r>
        <w:t>Locke</w:t>
      </w:r>
      <w:r w:rsidR="003137E2">
        <w:t>, J. (16</w:t>
      </w:r>
      <w:r w:rsidR="000B6F26">
        <w:t>95).</w:t>
      </w:r>
      <w:r w:rsidR="003137E2">
        <w:t xml:space="preserve"> p87.</w:t>
      </w:r>
      <w:bookmarkEnd w:id="7"/>
    </w:p>
  </w:footnote>
  <w:footnote w:id="12">
    <w:p w14:paraId="627307B3" w14:textId="2466B7BF" w:rsidR="00335EF6" w:rsidRDefault="00335EF6">
      <w:pPr>
        <w:pStyle w:val="FootnoteText"/>
      </w:pPr>
      <w:r>
        <w:rPr>
          <w:rStyle w:val="FootnoteReference"/>
        </w:rPr>
        <w:footnoteRef/>
      </w:r>
      <w:r>
        <w:t xml:space="preserve"> Fukuoka, M. (1978), p. 26</w:t>
      </w:r>
    </w:p>
  </w:footnote>
  <w:footnote w:id="13">
    <w:p w14:paraId="622ED941" w14:textId="77777777" w:rsidR="00006E4F" w:rsidRPr="00B16405" w:rsidRDefault="00006E4F" w:rsidP="00AC111A">
      <w:pPr>
        <w:pStyle w:val="FootnoteText"/>
        <w:rPr>
          <w:i/>
        </w:rPr>
      </w:pPr>
      <w:r>
        <w:rPr>
          <w:rStyle w:val="FootnoteReference"/>
        </w:rPr>
        <w:footnoteRef/>
      </w:r>
      <w:r>
        <w:t xml:space="preserve"> </w:t>
      </w:r>
      <w:r w:rsidR="000B6F26" w:rsidRPr="00B16405">
        <w:t>“</w:t>
      </w:r>
      <w:r w:rsidR="000B6F26" w:rsidRPr="00B86704">
        <w:t>We murder to dissect</w:t>
      </w:r>
      <w:r w:rsidR="000B6F26">
        <w:t xml:space="preserve">”; </w:t>
      </w:r>
      <w:r>
        <w:t>Wordsworth, W. (1798) “The Tables Turned” in “Lyrical Ballad”</w:t>
      </w:r>
    </w:p>
  </w:footnote>
  <w:footnote w:id="14">
    <w:p w14:paraId="3A518F5F" w14:textId="77777777" w:rsidR="00006E4F" w:rsidRDefault="00006E4F">
      <w:pPr>
        <w:pStyle w:val="FootnoteText"/>
      </w:pPr>
      <w:r>
        <w:rPr>
          <w:rStyle w:val="FootnoteReference"/>
        </w:rPr>
        <w:footnoteRef/>
      </w:r>
      <w:bookmarkStart w:id="8" w:name="_Hlk3986876"/>
      <w:r w:rsidR="000B6F26">
        <w:t>Nozick, R. (1974)</w:t>
      </w:r>
      <w:bookmarkEnd w:id="8"/>
    </w:p>
  </w:footnote>
  <w:footnote w:id="15">
    <w:p w14:paraId="65F5F38B" w14:textId="77777777" w:rsidR="00006E4F" w:rsidRDefault="00006E4F">
      <w:pPr>
        <w:pStyle w:val="FootnoteText"/>
      </w:pPr>
      <w:bookmarkStart w:id="9" w:name="_Hlk3986931"/>
      <w:r>
        <w:rPr>
          <w:rStyle w:val="FootnoteReference"/>
        </w:rPr>
        <w:footnoteRef/>
      </w:r>
      <w:r>
        <w:t xml:space="preserve"> </w:t>
      </w:r>
      <w:r w:rsidR="000B6F26">
        <w:t>Rawls, J. (1971) “A Theory of Justice”, Harvard University Press, Cambridge</w:t>
      </w:r>
      <w:bookmarkEnd w:id="9"/>
    </w:p>
  </w:footnote>
  <w:footnote w:id="16">
    <w:p w14:paraId="6B04F85A" w14:textId="41941249" w:rsidR="00006E4F" w:rsidRDefault="00006E4F" w:rsidP="00F10838">
      <w:pPr>
        <w:pStyle w:val="FootnoteText"/>
      </w:pPr>
      <w:r>
        <w:rPr>
          <w:rStyle w:val="FootnoteReference"/>
        </w:rPr>
        <w:footnoteRef/>
      </w:r>
      <w:r>
        <w:t xml:space="preserve"> </w:t>
      </w:r>
      <w:bookmarkStart w:id="10" w:name="_Hlk3987120"/>
      <w:r w:rsidR="00F7791C">
        <w:t xml:space="preserve">“The Entitlement Theory” </w:t>
      </w:r>
      <w:r w:rsidR="000B6F26">
        <w:t xml:space="preserve">Nozick, R. (1974) </w:t>
      </w:r>
      <w:r w:rsidR="00F7791C">
        <w:t>p. 150</w:t>
      </w:r>
      <w:bookmarkEnd w:id="10"/>
    </w:p>
  </w:footnote>
  <w:footnote w:id="17">
    <w:p w14:paraId="38B88F5B" w14:textId="77777777" w:rsidR="00006E4F" w:rsidRDefault="00006E4F">
      <w:pPr>
        <w:pStyle w:val="FootnoteText"/>
      </w:pPr>
      <w:r>
        <w:rPr>
          <w:rStyle w:val="FootnoteReference"/>
        </w:rPr>
        <w:footnoteRef/>
      </w:r>
      <w:r>
        <w:t xml:space="preserve"> </w:t>
      </w:r>
      <w:r w:rsidR="00F7791C">
        <w:t>“Distributive Justice” Nozick, R. (1974) p. 151-153</w:t>
      </w:r>
    </w:p>
  </w:footnote>
  <w:footnote w:id="18">
    <w:p w14:paraId="1B6056E0" w14:textId="77777777" w:rsidR="00006E4F" w:rsidRDefault="00006E4F">
      <w:pPr>
        <w:pStyle w:val="FootnoteText"/>
      </w:pPr>
      <w:r>
        <w:rPr>
          <w:rStyle w:val="FootnoteReference"/>
        </w:rPr>
        <w:footnoteRef/>
      </w:r>
      <w:r>
        <w:t xml:space="preserve"> </w:t>
      </w:r>
      <w:r w:rsidR="00F7791C">
        <w:t>“Preface” Nozick, R. (1974) p. 9</w:t>
      </w:r>
    </w:p>
  </w:footnote>
  <w:footnote w:id="19">
    <w:p w14:paraId="0DC67E27" w14:textId="5B41889E" w:rsidR="0023034F" w:rsidRDefault="0023034F" w:rsidP="0023034F">
      <w:pPr>
        <w:pStyle w:val="FootnoteText"/>
      </w:pPr>
      <w:r>
        <w:rPr>
          <w:rStyle w:val="FootnoteReference"/>
        </w:rPr>
        <w:footnoteRef/>
      </w:r>
      <w:r>
        <w:t xml:space="preserve"> Nagel, T. (1973) “Rawls on Justice”, </w:t>
      </w:r>
      <w:r w:rsidRPr="0023034F">
        <w:t>The Philosophical Review, Vol. 82, No. 2. pp. 22</w:t>
      </w:r>
      <w:r>
        <w:t>2</w:t>
      </w:r>
    </w:p>
  </w:footnote>
  <w:footnote w:id="20">
    <w:p w14:paraId="59F1876C" w14:textId="4090B638" w:rsidR="00B337FB" w:rsidRDefault="00B337FB">
      <w:pPr>
        <w:pStyle w:val="FootnoteText"/>
      </w:pPr>
      <w:r>
        <w:rPr>
          <w:rStyle w:val="FootnoteReference"/>
        </w:rPr>
        <w:footnoteRef/>
      </w:r>
      <w:r>
        <w:t xml:space="preserve"> </w:t>
      </w:r>
      <w:bookmarkStart w:id="11" w:name="_Hlk3988376"/>
      <w:r w:rsidR="00081C8C">
        <w:t xml:space="preserve">The idea that man’s goodness is eroded through the action of society. </w:t>
      </w:r>
      <w:r w:rsidR="00F60088" w:rsidRPr="00006E4F">
        <w:t>Rousseau, J</w:t>
      </w:r>
      <w:r w:rsidR="00F60088">
        <w:t>. J</w:t>
      </w:r>
      <w:r w:rsidR="00F60088" w:rsidRPr="00006E4F">
        <w:t>.</w:t>
      </w:r>
      <w:r w:rsidR="00F60088">
        <w:t xml:space="preserve"> (1979)</w:t>
      </w:r>
      <w:r w:rsidR="00F60088" w:rsidRPr="00006E4F">
        <w:t xml:space="preserve"> </w:t>
      </w:r>
      <w:r w:rsidR="00F60088">
        <w:t>“</w:t>
      </w:r>
      <w:r w:rsidR="00F60088" w:rsidRPr="00F60088">
        <w:t>Emile, or On Education</w:t>
      </w:r>
      <w:r w:rsidR="00F60088">
        <w:t>”. p. 11</w:t>
      </w:r>
      <w:bookmarkEnd w:id="11"/>
    </w:p>
  </w:footnote>
  <w:footnote w:id="21">
    <w:p w14:paraId="697D6851" w14:textId="631678D4" w:rsidR="0023034F" w:rsidRDefault="0023034F">
      <w:pPr>
        <w:pStyle w:val="FootnoteText"/>
      </w:pPr>
      <w:r>
        <w:rPr>
          <w:rStyle w:val="FootnoteReference"/>
        </w:rPr>
        <w:footnoteRef/>
      </w:r>
      <w:r>
        <w:t xml:space="preserve"> </w:t>
      </w:r>
      <w:r w:rsidRPr="0023034F">
        <w:t>Rousseau, J. J. (1979) “Emile, or On Education”. p. 11</w:t>
      </w:r>
    </w:p>
  </w:footnote>
  <w:footnote w:id="22">
    <w:p w14:paraId="21E50EFB" w14:textId="77777777" w:rsidR="00933528" w:rsidRDefault="00933528">
      <w:pPr>
        <w:pStyle w:val="FootnoteText"/>
      </w:pPr>
      <w:r>
        <w:rPr>
          <w:rStyle w:val="FootnoteReference"/>
        </w:rPr>
        <w:footnoteRef/>
      </w:r>
      <w:r>
        <w:t xml:space="preserve"> Both</w:t>
      </w:r>
      <w:r w:rsidR="00F60088">
        <w:t>,</w:t>
      </w:r>
      <w:r>
        <w:t xml:space="preserve"> </w:t>
      </w:r>
      <w:r w:rsidR="00F60088">
        <w:t xml:space="preserve">variations </w:t>
      </w:r>
      <w:r>
        <w:t>on a broad scale and a personal scale, to make sure that all persons are being correctly accounted for, always.</w:t>
      </w:r>
    </w:p>
  </w:footnote>
  <w:footnote w:id="23">
    <w:p w14:paraId="6B7C775E" w14:textId="77777777" w:rsidR="00052AE7" w:rsidRDefault="00052AE7">
      <w:pPr>
        <w:pStyle w:val="FootnoteText"/>
      </w:pPr>
      <w:r>
        <w:rPr>
          <w:rStyle w:val="FootnoteReference"/>
        </w:rPr>
        <w:footnoteRef/>
      </w:r>
      <w:r w:rsidR="00E9377B">
        <w:t>A point on apportionment in</w:t>
      </w:r>
      <w:r w:rsidR="00F60088">
        <w:t xml:space="preserve"> </w:t>
      </w:r>
      <w:bookmarkStart w:id="12" w:name="_Hlk3988590"/>
      <w:r w:rsidR="00F60088">
        <w:t>Bader, R. M., Meadowcroft, J. (2011) “7.7.2</w:t>
      </w:r>
      <w:r w:rsidR="00E9377B">
        <w:t xml:space="preserve">: </w:t>
      </w:r>
      <w:r w:rsidR="00F60088">
        <w:t>The negative argument: desert and entitlement” in “Chapter 7: Nozick’s critique of Rawls:</w:t>
      </w:r>
      <w:r w:rsidR="00F60088" w:rsidRPr="00593EB7">
        <w:t xml:space="preserve"> </w:t>
      </w:r>
      <w:r w:rsidR="00F60088" w:rsidRPr="00052AE7">
        <w:t>Distribution, entitlement, and the assumptive world of a theory of justice</w:t>
      </w:r>
      <w:r w:rsidR="00F60088">
        <w:t>”, “</w:t>
      </w:r>
      <w:r w:rsidR="00F60088" w:rsidRPr="00593EB7">
        <w:t>The Cambridge Companion to Nozick's Anarchy, State, and Utopia</w:t>
      </w:r>
      <w:r w:rsidR="00F60088">
        <w:t>” Cambrid</w:t>
      </w:r>
      <w:r w:rsidR="00E9377B">
        <w:t xml:space="preserve">ge University Press, Cambridge. </w:t>
      </w:r>
      <w:r>
        <w:t>p189</w:t>
      </w:r>
      <w:bookmarkEnd w:id="12"/>
    </w:p>
  </w:footnote>
  <w:footnote w:id="24">
    <w:p w14:paraId="20FC363B" w14:textId="77777777" w:rsidR="00F46F9B" w:rsidRDefault="00F46F9B">
      <w:pPr>
        <w:pStyle w:val="FootnoteText"/>
      </w:pPr>
      <w:r>
        <w:rPr>
          <w:rStyle w:val="FootnoteReference"/>
        </w:rPr>
        <w:footnoteRef/>
      </w:r>
      <w:r>
        <w:t xml:space="preserve"> </w:t>
      </w:r>
      <w:r w:rsidRPr="00F46F9B">
        <w:t xml:space="preserve">“act only in accordance with that maxim through which you can at the same time will that it become a universal law” </w:t>
      </w:r>
      <w:bookmarkStart w:id="13" w:name="_Hlk3988624"/>
      <w:r w:rsidRPr="00F46F9B">
        <w:t xml:space="preserve">Kant, </w:t>
      </w:r>
      <w:r>
        <w:t xml:space="preserve">I. </w:t>
      </w:r>
      <w:r w:rsidRPr="00F46F9B">
        <w:t>(1993) [1785]. Grounding for the Metaphysics of Morals. Translated by Ellington, J</w:t>
      </w:r>
      <w:r>
        <w:t>.</w:t>
      </w:r>
      <w:r w:rsidRPr="00F46F9B">
        <w:t xml:space="preserve"> W. (3rd ed.). Hackett</w:t>
      </w:r>
      <w:r w:rsidR="00E9377B">
        <w:t xml:space="preserve"> Press, Indianapolis</w:t>
      </w:r>
      <w:r w:rsidRPr="00F46F9B">
        <w:t>. p. 30.</w:t>
      </w:r>
      <w:bookmarkEnd w:id="13"/>
    </w:p>
  </w:footnote>
  <w:footnote w:id="25">
    <w:p w14:paraId="3859D858" w14:textId="4242724C" w:rsidR="00A41CC1" w:rsidRDefault="00A41CC1">
      <w:pPr>
        <w:pStyle w:val="FootnoteText"/>
      </w:pPr>
      <w:r>
        <w:rPr>
          <w:rStyle w:val="FootnoteReference"/>
        </w:rPr>
        <w:footnoteRef/>
      </w:r>
      <w:r>
        <w:t xml:space="preserve"> “Moral Constraints and the State” Nozick, R. (1974) p.35-42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343D5"/>
    <w:multiLevelType w:val="multilevel"/>
    <w:tmpl w:val="0BE6F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1B1456"/>
    <w:multiLevelType w:val="multilevel"/>
    <w:tmpl w:val="D3A2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F71298"/>
    <w:multiLevelType w:val="hybridMultilevel"/>
    <w:tmpl w:val="B80080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D3403F"/>
    <w:multiLevelType w:val="hybridMultilevel"/>
    <w:tmpl w:val="ED1027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3F598F"/>
    <w:multiLevelType w:val="hybridMultilevel"/>
    <w:tmpl w:val="24F2A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8C2D89A-7DED-4BC3-A031-C60E252379FA}"/>
    <w:docVar w:name="dgnword-eventsink" w:val="431186984"/>
  </w:docVars>
  <w:rsids>
    <w:rsidRoot w:val="00827073"/>
    <w:rsid w:val="0000116E"/>
    <w:rsid w:val="00006E4F"/>
    <w:rsid w:val="0002094F"/>
    <w:rsid w:val="00032D5E"/>
    <w:rsid w:val="00034DE9"/>
    <w:rsid w:val="00046444"/>
    <w:rsid w:val="00052AE7"/>
    <w:rsid w:val="00081C8C"/>
    <w:rsid w:val="00097EAA"/>
    <w:rsid w:val="000B6F26"/>
    <w:rsid w:val="000B7443"/>
    <w:rsid w:val="000F4C66"/>
    <w:rsid w:val="00100355"/>
    <w:rsid w:val="00190A2C"/>
    <w:rsid w:val="00194B31"/>
    <w:rsid w:val="001F6C66"/>
    <w:rsid w:val="00214D91"/>
    <w:rsid w:val="0023034F"/>
    <w:rsid w:val="0025699C"/>
    <w:rsid w:val="002A5596"/>
    <w:rsid w:val="002B2478"/>
    <w:rsid w:val="002D3283"/>
    <w:rsid w:val="002D61B1"/>
    <w:rsid w:val="002E3DFA"/>
    <w:rsid w:val="002F01A2"/>
    <w:rsid w:val="002F7C5E"/>
    <w:rsid w:val="0030680D"/>
    <w:rsid w:val="003137E2"/>
    <w:rsid w:val="00331002"/>
    <w:rsid w:val="00335EF6"/>
    <w:rsid w:val="00353B40"/>
    <w:rsid w:val="00372A84"/>
    <w:rsid w:val="003B0FB4"/>
    <w:rsid w:val="003E0B08"/>
    <w:rsid w:val="00457979"/>
    <w:rsid w:val="004644E6"/>
    <w:rsid w:val="00466283"/>
    <w:rsid w:val="004912B7"/>
    <w:rsid w:val="004A1B2E"/>
    <w:rsid w:val="004A622A"/>
    <w:rsid w:val="004B7BE7"/>
    <w:rsid w:val="004C6F68"/>
    <w:rsid w:val="004E7A48"/>
    <w:rsid w:val="00502B87"/>
    <w:rsid w:val="00526F0D"/>
    <w:rsid w:val="00527BCC"/>
    <w:rsid w:val="005728AD"/>
    <w:rsid w:val="00586C4B"/>
    <w:rsid w:val="00593EB7"/>
    <w:rsid w:val="005B1756"/>
    <w:rsid w:val="005C45C1"/>
    <w:rsid w:val="005C5564"/>
    <w:rsid w:val="005E391A"/>
    <w:rsid w:val="006176FF"/>
    <w:rsid w:val="00644E1A"/>
    <w:rsid w:val="00666DA3"/>
    <w:rsid w:val="006830E1"/>
    <w:rsid w:val="006F2943"/>
    <w:rsid w:val="006F77A2"/>
    <w:rsid w:val="00735DBC"/>
    <w:rsid w:val="00741297"/>
    <w:rsid w:val="007842F7"/>
    <w:rsid w:val="007928B5"/>
    <w:rsid w:val="007A7C63"/>
    <w:rsid w:val="007B3A77"/>
    <w:rsid w:val="007D5D5A"/>
    <w:rsid w:val="00804959"/>
    <w:rsid w:val="00827073"/>
    <w:rsid w:val="00842945"/>
    <w:rsid w:val="008C2E65"/>
    <w:rsid w:val="008E0445"/>
    <w:rsid w:val="008F4B87"/>
    <w:rsid w:val="00907B3F"/>
    <w:rsid w:val="0091034B"/>
    <w:rsid w:val="00933528"/>
    <w:rsid w:val="00967A10"/>
    <w:rsid w:val="009A3C13"/>
    <w:rsid w:val="009A72AB"/>
    <w:rsid w:val="009D56B2"/>
    <w:rsid w:val="00A13439"/>
    <w:rsid w:val="00A22F44"/>
    <w:rsid w:val="00A32690"/>
    <w:rsid w:val="00A40B6C"/>
    <w:rsid w:val="00A41CC1"/>
    <w:rsid w:val="00A7275B"/>
    <w:rsid w:val="00A72D2F"/>
    <w:rsid w:val="00A77E15"/>
    <w:rsid w:val="00A80715"/>
    <w:rsid w:val="00A80EF3"/>
    <w:rsid w:val="00AC111A"/>
    <w:rsid w:val="00AC2EBD"/>
    <w:rsid w:val="00B14B09"/>
    <w:rsid w:val="00B16405"/>
    <w:rsid w:val="00B337FB"/>
    <w:rsid w:val="00B52EAF"/>
    <w:rsid w:val="00B7666B"/>
    <w:rsid w:val="00B81061"/>
    <w:rsid w:val="00B86704"/>
    <w:rsid w:val="00BA2EC0"/>
    <w:rsid w:val="00BC6EE5"/>
    <w:rsid w:val="00C108B6"/>
    <w:rsid w:val="00C13968"/>
    <w:rsid w:val="00C170D1"/>
    <w:rsid w:val="00C71AA7"/>
    <w:rsid w:val="00C74647"/>
    <w:rsid w:val="00C8168F"/>
    <w:rsid w:val="00C91BDE"/>
    <w:rsid w:val="00CB6DC7"/>
    <w:rsid w:val="00CC12A4"/>
    <w:rsid w:val="00CD1F5A"/>
    <w:rsid w:val="00CD52FB"/>
    <w:rsid w:val="00CD6BB2"/>
    <w:rsid w:val="00CF7C68"/>
    <w:rsid w:val="00D169AC"/>
    <w:rsid w:val="00D83F29"/>
    <w:rsid w:val="00E12C27"/>
    <w:rsid w:val="00E27D57"/>
    <w:rsid w:val="00E37CE1"/>
    <w:rsid w:val="00E90E57"/>
    <w:rsid w:val="00E9377B"/>
    <w:rsid w:val="00EB14D8"/>
    <w:rsid w:val="00EB41DE"/>
    <w:rsid w:val="00EB57BE"/>
    <w:rsid w:val="00F07CEB"/>
    <w:rsid w:val="00F10838"/>
    <w:rsid w:val="00F213F7"/>
    <w:rsid w:val="00F2341C"/>
    <w:rsid w:val="00F33999"/>
    <w:rsid w:val="00F44374"/>
    <w:rsid w:val="00F46F9B"/>
    <w:rsid w:val="00F538CB"/>
    <w:rsid w:val="00F60088"/>
    <w:rsid w:val="00F7791C"/>
    <w:rsid w:val="00F8476E"/>
    <w:rsid w:val="00F9366C"/>
    <w:rsid w:val="00FA72E3"/>
    <w:rsid w:val="00FB24DF"/>
    <w:rsid w:val="00FC5701"/>
    <w:rsid w:val="00FF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05A4E"/>
  <w15:chartTrackingRefBased/>
  <w15:docId w15:val="{B20E69E9-BB34-434D-8B7A-77E758357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76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8106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06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176FF"/>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CD6BB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D6BB2"/>
    <w:rPr>
      <w:rFonts w:eastAsiaTheme="minorEastAsia"/>
      <w:color w:val="5A5A5A" w:themeColor="text1" w:themeTint="A5"/>
      <w:spacing w:val="15"/>
    </w:rPr>
  </w:style>
  <w:style w:type="paragraph" w:styleId="Quote">
    <w:name w:val="Quote"/>
    <w:basedOn w:val="Normal"/>
    <w:next w:val="Normal"/>
    <w:link w:val="QuoteChar"/>
    <w:uiPriority w:val="29"/>
    <w:qFormat/>
    <w:rsid w:val="00CD6BB2"/>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CD6BB2"/>
    <w:rPr>
      <w:i/>
      <w:iCs/>
      <w:color w:val="404040" w:themeColor="text1" w:themeTint="BF"/>
    </w:rPr>
  </w:style>
  <w:style w:type="paragraph" w:styleId="FootnoteText">
    <w:name w:val="footnote text"/>
    <w:basedOn w:val="Normal"/>
    <w:link w:val="FootnoteTextChar"/>
    <w:uiPriority w:val="99"/>
    <w:unhideWhenUsed/>
    <w:rsid w:val="00B52EAF"/>
    <w:pPr>
      <w:spacing w:after="0" w:line="240" w:lineRule="auto"/>
    </w:pPr>
    <w:rPr>
      <w:sz w:val="20"/>
      <w:szCs w:val="20"/>
    </w:rPr>
  </w:style>
  <w:style w:type="character" w:customStyle="1" w:styleId="FootnoteTextChar">
    <w:name w:val="Footnote Text Char"/>
    <w:basedOn w:val="DefaultParagraphFont"/>
    <w:link w:val="FootnoteText"/>
    <w:uiPriority w:val="99"/>
    <w:rsid w:val="00B52EAF"/>
    <w:rPr>
      <w:sz w:val="20"/>
      <w:szCs w:val="20"/>
    </w:rPr>
  </w:style>
  <w:style w:type="character" w:styleId="FootnoteReference">
    <w:name w:val="footnote reference"/>
    <w:basedOn w:val="DefaultParagraphFont"/>
    <w:uiPriority w:val="99"/>
    <w:semiHidden/>
    <w:unhideWhenUsed/>
    <w:rsid w:val="00B52EAF"/>
    <w:rPr>
      <w:vertAlign w:val="superscript"/>
    </w:rPr>
  </w:style>
  <w:style w:type="paragraph" w:styleId="ListParagraph">
    <w:name w:val="List Paragraph"/>
    <w:basedOn w:val="Normal"/>
    <w:uiPriority w:val="34"/>
    <w:qFormat/>
    <w:rsid w:val="00E90E57"/>
    <w:pPr>
      <w:ind w:left="720"/>
      <w:contextualSpacing/>
    </w:pPr>
  </w:style>
  <w:style w:type="paragraph" w:styleId="NormalWeb">
    <w:name w:val="Normal (Web)"/>
    <w:basedOn w:val="Normal"/>
    <w:uiPriority w:val="99"/>
    <w:semiHidden/>
    <w:unhideWhenUsed/>
    <w:rsid w:val="00FB24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FB24DF"/>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1003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0355"/>
    <w:rPr>
      <w:rFonts w:ascii="Segoe UI" w:hAnsi="Segoe UI" w:cs="Segoe UI"/>
      <w:sz w:val="18"/>
      <w:szCs w:val="18"/>
    </w:rPr>
  </w:style>
  <w:style w:type="character" w:styleId="CommentReference">
    <w:name w:val="annotation reference"/>
    <w:basedOn w:val="DefaultParagraphFont"/>
    <w:uiPriority w:val="99"/>
    <w:semiHidden/>
    <w:unhideWhenUsed/>
    <w:rsid w:val="002B2478"/>
    <w:rPr>
      <w:sz w:val="16"/>
      <w:szCs w:val="16"/>
    </w:rPr>
  </w:style>
  <w:style w:type="paragraph" w:styleId="CommentText">
    <w:name w:val="annotation text"/>
    <w:basedOn w:val="Normal"/>
    <w:link w:val="CommentTextChar"/>
    <w:uiPriority w:val="99"/>
    <w:semiHidden/>
    <w:unhideWhenUsed/>
    <w:rsid w:val="002B2478"/>
    <w:pPr>
      <w:spacing w:line="240" w:lineRule="auto"/>
    </w:pPr>
    <w:rPr>
      <w:sz w:val="20"/>
      <w:szCs w:val="20"/>
    </w:rPr>
  </w:style>
  <w:style w:type="character" w:customStyle="1" w:styleId="CommentTextChar">
    <w:name w:val="Comment Text Char"/>
    <w:basedOn w:val="DefaultParagraphFont"/>
    <w:link w:val="CommentText"/>
    <w:uiPriority w:val="99"/>
    <w:semiHidden/>
    <w:rsid w:val="002B2478"/>
    <w:rPr>
      <w:sz w:val="20"/>
      <w:szCs w:val="20"/>
    </w:rPr>
  </w:style>
  <w:style w:type="paragraph" w:styleId="CommentSubject">
    <w:name w:val="annotation subject"/>
    <w:basedOn w:val="CommentText"/>
    <w:next w:val="CommentText"/>
    <w:link w:val="CommentSubjectChar"/>
    <w:uiPriority w:val="99"/>
    <w:semiHidden/>
    <w:unhideWhenUsed/>
    <w:rsid w:val="002B2478"/>
    <w:rPr>
      <w:b/>
      <w:bCs/>
    </w:rPr>
  </w:style>
  <w:style w:type="character" w:customStyle="1" w:styleId="CommentSubjectChar">
    <w:name w:val="Comment Subject Char"/>
    <w:basedOn w:val="CommentTextChar"/>
    <w:link w:val="CommentSubject"/>
    <w:uiPriority w:val="99"/>
    <w:semiHidden/>
    <w:rsid w:val="002B247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35628">
      <w:bodyDiv w:val="1"/>
      <w:marLeft w:val="0"/>
      <w:marRight w:val="0"/>
      <w:marTop w:val="0"/>
      <w:marBottom w:val="0"/>
      <w:divBdr>
        <w:top w:val="none" w:sz="0" w:space="0" w:color="auto"/>
        <w:left w:val="none" w:sz="0" w:space="0" w:color="auto"/>
        <w:bottom w:val="none" w:sz="0" w:space="0" w:color="auto"/>
        <w:right w:val="none" w:sz="0" w:space="0" w:color="auto"/>
      </w:divBdr>
    </w:div>
    <w:div w:id="824584543">
      <w:bodyDiv w:val="1"/>
      <w:marLeft w:val="0"/>
      <w:marRight w:val="0"/>
      <w:marTop w:val="0"/>
      <w:marBottom w:val="0"/>
      <w:divBdr>
        <w:top w:val="none" w:sz="0" w:space="0" w:color="auto"/>
        <w:left w:val="none" w:sz="0" w:space="0" w:color="auto"/>
        <w:bottom w:val="none" w:sz="0" w:space="0" w:color="auto"/>
        <w:right w:val="none" w:sz="0" w:space="0" w:color="auto"/>
      </w:divBdr>
    </w:div>
    <w:div w:id="936642278">
      <w:bodyDiv w:val="1"/>
      <w:marLeft w:val="0"/>
      <w:marRight w:val="0"/>
      <w:marTop w:val="0"/>
      <w:marBottom w:val="0"/>
      <w:divBdr>
        <w:top w:val="none" w:sz="0" w:space="0" w:color="auto"/>
        <w:left w:val="none" w:sz="0" w:space="0" w:color="auto"/>
        <w:bottom w:val="none" w:sz="0" w:space="0" w:color="auto"/>
        <w:right w:val="none" w:sz="0" w:space="0" w:color="auto"/>
      </w:divBdr>
    </w:div>
    <w:div w:id="2047437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10764AD-1C2E-40EE-B644-96D1687B2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2007</Words>
  <Characters>11441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Alison (1805987)</dc:creator>
  <cp:keywords/>
  <dc:description/>
  <cp:lastModifiedBy>James Alison</cp:lastModifiedBy>
  <cp:revision>2</cp:revision>
  <cp:lastPrinted>2019-03-20T15:48:00Z</cp:lastPrinted>
  <dcterms:created xsi:type="dcterms:W3CDTF">2019-03-21T17:42:00Z</dcterms:created>
  <dcterms:modified xsi:type="dcterms:W3CDTF">2019-03-21T17:42:00Z</dcterms:modified>
</cp:coreProperties>
</file>