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D73061" w14:textId="34E5C15D" w:rsidR="00E83BD9" w:rsidRDefault="00287D65" w:rsidP="00287D65">
      <w:pPr>
        <w:spacing w:line="360" w:lineRule="auto"/>
        <w:rPr>
          <w:rFonts w:ascii="Times New Roman" w:hAnsi="Times New Roman" w:cs="Times New Roman"/>
        </w:rPr>
      </w:pPr>
      <w:r>
        <w:rPr>
          <w:rFonts w:ascii="Times New Roman" w:hAnsi="Times New Roman" w:cs="Times New Roman"/>
        </w:rPr>
        <w:tab/>
      </w:r>
      <w:r w:rsidR="009C12C5">
        <w:rPr>
          <w:rFonts w:ascii="Times New Roman" w:hAnsi="Times New Roman" w:cs="Times New Roman"/>
        </w:rPr>
        <w:t>In this essay there will be a</w:t>
      </w:r>
      <w:r w:rsidR="00EE636D">
        <w:rPr>
          <w:rFonts w:ascii="Times New Roman" w:hAnsi="Times New Roman" w:cs="Times New Roman"/>
        </w:rPr>
        <w:t xml:space="preserve"> description and analysis of t</w:t>
      </w:r>
      <w:r>
        <w:rPr>
          <w:rFonts w:ascii="Times New Roman" w:hAnsi="Times New Roman" w:cs="Times New Roman"/>
        </w:rPr>
        <w:t xml:space="preserve">he </w:t>
      </w:r>
      <w:r w:rsidR="00441807">
        <w:rPr>
          <w:rFonts w:ascii="Times New Roman" w:hAnsi="Times New Roman" w:cs="Times New Roman"/>
        </w:rPr>
        <w:t xml:space="preserve">ancient </w:t>
      </w:r>
      <w:r>
        <w:rPr>
          <w:rFonts w:ascii="Times New Roman" w:hAnsi="Times New Roman" w:cs="Times New Roman"/>
        </w:rPr>
        <w:t xml:space="preserve">Egyptian tomb TT99, </w:t>
      </w:r>
      <w:r w:rsidR="00EE636D">
        <w:rPr>
          <w:rFonts w:ascii="Times New Roman" w:hAnsi="Times New Roman" w:cs="Times New Roman"/>
        </w:rPr>
        <w:t xml:space="preserve">which </w:t>
      </w:r>
      <w:r>
        <w:rPr>
          <w:rFonts w:ascii="Times New Roman" w:hAnsi="Times New Roman" w:cs="Times New Roman"/>
        </w:rPr>
        <w:t>is located in Thebes</w:t>
      </w:r>
      <w:r w:rsidR="009E5CA0">
        <w:rPr>
          <w:rFonts w:ascii="Times New Roman" w:hAnsi="Times New Roman" w:cs="Times New Roman"/>
        </w:rPr>
        <w:t>, modern day Egypt</w:t>
      </w:r>
      <w:r>
        <w:rPr>
          <w:rFonts w:ascii="Times New Roman" w:hAnsi="Times New Roman" w:cs="Times New Roman"/>
        </w:rPr>
        <w:t xml:space="preserve"> – in the Upper Enclosure of Sheikh Abel Qurna, on the West Bank of Luxor</w:t>
      </w:r>
      <w:r w:rsidR="00E83BD9">
        <w:rPr>
          <w:rFonts w:ascii="Times New Roman" w:hAnsi="Times New Roman" w:cs="Times New Roman"/>
        </w:rPr>
        <w:t xml:space="preserve"> and</w:t>
      </w:r>
      <w:r>
        <w:rPr>
          <w:rFonts w:ascii="Times New Roman" w:hAnsi="Times New Roman" w:cs="Times New Roman"/>
        </w:rPr>
        <w:t xml:space="preserve"> near the monument of Sennefer</w:t>
      </w:r>
      <w:r w:rsidRPr="00441807">
        <w:rPr>
          <w:rFonts w:ascii="Times New Roman" w:hAnsi="Times New Roman" w:cs="Times New Roman"/>
        </w:rPr>
        <w:t>.</w:t>
      </w:r>
      <w:r w:rsidRPr="00441807">
        <w:rPr>
          <w:rStyle w:val="FootnoteReference"/>
          <w:rFonts w:ascii="Times New Roman" w:hAnsi="Times New Roman" w:cs="Times New Roman"/>
        </w:rPr>
        <w:footnoteReference w:id="1"/>
      </w:r>
      <w:r w:rsidR="00F56B2B">
        <w:rPr>
          <w:rFonts w:ascii="Times New Roman" w:hAnsi="Times New Roman" w:cs="Times New Roman"/>
        </w:rPr>
        <w:t xml:space="preserve"> </w:t>
      </w:r>
      <w:r w:rsidR="00E83BD9">
        <w:rPr>
          <w:rFonts w:ascii="Times New Roman" w:hAnsi="Times New Roman" w:cs="Times New Roman"/>
        </w:rPr>
        <w:t>This essay will use</w:t>
      </w:r>
      <w:r>
        <w:rPr>
          <w:rFonts w:ascii="Times New Roman" w:hAnsi="Times New Roman" w:cs="Times New Roman"/>
        </w:rPr>
        <w:t xml:space="preserve"> the </w:t>
      </w:r>
      <w:r w:rsidR="00E83BD9">
        <w:rPr>
          <w:rFonts w:ascii="Times New Roman" w:hAnsi="Times New Roman" w:cs="Times New Roman"/>
        </w:rPr>
        <w:t>g</w:t>
      </w:r>
      <w:r>
        <w:rPr>
          <w:rFonts w:ascii="Times New Roman" w:hAnsi="Times New Roman" w:cs="Times New Roman"/>
        </w:rPr>
        <w:t>eographical location of tomb TT99</w:t>
      </w:r>
      <w:r w:rsidR="00E83BD9">
        <w:rPr>
          <w:rFonts w:ascii="Times New Roman" w:hAnsi="Times New Roman" w:cs="Times New Roman"/>
        </w:rPr>
        <w:t>,</w:t>
      </w:r>
      <w:r>
        <w:rPr>
          <w:rFonts w:ascii="Times New Roman" w:hAnsi="Times New Roman" w:cs="Times New Roman"/>
        </w:rPr>
        <w:t xml:space="preserve"> the </w:t>
      </w:r>
      <w:r w:rsidR="00E83BD9">
        <w:rPr>
          <w:rFonts w:ascii="Times New Roman" w:hAnsi="Times New Roman" w:cs="Times New Roman"/>
        </w:rPr>
        <w:t xml:space="preserve">tombs </w:t>
      </w:r>
      <w:r>
        <w:rPr>
          <w:rFonts w:ascii="Times New Roman" w:hAnsi="Times New Roman" w:cs="Times New Roman"/>
        </w:rPr>
        <w:t>architec</w:t>
      </w:r>
      <w:r w:rsidR="00E83BD9">
        <w:rPr>
          <w:rFonts w:ascii="Times New Roman" w:hAnsi="Times New Roman" w:cs="Times New Roman"/>
        </w:rPr>
        <w:t xml:space="preserve">ture, </w:t>
      </w:r>
      <w:r>
        <w:rPr>
          <w:rFonts w:ascii="Times New Roman" w:hAnsi="Times New Roman" w:cs="Times New Roman"/>
        </w:rPr>
        <w:t>building style</w:t>
      </w:r>
      <w:r w:rsidR="00E83BD9">
        <w:rPr>
          <w:rFonts w:ascii="Times New Roman" w:hAnsi="Times New Roman" w:cs="Times New Roman"/>
        </w:rPr>
        <w:t>, wall art,</w:t>
      </w:r>
      <w:r>
        <w:rPr>
          <w:rFonts w:ascii="Times New Roman" w:hAnsi="Times New Roman" w:cs="Times New Roman"/>
        </w:rPr>
        <w:t xml:space="preserve"> features</w:t>
      </w:r>
      <w:r w:rsidR="00E83BD9">
        <w:rPr>
          <w:rFonts w:ascii="Times New Roman" w:hAnsi="Times New Roman" w:cs="Times New Roman"/>
        </w:rPr>
        <w:t>,</w:t>
      </w:r>
      <w:r>
        <w:rPr>
          <w:rFonts w:ascii="Times New Roman" w:hAnsi="Times New Roman" w:cs="Times New Roman"/>
        </w:rPr>
        <w:t xml:space="preserve"> and the assemblage </w:t>
      </w:r>
      <w:r w:rsidR="00E83BD9">
        <w:rPr>
          <w:rFonts w:ascii="Times New Roman" w:hAnsi="Times New Roman" w:cs="Times New Roman"/>
        </w:rPr>
        <w:t>with</w:t>
      </w:r>
      <w:r>
        <w:rPr>
          <w:rFonts w:ascii="Times New Roman" w:hAnsi="Times New Roman" w:cs="Times New Roman"/>
        </w:rPr>
        <w:t>in the shafts and other areas of the tomb</w:t>
      </w:r>
      <w:r w:rsidR="00E83BD9">
        <w:rPr>
          <w:rFonts w:ascii="Times New Roman" w:hAnsi="Times New Roman" w:cs="Times New Roman"/>
        </w:rPr>
        <w:t xml:space="preserve"> to explore the persons position within ancient Egyptian society.</w:t>
      </w:r>
      <w:r w:rsidR="00441807">
        <w:rPr>
          <w:rFonts w:ascii="Times New Roman" w:hAnsi="Times New Roman" w:cs="Times New Roman"/>
        </w:rPr>
        <w:t xml:space="preserve"> </w:t>
      </w:r>
    </w:p>
    <w:p w14:paraId="6AEF92DC" w14:textId="79928DB4" w:rsidR="00441807" w:rsidRDefault="00441807" w:rsidP="00287D65">
      <w:pPr>
        <w:spacing w:line="360" w:lineRule="auto"/>
        <w:rPr>
          <w:rFonts w:ascii="Times New Roman" w:hAnsi="Times New Roman" w:cs="Times New Roman"/>
        </w:rPr>
      </w:pPr>
      <w:r>
        <w:rPr>
          <w:rFonts w:ascii="Times New Roman" w:hAnsi="Times New Roman" w:cs="Times New Roman"/>
        </w:rPr>
        <w:tab/>
      </w:r>
      <w:r w:rsidR="0006491A">
        <w:rPr>
          <w:rFonts w:ascii="Times New Roman" w:hAnsi="Times New Roman" w:cs="Times New Roman"/>
        </w:rPr>
        <w:t>Tomb TT99 is suggested to have belong</w:t>
      </w:r>
      <w:r w:rsidR="00932E55">
        <w:rPr>
          <w:rFonts w:ascii="Times New Roman" w:hAnsi="Times New Roman" w:cs="Times New Roman"/>
        </w:rPr>
        <w:t>ed</w:t>
      </w:r>
      <w:r w:rsidR="0006491A">
        <w:rPr>
          <w:rFonts w:ascii="Times New Roman" w:hAnsi="Times New Roman" w:cs="Times New Roman"/>
        </w:rPr>
        <w:t xml:space="preserve"> to ‘Sennefer’ or ‘Senneferi’ – this is known due to both variants of this name being on the wall paintings within the tomb.</w:t>
      </w:r>
      <w:r w:rsidR="0006491A">
        <w:rPr>
          <w:rStyle w:val="FootnoteReference"/>
          <w:rFonts w:ascii="Times New Roman" w:hAnsi="Times New Roman" w:cs="Times New Roman"/>
        </w:rPr>
        <w:footnoteReference w:id="2"/>
      </w:r>
      <w:r w:rsidR="0006491A">
        <w:rPr>
          <w:rFonts w:ascii="Times New Roman" w:hAnsi="Times New Roman" w:cs="Times New Roman"/>
        </w:rPr>
        <w:t xml:space="preserve"> The reason as to why there are two different spellings of the tomb-owners name is due to the hieroglyphs being written phonetically in two different ways, however, it is more usual for the name to be written as Senneferi.</w:t>
      </w:r>
      <w:r w:rsidR="0006491A">
        <w:rPr>
          <w:rStyle w:val="FootnoteReference"/>
          <w:rFonts w:ascii="Times New Roman" w:hAnsi="Times New Roman" w:cs="Times New Roman"/>
        </w:rPr>
        <w:footnoteReference w:id="3"/>
      </w:r>
      <w:r w:rsidR="0006491A">
        <w:rPr>
          <w:rFonts w:ascii="Times New Roman" w:hAnsi="Times New Roman" w:cs="Times New Roman"/>
        </w:rPr>
        <w:t xml:space="preserve"> Both forms of the name are written on adjacent columns of the same text, therefore either spelling of the name can be used.</w:t>
      </w:r>
      <w:r w:rsidR="0006491A">
        <w:rPr>
          <w:rStyle w:val="FootnoteReference"/>
          <w:rFonts w:ascii="Times New Roman" w:hAnsi="Times New Roman" w:cs="Times New Roman"/>
        </w:rPr>
        <w:footnoteReference w:id="4"/>
      </w:r>
      <w:r w:rsidR="0006491A">
        <w:rPr>
          <w:rFonts w:ascii="Times New Roman" w:hAnsi="Times New Roman" w:cs="Times New Roman"/>
        </w:rPr>
        <w:t xml:space="preserve"> Despite the name Senneferi being used through</w:t>
      </w:r>
      <w:r w:rsidR="00AE1A8A">
        <w:rPr>
          <w:rFonts w:ascii="Times New Roman" w:hAnsi="Times New Roman" w:cs="Times New Roman"/>
        </w:rPr>
        <w:t>out</w:t>
      </w:r>
      <w:r w:rsidR="0006491A">
        <w:rPr>
          <w:rFonts w:ascii="Times New Roman" w:hAnsi="Times New Roman" w:cs="Times New Roman"/>
        </w:rPr>
        <w:t xml:space="preserve"> Nigel Strudwicks work, it must be noted that in the papyri the name is exclusively written as Sennefer</w:t>
      </w:r>
      <w:r w:rsidR="00F84077">
        <w:rPr>
          <w:rFonts w:ascii="Times New Roman" w:hAnsi="Times New Roman" w:cs="Times New Roman"/>
        </w:rPr>
        <w:t>.</w:t>
      </w:r>
      <w:r w:rsidR="00F84077">
        <w:rPr>
          <w:rStyle w:val="FootnoteReference"/>
          <w:rFonts w:ascii="Times New Roman" w:hAnsi="Times New Roman" w:cs="Times New Roman"/>
        </w:rPr>
        <w:footnoteReference w:id="5"/>
      </w:r>
      <w:r w:rsidR="00F84077">
        <w:rPr>
          <w:rFonts w:ascii="Times New Roman" w:hAnsi="Times New Roman" w:cs="Times New Roman"/>
        </w:rPr>
        <w:t xml:space="preserve"> Nigel Strudwick also emphasises that due to the nature of the writing in the papyri and shroud displaying more cursive elements of writing, it would be more consistent with its orthography than that of the artistic and elaborative form of art, like the hieroglyphs.</w:t>
      </w:r>
      <w:r w:rsidR="00F84077">
        <w:rPr>
          <w:rStyle w:val="FootnoteReference"/>
          <w:rFonts w:ascii="Times New Roman" w:hAnsi="Times New Roman" w:cs="Times New Roman"/>
        </w:rPr>
        <w:footnoteReference w:id="6"/>
      </w:r>
      <w:r w:rsidR="001105C0">
        <w:rPr>
          <w:rFonts w:ascii="Times New Roman" w:hAnsi="Times New Roman" w:cs="Times New Roman"/>
        </w:rPr>
        <w:t xml:space="preserve"> Therefore due to the evidence of Senneferi’s name being written throughout the tomb and on the papyri he is the tomb-owner, and the importance Senneferi had within ancient Egyptian society is recorded within the tomb, with the assemblages and written</w:t>
      </w:r>
      <w:r w:rsidR="00AE1A8A">
        <w:rPr>
          <w:rFonts w:ascii="Times New Roman" w:hAnsi="Times New Roman" w:cs="Times New Roman"/>
        </w:rPr>
        <w:t xml:space="preserve"> sources</w:t>
      </w:r>
      <w:r w:rsidR="001105C0">
        <w:rPr>
          <w:rFonts w:ascii="Times New Roman" w:hAnsi="Times New Roman" w:cs="Times New Roman"/>
        </w:rPr>
        <w:t>. For example, some of the texts in the tomb suggests that Senneferi was a high-ranking official, however they are limited.</w:t>
      </w:r>
      <w:r w:rsidR="001105C0">
        <w:rPr>
          <w:rStyle w:val="FootnoteReference"/>
          <w:rFonts w:ascii="Times New Roman" w:hAnsi="Times New Roman" w:cs="Times New Roman"/>
        </w:rPr>
        <w:footnoteReference w:id="7"/>
      </w:r>
      <w:r w:rsidR="001105C0">
        <w:rPr>
          <w:rFonts w:ascii="Times New Roman" w:hAnsi="Times New Roman" w:cs="Times New Roman"/>
        </w:rPr>
        <w:t xml:space="preserve"> The most frequent written source in the tomb is that of ‘</w:t>
      </w:r>
      <w:r w:rsidR="00E76B56" w:rsidRPr="00975E11">
        <w:rPr>
          <w:rFonts w:ascii="Times New Roman" w:hAnsi="Times New Roman" w:cs="Times New Roman"/>
          <w:i/>
          <w:iCs/>
        </w:rPr>
        <w:t>imy</w:t>
      </w:r>
      <w:r w:rsidR="001105C0" w:rsidRPr="00975E11">
        <w:rPr>
          <w:rFonts w:ascii="Times New Roman" w:hAnsi="Times New Roman" w:cs="Times New Roman"/>
          <w:i/>
          <w:iCs/>
        </w:rPr>
        <w:t>-r s</w:t>
      </w:r>
      <w:r w:rsidR="0029119A" w:rsidRPr="00975E11">
        <w:rPr>
          <w:rFonts w:ascii="Times New Roman" w:hAnsi="Times New Roman" w:cs="Times New Roman"/>
          <w:i/>
          <w:iCs/>
        </w:rPr>
        <w:t>ḏ</w:t>
      </w:r>
      <w:r w:rsidR="008A7539" w:rsidRPr="00975E11">
        <w:rPr>
          <w:rFonts w:ascii="Times New Roman" w:hAnsi="Times New Roman" w:cs="Times New Roman"/>
          <w:i/>
          <w:iCs/>
        </w:rPr>
        <w:t>ꜣw</w:t>
      </w:r>
      <w:r w:rsidR="001105C0" w:rsidRPr="00975E11">
        <w:rPr>
          <w:rFonts w:ascii="Times New Roman" w:hAnsi="Times New Roman" w:cs="Times New Roman"/>
          <w:i/>
          <w:iCs/>
        </w:rPr>
        <w:t>ty’</w:t>
      </w:r>
      <w:r w:rsidR="001105C0">
        <w:rPr>
          <w:rFonts w:ascii="Times New Roman" w:hAnsi="Times New Roman" w:cs="Times New Roman"/>
        </w:rPr>
        <w:t xml:space="preserve"> – which is often translated as the overseer of seal-bearers, chancellor, treasurer or something similar</w:t>
      </w:r>
      <w:r w:rsidR="00D65390">
        <w:rPr>
          <w:rFonts w:ascii="Times New Roman" w:hAnsi="Times New Roman" w:cs="Times New Roman"/>
        </w:rPr>
        <w:t xml:space="preserve"> – another title that holds weight within ancient Egyptian society is that of the overseer of the double granary which Senneferi held, which is often regarded as a </w:t>
      </w:r>
      <w:r w:rsidR="00AA7C46">
        <w:rPr>
          <w:rFonts w:ascii="Times New Roman" w:hAnsi="Times New Roman" w:cs="Times New Roman"/>
        </w:rPr>
        <w:t>major state office</w:t>
      </w:r>
      <w:r w:rsidR="00D65390">
        <w:rPr>
          <w:rFonts w:ascii="Times New Roman" w:hAnsi="Times New Roman" w:cs="Times New Roman"/>
        </w:rPr>
        <w:t>.</w:t>
      </w:r>
      <w:r w:rsidR="001105C0">
        <w:rPr>
          <w:rStyle w:val="FootnoteReference"/>
          <w:rFonts w:ascii="Times New Roman" w:hAnsi="Times New Roman" w:cs="Times New Roman"/>
        </w:rPr>
        <w:footnoteReference w:id="8"/>
      </w:r>
      <w:r w:rsidR="001105C0">
        <w:rPr>
          <w:rFonts w:ascii="Times New Roman" w:hAnsi="Times New Roman" w:cs="Times New Roman"/>
        </w:rPr>
        <w:t xml:space="preserve"> Senneferi is also recorded to hold a numerous amount of priestly titles, although damaged there are many and they are widely considered as a mark of Senneferi’s status.</w:t>
      </w:r>
      <w:r w:rsidR="001105C0">
        <w:rPr>
          <w:rStyle w:val="FootnoteReference"/>
          <w:rFonts w:ascii="Times New Roman" w:hAnsi="Times New Roman" w:cs="Times New Roman"/>
        </w:rPr>
        <w:footnoteReference w:id="9"/>
      </w:r>
      <w:r w:rsidR="001105C0">
        <w:rPr>
          <w:rFonts w:ascii="Times New Roman" w:hAnsi="Times New Roman" w:cs="Times New Roman"/>
        </w:rPr>
        <w:t xml:space="preserve"> It is also important to note that Senneferi </w:t>
      </w:r>
      <w:r w:rsidR="00FC467B">
        <w:rPr>
          <w:rFonts w:ascii="Times New Roman" w:hAnsi="Times New Roman" w:cs="Times New Roman"/>
        </w:rPr>
        <w:t xml:space="preserve">held many religious offices </w:t>
      </w:r>
      <w:r w:rsidR="001105C0">
        <w:rPr>
          <w:rFonts w:ascii="Times New Roman" w:hAnsi="Times New Roman" w:cs="Times New Roman"/>
        </w:rPr>
        <w:t xml:space="preserve">within Egypt, and is often associated with the administrative aspect of the cult </w:t>
      </w:r>
      <w:r w:rsidR="001105C0">
        <w:rPr>
          <w:rFonts w:ascii="Times New Roman" w:hAnsi="Times New Roman" w:cs="Times New Roman"/>
        </w:rPr>
        <w:lastRenderedPageBreak/>
        <w:t>of Amun, perhaps focusing on the estate administration of the cult.</w:t>
      </w:r>
      <w:r w:rsidR="001105C0">
        <w:rPr>
          <w:rStyle w:val="FootnoteReference"/>
          <w:rFonts w:ascii="Times New Roman" w:hAnsi="Times New Roman" w:cs="Times New Roman"/>
        </w:rPr>
        <w:footnoteReference w:id="10"/>
      </w:r>
      <w:r w:rsidR="006C0600">
        <w:rPr>
          <w:rFonts w:ascii="Times New Roman" w:hAnsi="Times New Roman" w:cs="Times New Roman"/>
        </w:rPr>
        <w:t xml:space="preserve"> To put more perspective on the importance of Senneferi, he is recorded to have had two missions to modern day Lebanon and Wadi Hammamat, suggesting he travelled far distances due to his role as a high-ranking official of Egyptian society.</w:t>
      </w:r>
      <w:r w:rsidR="006C0600">
        <w:rPr>
          <w:rStyle w:val="FootnoteReference"/>
          <w:rFonts w:ascii="Times New Roman" w:hAnsi="Times New Roman" w:cs="Times New Roman"/>
        </w:rPr>
        <w:footnoteReference w:id="11"/>
      </w:r>
      <w:r w:rsidR="006C0600">
        <w:rPr>
          <w:rFonts w:ascii="Times New Roman" w:hAnsi="Times New Roman" w:cs="Times New Roman"/>
        </w:rPr>
        <w:t xml:space="preserve"> </w:t>
      </w:r>
    </w:p>
    <w:p w14:paraId="713C7C33" w14:textId="077210B6" w:rsidR="00C14C49" w:rsidRDefault="00C14C49" w:rsidP="00287D65">
      <w:pPr>
        <w:spacing w:line="360" w:lineRule="auto"/>
        <w:rPr>
          <w:rFonts w:ascii="Times New Roman" w:hAnsi="Times New Roman" w:cs="Times New Roman"/>
        </w:rPr>
      </w:pPr>
      <w:r>
        <w:rPr>
          <w:rFonts w:ascii="Times New Roman" w:hAnsi="Times New Roman" w:cs="Times New Roman"/>
        </w:rPr>
        <w:tab/>
        <w:t>In the southern part of the hill of Sheikh Abdel Qurna the earliest surviving tombs in the necropolis are dated to the Middle Kingdom, and many of the tombs were re-used in the New Kingdom or later, with some of the tombs featuring a pillared facade were others have a plainer one.</w:t>
      </w:r>
      <w:r>
        <w:rPr>
          <w:rStyle w:val="FootnoteReference"/>
          <w:rFonts w:ascii="Times New Roman" w:hAnsi="Times New Roman" w:cs="Times New Roman"/>
        </w:rPr>
        <w:footnoteReference w:id="12"/>
      </w:r>
      <w:r>
        <w:rPr>
          <w:rFonts w:ascii="Times New Roman" w:hAnsi="Times New Roman" w:cs="Times New Roman"/>
        </w:rPr>
        <w:t xml:space="preserve"> In the 17</w:t>
      </w:r>
      <w:r w:rsidRPr="00C14C49">
        <w:rPr>
          <w:rFonts w:ascii="Times New Roman" w:hAnsi="Times New Roman" w:cs="Times New Roman"/>
          <w:vertAlign w:val="superscript"/>
        </w:rPr>
        <w:t>th</w:t>
      </w:r>
      <w:r>
        <w:rPr>
          <w:rFonts w:ascii="Times New Roman" w:hAnsi="Times New Roman" w:cs="Times New Roman"/>
        </w:rPr>
        <w:t xml:space="preserve"> and 18</w:t>
      </w:r>
      <w:r w:rsidRPr="00C14C49">
        <w:rPr>
          <w:rFonts w:ascii="Times New Roman" w:hAnsi="Times New Roman" w:cs="Times New Roman"/>
          <w:vertAlign w:val="superscript"/>
        </w:rPr>
        <w:t>th</w:t>
      </w:r>
      <w:r>
        <w:rPr>
          <w:rFonts w:ascii="Times New Roman" w:hAnsi="Times New Roman" w:cs="Times New Roman"/>
        </w:rPr>
        <w:t xml:space="preserve"> dynasties many tombs were established on the middle slopes of the area, and many have pillared facades similar to the imposing Middle Kingdom tombs facing towards the east bank settlement – at the time of the construction of Senneferi’s tomb it would have been a prominent landmark of Sheikh Abdel Qurna, which was an indicator of Senneferi’s wealth and importance, even after most of the necropolis was inhabited with others, Senneferi’s tomb remained the most important and prominent feature of the landscape.</w:t>
      </w:r>
      <w:r>
        <w:rPr>
          <w:rStyle w:val="FootnoteReference"/>
          <w:rFonts w:ascii="Times New Roman" w:hAnsi="Times New Roman" w:cs="Times New Roman"/>
        </w:rPr>
        <w:footnoteReference w:id="13"/>
      </w:r>
      <w:r>
        <w:rPr>
          <w:rFonts w:ascii="Times New Roman" w:hAnsi="Times New Roman" w:cs="Times New Roman"/>
        </w:rPr>
        <w:t xml:space="preserve"> Because of the importance of the tombs location and its imposing nature one can suggest that it was a wealthy one at that, particularly in the 18</w:t>
      </w:r>
      <w:r w:rsidRPr="00C14C49">
        <w:rPr>
          <w:rFonts w:ascii="Times New Roman" w:hAnsi="Times New Roman" w:cs="Times New Roman"/>
          <w:vertAlign w:val="superscript"/>
        </w:rPr>
        <w:t>th</w:t>
      </w:r>
      <w:r>
        <w:rPr>
          <w:rFonts w:ascii="Times New Roman" w:hAnsi="Times New Roman" w:cs="Times New Roman"/>
        </w:rPr>
        <w:t xml:space="preserve"> dynasty in which Senneferi is thought to have been alive in – the placement of the tomb on the hill also creates the narrative that he is an important member of the high-ranking officials in the 18</w:t>
      </w:r>
      <w:r w:rsidRPr="00C14C49">
        <w:rPr>
          <w:rFonts w:ascii="Times New Roman" w:hAnsi="Times New Roman" w:cs="Times New Roman"/>
          <w:vertAlign w:val="superscript"/>
        </w:rPr>
        <w:t>th</w:t>
      </w:r>
      <w:r>
        <w:rPr>
          <w:rFonts w:ascii="Times New Roman" w:hAnsi="Times New Roman" w:cs="Times New Roman"/>
        </w:rPr>
        <w:t xml:space="preserve"> dynasty, supporting the written sources of the papyri on his status.</w:t>
      </w:r>
      <w:r>
        <w:rPr>
          <w:rStyle w:val="FootnoteReference"/>
          <w:rFonts w:ascii="Times New Roman" w:hAnsi="Times New Roman" w:cs="Times New Roman"/>
        </w:rPr>
        <w:footnoteReference w:id="14"/>
      </w:r>
    </w:p>
    <w:p w14:paraId="71AAD0EB" w14:textId="71B34B23" w:rsidR="005D3032" w:rsidRDefault="005D3032" w:rsidP="00287D65">
      <w:pPr>
        <w:spacing w:line="360" w:lineRule="auto"/>
        <w:rPr>
          <w:rFonts w:ascii="Times New Roman" w:hAnsi="Times New Roman" w:cs="Times New Roman"/>
        </w:rPr>
      </w:pPr>
      <w:r>
        <w:rPr>
          <w:rFonts w:ascii="Times New Roman" w:hAnsi="Times New Roman" w:cs="Times New Roman"/>
        </w:rPr>
        <w:tab/>
        <w:t>During the 18</w:t>
      </w:r>
      <w:r w:rsidRPr="005D3032">
        <w:rPr>
          <w:rFonts w:ascii="Times New Roman" w:hAnsi="Times New Roman" w:cs="Times New Roman"/>
          <w:vertAlign w:val="superscript"/>
        </w:rPr>
        <w:t>th</w:t>
      </w:r>
      <w:r>
        <w:rPr>
          <w:rFonts w:ascii="Times New Roman" w:hAnsi="Times New Roman" w:cs="Times New Roman"/>
        </w:rPr>
        <w:t xml:space="preserve"> dynasty there are three types of coffins which were used in the non-royal burials at Thebes, they ranged from the rectangular coffins to the rishi coffins which are anthropoid in shape and are often hollowed tree trunks</w:t>
      </w:r>
      <w:r w:rsidR="00CB3E7B">
        <w:rPr>
          <w:rFonts w:ascii="Times New Roman" w:hAnsi="Times New Roman" w:cs="Times New Roman"/>
        </w:rPr>
        <w:t xml:space="preserve"> with decorative patterns, there is also another anthropoid shaped coffin which are constructed from wooden planks and are often inscribed with adorned bands, and sometimes feature figures of gods or funerary scenes.</w:t>
      </w:r>
      <w:r w:rsidR="00CB3E7B">
        <w:rPr>
          <w:rStyle w:val="FootnoteReference"/>
          <w:rFonts w:ascii="Times New Roman" w:hAnsi="Times New Roman" w:cs="Times New Roman"/>
        </w:rPr>
        <w:footnoteReference w:id="15"/>
      </w:r>
      <w:r w:rsidR="00CB3E7B">
        <w:rPr>
          <w:rFonts w:ascii="Times New Roman" w:hAnsi="Times New Roman" w:cs="Times New Roman"/>
        </w:rPr>
        <w:t xml:space="preserve"> </w:t>
      </w:r>
      <w:r w:rsidR="00C67850">
        <w:rPr>
          <w:rFonts w:ascii="Times New Roman" w:hAnsi="Times New Roman" w:cs="Times New Roman"/>
        </w:rPr>
        <w:t xml:space="preserve">Importantly, rectangular coffins were only produced as containers in burial assemblages, and the rishi coffins ceased to be produced </w:t>
      </w:r>
      <w:r w:rsidR="00FC467B">
        <w:rPr>
          <w:rFonts w:ascii="Times New Roman" w:hAnsi="Times New Roman" w:cs="Times New Roman"/>
        </w:rPr>
        <w:t xml:space="preserve">during the </w:t>
      </w:r>
      <w:r w:rsidR="00FC467B">
        <w:rPr>
          <w:rFonts w:ascii="Times New Roman" w:hAnsi="Times New Roman" w:cs="Times New Roman"/>
        </w:rPr>
        <w:lastRenderedPageBreak/>
        <w:t xml:space="preserve">reign </w:t>
      </w:r>
      <w:r w:rsidR="006C2DF2">
        <w:rPr>
          <w:rFonts w:ascii="Times New Roman" w:hAnsi="Times New Roman" w:cs="Times New Roman"/>
        </w:rPr>
        <w:t xml:space="preserve">of </w:t>
      </w:r>
      <w:r w:rsidR="00C67850">
        <w:rPr>
          <w:rFonts w:ascii="Times New Roman" w:hAnsi="Times New Roman" w:cs="Times New Roman"/>
        </w:rPr>
        <w:t>Thutmose III.</w:t>
      </w:r>
      <w:r w:rsidR="00C67850">
        <w:rPr>
          <w:rStyle w:val="FootnoteReference"/>
          <w:rFonts w:ascii="Times New Roman" w:hAnsi="Times New Roman" w:cs="Times New Roman"/>
        </w:rPr>
        <w:footnoteReference w:id="16"/>
      </w:r>
      <w:r w:rsidR="00C67850">
        <w:rPr>
          <w:rFonts w:ascii="Times New Roman" w:hAnsi="Times New Roman" w:cs="Times New Roman"/>
        </w:rPr>
        <w:t xml:space="preserve"> The most prominent style of coffin during the time of Senneferi may have been the</w:t>
      </w:r>
      <w:r w:rsidR="000112CA">
        <w:rPr>
          <w:rFonts w:ascii="Times New Roman" w:hAnsi="Times New Roman" w:cs="Times New Roman"/>
        </w:rPr>
        <w:t xml:space="preserve"> </w:t>
      </w:r>
      <w:r w:rsidR="00C67850">
        <w:rPr>
          <w:rFonts w:ascii="Times New Roman" w:hAnsi="Times New Roman" w:cs="Times New Roman"/>
        </w:rPr>
        <w:t>black anthropoid coffin which replace</w:t>
      </w:r>
      <w:r w:rsidR="000112CA">
        <w:rPr>
          <w:rFonts w:ascii="Times New Roman" w:hAnsi="Times New Roman" w:cs="Times New Roman"/>
        </w:rPr>
        <w:t>d</w:t>
      </w:r>
      <w:r w:rsidR="00C67850">
        <w:rPr>
          <w:rFonts w:ascii="Times New Roman" w:hAnsi="Times New Roman" w:cs="Times New Roman"/>
        </w:rPr>
        <w:t xml:space="preserve"> the rishi and white anthropoid coffins during the reign of Thutmose III, the style was so prominent that it is not only attested to have been only been at Thebes but as far as the Memphite necropolis and the Nubian sites such as </w:t>
      </w:r>
      <w:proofErr w:type="spellStart"/>
      <w:r w:rsidR="00C67850">
        <w:rPr>
          <w:rFonts w:ascii="Times New Roman" w:hAnsi="Times New Roman" w:cs="Times New Roman"/>
        </w:rPr>
        <w:t>Soleb</w:t>
      </w:r>
      <w:proofErr w:type="spellEnd"/>
      <w:r w:rsidR="00C67850">
        <w:rPr>
          <w:rFonts w:ascii="Times New Roman" w:hAnsi="Times New Roman" w:cs="Times New Roman"/>
        </w:rPr>
        <w:t xml:space="preserve"> and </w:t>
      </w:r>
      <w:proofErr w:type="spellStart"/>
      <w:r w:rsidR="00C67850">
        <w:rPr>
          <w:rFonts w:ascii="Times New Roman" w:hAnsi="Times New Roman" w:cs="Times New Roman"/>
        </w:rPr>
        <w:t>Qustul</w:t>
      </w:r>
      <w:proofErr w:type="spellEnd"/>
      <w:r w:rsidR="00C67850">
        <w:rPr>
          <w:rFonts w:ascii="Times New Roman" w:hAnsi="Times New Roman" w:cs="Times New Roman"/>
        </w:rPr>
        <w:t xml:space="preserve"> – therefore, it is not surprising that Senneferi as well as his family were </w:t>
      </w:r>
      <w:r w:rsidR="00701054">
        <w:rPr>
          <w:rFonts w:ascii="Times New Roman" w:hAnsi="Times New Roman" w:cs="Times New Roman"/>
        </w:rPr>
        <w:t>given these coffins.</w:t>
      </w:r>
      <w:r w:rsidR="00701054">
        <w:rPr>
          <w:rStyle w:val="FootnoteReference"/>
          <w:rFonts w:ascii="Times New Roman" w:hAnsi="Times New Roman" w:cs="Times New Roman"/>
        </w:rPr>
        <w:footnoteReference w:id="17"/>
      </w:r>
      <w:r w:rsidR="00701054">
        <w:rPr>
          <w:rFonts w:ascii="Times New Roman" w:hAnsi="Times New Roman" w:cs="Times New Roman"/>
        </w:rPr>
        <w:t xml:space="preserve"> Unfortunately a majority of the coffin fragments found in Shaft 1 are small and very few joins are identified, they are thoroughly destroyed whether that be the damaged occurred in ancient times or during the 19</w:t>
      </w:r>
      <w:r w:rsidR="00701054" w:rsidRPr="00701054">
        <w:rPr>
          <w:rFonts w:ascii="Times New Roman" w:hAnsi="Times New Roman" w:cs="Times New Roman"/>
          <w:vertAlign w:val="superscript"/>
        </w:rPr>
        <w:t>th</w:t>
      </w:r>
      <w:r w:rsidR="00701054">
        <w:rPr>
          <w:rFonts w:ascii="Times New Roman" w:hAnsi="Times New Roman" w:cs="Times New Roman"/>
        </w:rPr>
        <w:t xml:space="preserve"> century were plundering became common – it is unknown.</w:t>
      </w:r>
      <w:r w:rsidR="00701054">
        <w:rPr>
          <w:rStyle w:val="FootnoteReference"/>
          <w:rFonts w:ascii="Times New Roman" w:hAnsi="Times New Roman" w:cs="Times New Roman"/>
        </w:rPr>
        <w:footnoteReference w:id="18"/>
      </w:r>
      <w:r w:rsidR="00701054">
        <w:rPr>
          <w:rFonts w:ascii="Times New Roman" w:hAnsi="Times New Roman" w:cs="Times New Roman"/>
        </w:rPr>
        <w:t xml:space="preserve"> </w:t>
      </w:r>
      <w:r w:rsidR="00400037">
        <w:rPr>
          <w:rFonts w:ascii="Times New Roman" w:hAnsi="Times New Roman" w:cs="Times New Roman"/>
        </w:rPr>
        <w:t>However, among the fragments of coffins are parts of one or more which may have belonged to Senneferi himself.</w:t>
      </w:r>
      <w:r w:rsidR="00400037">
        <w:rPr>
          <w:rStyle w:val="FootnoteReference"/>
          <w:rFonts w:ascii="Times New Roman" w:hAnsi="Times New Roman" w:cs="Times New Roman"/>
        </w:rPr>
        <w:footnoteReference w:id="19"/>
      </w:r>
      <w:r w:rsidR="00400037">
        <w:rPr>
          <w:rFonts w:ascii="Times New Roman" w:hAnsi="Times New Roman" w:cs="Times New Roman"/>
        </w:rPr>
        <w:t xml:space="preserve"> One of the coffin fragments includes the name Senneferi and contains three of his principal titles – but, inscriptional evidence of the other coffin fragments are lacking, although the general style of the coffins suggest that some of the coffins may have belonged to close contemporaries </w:t>
      </w:r>
      <w:r w:rsidR="0032070F">
        <w:rPr>
          <w:rFonts w:ascii="Times New Roman" w:hAnsi="Times New Roman" w:cs="Times New Roman"/>
        </w:rPr>
        <w:t>or members of Senneferi’s immediate family.</w:t>
      </w:r>
      <w:r w:rsidR="0032070F">
        <w:rPr>
          <w:rStyle w:val="FootnoteReference"/>
          <w:rFonts w:ascii="Times New Roman" w:hAnsi="Times New Roman" w:cs="Times New Roman"/>
        </w:rPr>
        <w:footnoteReference w:id="20"/>
      </w:r>
      <w:r w:rsidR="0032070F">
        <w:rPr>
          <w:rFonts w:ascii="Times New Roman" w:hAnsi="Times New Roman" w:cs="Times New Roman"/>
        </w:rPr>
        <w:t xml:space="preserve"> Despite there being little evidence of Senneferi’s family being in the tomb, in particular his children – </w:t>
      </w:r>
      <w:proofErr w:type="spellStart"/>
      <w:r w:rsidR="0032070F">
        <w:rPr>
          <w:rFonts w:ascii="Times New Roman" w:hAnsi="Times New Roman" w:cs="Times New Roman"/>
        </w:rPr>
        <w:t>Taiamu</w:t>
      </w:r>
      <w:proofErr w:type="spellEnd"/>
      <w:r w:rsidR="0032070F">
        <w:rPr>
          <w:rFonts w:ascii="Times New Roman" w:hAnsi="Times New Roman" w:cs="Times New Roman"/>
        </w:rPr>
        <w:t xml:space="preserve"> is named in the two surviving scenes in the offering scene on Wall 16, and in the New Year’s gifts on Pillar AE as the main presenter, the only remaining physical depiction is the top of her head on Wall 16.</w:t>
      </w:r>
      <w:r w:rsidR="0032070F">
        <w:rPr>
          <w:rStyle w:val="FootnoteReference"/>
          <w:rFonts w:ascii="Times New Roman" w:hAnsi="Times New Roman" w:cs="Times New Roman"/>
        </w:rPr>
        <w:footnoteReference w:id="21"/>
      </w:r>
      <w:r w:rsidR="0032070F">
        <w:rPr>
          <w:rFonts w:ascii="Times New Roman" w:hAnsi="Times New Roman" w:cs="Times New Roman"/>
        </w:rPr>
        <w:t xml:space="preserve"> </w:t>
      </w:r>
      <w:r w:rsidR="00D50F74">
        <w:rPr>
          <w:rFonts w:ascii="Times New Roman" w:hAnsi="Times New Roman" w:cs="Times New Roman"/>
        </w:rPr>
        <w:t>Senneferi’s children are also mentioned on the east face of Pillar A, however not explicitly and are in general and formulaic terms, there are also no texts naming them</w:t>
      </w:r>
      <w:r w:rsidR="000112CA">
        <w:rPr>
          <w:rFonts w:ascii="Times New Roman" w:hAnsi="Times New Roman" w:cs="Times New Roman"/>
        </w:rPr>
        <w:t xml:space="preserve"> that</w:t>
      </w:r>
      <w:r w:rsidR="00D50F74">
        <w:rPr>
          <w:rFonts w:ascii="Times New Roman" w:hAnsi="Times New Roman" w:cs="Times New Roman"/>
        </w:rPr>
        <w:t xml:space="preserve"> are preserved.</w:t>
      </w:r>
      <w:r w:rsidR="00D50F74">
        <w:rPr>
          <w:rStyle w:val="FootnoteReference"/>
          <w:rFonts w:ascii="Times New Roman" w:hAnsi="Times New Roman" w:cs="Times New Roman"/>
        </w:rPr>
        <w:footnoteReference w:id="22"/>
      </w:r>
      <w:r w:rsidR="00D50F74">
        <w:rPr>
          <w:rFonts w:ascii="Times New Roman" w:hAnsi="Times New Roman" w:cs="Times New Roman"/>
        </w:rPr>
        <w:t xml:space="preserve"> </w:t>
      </w:r>
      <w:r w:rsidR="006E5619">
        <w:rPr>
          <w:rFonts w:ascii="Times New Roman" w:hAnsi="Times New Roman" w:cs="Times New Roman"/>
        </w:rPr>
        <w:t>Additionally, Senneferi’s parents are written the most in the tomb, specifically his mother which is often regarded as more than other family members within ancient Egyptian society.</w:t>
      </w:r>
      <w:r w:rsidR="00323B20">
        <w:rPr>
          <w:rStyle w:val="FootnoteReference"/>
          <w:rFonts w:ascii="Times New Roman" w:hAnsi="Times New Roman" w:cs="Times New Roman"/>
        </w:rPr>
        <w:footnoteReference w:id="23"/>
      </w:r>
      <w:r w:rsidR="006E5619">
        <w:rPr>
          <w:rFonts w:ascii="Times New Roman" w:hAnsi="Times New Roman" w:cs="Times New Roman"/>
        </w:rPr>
        <w:t xml:space="preserve"> </w:t>
      </w:r>
      <w:r w:rsidR="00D50F74">
        <w:rPr>
          <w:rFonts w:ascii="Times New Roman" w:hAnsi="Times New Roman" w:cs="Times New Roman"/>
        </w:rPr>
        <w:t>Therefore, despite the archaeology not explicitly telling us who inhabited the other coffins the texts provide a little insight into who may have been there alongside Senneferi – this also provide more evidence on the importance of Senneferi, as his family and potential close contemporaries are accompanying him into the afterlife.</w:t>
      </w:r>
    </w:p>
    <w:p w14:paraId="1E691A48" w14:textId="59A3B48E" w:rsidR="008102FB" w:rsidRDefault="007C42D2" w:rsidP="00287D65">
      <w:pPr>
        <w:spacing w:line="360" w:lineRule="auto"/>
        <w:rPr>
          <w:rFonts w:ascii="Times New Roman" w:hAnsi="Times New Roman" w:cs="Times New Roman"/>
        </w:rPr>
      </w:pPr>
      <w:r>
        <w:rPr>
          <w:rFonts w:ascii="Times New Roman" w:hAnsi="Times New Roman" w:cs="Times New Roman"/>
        </w:rPr>
        <w:tab/>
        <w:t xml:space="preserve">The upper layer of TT99 was composed of chips of white limestone which was compacted together in a hard fashion, potentially from rainwater where some chips of stone showed the beginnings of disintegration characteristics of limestone which were affected by water, and below this the material was comprised of limestone chippings and the limestone dust – the bedrock was </w:t>
      </w:r>
      <w:r>
        <w:rPr>
          <w:rFonts w:ascii="Times New Roman" w:hAnsi="Times New Roman" w:cs="Times New Roman"/>
        </w:rPr>
        <w:lastRenderedPageBreak/>
        <w:t>encountered at 7cm below the top of the surface and tapered around the depth of the nearer edge of 33cm.</w:t>
      </w:r>
      <w:r>
        <w:rPr>
          <w:rStyle w:val="FootnoteReference"/>
          <w:rFonts w:ascii="Times New Roman" w:hAnsi="Times New Roman" w:cs="Times New Roman"/>
        </w:rPr>
        <w:footnoteReference w:id="24"/>
      </w:r>
      <w:r>
        <w:rPr>
          <w:rFonts w:ascii="Times New Roman" w:hAnsi="Times New Roman" w:cs="Times New Roman"/>
        </w:rPr>
        <w:t xml:space="preserve"> These characteristics are common in the 18</w:t>
      </w:r>
      <w:r w:rsidRPr="007C42D2">
        <w:rPr>
          <w:rFonts w:ascii="Times New Roman" w:hAnsi="Times New Roman" w:cs="Times New Roman"/>
          <w:vertAlign w:val="superscript"/>
        </w:rPr>
        <w:t>th</w:t>
      </w:r>
      <w:r>
        <w:rPr>
          <w:rFonts w:ascii="Times New Roman" w:hAnsi="Times New Roman" w:cs="Times New Roman"/>
        </w:rPr>
        <w:t xml:space="preserve"> dynasty, and in the fa</w:t>
      </w:r>
      <w:r w:rsidR="000112CA">
        <w:rPr>
          <w:rFonts w:ascii="Times New Roman" w:hAnsi="Times New Roman" w:cs="Times New Roman"/>
        </w:rPr>
        <w:t>c</w:t>
      </w:r>
      <w:r>
        <w:rPr>
          <w:rFonts w:ascii="Times New Roman" w:hAnsi="Times New Roman" w:cs="Times New Roman"/>
        </w:rPr>
        <w:t>ade function in place of a free-standing superstructure which was initially thought to be confined to the Ramesside Period of ancient Egypt.</w:t>
      </w:r>
      <w:r>
        <w:rPr>
          <w:rStyle w:val="FootnoteReference"/>
          <w:rFonts w:ascii="Times New Roman" w:hAnsi="Times New Roman" w:cs="Times New Roman"/>
        </w:rPr>
        <w:footnoteReference w:id="25"/>
      </w:r>
      <w:r w:rsidR="00DF08AD">
        <w:rPr>
          <w:rFonts w:ascii="Times New Roman" w:hAnsi="Times New Roman" w:cs="Times New Roman"/>
        </w:rPr>
        <w:t xml:space="preserve"> </w:t>
      </w:r>
      <w:r w:rsidR="00DC6F6E">
        <w:rPr>
          <w:rFonts w:ascii="Times New Roman" w:hAnsi="Times New Roman" w:cs="Times New Roman"/>
        </w:rPr>
        <w:t>The assemblage also consists of objects that resemble that of funerary cones</w:t>
      </w:r>
      <w:r w:rsidR="00416A2B">
        <w:rPr>
          <w:rFonts w:ascii="Times New Roman" w:hAnsi="Times New Roman" w:cs="Times New Roman"/>
        </w:rPr>
        <w:t xml:space="preserve">, </w:t>
      </w:r>
      <w:r w:rsidR="00C37066">
        <w:rPr>
          <w:rFonts w:ascii="Times New Roman" w:hAnsi="Times New Roman" w:cs="Times New Roman"/>
        </w:rPr>
        <w:t xml:space="preserve">the publications of the tomb </w:t>
      </w:r>
      <w:r w:rsidR="00CD25FB">
        <w:rPr>
          <w:rFonts w:ascii="Times New Roman" w:hAnsi="Times New Roman" w:cs="Times New Roman"/>
        </w:rPr>
        <w:t>note</w:t>
      </w:r>
      <w:r w:rsidR="007C34E0">
        <w:rPr>
          <w:rFonts w:ascii="Times New Roman" w:hAnsi="Times New Roman" w:cs="Times New Roman"/>
        </w:rPr>
        <w:t>s</w:t>
      </w:r>
      <w:r w:rsidR="00CD25FB">
        <w:rPr>
          <w:rFonts w:ascii="Times New Roman" w:hAnsi="Times New Roman" w:cs="Times New Roman"/>
        </w:rPr>
        <w:t xml:space="preserve"> that there are a wide range of the funerary cones that are found in the tomb</w:t>
      </w:r>
      <w:r w:rsidR="007C34E0">
        <w:rPr>
          <w:rFonts w:ascii="Times New Roman" w:hAnsi="Times New Roman" w:cs="Times New Roman"/>
        </w:rPr>
        <w:t>,</w:t>
      </w:r>
      <w:r w:rsidR="00CD25FB">
        <w:rPr>
          <w:rFonts w:ascii="Times New Roman" w:hAnsi="Times New Roman" w:cs="Times New Roman"/>
        </w:rPr>
        <w:t xml:space="preserve"> that have moved from their original locations </w:t>
      </w:r>
      <w:r w:rsidR="00A017E0">
        <w:rPr>
          <w:rFonts w:ascii="Times New Roman" w:hAnsi="Times New Roman" w:cs="Times New Roman"/>
        </w:rPr>
        <w:t>which</w:t>
      </w:r>
      <w:r w:rsidR="007C34E0">
        <w:rPr>
          <w:rFonts w:ascii="Times New Roman" w:hAnsi="Times New Roman" w:cs="Times New Roman"/>
        </w:rPr>
        <w:t xml:space="preserve"> are potentially from </w:t>
      </w:r>
      <w:r w:rsidR="00A017E0">
        <w:rPr>
          <w:rFonts w:ascii="Times New Roman" w:hAnsi="Times New Roman" w:cs="Times New Roman"/>
        </w:rPr>
        <w:t>over the necropolis</w:t>
      </w:r>
      <w:r w:rsidR="00757745">
        <w:rPr>
          <w:rFonts w:ascii="Times New Roman" w:hAnsi="Times New Roman" w:cs="Times New Roman"/>
        </w:rPr>
        <w:t xml:space="preserve"> – it is confirmed through the significant quantities of material below the fa</w:t>
      </w:r>
      <w:r w:rsidR="000112CA">
        <w:rPr>
          <w:rFonts w:ascii="Times New Roman" w:hAnsi="Times New Roman" w:cs="Times New Roman"/>
        </w:rPr>
        <w:t>c</w:t>
      </w:r>
      <w:r w:rsidR="00757745">
        <w:rPr>
          <w:rFonts w:ascii="Times New Roman" w:hAnsi="Times New Roman" w:cs="Times New Roman"/>
        </w:rPr>
        <w:t>ade, which do indeed confirm the original locations of them.</w:t>
      </w:r>
      <w:r w:rsidR="00757745">
        <w:rPr>
          <w:rStyle w:val="FootnoteReference"/>
          <w:rFonts w:ascii="Times New Roman" w:hAnsi="Times New Roman" w:cs="Times New Roman"/>
        </w:rPr>
        <w:footnoteReference w:id="26"/>
      </w:r>
      <w:r w:rsidR="00757745">
        <w:rPr>
          <w:rFonts w:ascii="Times New Roman" w:hAnsi="Times New Roman" w:cs="Times New Roman"/>
        </w:rPr>
        <w:t xml:space="preserve"> There are a total of 1320 stamped cones at the site </w:t>
      </w:r>
      <w:r w:rsidR="003540A3">
        <w:rPr>
          <w:rFonts w:ascii="Times New Roman" w:hAnsi="Times New Roman" w:cs="Times New Roman"/>
        </w:rPr>
        <w:t>with bricks and other fragments too, of the 251 objects they were whole or partially stamped cones, nine of them were brick with stamps and the rest of them are fragmentary.</w:t>
      </w:r>
      <w:r w:rsidR="003540A3">
        <w:rPr>
          <w:rStyle w:val="FootnoteReference"/>
          <w:rFonts w:ascii="Times New Roman" w:hAnsi="Times New Roman" w:cs="Times New Roman"/>
        </w:rPr>
        <w:footnoteReference w:id="27"/>
      </w:r>
      <w:r w:rsidR="00CF1046">
        <w:rPr>
          <w:rFonts w:ascii="Times New Roman" w:hAnsi="Times New Roman" w:cs="Times New Roman"/>
        </w:rPr>
        <w:t xml:space="preserve"> The courtyard is described to be an irregular shape</w:t>
      </w:r>
      <w:r w:rsidR="00C14FDF">
        <w:rPr>
          <w:rFonts w:ascii="Times New Roman" w:hAnsi="Times New Roman" w:cs="Times New Roman"/>
        </w:rPr>
        <w:t xml:space="preserve"> which resembles a rectangle and is approximately 11.30m at its west, 14.25m at its south, 15.14m at its north and lastly 12.22m at the east, </w:t>
      </w:r>
      <w:r w:rsidR="00B150B0">
        <w:rPr>
          <w:rFonts w:ascii="Times New Roman" w:hAnsi="Times New Roman" w:cs="Times New Roman"/>
        </w:rPr>
        <w:t>it is impossible to determine the extent of the courtyard however</w:t>
      </w:r>
      <w:r w:rsidR="000112CA">
        <w:rPr>
          <w:rFonts w:ascii="Times New Roman" w:hAnsi="Times New Roman" w:cs="Times New Roman"/>
        </w:rPr>
        <w:t xml:space="preserve">, </w:t>
      </w:r>
      <w:r w:rsidR="00B150B0">
        <w:rPr>
          <w:rFonts w:ascii="Times New Roman" w:hAnsi="Times New Roman" w:cs="Times New Roman"/>
        </w:rPr>
        <w:t xml:space="preserve">due </w:t>
      </w:r>
      <w:r w:rsidR="000112CA">
        <w:rPr>
          <w:rFonts w:ascii="Times New Roman" w:hAnsi="Times New Roman" w:cs="Times New Roman"/>
        </w:rPr>
        <w:t>to its</w:t>
      </w:r>
      <w:r w:rsidR="00B150B0">
        <w:rPr>
          <w:rFonts w:ascii="Times New Roman" w:hAnsi="Times New Roman" w:cs="Times New Roman"/>
        </w:rPr>
        <w:t xml:space="preserve"> slope down to TT100, therefore making it difficult to </w:t>
      </w:r>
      <w:r w:rsidR="00282512">
        <w:rPr>
          <w:rFonts w:ascii="Times New Roman" w:hAnsi="Times New Roman" w:cs="Times New Roman"/>
        </w:rPr>
        <w:t>determine.</w:t>
      </w:r>
      <w:r w:rsidR="00282512">
        <w:rPr>
          <w:rStyle w:val="FootnoteReference"/>
          <w:rFonts w:ascii="Times New Roman" w:hAnsi="Times New Roman" w:cs="Times New Roman"/>
        </w:rPr>
        <w:footnoteReference w:id="28"/>
      </w:r>
      <w:r w:rsidR="00EB610D">
        <w:rPr>
          <w:rFonts w:ascii="Times New Roman" w:hAnsi="Times New Roman" w:cs="Times New Roman"/>
        </w:rPr>
        <w:t xml:space="preserve"> More evidence of Senneferi’s tomb being from the 18</w:t>
      </w:r>
      <w:r w:rsidR="00EB610D" w:rsidRPr="00EB610D">
        <w:rPr>
          <w:rFonts w:ascii="Times New Roman" w:hAnsi="Times New Roman" w:cs="Times New Roman"/>
          <w:vertAlign w:val="superscript"/>
        </w:rPr>
        <w:t>th</w:t>
      </w:r>
      <w:r w:rsidR="00EB610D">
        <w:rPr>
          <w:rFonts w:ascii="Times New Roman" w:hAnsi="Times New Roman" w:cs="Times New Roman"/>
        </w:rPr>
        <w:t xml:space="preserve"> dynasty is that the Chapel is an example of the inverted T-shaped form of Chapel which is fairly common during the time of the 18</w:t>
      </w:r>
      <w:r w:rsidR="00EB610D" w:rsidRPr="00EB610D">
        <w:rPr>
          <w:rFonts w:ascii="Times New Roman" w:hAnsi="Times New Roman" w:cs="Times New Roman"/>
          <w:vertAlign w:val="superscript"/>
        </w:rPr>
        <w:t>th</w:t>
      </w:r>
      <w:r w:rsidR="00EB610D">
        <w:rPr>
          <w:rFonts w:ascii="Times New Roman" w:hAnsi="Times New Roman" w:cs="Times New Roman"/>
        </w:rPr>
        <w:t xml:space="preserve"> dynasty, it has a broad front room and </w:t>
      </w:r>
      <w:r w:rsidR="00052FFA">
        <w:rPr>
          <w:rFonts w:ascii="Times New Roman" w:hAnsi="Times New Roman" w:cs="Times New Roman"/>
        </w:rPr>
        <w:t>relatively long corridor or passage which leads to a rear room shrine with pillars.</w:t>
      </w:r>
      <w:r w:rsidR="00052FFA">
        <w:rPr>
          <w:rStyle w:val="FootnoteReference"/>
          <w:rFonts w:ascii="Times New Roman" w:hAnsi="Times New Roman" w:cs="Times New Roman"/>
        </w:rPr>
        <w:footnoteReference w:id="29"/>
      </w:r>
      <w:r w:rsidR="00BC33BD">
        <w:rPr>
          <w:rFonts w:ascii="Times New Roman" w:hAnsi="Times New Roman" w:cs="Times New Roman"/>
        </w:rPr>
        <w:t xml:space="preserve"> </w:t>
      </w:r>
      <w:r w:rsidR="00D65A16">
        <w:rPr>
          <w:rFonts w:ascii="Times New Roman" w:hAnsi="Times New Roman" w:cs="Times New Roman"/>
        </w:rPr>
        <w:t>The contents which were found in the vertical shaft contain fragments of matchboxes, smoking pipes, glass bracelets</w:t>
      </w:r>
      <w:r w:rsidR="00A42FFF">
        <w:rPr>
          <w:rFonts w:ascii="Times New Roman" w:hAnsi="Times New Roman" w:cs="Times New Roman"/>
        </w:rPr>
        <w:t>,</w:t>
      </w:r>
      <w:r w:rsidR="00D65A16">
        <w:rPr>
          <w:rFonts w:ascii="Times New Roman" w:hAnsi="Times New Roman" w:cs="Times New Roman"/>
        </w:rPr>
        <w:t xml:space="preserve"> Coptic ostraca, and </w:t>
      </w:r>
      <w:r w:rsidR="00DB020F">
        <w:rPr>
          <w:rFonts w:ascii="Times New Roman" w:hAnsi="Times New Roman" w:cs="Times New Roman"/>
        </w:rPr>
        <w:t xml:space="preserve">shabtis, alongside the aforementioned </w:t>
      </w:r>
      <w:r w:rsidR="00A42FFF">
        <w:rPr>
          <w:rFonts w:ascii="Times New Roman" w:hAnsi="Times New Roman" w:cs="Times New Roman"/>
        </w:rPr>
        <w:t>funerary cones and coffin fragments.</w:t>
      </w:r>
      <w:r w:rsidR="00A42FFF">
        <w:rPr>
          <w:rStyle w:val="FootnoteReference"/>
          <w:rFonts w:ascii="Times New Roman" w:hAnsi="Times New Roman" w:cs="Times New Roman"/>
        </w:rPr>
        <w:footnoteReference w:id="30"/>
      </w:r>
      <w:r w:rsidR="00A42FFF">
        <w:rPr>
          <w:rFonts w:ascii="Times New Roman" w:hAnsi="Times New Roman" w:cs="Times New Roman"/>
        </w:rPr>
        <w:t xml:space="preserve"> </w:t>
      </w:r>
    </w:p>
    <w:p w14:paraId="0BE13586" w14:textId="0B55C436" w:rsidR="005F0526" w:rsidRDefault="005F0526" w:rsidP="00287D65">
      <w:pPr>
        <w:spacing w:line="360" w:lineRule="auto"/>
        <w:rPr>
          <w:rFonts w:ascii="Times New Roman" w:hAnsi="Times New Roman" w:cs="Times New Roman"/>
        </w:rPr>
      </w:pPr>
      <w:r>
        <w:rPr>
          <w:rFonts w:ascii="Times New Roman" w:hAnsi="Times New Roman" w:cs="Times New Roman"/>
        </w:rPr>
        <w:tab/>
        <w:t xml:space="preserve">Pamela </w:t>
      </w:r>
      <w:r w:rsidR="00344226">
        <w:rPr>
          <w:rFonts w:ascii="Times New Roman" w:hAnsi="Times New Roman" w:cs="Times New Roman"/>
        </w:rPr>
        <w:t>Rose writes in her paper that the dating of the ceramic assemblage is well established from the dating of the tomb of Senneferi (18</w:t>
      </w:r>
      <w:r w:rsidR="00344226" w:rsidRPr="00344226">
        <w:rPr>
          <w:rFonts w:ascii="Times New Roman" w:hAnsi="Times New Roman" w:cs="Times New Roman"/>
          <w:vertAlign w:val="superscript"/>
        </w:rPr>
        <w:t>th</w:t>
      </w:r>
      <w:r w:rsidR="00344226">
        <w:rPr>
          <w:rFonts w:ascii="Times New Roman" w:hAnsi="Times New Roman" w:cs="Times New Roman"/>
        </w:rPr>
        <w:t xml:space="preserve"> dynasty), it is also </w:t>
      </w:r>
      <w:r w:rsidR="00BF0426">
        <w:rPr>
          <w:rFonts w:ascii="Times New Roman" w:hAnsi="Times New Roman" w:cs="Times New Roman"/>
        </w:rPr>
        <w:t xml:space="preserve">representative of the high-ranking elite funerary pottery of the middle to the later part of the reign of Thutmose III – </w:t>
      </w:r>
      <w:r w:rsidR="005E2467">
        <w:rPr>
          <w:rFonts w:ascii="Times New Roman" w:hAnsi="Times New Roman" w:cs="Times New Roman"/>
        </w:rPr>
        <w:t>she mentions that it is reassuring that the assemblage fits with phase 2A</w:t>
      </w:r>
      <w:r w:rsidR="005A4AA3">
        <w:rPr>
          <w:rFonts w:ascii="Times New Roman" w:hAnsi="Times New Roman" w:cs="Times New Roman"/>
        </w:rPr>
        <w:t xml:space="preserve"> of the New Kingdom </w:t>
      </w:r>
      <w:r w:rsidR="0078029A">
        <w:rPr>
          <w:rFonts w:ascii="Times New Roman" w:hAnsi="Times New Roman" w:cs="Times New Roman"/>
        </w:rPr>
        <w:t xml:space="preserve">pottery sequences which are assigned to the </w:t>
      </w:r>
      <w:r w:rsidR="00FA6CA3">
        <w:rPr>
          <w:rFonts w:ascii="Times New Roman" w:hAnsi="Times New Roman" w:cs="Times New Roman"/>
        </w:rPr>
        <w:t>Pharaohs</w:t>
      </w:r>
      <w:r w:rsidR="0078029A">
        <w:rPr>
          <w:rFonts w:ascii="Times New Roman" w:hAnsi="Times New Roman" w:cs="Times New Roman"/>
        </w:rPr>
        <w:t xml:space="preserve"> </w:t>
      </w:r>
      <w:proofErr w:type="spellStart"/>
      <w:r w:rsidR="0078029A">
        <w:rPr>
          <w:rFonts w:ascii="Times New Roman" w:hAnsi="Times New Roman" w:cs="Times New Roman"/>
        </w:rPr>
        <w:t>Hatsheput</w:t>
      </w:r>
      <w:proofErr w:type="spellEnd"/>
      <w:r w:rsidR="0078029A">
        <w:rPr>
          <w:rFonts w:ascii="Times New Roman" w:hAnsi="Times New Roman" w:cs="Times New Roman"/>
        </w:rPr>
        <w:t xml:space="preserve"> and Thutmose III.</w:t>
      </w:r>
      <w:r w:rsidR="0078029A">
        <w:rPr>
          <w:rStyle w:val="FootnoteReference"/>
          <w:rFonts w:ascii="Times New Roman" w:hAnsi="Times New Roman" w:cs="Times New Roman"/>
        </w:rPr>
        <w:footnoteReference w:id="31"/>
      </w:r>
      <w:r w:rsidR="00FA6CA3">
        <w:rPr>
          <w:rFonts w:ascii="Times New Roman" w:hAnsi="Times New Roman" w:cs="Times New Roman"/>
        </w:rPr>
        <w:t xml:space="preserve"> </w:t>
      </w:r>
      <w:r w:rsidR="00E27F85">
        <w:rPr>
          <w:rFonts w:ascii="Times New Roman" w:hAnsi="Times New Roman" w:cs="Times New Roman"/>
        </w:rPr>
        <w:t xml:space="preserve">Four jars from Senneferi’s tomb have been reconstructed, </w:t>
      </w:r>
      <w:r w:rsidR="00506471">
        <w:rPr>
          <w:rFonts w:ascii="Times New Roman" w:hAnsi="Times New Roman" w:cs="Times New Roman"/>
        </w:rPr>
        <w:t>which were located in Room 3, the jars were the only canopic jars discovered in the tomb and it is assumed by the excavators and scholars of Senneferi’s tomb that they were to be a set, the three of them are closely similar in fabric</w:t>
      </w:r>
      <w:r w:rsidR="005B2E18">
        <w:rPr>
          <w:rFonts w:ascii="Times New Roman" w:hAnsi="Times New Roman" w:cs="Times New Roman"/>
        </w:rPr>
        <w:t xml:space="preserve"> which causes the discourse of </w:t>
      </w:r>
      <w:r w:rsidR="00293F32">
        <w:rPr>
          <w:rFonts w:ascii="Times New Roman" w:hAnsi="Times New Roman" w:cs="Times New Roman"/>
        </w:rPr>
        <w:t xml:space="preserve">the jars being of the same </w:t>
      </w:r>
      <w:r w:rsidR="00293F32">
        <w:rPr>
          <w:rFonts w:ascii="Times New Roman" w:hAnsi="Times New Roman" w:cs="Times New Roman"/>
        </w:rPr>
        <w:lastRenderedPageBreak/>
        <w:t>set.</w:t>
      </w:r>
      <w:r w:rsidR="00293F32">
        <w:rPr>
          <w:rStyle w:val="FootnoteReference"/>
          <w:rFonts w:ascii="Times New Roman" w:hAnsi="Times New Roman" w:cs="Times New Roman"/>
        </w:rPr>
        <w:footnoteReference w:id="32"/>
      </w:r>
      <w:r w:rsidR="00DB44D4">
        <w:rPr>
          <w:rFonts w:ascii="Times New Roman" w:hAnsi="Times New Roman" w:cs="Times New Roman"/>
        </w:rPr>
        <w:t xml:space="preserve"> Additionally, there is a group of near to identical amphorae which are apart of the wider assemblage that are found in Room 3 for the most part,</w:t>
      </w:r>
      <w:r w:rsidR="00635781">
        <w:rPr>
          <w:rFonts w:ascii="Times New Roman" w:hAnsi="Times New Roman" w:cs="Times New Roman"/>
        </w:rPr>
        <w:t xml:space="preserve"> despite this</w:t>
      </w:r>
      <w:r w:rsidR="00A8241F">
        <w:rPr>
          <w:rFonts w:ascii="Times New Roman" w:hAnsi="Times New Roman" w:cs="Times New Roman"/>
        </w:rPr>
        <w:t>,</w:t>
      </w:r>
      <w:r w:rsidR="00635781">
        <w:rPr>
          <w:rFonts w:ascii="Times New Roman" w:hAnsi="Times New Roman" w:cs="Times New Roman"/>
        </w:rPr>
        <w:t xml:space="preserve"> a bulk of the sherd of Amphora 5 is said to be found in the second Room – most of the Amphorae were inscribed, and two of them were stamped before firing with cartouches; one of them can be read as Thutmose III</w:t>
      </w:r>
      <w:r w:rsidR="00AC461A">
        <w:rPr>
          <w:rFonts w:ascii="Times New Roman" w:hAnsi="Times New Roman" w:cs="Times New Roman"/>
        </w:rPr>
        <w:t xml:space="preserve"> and another two have traces of mud seals on the neck and shoulder of them.</w:t>
      </w:r>
      <w:r w:rsidR="00AC461A">
        <w:rPr>
          <w:rStyle w:val="FootnoteReference"/>
          <w:rFonts w:ascii="Times New Roman" w:hAnsi="Times New Roman" w:cs="Times New Roman"/>
        </w:rPr>
        <w:footnoteReference w:id="33"/>
      </w:r>
      <w:r w:rsidR="00D3635D">
        <w:rPr>
          <w:rFonts w:ascii="Times New Roman" w:hAnsi="Times New Roman" w:cs="Times New Roman"/>
        </w:rPr>
        <w:t xml:space="preserve"> </w:t>
      </w:r>
      <w:r w:rsidR="00205D2D">
        <w:rPr>
          <w:rFonts w:ascii="Times New Roman" w:hAnsi="Times New Roman" w:cs="Times New Roman"/>
        </w:rPr>
        <w:t xml:space="preserve">The assemblage also contains </w:t>
      </w:r>
      <w:r w:rsidR="003B02F6">
        <w:rPr>
          <w:rFonts w:ascii="Times New Roman" w:hAnsi="Times New Roman" w:cs="Times New Roman"/>
        </w:rPr>
        <w:t xml:space="preserve">wine jars, </w:t>
      </w:r>
      <w:r w:rsidR="00A8241F">
        <w:rPr>
          <w:rFonts w:ascii="Times New Roman" w:hAnsi="Times New Roman" w:cs="Times New Roman"/>
        </w:rPr>
        <w:t>j</w:t>
      </w:r>
      <w:r w:rsidR="003B02F6">
        <w:rPr>
          <w:rFonts w:ascii="Times New Roman" w:hAnsi="Times New Roman" w:cs="Times New Roman"/>
        </w:rPr>
        <w:t>ars that may have been used for tiger nuts due to its inscription,</w:t>
      </w:r>
      <w:r w:rsidR="008F53A8">
        <w:rPr>
          <w:rFonts w:ascii="Times New Roman" w:hAnsi="Times New Roman" w:cs="Times New Roman"/>
        </w:rPr>
        <w:t xml:space="preserve"> and flower pots; which are deep conical bowls that have flat bases, and are times pierced </w:t>
      </w:r>
      <w:r w:rsidR="00346241">
        <w:rPr>
          <w:rFonts w:ascii="Times New Roman" w:hAnsi="Times New Roman" w:cs="Times New Roman"/>
        </w:rPr>
        <w:t xml:space="preserve">– </w:t>
      </w:r>
      <w:r w:rsidR="008F53A8">
        <w:rPr>
          <w:rFonts w:ascii="Times New Roman" w:hAnsi="Times New Roman" w:cs="Times New Roman"/>
        </w:rPr>
        <w:t>they can be associ</w:t>
      </w:r>
      <w:r w:rsidR="007C3D10">
        <w:rPr>
          <w:rFonts w:ascii="Times New Roman" w:hAnsi="Times New Roman" w:cs="Times New Roman"/>
        </w:rPr>
        <w:t xml:space="preserve">ated with </w:t>
      </w:r>
      <w:r w:rsidR="009420AB">
        <w:rPr>
          <w:rFonts w:ascii="Times New Roman" w:hAnsi="Times New Roman" w:cs="Times New Roman"/>
        </w:rPr>
        <w:t>beer jars when in a funerary context</w:t>
      </w:r>
      <w:r w:rsidR="00E31468">
        <w:rPr>
          <w:rFonts w:ascii="Times New Roman" w:hAnsi="Times New Roman" w:cs="Times New Roman"/>
        </w:rPr>
        <w:t xml:space="preserve"> – </w:t>
      </w:r>
      <w:proofErr w:type="spellStart"/>
      <w:r w:rsidR="00E31468">
        <w:rPr>
          <w:rFonts w:ascii="Times New Roman" w:hAnsi="Times New Roman" w:cs="Times New Roman"/>
        </w:rPr>
        <w:t>Holthoer</w:t>
      </w:r>
      <w:proofErr w:type="spellEnd"/>
      <w:r w:rsidR="00E31468">
        <w:rPr>
          <w:rFonts w:ascii="Times New Roman" w:hAnsi="Times New Roman" w:cs="Times New Roman"/>
        </w:rPr>
        <w:t xml:space="preserve"> connects them with the production of bread, </w:t>
      </w:r>
      <w:r w:rsidR="00BB436D">
        <w:rPr>
          <w:rFonts w:ascii="Times New Roman" w:hAnsi="Times New Roman" w:cs="Times New Roman"/>
        </w:rPr>
        <w:t>providing bread and beer for the afterlife but this is contested and not proven to be the case.</w:t>
      </w:r>
      <w:r w:rsidR="00346241">
        <w:rPr>
          <w:rStyle w:val="FootnoteReference"/>
          <w:rFonts w:ascii="Times New Roman" w:hAnsi="Times New Roman" w:cs="Times New Roman"/>
        </w:rPr>
        <w:footnoteReference w:id="34"/>
      </w:r>
      <w:r w:rsidR="00346241">
        <w:rPr>
          <w:rFonts w:ascii="Times New Roman" w:hAnsi="Times New Roman" w:cs="Times New Roman"/>
        </w:rPr>
        <w:t xml:space="preserve"> </w:t>
      </w:r>
      <w:r w:rsidR="00D3635D">
        <w:rPr>
          <w:rFonts w:ascii="Times New Roman" w:hAnsi="Times New Roman" w:cs="Times New Roman"/>
        </w:rPr>
        <w:t xml:space="preserve">Due to the ceramics which are </w:t>
      </w:r>
      <w:r w:rsidR="00205D2D">
        <w:rPr>
          <w:rFonts w:ascii="Times New Roman" w:hAnsi="Times New Roman" w:cs="Times New Roman"/>
        </w:rPr>
        <w:t>a part</w:t>
      </w:r>
      <w:r w:rsidR="00D3635D">
        <w:rPr>
          <w:rFonts w:ascii="Times New Roman" w:hAnsi="Times New Roman" w:cs="Times New Roman"/>
        </w:rPr>
        <w:t xml:space="preserve"> of the wider assemblage of Senneferi’s tomb</w:t>
      </w:r>
      <w:r w:rsidR="00A8241F">
        <w:rPr>
          <w:rFonts w:ascii="Times New Roman" w:hAnsi="Times New Roman" w:cs="Times New Roman"/>
        </w:rPr>
        <w:t>,</w:t>
      </w:r>
      <w:r w:rsidR="00D3635D">
        <w:rPr>
          <w:rFonts w:ascii="Times New Roman" w:hAnsi="Times New Roman" w:cs="Times New Roman"/>
        </w:rPr>
        <w:t xml:space="preserve"> it heavily infers that he himself was </w:t>
      </w:r>
      <w:r w:rsidR="004D0ED4">
        <w:rPr>
          <w:rFonts w:ascii="Times New Roman" w:hAnsi="Times New Roman" w:cs="Times New Roman"/>
        </w:rPr>
        <w:t xml:space="preserve">well regarded in ancient Egyptian society and was important, to the point that Thutmose III’s name even appears in Senneferi’s tomb, </w:t>
      </w:r>
      <w:r w:rsidR="00967293">
        <w:rPr>
          <w:rFonts w:ascii="Times New Roman" w:hAnsi="Times New Roman" w:cs="Times New Roman"/>
        </w:rPr>
        <w:t xml:space="preserve">this could have been placed at an earlier or later date, but it infers that Senneferi was important enough as an official to contain </w:t>
      </w:r>
      <w:r w:rsidR="00205D2D">
        <w:rPr>
          <w:rFonts w:ascii="Times New Roman" w:hAnsi="Times New Roman" w:cs="Times New Roman"/>
        </w:rPr>
        <w:t>such impressive object</w:t>
      </w:r>
      <w:r w:rsidR="00A8241F">
        <w:rPr>
          <w:rFonts w:ascii="Times New Roman" w:hAnsi="Times New Roman" w:cs="Times New Roman"/>
        </w:rPr>
        <w:t>s</w:t>
      </w:r>
      <w:r w:rsidR="00205D2D">
        <w:rPr>
          <w:rFonts w:ascii="Times New Roman" w:hAnsi="Times New Roman" w:cs="Times New Roman"/>
        </w:rPr>
        <w:t>.</w:t>
      </w:r>
    </w:p>
    <w:p w14:paraId="7F2673E0" w14:textId="7296BD4B" w:rsidR="00A932C4" w:rsidRDefault="00477F31" w:rsidP="00287D65">
      <w:pPr>
        <w:spacing w:line="360" w:lineRule="auto"/>
        <w:rPr>
          <w:rFonts w:ascii="Times New Roman" w:hAnsi="Times New Roman" w:cs="Times New Roman"/>
        </w:rPr>
      </w:pPr>
      <w:r>
        <w:rPr>
          <w:rFonts w:ascii="Times New Roman" w:hAnsi="Times New Roman" w:cs="Times New Roman"/>
        </w:rPr>
        <w:tab/>
      </w:r>
      <w:r w:rsidR="00A31A89">
        <w:rPr>
          <w:rFonts w:ascii="Times New Roman" w:hAnsi="Times New Roman" w:cs="Times New Roman"/>
        </w:rPr>
        <w:t xml:space="preserve">Shaft 1 has produced mixtures of tubular faience beads and disc beads, as well as a long thin stick of wood </w:t>
      </w:r>
      <w:r w:rsidR="00A8241F">
        <w:rPr>
          <w:rFonts w:ascii="Times New Roman" w:hAnsi="Times New Roman" w:cs="Times New Roman"/>
        </w:rPr>
        <w:t>which</w:t>
      </w:r>
      <w:r w:rsidR="00B66720">
        <w:rPr>
          <w:rFonts w:ascii="Times New Roman" w:hAnsi="Times New Roman" w:cs="Times New Roman"/>
        </w:rPr>
        <w:t xml:space="preserve"> shape is too long for it to be of a coffin and is suggested to be the ‘finger of electrum’ from the opening of the mouth</w:t>
      </w:r>
      <w:r w:rsidR="00B52AE7">
        <w:rPr>
          <w:rFonts w:ascii="Times New Roman" w:hAnsi="Times New Roman" w:cs="Times New Roman"/>
        </w:rPr>
        <w:t xml:space="preserve"> ritual.</w:t>
      </w:r>
      <w:r w:rsidR="00B52AE7">
        <w:rPr>
          <w:rStyle w:val="FootnoteReference"/>
          <w:rFonts w:ascii="Times New Roman" w:hAnsi="Times New Roman" w:cs="Times New Roman"/>
        </w:rPr>
        <w:footnoteReference w:id="35"/>
      </w:r>
      <w:r w:rsidR="00EF0D3F">
        <w:rPr>
          <w:rFonts w:ascii="Times New Roman" w:hAnsi="Times New Roman" w:cs="Times New Roman"/>
        </w:rPr>
        <w:t xml:space="preserve"> There has also been a wooden ox-leg which is suggested to be apart of a prominent role of the opening of the mouth ritual.</w:t>
      </w:r>
      <w:r w:rsidR="00A97B78">
        <w:rPr>
          <w:rStyle w:val="FootnoteReference"/>
          <w:rFonts w:ascii="Times New Roman" w:hAnsi="Times New Roman" w:cs="Times New Roman"/>
        </w:rPr>
        <w:footnoteReference w:id="36"/>
      </w:r>
      <w:r w:rsidR="00DE3F2F">
        <w:rPr>
          <w:rFonts w:ascii="Times New Roman" w:hAnsi="Times New Roman" w:cs="Times New Roman"/>
        </w:rPr>
        <w:t xml:space="preserve"> In Shaft 1 a broken rounded end of a Kohl stick</w:t>
      </w:r>
      <w:r w:rsidR="007668AA">
        <w:rPr>
          <w:rFonts w:ascii="Times New Roman" w:hAnsi="Times New Roman" w:cs="Times New Roman"/>
        </w:rPr>
        <w:t xml:space="preserve"> (applicator) has been found, and these tend to be common within the elite of the 18</w:t>
      </w:r>
      <w:r w:rsidR="007668AA" w:rsidRPr="007668AA">
        <w:rPr>
          <w:rFonts w:ascii="Times New Roman" w:hAnsi="Times New Roman" w:cs="Times New Roman"/>
          <w:vertAlign w:val="superscript"/>
        </w:rPr>
        <w:t>th</w:t>
      </w:r>
      <w:r w:rsidR="007668AA">
        <w:rPr>
          <w:rFonts w:ascii="Times New Roman" w:hAnsi="Times New Roman" w:cs="Times New Roman"/>
        </w:rPr>
        <w:t xml:space="preserve"> dynasty burials, although</w:t>
      </w:r>
      <w:r w:rsidR="00DF032B">
        <w:rPr>
          <w:rFonts w:ascii="Times New Roman" w:hAnsi="Times New Roman" w:cs="Times New Roman"/>
        </w:rPr>
        <w:t xml:space="preserve"> </w:t>
      </w:r>
      <w:r w:rsidR="007668AA">
        <w:rPr>
          <w:rFonts w:ascii="Times New Roman" w:hAnsi="Times New Roman" w:cs="Times New Roman"/>
        </w:rPr>
        <w:t xml:space="preserve">there is no applicator that compliments it, it is safe to suggest that there must have been and that it was </w:t>
      </w:r>
      <w:r w:rsidR="00C11F14">
        <w:rPr>
          <w:rFonts w:ascii="Times New Roman" w:hAnsi="Times New Roman" w:cs="Times New Roman"/>
        </w:rPr>
        <w:t>damaged or taken in the 19</w:t>
      </w:r>
      <w:r w:rsidR="00C11F14" w:rsidRPr="00C11F14">
        <w:rPr>
          <w:rFonts w:ascii="Times New Roman" w:hAnsi="Times New Roman" w:cs="Times New Roman"/>
          <w:vertAlign w:val="superscript"/>
        </w:rPr>
        <w:t>th</w:t>
      </w:r>
      <w:r w:rsidR="00C11F14">
        <w:rPr>
          <w:rFonts w:ascii="Times New Roman" w:hAnsi="Times New Roman" w:cs="Times New Roman"/>
        </w:rPr>
        <w:t xml:space="preserve"> century as mentioned earlier.</w:t>
      </w:r>
      <w:r w:rsidR="00C11F14">
        <w:rPr>
          <w:rStyle w:val="FootnoteReference"/>
          <w:rFonts w:ascii="Times New Roman" w:hAnsi="Times New Roman" w:cs="Times New Roman"/>
        </w:rPr>
        <w:footnoteReference w:id="37"/>
      </w:r>
      <w:r w:rsidR="00222510">
        <w:rPr>
          <w:rFonts w:ascii="Times New Roman" w:hAnsi="Times New Roman" w:cs="Times New Roman"/>
        </w:rPr>
        <w:t xml:space="preserve"> The presence of Kohl being at the site also suggest the spell 125 of the Book of the Dead, which prepares the dead to enter the presence of Osiris ‘painted with black eye paint and anointed with myrrh’ – this </w:t>
      </w:r>
      <w:r w:rsidR="00222510">
        <w:rPr>
          <w:rFonts w:ascii="Times New Roman" w:hAnsi="Times New Roman" w:cs="Times New Roman"/>
        </w:rPr>
        <w:lastRenderedPageBreak/>
        <w:t xml:space="preserve">also suggest the important of ensuring that Sennefer is to be </w:t>
      </w:r>
      <w:r w:rsidR="000743C3">
        <w:rPr>
          <w:rFonts w:ascii="Times New Roman" w:hAnsi="Times New Roman" w:cs="Times New Roman"/>
        </w:rPr>
        <w:t>successful in the afterlife and for there not to be any complications when entering it.</w:t>
      </w:r>
      <w:r w:rsidR="000743C3">
        <w:rPr>
          <w:rStyle w:val="FootnoteReference"/>
          <w:rFonts w:ascii="Times New Roman" w:hAnsi="Times New Roman" w:cs="Times New Roman"/>
        </w:rPr>
        <w:footnoteReference w:id="38"/>
      </w:r>
    </w:p>
    <w:p w14:paraId="5029A7A9" w14:textId="06376CE2" w:rsidR="00205D2D" w:rsidRDefault="002E62A0" w:rsidP="00A932C4">
      <w:pPr>
        <w:spacing w:line="360" w:lineRule="auto"/>
        <w:ind w:firstLine="720"/>
        <w:rPr>
          <w:rFonts w:ascii="Times New Roman" w:hAnsi="Times New Roman" w:cs="Times New Roman"/>
        </w:rPr>
      </w:pPr>
      <w:r>
        <w:rPr>
          <w:rFonts w:ascii="Times New Roman" w:hAnsi="Times New Roman" w:cs="Times New Roman"/>
        </w:rPr>
        <w:t>To conclude the aforementioned points in this essay, Sennefer is a fairly important person of the 18</w:t>
      </w:r>
      <w:r w:rsidRPr="002E62A0">
        <w:rPr>
          <w:rFonts w:ascii="Times New Roman" w:hAnsi="Times New Roman" w:cs="Times New Roman"/>
          <w:vertAlign w:val="superscript"/>
        </w:rPr>
        <w:t>th</w:t>
      </w:r>
      <w:r>
        <w:rPr>
          <w:rFonts w:ascii="Times New Roman" w:hAnsi="Times New Roman" w:cs="Times New Roman"/>
        </w:rPr>
        <w:t xml:space="preserve"> dynasty, we can infer from the evidence that he existed in this period due to the assemblages holding common themes throughout this period – and add</w:t>
      </w:r>
      <w:r w:rsidR="00A35B7E">
        <w:rPr>
          <w:rFonts w:ascii="Times New Roman" w:hAnsi="Times New Roman" w:cs="Times New Roman"/>
        </w:rPr>
        <w:t xml:space="preserve">itionally the texts such as that of Thutmose III name being mentioned as well as the family and the </w:t>
      </w:r>
      <w:r w:rsidR="00064B60">
        <w:rPr>
          <w:rFonts w:ascii="Times New Roman" w:hAnsi="Times New Roman" w:cs="Times New Roman"/>
        </w:rPr>
        <w:t>like push this narrative of the 18</w:t>
      </w:r>
      <w:r w:rsidR="00064B60" w:rsidRPr="00064B60">
        <w:rPr>
          <w:rFonts w:ascii="Times New Roman" w:hAnsi="Times New Roman" w:cs="Times New Roman"/>
          <w:vertAlign w:val="superscript"/>
        </w:rPr>
        <w:t>th</w:t>
      </w:r>
      <w:r w:rsidR="00064B60">
        <w:rPr>
          <w:rFonts w:ascii="Times New Roman" w:hAnsi="Times New Roman" w:cs="Times New Roman"/>
        </w:rPr>
        <w:t xml:space="preserve"> dynasty.</w:t>
      </w:r>
      <w:r w:rsidR="00064B60">
        <w:rPr>
          <w:rStyle w:val="FootnoteReference"/>
          <w:rFonts w:ascii="Times New Roman" w:hAnsi="Times New Roman" w:cs="Times New Roman"/>
        </w:rPr>
        <w:footnoteReference w:id="39"/>
      </w:r>
      <w:r w:rsidR="00A932C4">
        <w:rPr>
          <w:rFonts w:ascii="Times New Roman" w:hAnsi="Times New Roman" w:cs="Times New Roman"/>
        </w:rPr>
        <w:t xml:space="preserve"> </w:t>
      </w:r>
      <w:r w:rsidR="00987717">
        <w:rPr>
          <w:rFonts w:ascii="Times New Roman" w:hAnsi="Times New Roman" w:cs="Times New Roman"/>
        </w:rPr>
        <w:t>The assemblage of the site is also lacking and fairly fragmented</w:t>
      </w:r>
      <w:r w:rsidR="00A8241F">
        <w:rPr>
          <w:rFonts w:ascii="Times New Roman" w:hAnsi="Times New Roman" w:cs="Times New Roman"/>
        </w:rPr>
        <w:t>,</w:t>
      </w:r>
      <w:r w:rsidR="00987717">
        <w:rPr>
          <w:rFonts w:ascii="Times New Roman" w:hAnsi="Times New Roman" w:cs="Times New Roman"/>
        </w:rPr>
        <w:t xml:space="preserve"> however there is more than enough evidence to suggest certain object</w:t>
      </w:r>
      <w:r w:rsidR="00A8241F">
        <w:rPr>
          <w:rFonts w:ascii="Times New Roman" w:hAnsi="Times New Roman" w:cs="Times New Roman"/>
        </w:rPr>
        <w:t>s</w:t>
      </w:r>
      <w:r w:rsidR="00987717">
        <w:rPr>
          <w:rFonts w:ascii="Times New Roman" w:hAnsi="Times New Roman" w:cs="Times New Roman"/>
        </w:rPr>
        <w:t xml:space="preserve">, specifically the canopic </w:t>
      </w:r>
      <w:r w:rsidR="00A8241F">
        <w:rPr>
          <w:rFonts w:ascii="Times New Roman" w:hAnsi="Times New Roman" w:cs="Times New Roman"/>
        </w:rPr>
        <w:t>j</w:t>
      </w:r>
      <w:r w:rsidR="00987717">
        <w:rPr>
          <w:rFonts w:ascii="Times New Roman" w:hAnsi="Times New Roman" w:cs="Times New Roman"/>
        </w:rPr>
        <w:t>ars and the coffin which</w:t>
      </w:r>
      <w:r w:rsidR="00FE6D51">
        <w:rPr>
          <w:rFonts w:ascii="Times New Roman" w:hAnsi="Times New Roman" w:cs="Times New Roman"/>
        </w:rPr>
        <w:t xml:space="preserve"> are successfully reconstructed by the academics of the site. Due to the objects and that of the texts found within the tomb of Senneferi we can understand his important role within ancient Egyptian society, as a high-ranking official, such as a chancellor which was active and more.</w:t>
      </w:r>
      <w:r w:rsidR="00FE6D51">
        <w:rPr>
          <w:rStyle w:val="FootnoteReference"/>
          <w:rFonts w:ascii="Times New Roman" w:hAnsi="Times New Roman" w:cs="Times New Roman"/>
        </w:rPr>
        <w:footnoteReference w:id="40"/>
      </w:r>
    </w:p>
    <w:p w14:paraId="2AA67C31" w14:textId="4B2472DF" w:rsidR="00B70C5B" w:rsidRDefault="00B70C5B" w:rsidP="00B70C5B">
      <w:pPr>
        <w:spacing w:line="360" w:lineRule="auto"/>
        <w:ind w:firstLine="720"/>
        <w:rPr>
          <w:rFonts w:ascii="Times New Roman" w:hAnsi="Times New Roman" w:cs="Times New Roman"/>
        </w:rPr>
      </w:pPr>
      <w:r>
        <w:rPr>
          <w:rFonts w:ascii="Times New Roman" w:hAnsi="Times New Roman" w:cs="Times New Roman"/>
        </w:rPr>
        <w:br w:type="page"/>
      </w:r>
    </w:p>
    <w:sdt>
      <w:sdtPr>
        <w:rPr>
          <w:rFonts w:asciiTheme="minorHAnsi" w:eastAsiaTheme="minorHAnsi" w:hAnsiTheme="minorHAnsi" w:cstheme="minorBidi"/>
          <w:color w:val="auto"/>
          <w:sz w:val="22"/>
          <w:szCs w:val="22"/>
        </w:rPr>
        <w:id w:val="-1748333109"/>
        <w:docPartObj>
          <w:docPartGallery w:val="Bibliographies"/>
          <w:docPartUnique/>
        </w:docPartObj>
      </w:sdtPr>
      <w:sdtEndPr/>
      <w:sdtContent>
        <w:p w14:paraId="11CD5212" w14:textId="784D6341" w:rsidR="00014DD4" w:rsidRDefault="00014DD4">
          <w:pPr>
            <w:pStyle w:val="Heading1"/>
          </w:pPr>
          <w:r>
            <w:t>Bibliography</w:t>
          </w:r>
        </w:p>
        <w:p w14:paraId="467B4A72" w14:textId="00B74B4C" w:rsidR="00B1414E" w:rsidRPr="003E276C" w:rsidRDefault="00B1414E" w:rsidP="003E276C">
          <w:pPr>
            <w:pStyle w:val="ListParagraph"/>
            <w:numPr>
              <w:ilvl w:val="0"/>
              <w:numId w:val="1"/>
            </w:numPr>
            <w:spacing w:after="0"/>
          </w:pPr>
          <w:proofErr w:type="spellStart"/>
          <w:r w:rsidRPr="00B1414E">
            <w:rPr>
              <w:rFonts w:ascii="Times New Roman" w:hAnsi="Times New Roman" w:cs="Times New Roman"/>
            </w:rPr>
            <w:t>Bohleke</w:t>
          </w:r>
          <w:proofErr w:type="spellEnd"/>
          <w:r w:rsidRPr="00B1414E">
            <w:rPr>
              <w:rFonts w:ascii="Times New Roman" w:hAnsi="Times New Roman" w:cs="Times New Roman"/>
            </w:rPr>
            <w:t>, Briant, and Nigel Strudwick. 2017. ‘A Label for Opening of the Mouth Implements from the Burial of Senneferi (TT99) and Remarks on the Ritual’, </w:t>
          </w:r>
          <w:r w:rsidRPr="00B1414E">
            <w:rPr>
              <w:rFonts w:ascii="Times New Roman" w:hAnsi="Times New Roman" w:cs="Times New Roman"/>
              <w:i/>
              <w:iCs/>
            </w:rPr>
            <w:t>Études et Travaux</w:t>
          </w:r>
          <w:r w:rsidRPr="00B1414E">
            <w:rPr>
              <w:rFonts w:ascii="Times New Roman" w:hAnsi="Times New Roman" w:cs="Times New Roman"/>
            </w:rPr>
            <w:t xml:space="preserve">: 105 </w:t>
          </w:r>
          <w:r w:rsidR="003E276C" w:rsidRPr="003E276C">
            <w:rPr>
              <w:rFonts w:ascii="Times New Roman" w:hAnsi="Times New Roman" w:cs="Times New Roman"/>
            </w:rPr>
            <w:t>https://doi.org/10.12775/etudtrav.30.004</w:t>
          </w:r>
          <w:r>
            <w:rPr>
              <w:rFonts w:ascii="Times New Roman" w:hAnsi="Times New Roman" w:cs="Times New Roman"/>
            </w:rPr>
            <w:t>.</w:t>
          </w:r>
        </w:p>
        <w:p w14:paraId="167FCEB9" w14:textId="77777777" w:rsidR="003E276C" w:rsidRPr="00B1414E" w:rsidRDefault="003E276C" w:rsidP="003E276C">
          <w:pPr>
            <w:spacing w:after="0"/>
          </w:pPr>
        </w:p>
        <w:p w14:paraId="49DC3932" w14:textId="77777777" w:rsidR="00B53807" w:rsidRPr="007C7B25" w:rsidRDefault="00B53807" w:rsidP="003E276C">
          <w:pPr>
            <w:pStyle w:val="ListParagraph"/>
            <w:numPr>
              <w:ilvl w:val="0"/>
              <w:numId w:val="1"/>
            </w:numPr>
            <w:spacing w:after="0"/>
          </w:pPr>
          <w:r w:rsidRPr="000743C3">
            <w:rPr>
              <w:rFonts w:ascii="Times New Roman" w:hAnsi="Times New Roman" w:cs="Times New Roman"/>
            </w:rPr>
            <w:t xml:space="preserve">Strudwick, Nigel, et al. “Small Finds from Shaft I and an Overview of the Burial Assemblage of Senneferi.” </w:t>
          </w:r>
          <w:r w:rsidRPr="000743C3">
            <w:rPr>
              <w:rFonts w:ascii="Times New Roman" w:hAnsi="Times New Roman" w:cs="Times New Roman"/>
              <w:i/>
              <w:iCs/>
            </w:rPr>
            <w:t>The Tomb of Pharaoh’s Chancellor Senneferi at Thebes (TT99)</w:t>
          </w:r>
          <w:r w:rsidRPr="000743C3">
            <w:rPr>
              <w:rFonts w:ascii="Times New Roman" w:hAnsi="Times New Roman" w:cs="Times New Roman"/>
            </w:rPr>
            <w:t xml:space="preserve">, edited by NIGEL STRUDWICK, 1st ed., Oxbow Books, 2016, pp. 260–92. </w:t>
          </w:r>
          <w:r w:rsidRPr="000743C3">
            <w:rPr>
              <w:rFonts w:ascii="Times New Roman" w:hAnsi="Times New Roman" w:cs="Times New Roman"/>
              <w:i/>
              <w:iCs/>
            </w:rPr>
            <w:t>JSTOR</w:t>
          </w:r>
          <w:r w:rsidRPr="000743C3">
            <w:rPr>
              <w:rFonts w:ascii="Times New Roman" w:hAnsi="Times New Roman" w:cs="Times New Roman"/>
            </w:rPr>
            <w:t>, http://www.jstor.org/stable/j.ctt1kw2b9v.20. Accessed 8 Mar. 2026</w:t>
          </w:r>
          <w:r>
            <w:rPr>
              <w:rFonts w:ascii="Times New Roman" w:hAnsi="Times New Roman" w:cs="Times New Roman"/>
            </w:rPr>
            <w:t>.</w:t>
          </w:r>
        </w:p>
        <w:p w14:paraId="4962B395" w14:textId="77777777" w:rsidR="007C7B25" w:rsidRDefault="007C7B25" w:rsidP="007C7B25">
          <w:pPr>
            <w:pStyle w:val="ListParagraph"/>
          </w:pPr>
        </w:p>
        <w:p w14:paraId="34194B18" w14:textId="4B6D4A5C" w:rsidR="007C7B25" w:rsidRPr="007C7B25" w:rsidRDefault="007C7B25" w:rsidP="007C7B25">
          <w:pPr>
            <w:pStyle w:val="ListParagraph"/>
            <w:numPr>
              <w:ilvl w:val="0"/>
              <w:numId w:val="1"/>
            </w:numPr>
            <w:spacing w:after="0" w:line="240" w:lineRule="auto"/>
            <w:rPr>
              <w:rFonts w:ascii="Times New Roman" w:eastAsia="Times New Roman" w:hAnsi="Times New Roman" w:cs="Times New Roman"/>
              <w:kern w:val="0"/>
              <w:sz w:val="24"/>
              <w:szCs w:val="24"/>
              <w:lang w:eastAsia="en-GB"/>
              <w14:ligatures w14:val="none"/>
            </w:rPr>
          </w:pPr>
          <w:r w:rsidRPr="007C7B25">
            <w:rPr>
              <w:rFonts w:ascii="Times New Roman" w:eastAsia="Times New Roman" w:hAnsi="Times New Roman" w:cs="Times New Roman"/>
              <w:kern w:val="0"/>
              <w:sz w:val="24"/>
              <w:szCs w:val="24"/>
              <w:lang w:eastAsia="en-GB"/>
              <w14:ligatures w14:val="none"/>
            </w:rPr>
            <w:t xml:space="preserve">Strudwick, Nigel, et al. “Introduction.” </w:t>
          </w:r>
          <w:r w:rsidRPr="007C7B25">
            <w:rPr>
              <w:rFonts w:ascii="Times New Roman" w:eastAsia="Times New Roman" w:hAnsi="Times New Roman" w:cs="Times New Roman"/>
              <w:i/>
              <w:iCs/>
              <w:kern w:val="0"/>
              <w:sz w:val="24"/>
              <w:szCs w:val="24"/>
              <w:lang w:eastAsia="en-GB"/>
              <w14:ligatures w14:val="none"/>
            </w:rPr>
            <w:t>The Tomb of Pharaoh’s Chancellor Senneferi at Thebes (TT99)</w:t>
          </w:r>
          <w:r w:rsidRPr="007C7B25">
            <w:rPr>
              <w:rFonts w:ascii="Times New Roman" w:eastAsia="Times New Roman" w:hAnsi="Times New Roman" w:cs="Times New Roman"/>
              <w:kern w:val="0"/>
              <w:sz w:val="24"/>
              <w:szCs w:val="24"/>
              <w:lang w:eastAsia="en-GB"/>
              <w14:ligatures w14:val="none"/>
            </w:rPr>
            <w:t xml:space="preserve">, edited by NIGEL STRUDWICK, 1st ed., Oxbow Books, 2016, pp. 1–7. </w:t>
          </w:r>
          <w:r w:rsidRPr="007C7B25">
            <w:rPr>
              <w:rFonts w:ascii="Times New Roman" w:eastAsia="Times New Roman" w:hAnsi="Times New Roman" w:cs="Times New Roman"/>
              <w:i/>
              <w:iCs/>
              <w:kern w:val="0"/>
              <w:sz w:val="24"/>
              <w:szCs w:val="24"/>
              <w:lang w:eastAsia="en-GB"/>
              <w14:ligatures w14:val="none"/>
            </w:rPr>
            <w:t>JSTOR</w:t>
          </w:r>
          <w:r w:rsidRPr="007C7B25">
            <w:rPr>
              <w:rFonts w:ascii="Times New Roman" w:eastAsia="Times New Roman" w:hAnsi="Times New Roman" w:cs="Times New Roman"/>
              <w:kern w:val="0"/>
              <w:sz w:val="24"/>
              <w:szCs w:val="24"/>
              <w:lang w:eastAsia="en-GB"/>
              <w14:ligatures w14:val="none"/>
            </w:rPr>
            <w:t>, http://www.jstor.org/stable/j.ctt1kw2b9v.10. Accessed 10 Mar. 2026.</w:t>
          </w:r>
        </w:p>
        <w:p w14:paraId="6AA57AB4" w14:textId="77777777" w:rsidR="00E5434C" w:rsidRPr="00E5434C" w:rsidRDefault="00E5434C" w:rsidP="00E5434C">
          <w:pPr>
            <w:rPr>
              <w:rFonts w:ascii="Times New Roman" w:hAnsi="Times New Roman" w:cs="Times New Roman"/>
            </w:rPr>
          </w:pPr>
        </w:p>
        <w:p w14:paraId="5A14CA65" w14:textId="2C7799CE" w:rsidR="00E5434C" w:rsidRPr="00E5434C" w:rsidRDefault="00E5434C" w:rsidP="00E5434C">
          <w:pPr>
            <w:pStyle w:val="ListParagraph"/>
            <w:numPr>
              <w:ilvl w:val="0"/>
              <w:numId w:val="1"/>
            </w:numPr>
            <w:rPr>
              <w:rFonts w:ascii="Times New Roman" w:hAnsi="Times New Roman" w:cs="Times New Roman"/>
            </w:rPr>
          </w:pPr>
          <w:bookmarkStart w:id="6" w:name="_Toc223877945"/>
          <w:r w:rsidRPr="00E5434C">
            <w:rPr>
              <w:rFonts w:ascii="Times New Roman" w:hAnsi="Times New Roman" w:cs="Times New Roman"/>
            </w:rPr>
            <w:t xml:space="preserve">Strudwick, Nigel, et al. “The Decoration of the Chapel.” </w:t>
          </w:r>
          <w:r w:rsidRPr="00E5434C">
            <w:rPr>
              <w:rFonts w:ascii="Times New Roman" w:hAnsi="Times New Roman" w:cs="Times New Roman"/>
              <w:i/>
              <w:iCs/>
            </w:rPr>
            <w:t>The Tomb of Pharaoh’s Chancellor Senneferi at Thebes (TT99)</w:t>
          </w:r>
          <w:r w:rsidRPr="00E5434C">
            <w:rPr>
              <w:rFonts w:ascii="Times New Roman" w:hAnsi="Times New Roman" w:cs="Times New Roman"/>
            </w:rPr>
            <w:t xml:space="preserve">, edited by NIGEL STRUDWICK, 1st ed., Oxbow Books, 2016, pp. 84–160. </w:t>
          </w:r>
          <w:r w:rsidRPr="00E5434C">
            <w:rPr>
              <w:rFonts w:ascii="Times New Roman" w:hAnsi="Times New Roman" w:cs="Times New Roman"/>
              <w:i/>
              <w:iCs/>
            </w:rPr>
            <w:t>JSTOR</w:t>
          </w:r>
          <w:r w:rsidRPr="00E5434C">
            <w:rPr>
              <w:rFonts w:ascii="Times New Roman" w:hAnsi="Times New Roman" w:cs="Times New Roman"/>
            </w:rPr>
            <w:t>, http://www.jstor.org/stable/j.ctt1kw2b9v.14. Accessed 7 Mar. 2026.</w:t>
          </w:r>
          <w:bookmarkEnd w:id="6"/>
        </w:p>
        <w:p w14:paraId="1796CE83" w14:textId="77777777" w:rsidR="003E276C" w:rsidRPr="00B53807" w:rsidRDefault="003E276C" w:rsidP="003E276C">
          <w:pPr>
            <w:spacing w:after="0"/>
          </w:pPr>
        </w:p>
        <w:p w14:paraId="1B9AAAD1" w14:textId="7A18FCBD" w:rsidR="003E276C" w:rsidRDefault="00B53807" w:rsidP="003E276C">
          <w:pPr>
            <w:pStyle w:val="FootnoteText"/>
            <w:numPr>
              <w:ilvl w:val="0"/>
              <w:numId w:val="1"/>
            </w:numPr>
            <w:rPr>
              <w:rFonts w:ascii="Times New Roman" w:hAnsi="Times New Roman" w:cs="Times New Roman"/>
              <w:sz w:val="22"/>
              <w:szCs w:val="22"/>
            </w:rPr>
          </w:pPr>
          <w:r w:rsidRPr="00D50F74">
            <w:rPr>
              <w:rFonts w:ascii="Times New Roman" w:hAnsi="Times New Roman" w:cs="Times New Roman"/>
              <w:sz w:val="22"/>
              <w:szCs w:val="22"/>
            </w:rPr>
            <w:t xml:space="preserve">Strudwick, Nigel, et al. “Senneferi, His Family and Related Monuments.” </w:t>
          </w:r>
          <w:r w:rsidRPr="00D50F74">
            <w:rPr>
              <w:rFonts w:ascii="Times New Roman" w:hAnsi="Times New Roman" w:cs="Times New Roman"/>
              <w:i/>
              <w:iCs/>
              <w:sz w:val="22"/>
              <w:szCs w:val="22"/>
            </w:rPr>
            <w:t>The Tomb of Pharaoh’s Chancellor Senneferi at Thebes (TT99)</w:t>
          </w:r>
          <w:r w:rsidRPr="00D50F74">
            <w:rPr>
              <w:rFonts w:ascii="Times New Roman" w:hAnsi="Times New Roman" w:cs="Times New Roman"/>
              <w:sz w:val="22"/>
              <w:szCs w:val="22"/>
            </w:rPr>
            <w:t xml:space="preserve">, edited by NIGEL STRUDWICK, 1st ed., Oxbow Books, 2016, pp. 8–36. </w:t>
          </w:r>
          <w:r w:rsidRPr="00D50F74">
            <w:rPr>
              <w:rFonts w:ascii="Times New Roman" w:hAnsi="Times New Roman" w:cs="Times New Roman"/>
              <w:i/>
              <w:iCs/>
              <w:sz w:val="22"/>
              <w:szCs w:val="22"/>
            </w:rPr>
            <w:t>JSTOR</w:t>
          </w:r>
          <w:r w:rsidRPr="00D50F74">
            <w:rPr>
              <w:rFonts w:ascii="Times New Roman" w:hAnsi="Times New Roman" w:cs="Times New Roman"/>
              <w:sz w:val="22"/>
              <w:szCs w:val="22"/>
            </w:rPr>
            <w:t>, http://www.jstor.org/stable/j.ctt1kw2b9v.11. Accessed 5 Mar. 2026</w:t>
          </w:r>
          <w:r w:rsidR="003E276C">
            <w:rPr>
              <w:rFonts w:ascii="Times New Roman" w:hAnsi="Times New Roman" w:cs="Times New Roman"/>
              <w:sz w:val="22"/>
              <w:szCs w:val="22"/>
            </w:rPr>
            <w:t>.</w:t>
          </w:r>
        </w:p>
        <w:p w14:paraId="2AD4D8AD" w14:textId="77777777" w:rsidR="003E276C" w:rsidRDefault="003E276C" w:rsidP="003E276C">
          <w:pPr>
            <w:pStyle w:val="FootnoteText"/>
            <w:rPr>
              <w:rFonts w:ascii="Times New Roman" w:hAnsi="Times New Roman" w:cs="Times New Roman"/>
              <w:sz w:val="22"/>
              <w:szCs w:val="22"/>
            </w:rPr>
          </w:pPr>
        </w:p>
        <w:p w14:paraId="13FF574C" w14:textId="77F2CD1C" w:rsidR="003E276C" w:rsidRPr="003E276C" w:rsidRDefault="003E276C" w:rsidP="003E276C">
          <w:pPr>
            <w:pStyle w:val="FootnoteText"/>
            <w:numPr>
              <w:ilvl w:val="0"/>
              <w:numId w:val="1"/>
            </w:numPr>
            <w:rPr>
              <w:rFonts w:ascii="Times New Roman" w:hAnsi="Times New Roman" w:cs="Times New Roman"/>
              <w:sz w:val="22"/>
              <w:szCs w:val="22"/>
            </w:rPr>
          </w:pPr>
          <w:r w:rsidRPr="007C42D2">
            <w:rPr>
              <w:rFonts w:ascii="Times New Roman" w:hAnsi="Times New Roman" w:cs="Times New Roman"/>
            </w:rPr>
            <w:t xml:space="preserve">Strudwick, Helen, et al. “The Tomb, Its Architecture and History.” </w:t>
          </w:r>
          <w:r w:rsidRPr="007C42D2">
            <w:rPr>
              <w:rFonts w:ascii="Times New Roman" w:hAnsi="Times New Roman" w:cs="Times New Roman"/>
              <w:i/>
              <w:iCs/>
            </w:rPr>
            <w:t>The Tomb of Pharaoh’s Chancellor Senneferi at Thebes (TT99)</w:t>
          </w:r>
          <w:r w:rsidRPr="007C42D2">
            <w:rPr>
              <w:rFonts w:ascii="Times New Roman" w:hAnsi="Times New Roman" w:cs="Times New Roman"/>
            </w:rPr>
            <w:t xml:space="preserve">, edited by NIGEL STRUDWICK, 1st ed., Oxbow Books, 2016, pp. 45–83. </w:t>
          </w:r>
          <w:r w:rsidRPr="007C42D2">
            <w:rPr>
              <w:rFonts w:ascii="Times New Roman" w:hAnsi="Times New Roman" w:cs="Times New Roman"/>
              <w:i/>
              <w:iCs/>
            </w:rPr>
            <w:t>JSTOR</w:t>
          </w:r>
          <w:r w:rsidRPr="007C42D2">
            <w:rPr>
              <w:rFonts w:ascii="Times New Roman" w:hAnsi="Times New Roman" w:cs="Times New Roman"/>
            </w:rPr>
            <w:t>, http://www.jstor.org/stable/j.ctt1kw2b9v.13. Accessed 5 Mar. 2026</w:t>
          </w:r>
          <w:r>
            <w:rPr>
              <w:rFonts w:ascii="Times New Roman" w:hAnsi="Times New Roman" w:cs="Times New Roman"/>
            </w:rPr>
            <w:t>.</w:t>
          </w:r>
        </w:p>
        <w:p w14:paraId="7418E964" w14:textId="77777777" w:rsidR="00B70C5B" w:rsidRDefault="00B70C5B" w:rsidP="00B70C5B">
          <w:pPr>
            <w:rPr>
              <w:rFonts w:ascii="Times New Roman" w:hAnsi="Times New Roman" w:cs="Times New Roman"/>
            </w:rPr>
          </w:pPr>
        </w:p>
        <w:p w14:paraId="285117C6" w14:textId="71FFD212" w:rsidR="00B70C5B" w:rsidRPr="00B70C5B" w:rsidRDefault="00B70C5B" w:rsidP="00B70C5B">
          <w:pPr>
            <w:pStyle w:val="ListParagraph"/>
            <w:numPr>
              <w:ilvl w:val="0"/>
              <w:numId w:val="1"/>
            </w:numPr>
            <w:rPr>
              <w:rFonts w:ascii="Times New Roman" w:hAnsi="Times New Roman" w:cs="Times New Roman"/>
            </w:rPr>
          </w:pPr>
          <w:r w:rsidRPr="00B70C5B">
            <w:rPr>
              <w:rFonts w:ascii="Times New Roman" w:hAnsi="Times New Roman" w:cs="Times New Roman"/>
            </w:rPr>
            <w:t xml:space="preserve">Strudwick, Helen, et al. “The Geological and Geographical Setting of TT99.” </w:t>
          </w:r>
          <w:r w:rsidRPr="00B70C5B">
            <w:rPr>
              <w:rFonts w:ascii="Times New Roman" w:hAnsi="Times New Roman" w:cs="Times New Roman"/>
              <w:i/>
              <w:iCs/>
            </w:rPr>
            <w:t>The Tomb of Pharaoh’s Chancellor Senneferi at Thebes (TT99)</w:t>
          </w:r>
          <w:r w:rsidRPr="00B70C5B">
            <w:rPr>
              <w:rFonts w:ascii="Times New Roman" w:hAnsi="Times New Roman" w:cs="Times New Roman"/>
            </w:rPr>
            <w:t xml:space="preserve">, edited by NIGEL STRUDWICK, 1st ed., Oxbow Books, 2016, pp. 37–44. </w:t>
          </w:r>
          <w:r w:rsidRPr="00B70C5B">
            <w:rPr>
              <w:rFonts w:ascii="Times New Roman" w:hAnsi="Times New Roman" w:cs="Times New Roman"/>
              <w:i/>
              <w:iCs/>
            </w:rPr>
            <w:t>JSTOR</w:t>
          </w:r>
          <w:r w:rsidRPr="00B70C5B">
            <w:rPr>
              <w:rFonts w:ascii="Times New Roman" w:hAnsi="Times New Roman" w:cs="Times New Roman"/>
            </w:rPr>
            <w:t>, http://www.jstor.org/stable/j.ctt1kw2b9v.12. Accessed 5 Mar. 2026.</w:t>
          </w:r>
        </w:p>
        <w:p w14:paraId="047E6095" w14:textId="77777777" w:rsidR="003E276C" w:rsidRPr="003E276C" w:rsidRDefault="003E276C" w:rsidP="003E276C">
          <w:pPr>
            <w:pStyle w:val="FootnoteText"/>
            <w:rPr>
              <w:rFonts w:ascii="Times New Roman" w:hAnsi="Times New Roman" w:cs="Times New Roman"/>
              <w:sz w:val="22"/>
              <w:szCs w:val="22"/>
            </w:rPr>
          </w:pPr>
        </w:p>
        <w:p w14:paraId="3A9E29F5" w14:textId="0AC46ADA" w:rsidR="00B53807" w:rsidRPr="00B53807" w:rsidRDefault="00B53807" w:rsidP="003E276C">
          <w:pPr>
            <w:pStyle w:val="ListParagraph"/>
            <w:numPr>
              <w:ilvl w:val="0"/>
              <w:numId w:val="1"/>
            </w:numPr>
            <w:spacing w:after="0"/>
          </w:pPr>
          <w:r w:rsidRPr="000743C3">
            <w:rPr>
              <w:rFonts w:ascii="Times New Roman" w:hAnsi="Times New Roman" w:cs="Times New Roman"/>
            </w:rPr>
            <w:t xml:space="preserve">Rose, Pamela, et al. “The Ceramics from Shaft I.” </w:t>
          </w:r>
          <w:r w:rsidRPr="000743C3">
            <w:rPr>
              <w:rFonts w:ascii="Times New Roman" w:hAnsi="Times New Roman" w:cs="Times New Roman"/>
              <w:i/>
              <w:iCs/>
            </w:rPr>
            <w:t>The Tomb of Pharaoh’s Chancellor Senneferi at Thebes (TT99)</w:t>
          </w:r>
          <w:r w:rsidRPr="000743C3">
            <w:rPr>
              <w:rFonts w:ascii="Times New Roman" w:hAnsi="Times New Roman" w:cs="Times New Roman"/>
            </w:rPr>
            <w:t xml:space="preserve">, edited by NIGEL STRUDWICK, 1st ed., Oxbow Books, 2016, pp. 191–238. </w:t>
          </w:r>
          <w:r w:rsidRPr="000743C3">
            <w:rPr>
              <w:rFonts w:ascii="Times New Roman" w:hAnsi="Times New Roman" w:cs="Times New Roman"/>
              <w:i/>
              <w:iCs/>
            </w:rPr>
            <w:t>JSTOR</w:t>
          </w:r>
          <w:r w:rsidRPr="000743C3">
            <w:rPr>
              <w:rFonts w:ascii="Times New Roman" w:hAnsi="Times New Roman" w:cs="Times New Roman"/>
            </w:rPr>
            <w:t>, http://www.jstor.org/stable/j.ctt1kw2b9v.18. Accessed 8 Mar. 2026</w:t>
          </w:r>
          <w:r>
            <w:rPr>
              <w:rFonts w:ascii="Times New Roman" w:hAnsi="Times New Roman" w:cs="Times New Roman"/>
            </w:rPr>
            <w:t>.</w:t>
          </w:r>
        </w:p>
        <w:p w14:paraId="6425F636" w14:textId="77777777" w:rsidR="009D60E1" w:rsidRDefault="009D60E1" w:rsidP="009D60E1">
          <w:pPr>
            <w:spacing w:after="0"/>
          </w:pPr>
        </w:p>
        <w:p w14:paraId="5AE8B4D9" w14:textId="77777777" w:rsidR="0094176F" w:rsidRPr="0094176F" w:rsidRDefault="009D60E1" w:rsidP="009D60E1">
          <w:pPr>
            <w:pStyle w:val="ListParagraph"/>
            <w:numPr>
              <w:ilvl w:val="0"/>
              <w:numId w:val="1"/>
            </w:numPr>
            <w:spacing w:after="0"/>
          </w:pPr>
          <w:r w:rsidRPr="009D60E1">
            <w:rPr>
              <w:rFonts w:ascii="Times New Roman" w:hAnsi="Times New Roman" w:cs="Times New Roman"/>
            </w:rPr>
            <w:t xml:space="preserve">Taylor, John H., et al. “The Coffins from Shaft I.” </w:t>
          </w:r>
          <w:r w:rsidRPr="009D60E1">
            <w:rPr>
              <w:rFonts w:ascii="Times New Roman" w:hAnsi="Times New Roman" w:cs="Times New Roman"/>
              <w:i/>
              <w:iCs/>
            </w:rPr>
            <w:t>The Tomb of Pharaoh’s Chancellor Senneferi at Thebes (TT99)</w:t>
          </w:r>
          <w:r w:rsidRPr="009D60E1">
            <w:rPr>
              <w:rFonts w:ascii="Times New Roman" w:hAnsi="Times New Roman" w:cs="Times New Roman"/>
            </w:rPr>
            <w:t xml:space="preserve">, edited by NIGEL STRUDWICK, 1st ed., Oxbow Books, 2016, pp. 181–90. </w:t>
          </w:r>
          <w:r w:rsidRPr="009D60E1">
            <w:rPr>
              <w:rFonts w:ascii="Times New Roman" w:hAnsi="Times New Roman" w:cs="Times New Roman"/>
              <w:i/>
              <w:iCs/>
            </w:rPr>
            <w:t>JSTOR</w:t>
          </w:r>
          <w:r w:rsidRPr="009D60E1">
            <w:rPr>
              <w:rFonts w:ascii="Times New Roman" w:hAnsi="Times New Roman" w:cs="Times New Roman"/>
            </w:rPr>
            <w:t>, http://www.jstor.org/stable/j.ctt1kw2b9v.17. Accessed 7 Mar. 2026</w:t>
          </w:r>
          <w:r>
            <w:rPr>
              <w:rFonts w:ascii="Times New Roman" w:hAnsi="Times New Roman" w:cs="Times New Roman"/>
            </w:rPr>
            <w:t>.</w:t>
          </w:r>
        </w:p>
        <w:p w14:paraId="2C6EDBA0" w14:textId="77777777" w:rsidR="0094176F" w:rsidRDefault="0094176F" w:rsidP="0094176F">
          <w:pPr>
            <w:pStyle w:val="ListParagraph"/>
          </w:pPr>
        </w:p>
        <w:p w14:paraId="28DA77B4" w14:textId="5B7658AA" w:rsidR="0094176F" w:rsidRPr="0094176F" w:rsidRDefault="0094176F" w:rsidP="0094176F">
          <w:pPr>
            <w:pStyle w:val="ListParagraph"/>
            <w:numPr>
              <w:ilvl w:val="0"/>
              <w:numId w:val="1"/>
            </w:numPr>
            <w:rPr>
              <w:rFonts w:ascii="Times New Roman" w:hAnsi="Times New Roman" w:cs="Times New Roman"/>
            </w:rPr>
          </w:pPr>
          <w:bookmarkStart w:id="7" w:name="_Toc223877949"/>
          <w:r w:rsidRPr="0094176F">
            <w:rPr>
              <w:rFonts w:ascii="Times New Roman" w:hAnsi="Times New Roman" w:cs="Times New Roman"/>
            </w:rPr>
            <w:t xml:space="preserve">Taylor, J.H. (2001) </w:t>
          </w:r>
          <w:r w:rsidRPr="0094176F">
            <w:rPr>
              <w:rFonts w:ascii="Times New Roman" w:hAnsi="Times New Roman" w:cs="Times New Roman"/>
              <w:i/>
              <w:iCs/>
            </w:rPr>
            <w:t>Death and the afterlife in ancient Egypt</w:t>
          </w:r>
          <w:r w:rsidRPr="0094176F">
            <w:rPr>
              <w:rFonts w:ascii="Times New Roman" w:hAnsi="Times New Roman" w:cs="Times New Roman"/>
            </w:rPr>
            <w:t>. Chicago: University of Chicago Press.</w:t>
          </w:r>
          <w:bookmarkEnd w:id="7"/>
        </w:p>
        <w:p w14:paraId="571A9E71" w14:textId="58B72AD4" w:rsidR="00586C0A" w:rsidRPr="00B70C5B" w:rsidRDefault="0048009B" w:rsidP="00B70C5B">
          <w:pPr>
            <w:pStyle w:val="ListParagraph"/>
            <w:spacing w:after="0"/>
          </w:pPr>
        </w:p>
      </w:sdtContent>
    </w:sdt>
    <w:sectPr w:rsidR="00586C0A" w:rsidRPr="00B70C5B">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36AF65" w14:textId="77777777" w:rsidR="0048009B" w:rsidRDefault="0048009B" w:rsidP="00287D65">
      <w:pPr>
        <w:spacing w:after="0" w:line="240" w:lineRule="auto"/>
      </w:pPr>
      <w:r>
        <w:separator/>
      </w:r>
    </w:p>
  </w:endnote>
  <w:endnote w:type="continuationSeparator" w:id="0">
    <w:p w14:paraId="08601FE0" w14:textId="77777777" w:rsidR="0048009B" w:rsidRDefault="0048009B" w:rsidP="00287D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3D6519" w14:textId="77777777" w:rsidR="0048009B" w:rsidRDefault="0048009B" w:rsidP="00287D65">
      <w:pPr>
        <w:spacing w:after="0" w:line="240" w:lineRule="auto"/>
      </w:pPr>
      <w:r>
        <w:separator/>
      </w:r>
    </w:p>
  </w:footnote>
  <w:footnote w:type="continuationSeparator" w:id="0">
    <w:p w14:paraId="24448C29" w14:textId="77777777" w:rsidR="0048009B" w:rsidRDefault="0048009B" w:rsidP="00287D65">
      <w:pPr>
        <w:spacing w:after="0" w:line="240" w:lineRule="auto"/>
      </w:pPr>
      <w:r>
        <w:continuationSeparator/>
      </w:r>
    </w:p>
  </w:footnote>
  <w:footnote w:id="1">
    <w:p w14:paraId="7DE751BD" w14:textId="11F1296D" w:rsidR="00287D65" w:rsidRPr="006C0600" w:rsidRDefault="00287D65" w:rsidP="0006491A">
      <w:pPr>
        <w:spacing w:after="0"/>
        <w:rPr>
          <w:rFonts w:ascii="Times New Roman" w:hAnsi="Times New Roman" w:cs="Times New Roman"/>
        </w:rPr>
      </w:pPr>
      <w:r w:rsidRPr="006C0600">
        <w:rPr>
          <w:rStyle w:val="FootnoteReference"/>
          <w:rFonts w:ascii="Times New Roman" w:hAnsi="Times New Roman" w:cs="Times New Roman"/>
        </w:rPr>
        <w:footnoteRef/>
      </w:r>
      <w:r w:rsidRPr="006C0600">
        <w:rPr>
          <w:rFonts w:ascii="Times New Roman" w:hAnsi="Times New Roman" w:cs="Times New Roman"/>
        </w:rPr>
        <w:t xml:space="preserve"> </w:t>
      </w:r>
      <w:bookmarkStart w:id="0" w:name="_Toc223877941"/>
      <w:r w:rsidRPr="006C0600">
        <w:rPr>
          <w:rFonts w:ascii="Times New Roman" w:hAnsi="Times New Roman" w:cs="Times New Roman"/>
        </w:rPr>
        <w:t>Strudwick, N. 2016. The Tomb of Pharaoh’s Chancellor Senneferi at Thebes (TT99). Oxford: Oxbow</w:t>
      </w:r>
      <w:bookmarkEnd w:id="0"/>
      <w:r w:rsidRPr="006C0600">
        <w:rPr>
          <w:rFonts w:ascii="Times New Roman" w:hAnsi="Times New Roman" w:cs="Times New Roman"/>
        </w:rPr>
        <w:t xml:space="preserve"> p. 1.</w:t>
      </w:r>
    </w:p>
  </w:footnote>
  <w:footnote w:id="2">
    <w:p w14:paraId="74010AB1" w14:textId="05652F90" w:rsidR="0006491A" w:rsidRPr="006C0600" w:rsidRDefault="0006491A" w:rsidP="0006491A">
      <w:pPr>
        <w:spacing w:after="0"/>
        <w:rPr>
          <w:rFonts w:ascii="Times New Roman" w:hAnsi="Times New Roman" w:cs="Times New Roman"/>
        </w:rPr>
      </w:pPr>
      <w:r w:rsidRPr="006C0600">
        <w:rPr>
          <w:rStyle w:val="FootnoteReference"/>
          <w:rFonts w:ascii="Times New Roman" w:hAnsi="Times New Roman" w:cs="Times New Roman"/>
        </w:rPr>
        <w:footnoteRef/>
      </w:r>
      <w:r w:rsidRPr="006C0600">
        <w:rPr>
          <w:rFonts w:ascii="Times New Roman" w:hAnsi="Times New Roman" w:cs="Times New Roman"/>
        </w:rPr>
        <w:t xml:space="preserve"> Strudwick, Nigel, et al. “Senneferi, His Family and Related Monuments.” </w:t>
      </w:r>
      <w:r w:rsidRPr="006C0600">
        <w:rPr>
          <w:rFonts w:ascii="Times New Roman" w:hAnsi="Times New Roman" w:cs="Times New Roman"/>
          <w:i/>
          <w:iCs/>
        </w:rPr>
        <w:t>The Tomb of Pharaoh’s Chancellor Senneferi at Thebes (TT99)</w:t>
      </w:r>
      <w:r w:rsidRPr="006C0600">
        <w:rPr>
          <w:rFonts w:ascii="Times New Roman" w:hAnsi="Times New Roman" w:cs="Times New Roman"/>
        </w:rPr>
        <w:t xml:space="preserve">, edited by NIGEL STRUDWICK, 1st ed., Oxbow Books, 2016, pp. 8–36. </w:t>
      </w:r>
      <w:r w:rsidRPr="006C0600">
        <w:rPr>
          <w:rFonts w:ascii="Times New Roman" w:hAnsi="Times New Roman" w:cs="Times New Roman"/>
          <w:i/>
          <w:iCs/>
        </w:rPr>
        <w:t>JSTOR</w:t>
      </w:r>
      <w:r w:rsidRPr="006C0600">
        <w:rPr>
          <w:rFonts w:ascii="Times New Roman" w:hAnsi="Times New Roman" w:cs="Times New Roman"/>
        </w:rPr>
        <w:t>, http://www.jstor.org/stable/j.ctt1kw2b9v.11. Accessed 5 Mar. 2026, p. 9.</w:t>
      </w:r>
    </w:p>
  </w:footnote>
  <w:footnote w:id="3">
    <w:p w14:paraId="672D06A5" w14:textId="1955A344" w:rsidR="0006491A" w:rsidRPr="006C0600" w:rsidRDefault="0006491A" w:rsidP="0006491A">
      <w:pPr>
        <w:pStyle w:val="FootnoteText"/>
        <w:rPr>
          <w:rFonts w:ascii="Times New Roman" w:hAnsi="Times New Roman" w:cs="Times New Roman"/>
          <w:sz w:val="22"/>
          <w:szCs w:val="22"/>
        </w:rPr>
      </w:pPr>
      <w:r w:rsidRPr="006C0600">
        <w:rPr>
          <w:rStyle w:val="FootnoteReference"/>
          <w:rFonts w:ascii="Times New Roman" w:hAnsi="Times New Roman" w:cs="Times New Roman"/>
          <w:sz w:val="22"/>
          <w:szCs w:val="22"/>
        </w:rPr>
        <w:footnoteRef/>
      </w:r>
      <w:r w:rsidRPr="006C0600">
        <w:rPr>
          <w:rFonts w:ascii="Times New Roman" w:hAnsi="Times New Roman" w:cs="Times New Roman"/>
          <w:sz w:val="22"/>
          <w:szCs w:val="22"/>
        </w:rPr>
        <w:t xml:space="preserve"> Ibid.</w:t>
      </w:r>
    </w:p>
  </w:footnote>
  <w:footnote w:id="4">
    <w:p w14:paraId="3F363732" w14:textId="247FA861" w:rsidR="0006491A" w:rsidRPr="006C0600" w:rsidRDefault="0006491A">
      <w:pPr>
        <w:pStyle w:val="FootnoteText"/>
        <w:rPr>
          <w:rFonts w:ascii="Times New Roman" w:hAnsi="Times New Roman" w:cs="Times New Roman"/>
          <w:sz w:val="22"/>
          <w:szCs w:val="22"/>
        </w:rPr>
      </w:pPr>
      <w:r w:rsidRPr="006C0600">
        <w:rPr>
          <w:rStyle w:val="FootnoteReference"/>
          <w:rFonts w:ascii="Times New Roman" w:hAnsi="Times New Roman" w:cs="Times New Roman"/>
          <w:sz w:val="22"/>
          <w:szCs w:val="22"/>
        </w:rPr>
        <w:footnoteRef/>
      </w:r>
      <w:r w:rsidRPr="006C0600">
        <w:rPr>
          <w:rFonts w:ascii="Times New Roman" w:hAnsi="Times New Roman" w:cs="Times New Roman"/>
          <w:sz w:val="22"/>
          <w:szCs w:val="22"/>
        </w:rPr>
        <w:t xml:space="preserve"> Ibid.</w:t>
      </w:r>
    </w:p>
  </w:footnote>
  <w:footnote w:id="5">
    <w:p w14:paraId="00D41104" w14:textId="5405F2F0" w:rsidR="00F84077" w:rsidRPr="006C0600" w:rsidRDefault="00F84077">
      <w:pPr>
        <w:pStyle w:val="FootnoteText"/>
        <w:rPr>
          <w:rFonts w:ascii="Times New Roman" w:hAnsi="Times New Roman" w:cs="Times New Roman"/>
          <w:sz w:val="22"/>
          <w:szCs w:val="22"/>
        </w:rPr>
      </w:pPr>
      <w:r w:rsidRPr="006C0600">
        <w:rPr>
          <w:rStyle w:val="FootnoteReference"/>
          <w:rFonts w:ascii="Times New Roman" w:hAnsi="Times New Roman" w:cs="Times New Roman"/>
          <w:sz w:val="22"/>
          <w:szCs w:val="22"/>
        </w:rPr>
        <w:footnoteRef/>
      </w:r>
      <w:r w:rsidRPr="006C0600">
        <w:rPr>
          <w:rFonts w:ascii="Times New Roman" w:hAnsi="Times New Roman" w:cs="Times New Roman"/>
          <w:sz w:val="22"/>
          <w:szCs w:val="22"/>
        </w:rPr>
        <w:t xml:space="preserve"> Ibid.</w:t>
      </w:r>
    </w:p>
  </w:footnote>
  <w:footnote w:id="6">
    <w:p w14:paraId="0671D69B" w14:textId="5E7D3E51" w:rsidR="00F84077" w:rsidRPr="006C0600" w:rsidRDefault="00F84077">
      <w:pPr>
        <w:pStyle w:val="FootnoteText"/>
        <w:rPr>
          <w:rFonts w:ascii="Times New Roman" w:hAnsi="Times New Roman" w:cs="Times New Roman"/>
          <w:sz w:val="22"/>
          <w:szCs w:val="22"/>
        </w:rPr>
      </w:pPr>
      <w:r w:rsidRPr="006C0600">
        <w:rPr>
          <w:rStyle w:val="FootnoteReference"/>
          <w:rFonts w:ascii="Times New Roman" w:hAnsi="Times New Roman" w:cs="Times New Roman"/>
          <w:sz w:val="22"/>
          <w:szCs w:val="22"/>
        </w:rPr>
        <w:footnoteRef/>
      </w:r>
      <w:r w:rsidRPr="006C0600">
        <w:rPr>
          <w:rFonts w:ascii="Times New Roman" w:hAnsi="Times New Roman" w:cs="Times New Roman"/>
          <w:sz w:val="22"/>
          <w:szCs w:val="22"/>
        </w:rPr>
        <w:t xml:space="preserve"> Ibid.</w:t>
      </w:r>
    </w:p>
  </w:footnote>
  <w:footnote w:id="7">
    <w:p w14:paraId="2FFE1F7E" w14:textId="5FC0C2F0" w:rsidR="001105C0" w:rsidRPr="006C0600" w:rsidRDefault="001105C0">
      <w:pPr>
        <w:pStyle w:val="FootnoteText"/>
        <w:rPr>
          <w:rFonts w:ascii="Times New Roman" w:hAnsi="Times New Roman" w:cs="Times New Roman"/>
          <w:sz w:val="22"/>
          <w:szCs w:val="22"/>
        </w:rPr>
      </w:pPr>
      <w:r w:rsidRPr="006C0600">
        <w:rPr>
          <w:rStyle w:val="FootnoteReference"/>
          <w:rFonts w:ascii="Times New Roman" w:hAnsi="Times New Roman" w:cs="Times New Roman"/>
          <w:sz w:val="22"/>
          <w:szCs w:val="22"/>
        </w:rPr>
        <w:footnoteRef/>
      </w:r>
      <w:r w:rsidRPr="006C0600">
        <w:rPr>
          <w:rFonts w:ascii="Times New Roman" w:hAnsi="Times New Roman" w:cs="Times New Roman"/>
          <w:sz w:val="22"/>
          <w:szCs w:val="22"/>
        </w:rPr>
        <w:t xml:space="preserve"> Ibid.</w:t>
      </w:r>
    </w:p>
  </w:footnote>
  <w:footnote w:id="8">
    <w:p w14:paraId="40194533" w14:textId="3D134BEA" w:rsidR="001105C0" w:rsidRPr="006C0600" w:rsidRDefault="001105C0">
      <w:pPr>
        <w:pStyle w:val="FootnoteText"/>
        <w:rPr>
          <w:rFonts w:ascii="Times New Roman" w:hAnsi="Times New Roman" w:cs="Times New Roman"/>
          <w:sz w:val="22"/>
          <w:szCs w:val="22"/>
        </w:rPr>
      </w:pPr>
      <w:r w:rsidRPr="006C0600">
        <w:rPr>
          <w:rStyle w:val="FootnoteReference"/>
          <w:rFonts w:ascii="Times New Roman" w:hAnsi="Times New Roman" w:cs="Times New Roman"/>
          <w:sz w:val="22"/>
          <w:szCs w:val="22"/>
        </w:rPr>
        <w:footnoteRef/>
      </w:r>
      <w:r w:rsidRPr="006C0600">
        <w:rPr>
          <w:rFonts w:ascii="Times New Roman" w:hAnsi="Times New Roman" w:cs="Times New Roman"/>
          <w:sz w:val="22"/>
          <w:szCs w:val="22"/>
        </w:rPr>
        <w:t xml:space="preserve"> Ibid</w:t>
      </w:r>
      <w:r w:rsidR="00D65390">
        <w:rPr>
          <w:rFonts w:ascii="Times New Roman" w:hAnsi="Times New Roman" w:cs="Times New Roman"/>
          <w:sz w:val="22"/>
          <w:szCs w:val="22"/>
        </w:rPr>
        <w:t xml:space="preserve"> p. 9 – 14.</w:t>
      </w:r>
    </w:p>
  </w:footnote>
  <w:footnote w:id="9">
    <w:p w14:paraId="29D490E3" w14:textId="5A765D28" w:rsidR="001105C0" w:rsidRPr="006C0600" w:rsidRDefault="001105C0">
      <w:pPr>
        <w:pStyle w:val="FootnoteText"/>
        <w:rPr>
          <w:rFonts w:ascii="Times New Roman" w:hAnsi="Times New Roman" w:cs="Times New Roman"/>
          <w:sz w:val="22"/>
          <w:szCs w:val="22"/>
        </w:rPr>
      </w:pPr>
      <w:r w:rsidRPr="006C0600">
        <w:rPr>
          <w:rStyle w:val="FootnoteReference"/>
          <w:rFonts w:ascii="Times New Roman" w:hAnsi="Times New Roman" w:cs="Times New Roman"/>
          <w:sz w:val="22"/>
          <w:szCs w:val="22"/>
        </w:rPr>
        <w:footnoteRef/>
      </w:r>
      <w:r w:rsidRPr="006C0600">
        <w:rPr>
          <w:rFonts w:ascii="Times New Roman" w:hAnsi="Times New Roman" w:cs="Times New Roman"/>
          <w:sz w:val="22"/>
          <w:szCs w:val="22"/>
        </w:rPr>
        <w:t xml:space="preserve"> Ibid p. 13.</w:t>
      </w:r>
    </w:p>
  </w:footnote>
  <w:footnote w:id="10">
    <w:p w14:paraId="6D77119F" w14:textId="07638105" w:rsidR="001105C0" w:rsidRDefault="001105C0">
      <w:pPr>
        <w:pStyle w:val="FootnoteText"/>
      </w:pPr>
      <w:r w:rsidRPr="006C0600">
        <w:rPr>
          <w:rStyle w:val="FootnoteReference"/>
          <w:rFonts w:ascii="Times New Roman" w:hAnsi="Times New Roman" w:cs="Times New Roman"/>
          <w:sz w:val="22"/>
          <w:szCs w:val="22"/>
        </w:rPr>
        <w:footnoteRef/>
      </w:r>
      <w:r w:rsidRPr="006C0600">
        <w:rPr>
          <w:rFonts w:ascii="Times New Roman" w:hAnsi="Times New Roman" w:cs="Times New Roman"/>
          <w:sz w:val="22"/>
          <w:szCs w:val="22"/>
        </w:rPr>
        <w:t xml:space="preserve"> Ibid.</w:t>
      </w:r>
    </w:p>
  </w:footnote>
  <w:footnote w:id="11">
    <w:p w14:paraId="294F4825" w14:textId="4FB456EC" w:rsidR="006C0600" w:rsidRPr="00C14C49" w:rsidRDefault="006C0600" w:rsidP="00C14C49">
      <w:pPr>
        <w:spacing w:after="0"/>
        <w:rPr>
          <w:rFonts w:ascii="Times New Roman" w:hAnsi="Times New Roman" w:cs="Times New Roman"/>
        </w:rPr>
      </w:pPr>
      <w:r w:rsidRPr="00C14C49">
        <w:rPr>
          <w:rStyle w:val="FootnoteReference"/>
          <w:rFonts w:ascii="Times New Roman" w:hAnsi="Times New Roman" w:cs="Times New Roman"/>
        </w:rPr>
        <w:footnoteRef/>
      </w:r>
      <w:r w:rsidRPr="00C14C49">
        <w:rPr>
          <w:rFonts w:ascii="Times New Roman" w:hAnsi="Times New Roman" w:cs="Times New Roman"/>
        </w:rPr>
        <w:t xml:space="preserve"> Strudwick, Nigel, et al. “Senneferi, His Family and Related Monuments.” </w:t>
      </w:r>
      <w:r w:rsidRPr="00C14C49">
        <w:rPr>
          <w:rFonts w:ascii="Times New Roman" w:hAnsi="Times New Roman" w:cs="Times New Roman"/>
          <w:i/>
          <w:iCs/>
        </w:rPr>
        <w:t>The Tomb of Pharaoh’s Chancellor Senneferi at Thebes (TT99)</w:t>
      </w:r>
      <w:r w:rsidRPr="00C14C49">
        <w:rPr>
          <w:rFonts w:ascii="Times New Roman" w:hAnsi="Times New Roman" w:cs="Times New Roman"/>
        </w:rPr>
        <w:t xml:space="preserve">, edited by NIGEL STRUDWICK, 1st ed., Oxbow Books, 2016, pp. 8–36. </w:t>
      </w:r>
      <w:r w:rsidRPr="00C14C49">
        <w:rPr>
          <w:rFonts w:ascii="Times New Roman" w:hAnsi="Times New Roman" w:cs="Times New Roman"/>
          <w:i/>
          <w:iCs/>
        </w:rPr>
        <w:t>JSTOR</w:t>
      </w:r>
      <w:r w:rsidRPr="00C14C49">
        <w:rPr>
          <w:rFonts w:ascii="Times New Roman" w:hAnsi="Times New Roman" w:cs="Times New Roman"/>
        </w:rPr>
        <w:t>, http://www.jstor.org/stable/j.ctt1kw2b9v.11. Accessed 5 Mar. 2026, p. 13</w:t>
      </w:r>
    </w:p>
  </w:footnote>
  <w:footnote w:id="12">
    <w:p w14:paraId="2B0ECCB9" w14:textId="709560BA" w:rsidR="00C14C49" w:rsidRPr="00C14C49" w:rsidRDefault="00C14C49" w:rsidP="00C14C49">
      <w:pPr>
        <w:spacing w:after="0"/>
        <w:rPr>
          <w:rFonts w:ascii="Times New Roman" w:hAnsi="Times New Roman" w:cs="Times New Roman"/>
        </w:rPr>
      </w:pPr>
      <w:r w:rsidRPr="00C14C49">
        <w:rPr>
          <w:rStyle w:val="FootnoteReference"/>
          <w:rFonts w:ascii="Times New Roman" w:hAnsi="Times New Roman" w:cs="Times New Roman"/>
        </w:rPr>
        <w:footnoteRef/>
      </w:r>
      <w:r w:rsidRPr="00C14C49">
        <w:rPr>
          <w:rFonts w:ascii="Times New Roman" w:hAnsi="Times New Roman" w:cs="Times New Roman"/>
        </w:rPr>
        <w:t xml:space="preserve"> </w:t>
      </w:r>
      <w:bookmarkStart w:id="1" w:name="_Toc223877943"/>
      <w:r w:rsidRPr="00C14C49">
        <w:rPr>
          <w:rFonts w:ascii="Times New Roman" w:hAnsi="Times New Roman" w:cs="Times New Roman"/>
        </w:rPr>
        <w:t xml:space="preserve">Strudwick, Helen, et al. “The Geological and Geographical Setting of TT99.” </w:t>
      </w:r>
      <w:r w:rsidRPr="00C14C49">
        <w:rPr>
          <w:rFonts w:ascii="Times New Roman" w:hAnsi="Times New Roman" w:cs="Times New Roman"/>
          <w:i/>
          <w:iCs/>
        </w:rPr>
        <w:t>The Tomb of Pharaoh’s Chancellor Senneferi at Thebes (TT99)</w:t>
      </w:r>
      <w:r w:rsidRPr="00C14C49">
        <w:rPr>
          <w:rFonts w:ascii="Times New Roman" w:hAnsi="Times New Roman" w:cs="Times New Roman"/>
        </w:rPr>
        <w:t xml:space="preserve">, edited by NIGEL STRUDWICK, 1st ed., Oxbow Books, 2016, pp. 37–44. </w:t>
      </w:r>
      <w:r w:rsidRPr="00C14C49">
        <w:rPr>
          <w:rFonts w:ascii="Times New Roman" w:hAnsi="Times New Roman" w:cs="Times New Roman"/>
          <w:i/>
          <w:iCs/>
        </w:rPr>
        <w:t>JSTOR</w:t>
      </w:r>
      <w:r w:rsidRPr="00C14C49">
        <w:rPr>
          <w:rFonts w:ascii="Times New Roman" w:hAnsi="Times New Roman" w:cs="Times New Roman"/>
        </w:rPr>
        <w:t>, http://www.jstor.org/stable/j.ctt1kw2b9v.12. Accessed 5 Mar. 2026</w:t>
      </w:r>
      <w:bookmarkEnd w:id="1"/>
      <w:r w:rsidRPr="00C14C49">
        <w:rPr>
          <w:rFonts w:ascii="Times New Roman" w:hAnsi="Times New Roman" w:cs="Times New Roman"/>
        </w:rPr>
        <w:t>, P. 37</w:t>
      </w:r>
    </w:p>
  </w:footnote>
  <w:footnote w:id="13">
    <w:p w14:paraId="4E7823BB" w14:textId="6F10BFA7" w:rsidR="00C14C49" w:rsidRPr="00C67850" w:rsidRDefault="00C14C49" w:rsidP="00C14C49">
      <w:pPr>
        <w:pStyle w:val="FootnoteText"/>
        <w:rPr>
          <w:rFonts w:ascii="Times New Roman" w:hAnsi="Times New Roman" w:cs="Times New Roman"/>
          <w:sz w:val="22"/>
          <w:szCs w:val="22"/>
        </w:rPr>
      </w:pPr>
      <w:r w:rsidRPr="00C67850">
        <w:rPr>
          <w:rStyle w:val="FootnoteReference"/>
          <w:rFonts w:ascii="Times New Roman" w:hAnsi="Times New Roman" w:cs="Times New Roman"/>
          <w:sz w:val="22"/>
          <w:szCs w:val="22"/>
        </w:rPr>
        <w:footnoteRef/>
      </w:r>
      <w:r w:rsidRPr="00C67850">
        <w:rPr>
          <w:rFonts w:ascii="Times New Roman" w:hAnsi="Times New Roman" w:cs="Times New Roman"/>
          <w:sz w:val="22"/>
          <w:szCs w:val="22"/>
        </w:rPr>
        <w:t xml:space="preserve"> Ibid p. 40.</w:t>
      </w:r>
    </w:p>
  </w:footnote>
  <w:footnote w:id="14">
    <w:p w14:paraId="3DF7BCA1" w14:textId="3BC35D5E" w:rsidR="00C14C49" w:rsidRPr="00C67850" w:rsidRDefault="00C14C49">
      <w:pPr>
        <w:pStyle w:val="FootnoteText"/>
        <w:rPr>
          <w:rFonts w:ascii="Times New Roman" w:hAnsi="Times New Roman" w:cs="Times New Roman"/>
          <w:sz w:val="22"/>
          <w:szCs w:val="22"/>
        </w:rPr>
      </w:pPr>
      <w:r w:rsidRPr="00C67850">
        <w:rPr>
          <w:rStyle w:val="FootnoteReference"/>
          <w:rFonts w:ascii="Times New Roman" w:hAnsi="Times New Roman" w:cs="Times New Roman"/>
          <w:sz w:val="22"/>
          <w:szCs w:val="22"/>
        </w:rPr>
        <w:footnoteRef/>
      </w:r>
      <w:r w:rsidRPr="00C67850">
        <w:rPr>
          <w:rFonts w:ascii="Times New Roman" w:hAnsi="Times New Roman" w:cs="Times New Roman"/>
          <w:sz w:val="22"/>
          <w:szCs w:val="22"/>
        </w:rPr>
        <w:t xml:space="preserve"> Strudwick, Nigel, et al. “Senneferi, His Family and Related Monuments.” </w:t>
      </w:r>
      <w:r w:rsidRPr="00C67850">
        <w:rPr>
          <w:rFonts w:ascii="Times New Roman" w:hAnsi="Times New Roman" w:cs="Times New Roman"/>
          <w:i/>
          <w:iCs/>
          <w:sz w:val="22"/>
          <w:szCs w:val="22"/>
        </w:rPr>
        <w:t>The Tomb of Pharaoh’s Chancellor Senneferi at Thebes (TT99)</w:t>
      </w:r>
      <w:r w:rsidRPr="00C67850">
        <w:rPr>
          <w:rFonts w:ascii="Times New Roman" w:hAnsi="Times New Roman" w:cs="Times New Roman"/>
          <w:sz w:val="22"/>
          <w:szCs w:val="22"/>
        </w:rPr>
        <w:t xml:space="preserve">, edited by NIGEL STRUDWICK, 1st ed., Oxbow Books, 2016, pp. 8–36. </w:t>
      </w:r>
      <w:r w:rsidRPr="00C67850">
        <w:rPr>
          <w:rFonts w:ascii="Times New Roman" w:hAnsi="Times New Roman" w:cs="Times New Roman"/>
          <w:i/>
          <w:iCs/>
          <w:sz w:val="22"/>
          <w:szCs w:val="22"/>
        </w:rPr>
        <w:t>JSTOR</w:t>
      </w:r>
      <w:r w:rsidRPr="00C67850">
        <w:rPr>
          <w:rFonts w:ascii="Times New Roman" w:hAnsi="Times New Roman" w:cs="Times New Roman"/>
          <w:sz w:val="22"/>
          <w:szCs w:val="22"/>
        </w:rPr>
        <w:t>, http://www.jstor.org/stable/j.ctt1kw2b9v.11. Accessed 5 Mar. 2026, p. 9</w:t>
      </w:r>
    </w:p>
  </w:footnote>
  <w:footnote w:id="15">
    <w:p w14:paraId="41FF1907" w14:textId="649C5552" w:rsidR="00CB3E7B" w:rsidRPr="00C67850" w:rsidRDefault="00CB3E7B" w:rsidP="00C67850">
      <w:pPr>
        <w:spacing w:after="0"/>
        <w:rPr>
          <w:rFonts w:ascii="Times New Roman" w:hAnsi="Times New Roman" w:cs="Times New Roman"/>
        </w:rPr>
      </w:pPr>
      <w:r w:rsidRPr="00C67850">
        <w:rPr>
          <w:rStyle w:val="FootnoteReference"/>
          <w:rFonts w:ascii="Times New Roman" w:hAnsi="Times New Roman" w:cs="Times New Roman"/>
        </w:rPr>
        <w:footnoteRef/>
      </w:r>
      <w:r w:rsidRPr="00C67850">
        <w:rPr>
          <w:rFonts w:ascii="Times New Roman" w:hAnsi="Times New Roman" w:cs="Times New Roman"/>
        </w:rPr>
        <w:t xml:space="preserve"> </w:t>
      </w:r>
      <w:bookmarkStart w:id="2" w:name="_Toc223877946"/>
      <w:r w:rsidRPr="00C67850">
        <w:rPr>
          <w:rFonts w:ascii="Times New Roman" w:hAnsi="Times New Roman" w:cs="Times New Roman"/>
        </w:rPr>
        <w:t xml:space="preserve">Taylor, John H., et al. “The Coffins from Shaft I.” </w:t>
      </w:r>
      <w:r w:rsidRPr="00C67850">
        <w:rPr>
          <w:rFonts w:ascii="Times New Roman" w:hAnsi="Times New Roman" w:cs="Times New Roman"/>
          <w:i/>
          <w:iCs/>
        </w:rPr>
        <w:t>The Tomb of Pharaoh’s Chancellor Senneferi at Thebes (TT99)</w:t>
      </w:r>
      <w:r w:rsidRPr="00C67850">
        <w:rPr>
          <w:rFonts w:ascii="Times New Roman" w:hAnsi="Times New Roman" w:cs="Times New Roman"/>
        </w:rPr>
        <w:t xml:space="preserve">, edited by NIGEL STRUDWICK, 1st ed., Oxbow Books, 2016, pp. 181–90. </w:t>
      </w:r>
      <w:r w:rsidRPr="00C67850">
        <w:rPr>
          <w:rFonts w:ascii="Times New Roman" w:hAnsi="Times New Roman" w:cs="Times New Roman"/>
          <w:i/>
          <w:iCs/>
        </w:rPr>
        <w:t>JSTOR</w:t>
      </w:r>
      <w:r w:rsidRPr="00C67850">
        <w:rPr>
          <w:rFonts w:ascii="Times New Roman" w:hAnsi="Times New Roman" w:cs="Times New Roman"/>
        </w:rPr>
        <w:t>, http://www.jstor.org/stable/j.ctt1kw2b9v.17. Accessed 7 Mar. 2026</w:t>
      </w:r>
      <w:bookmarkEnd w:id="2"/>
      <w:r w:rsidRPr="00C67850">
        <w:rPr>
          <w:rFonts w:ascii="Times New Roman" w:hAnsi="Times New Roman" w:cs="Times New Roman"/>
        </w:rPr>
        <w:t>, p. 181</w:t>
      </w:r>
    </w:p>
  </w:footnote>
  <w:footnote w:id="16">
    <w:p w14:paraId="6DDF069A" w14:textId="153D1D5E" w:rsidR="00C67850" w:rsidRDefault="00C67850" w:rsidP="00C67850">
      <w:pPr>
        <w:pStyle w:val="FootnoteText"/>
      </w:pPr>
      <w:r w:rsidRPr="00C67850">
        <w:rPr>
          <w:rStyle w:val="FootnoteReference"/>
          <w:rFonts w:ascii="Times New Roman" w:hAnsi="Times New Roman" w:cs="Times New Roman"/>
          <w:sz w:val="22"/>
          <w:szCs w:val="22"/>
        </w:rPr>
        <w:footnoteRef/>
      </w:r>
      <w:r w:rsidRPr="00C67850">
        <w:rPr>
          <w:rFonts w:ascii="Times New Roman" w:hAnsi="Times New Roman" w:cs="Times New Roman"/>
          <w:sz w:val="22"/>
          <w:szCs w:val="22"/>
        </w:rPr>
        <w:t xml:space="preserve"> Ibid.</w:t>
      </w:r>
    </w:p>
  </w:footnote>
  <w:footnote w:id="17">
    <w:p w14:paraId="39554BBD" w14:textId="7B148B38" w:rsidR="00701054" w:rsidRPr="00323B20" w:rsidRDefault="00701054" w:rsidP="00701054">
      <w:pPr>
        <w:spacing w:after="0"/>
        <w:rPr>
          <w:rFonts w:ascii="Times New Roman" w:hAnsi="Times New Roman" w:cs="Times New Roman"/>
        </w:rPr>
      </w:pPr>
      <w:r w:rsidRPr="00323B20">
        <w:rPr>
          <w:rStyle w:val="FootnoteReference"/>
          <w:rFonts w:ascii="Times New Roman" w:hAnsi="Times New Roman" w:cs="Times New Roman"/>
        </w:rPr>
        <w:footnoteRef/>
      </w:r>
      <w:r w:rsidRPr="00323B20">
        <w:rPr>
          <w:rFonts w:ascii="Times New Roman" w:hAnsi="Times New Roman" w:cs="Times New Roman"/>
        </w:rPr>
        <w:t xml:space="preserve"> Taylor, John H., et al. “The Coffins from Shaft I.” </w:t>
      </w:r>
      <w:r w:rsidRPr="00323B20">
        <w:rPr>
          <w:rFonts w:ascii="Times New Roman" w:hAnsi="Times New Roman" w:cs="Times New Roman"/>
          <w:i/>
          <w:iCs/>
        </w:rPr>
        <w:t>The Tomb of Pharaoh’s Chancellor Senneferi at Thebes (TT99)</w:t>
      </w:r>
      <w:r w:rsidRPr="00323B20">
        <w:rPr>
          <w:rFonts w:ascii="Times New Roman" w:hAnsi="Times New Roman" w:cs="Times New Roman"/>
        </w:rPr>
        <w:t xml:space="preserve">, edited by NIGEL STRUDWICK, 1st ed., Oxbow Books, 2016, pp. 181–90. </w:t>
      </w:r>
      <w:r w:rsidRPr="00323B20">
        <w:rPr>
          <w:rFonts w:ascii="Times New Roman" w:hAnsi="Times New Roman" w:cs="Times New Roman"/>
          <w:i/>
          <w:iCs/>
        </w:rPr>
        <w:t>JSTOR</w:t>
      </w:r>
      <w:r w:rsidRPr="00323B20">
        <w:rPr>
          <w:rFonts w:ascii="Times New Roman" w:hAnsi="Times New Roman" w:cs="Times New Roman"/>
        </w:rPr>
        <w:t>, http://www.jstor.org/stable/j.ctt1kw2b9v.17. Accessed 7 Mar. 2026, p. 181</w:t>
      </w:r>
    </w:p>
  </w:footnote>
  <w:footnote w:id="18">
    <w:p w14:paraId="6EE03356" w14:textId="1016B250" w:rsidR="00701054" w:rsidRPr="00323B20" w:rsidRDefault="00701054">
      <w:pPr>
        <w:pStyle w:val="FootnoteText"/>
        <w:rPr>
          <w:rFonts w:ascii="Times New Roman" w:hAnsi="Times New Roman" w:cs="Times New Roman"/>
          <w:sz w:val="22"/>
          <w:szCs w:val="22"/>
        </w:rPr>
      </w:pPr>
      <w:r w:rsidRPr="00323B20">
        <w:rPr>
          <w:rStyle w:val="FootnoteReference"/>
          <w:rFonts w:ascii="Times New Roman" w:hAnsi="Times New Roman" w:cs="Times New Roman"/>
          <w:sz w:val="22"/>
          <w:szCs w:val="22"/>
        </w:rPr>
        <w:footnoteRef/>
      </w:r>
      <w:r w:rsidRPr="00323B20">
        <w:rPr>
          <w:rFonts w:ascii="Times New Roman" w:hAnsi="Times New Roman" w:cs="Times New Roman"/>
          <w:sz w:val="22"/>
          <w:szCs w:val="22"/>
        </w:rPr>
        <w:t xml:space="preserve"> Ibid p. 183</w:t>
      </w:r>
    </w:p>
  </w:footnote>
  <w:footnote w:id="19">
    <w:p w14:paraId="2F3F844D" w14:textId="31F0FA95" w:rsidR="00400037" w:rsidRPr="00323B20" w:rsidRDefault="00400037">
      <w:pPr>
        <w:pStyle w:val="FootnoteText"/>
        <w:rPr>
          <w:rFonts w:ascii="Times New Roman" w:hAnsi="Times New Roman" w:cs="Times New Roman"/>
          <w:sz w:val="22"/>
          <w:szCs w:val="22"/>
        </w:rPr>
      </w:pPr>
      <w:r w:rsidRPr="00323B20">
        <w:rPr>
          <w:rStyle w:val="FootnoteReference"/>
          <w:rFonts w:ascii="Times New Roman" w:hAnsi="Times New Roman" w:cs="Times New Roman"/>
          <w:sz w:val="22"/>
          <w:szCs w:val="22"/>
        </w:rPr>
        <w:footnoteRef/>
      </w:r>
      <w:r w:rsidRPr="00323B20">
        <w:rPr>
          <w:rFonts w:ascii="Times New Roman" w:hAnsi="Times New Roman" w:cs="Times New Roman"/>
          <w:sz w:val="22"/>
          <w:szCs w:val="22"/>
        </w:rPr>
        <w:t xml:space="preserve"> Ibid.</w:t>
      </w:r>
    </w:p>
  </w:footnote>
  <w:footnote w:id="20">
    <w:p w14:paraId="15245907" w14:textId="79A55F65" w:rsidR="0032070F" w:rsidRPr="00323B20" w:rsidRDefault="0032070F">
      <w:pPr>
        <w:pStyle w:val="FootnoteText"/>
        <w:rPr>
          <w:rFonts w:ascii="Times New Roman" w:hAnsi="Times New Roman" w:cs="Times New Roman"/>
          <w:sz w:val="22"/>
          <w:szCs w:val="22"/>
        </w:rPr>
      </w:pPr>
      <w:r w:rsidRPr="00323B20">
        <w:rPr>
          <w:rStyle w:val="FootnoteReference"/>
          <w:rFonts w:ascii="Times New Roman" w:hAnsi="Times New Roman" w:cs="Times New Roman"/>
          <w:sz w:val="22"/>
          <w:szCs w:val="22"/>
        </w:rPr>
        <w:footnoteRef/>
      </w:r>
      <w:r w:rsidRPr="00323B20">
        <w:rPr>
          <w:rFonts w:ascii="Times New Roman" w:hAnsi="Times New Roman" w:cs="Times New Roman"/>
          <w:sz w:val="22"/>
          <w:szCs w:val="22"/>
        </w:rPr>
        <w:t xml:space="preserve"> Ibid.</w:t>
      </w:r>
    </w:p>
  </w:footnote>
  <w:footnote w:id="21">
    <w:p w14:paraId="57D88BDB" w14:textId="4BE5A8B6" w:rsidR="0032070F" w:rsidRPr="00323B20" w:rsidRDefault="0032070F">
      <w:pPr>
        <w:pStyle w:val="FootnoteText"/>
        <w:rPr>
          <w:rFonts w:ascii="Times New Roman" w:hAnsi="Times New Roman" w:cs="Times New Roman"/>
          <w:sz w:val="22"/>
          <w:szCs w:val="22"/>
        </w:rPr>
      </w:pPr>
      <w:r w:rsidRPr="00323B20">
        <w:rPr>
          <w:rStyle w:val="FootnoteReference"/>
          <w:rFonts w:ascii="Times New Roman" w:hAnsi="Times New Roman" w:cs="Times New Roman"/>
          <w:sz w:val="22"/>
          <w:szCs w:val="22"/>
        </w:rPr>
        <w:footnoteRef/>
      </w:r>
      <w:r w:rsidRPr="00323B20">
        <w:rPr>
          <w:rFonts w:ascii="Times New Roman" w:hAnsi="Times New Roman" w:cs="Times New Roman"/>
          <w:sz w:val="22"/>
          <w:szCs w:val="22"/>
        </w:rPr>
        <w:t xml:space="preserve"> </w:t>
      </w:r>
      <w:r w:rsidRPr="00323B20">
        <w:rPr>
          <w:rStyle w:val="FootnoteReference"/>
          <w:rFonts w:ascii="Times New Roman" w:hAnsi="Times New Roman" w:cs="Times New Roman"/>
          <w:sz w:val="22"/>
          <w:szCs w:val="22"/>
        </w:rPr>
        <w:footnoteRef/>
      </w:r>
      <w:r w:rsidRPr="00323B20">
        <w:rPr>
          <w:rFonts w:ascii="Times New Roman" w:hAnsi="Times New Roman" w:cs="Times New Roman"/>
          <w:sz w:val="22"/>
          <w:szCs w:val="22"/>
        </w:rPr>
        <w:t xml:space="preserve"> Strudwick, Nigel, et al. “Senneferi, His Family and Related Monuments.” </w:t>
      </w:r>
      <w:r w:rsidRPr="00323B20">
        <w:rPr>
          <w:rFonts w:ascii="Times New Roman" w:hAnsi="Times New Roman" w:cs="Times New Roman"/>
          <w:i/>
          <w:iCs/>
          <w:sz w:val="22"/>
          <w:szCs w:val="22"/>
        </w:rPr>
        <w:t>The Tomb of Pharaoh’s Chancellor Senneferi at Thebes (TT99)</w:t>
      </w:r>
      <w:r w:rsidRPr="00323B20">
        <w:rPr>
          <w:rFonts w:ascii="Times New Roman" w:hAnsi="Times New Roman" w:cs="Times New Roman"/>
          <w:sz w:val="22"/>
          <w:szCs w:val="22"/>
        </w:rPr>
        <w:t xml:space="preserve">, edited by NIGEL STRUDWICK, 1st ed., Oxbow Books, 2016, pp. 8–36. </w:t>
      </w:r>
      <w:r w:rsidRPr="00323B20">
        <w:rPr>
          <w:rFonts w:ascii="Times New Roman" w:hAnsi="Times New Roman" w:cs="Times New Roman"/>
          <w:i/>
          <w:iCs/>
          <w:sz w:val="22"/>
          <w:szCs w:val="22"/>
        </w:rPr>
        <w:t>JSTOR</w:t>
      </w:r>
      <w:r w:rsidRPr="00323B20">
        <w:rPr>
          <w:rFonts w:ascii="Times New Roman" w:hAnsi="Times New Roman" w:cs="Times New Roman"/>
          <w:sz w:val="22"/>
          <w:szCs w:val="22"/>
        </w:rPr>
        <w:t>, http://www.jstor.org/stable/j.ctt1kw2b9v.11. Accessed 5 Mar. 2026, p. 18</w:t>
      </w:r>
    </w:p>
  </w:footnote>
  <w:footnote w:id="22">
    <w:p w14:paraId="09670DD0" w14:textId="2CE27AFE" w:rsidR="00D50F74" w:rsidRPr="00323B20" w:rsidRDefault="00D50F74">
      <w:pPr>
        <w:pStyle w:val="FootnoteText"/>
        <w:rPr>
          <w:rFonts w:ascii="Times New Roman" w:hAnsi="Times New Roman" w:cs="Times New Roman"/>
          <w:sz w:val="22"/>
          <w:szCs w:val="22"/>
        </w:rPr>
      </w:pPr>
      <w:r w:rsidRPr="00323B20">
        <w:rPr>
          <w:rStyle w:val="FootnoteReference"/>
          <w:rFonts w:ascii="Times New Roman" w:hAnsi="Times New Roman" w:cs="Times New Roman"/>
          <w:sz w:val="22"/>
          <w:szCs w:val="22"/>
        </w:rPr>
        <w:footnoteRef/>
      </w:r>
      <w:r w:rsidRPr="00323B20">
        <w:rPr>
          <w:rFonts w:ascii="Times New Roman" w:hAnsi="Times New Roman" w:cs="Times New Roman"/>
          <w:sz w:val="22"/>
          <w:szCs w:val="22"/>
        </w:rPr>
        <w:t xml:space="preserve"> Ibid p. 19.</w:t>
      </w:r>
    </w:p>
  </w:footnote>
  <w:footnote w:id="23">
    <w:p w14:paraId="065670E2" w14:textId="463211A5" w:rsidR="00323B20" w:rsidRDefault="00323B20">
      <w:pPr>
        <w:pStyle w:val="FootnoteText"/>
      </w:pPr>
      <w:r w:rsidRPr="00323B20">
        <w:rPr>
          <w:rStyle w:val="FootnoteReference"/>
          <w:rFonts w:ascii="Times New Roman" w:hAnsi="Times New Roman" w:cs="Times New Roman"/>
          <w:sz w:val="22"/>
          <w:szCs w:val="22"/>
        </w:rPr>
        <w:footnoteRef/>
      </w:r>
      <w:r w:rsidRPr="00323B20">
        <w:rPr>
          <w:rFonts w:ascii="Times New Roman" w:hAnsi="Times New Roman" w:cs="Times New Roman"/>
          <w:sz w:val="22"/>
          <w:szCs w:val="22"/>
        </w:rPr>
        <w:t xml:space="preserve"> Ibid p. 9</w:t>
      </w:r>
    </w:p>
  </w:footnote>
  <w:footnote w:id="24">
    <w:p w14:paraId="7C6D78EF" w14:textId="7A8851F1" w:rsidR="007C42D2" w:rsidRPr="00323B20" w:rsidRDefault="007C42D2" w:rsidP="00323B20">
      <w:pPr>
        <w:spacing w:after="0"/>
        <w:rPr>
          <w:rFonts w:ascii="Times New Roman" w:hAnsi="Times New Roman" w:cs="Times New Roman"/>
        </w:rPr>
      </w:pPr>
      <w:r w:rsidRPr="007C42D2">
        <w:rPr>
          <w:rStyle w:val="FootnoteReference"/>
          <w:rFonts w:ascii="Times New Roman" w:hAnsi="Times New Roman" w:cs="Times New Roman"/>
        </w:rPr>
        <w:footnoteRef/>
      </w:r>
      <w:r w:rsidRPr="007C42D2">
        <w:rPr>
          <w:rFonts w:ascii="Times New Roman" w:hAnsi="Times New Roman" w:cs="Times New Roman"/>
        </w:rPr>
        <w:t xml:space="preserve"> </w:t>
      </w:r>
      <w:bookmarkStart w:id="3" w:name="_Toc223877944"/>
      <w:r w:rsidRPr="007C42D2">
        <w:rPr>
          <w:rFonts w:ascii="Times New Roman" w:hAnsi="Times New Roman" w:cs="Times New Roman"/>
        </w:rPr>
        <w:t xml:space="preserve">Strudwick, Helen, et al. “The Tomb, Its Architecture and History.” </w:t>
      </w:r>
      <w:r w:rsidRPr="007C42D2">
        <w:rPr>
          <w:rFonts w:ascii="Times New Roman" w:hAnsi="Times New Roman" w:cs="Times New Roman"/>
          <w:i/>
          <w:iCs/>
        </w:rPr>
        <w:t>The Tomb of Pharaoh’s Chancellor Senneferi at Thebes (TT99)</w:t>
      </w:r>
      <w:r w:rsidRPr="007C42D2">
        <w:rPr>
          <w:rFonts w:ascii="Times New Roman" w:hAnsi="Times New Roman" w:cs="Times New Roman"/>
        </w:rPr>
        <w:t xml:space="preserve">, edited by NIGEL STRUDWICK, 1st ed., Oxbow Books, 2016, pp. 45–83. </w:t>
      </w:r>
      <w:r w:rsidRPr="007C42D2">
        <w:rPr>
          <w:rFonts w:ascii="Times New Roman" w:hAnsi="Times New Roman" w:cs="Times New Roman"/>
          <w:i/>
          <w:iCs/>
        </w:rPr>
        <w:t>JSTOR</w:t>
      </w:r>
      <w:r w:rsidRPr="007C42D2">
        <w:rPr>
          <w:rFonts w:ascii="Times New Roman" w:hAnsi="Times New Roman" w:cs="Times New Roman"/>
        </w:rPr>
        <w:t>, http://www.jstor.org/stable/j.ctt1kw2b9v.13. Accessed 5 Mar. 2026</w:t>
      </w:r>
      <w:r>
        <w:rPr>
          <w:rFonts w:ascii="Times New Roman" w:hAnsi="Times New Roman" w:cs="Times New Roman"/>
        </w:rPr>
        <w:t>, p. 45</w:t>
      </w:r>
      <w:r w:rsidRPr="007C42D2">
        <w:rPr>
          <w:rFonts w:ascii="Times New Roman" w:hAnsi="Times New Roman" w:cs="Times New Roman"/>
        </w:rPr>
        <w:t>.</w:t>
      </w:r>
      <w:bookmarkEnd w:id="3"/>
    </w:p>
  </w:footnote>
  <w:footnote w:id="25">
    <w:p w14:paraId="1779A0CA" w14:textId="1C307CEF" w:rsidR="007C42D2" w:rsidRPr="00FA6CA3" w:rsidRDefault="007C42D2" w:rsidP="00323B20">
      <w:pPr>
        <w:spacing w:after="0"/>
        <w:rPr>
          <w:rFonts w:ascii="Times New Roman" w:hAnsi="Times New Roman" w:cs="Times New Roman"/>
        </w:rPr>
      </w:pPr>
      <w:r w:rsidRPr="00FA6CA3">
        <w:rPr>
          <w:rStyle w:val="FootnoteReference"/>
          <w:rFonts w:ascii="Times New Roman" w:hAnsi="Times New Roman" w:cs="Times New Roman"/>
        </w:rPr>
        <w:footnoteRef/>
      </w:r>
      <w:r w:rsidRPr="00FA6CA3">
        <w:rPr>
          <w:rFonts w:ascii="Times New Roman" w:hAnsi="Times New Roman" w:cs="Times New Roman"/>
        </w:rPr>
        <w:t xml:space="preserve"> </w:t>
      </w:r>
      <w:r w:rsidR="00323B20">
        <w:rPr>
          <w:rFonts w:ascii="Times New Roman" w:hAnsi="Times New Roman" w:cs="Times New Roman"/>
        </w:rPr>
        <w:t>Ibid.</w:t>
      </w:r>
    </w:p>
  </w:footnote>
  <w:footnote w:id="26">
    <w:p w14:paraId="2B9745E5" w14:textId="2F46A6AD" w:rsidR="00757745" w:rsidRPr="00FA6CA3" w:rsidRDefault="00757745" w:rsidP="00323B20">
      <w:pPr>
        <w:pStyle w:val="FootnoteText"/>
        <w:rPr>
          <w:rFonts w:ascii="Times New Roman" w:hAnsi="Times New Roman" w:cs="Times New Roman"/>
          <w:sz w:val="22"/>
          <w:szCs w:val="22"/>
        </w:rPr>
      </w:pPr>
      <w:r w:rsidRPr="00FA6CA3">
        <w:rPr>
          <w:rStyle w:val="FootnoteReference"/>
          <w:rFonts w:ascii="Times New Roman" w:hAnsi="Times New Roman" w:cs="Times New Roman"/>
          <w:sz w:val="22"/>
          <w:szCs w:val="22"/>
        </w:rPr>
        <w:footnoteRef/>
      </w:r>
      <w:r w:rsidRPr="00FA6CA3">
        <w:rPr>
          <w:rFonts w:ascii="Times New Roman" w:hAnsi="Times New Roman" w:cs="Times New Roman"/>
          <w:sz w:val="22"/>
          <w:szCs w:val="22"/>
        </w:rPr>
        <w:t xml:space="preserve"> Ibid p. 49</w:t>
      </w:r>
    </w:p>
  </w:footnote>
  <w:footnote w:id="27">
    <w:p w14:paraId="3CEE6D01" w14:textId="355498D0" w:rsidR="003540A3" w:rsidRPr="00FA6CA3" w:rsidRDefault="003540A3" w:rsidP="00323B20">
      <w:pPr>
        <w:pStyle w:val="FootnoteText"/>
        <w:rPr>
          <w:rFonts w:ascii="Times New Roman" w:hAnsi="Times New Roman" w:cs="Times New Roman"/>
          <w:sz w:val="22"/>
          <w:szCs w:val="22"/>
        </w:rPr>
      </w:pPr>
      <w:r w:rsidRPr="00FA6CA3">
        <w:rPr>
          <w:rStyle w:val="FootnoteReference"/>
          <w:rFonts w:ascii="Times New Roman" w:hAnsi="Times New Roman" w:cs="Times New Roman"/>
          <w:sz w:val="22"/>
          <w:szCs w:val="22"/>
        </w:rPr>
        <w:footnoteRef/>
      </w:r>
      <w:r w:rsidRPr="00FA6CA3">
        <w:rPr>
          <w:rFonts w:ascii="Times New Roman" w:hAnsi="Times New Roman" w:cs="Times New Roman"/>
          <w:sz w:val="22"/>
          <w:szCs w:val="22"/>
        </w:rPr>
        <w:t xml:space="preserve"> Ibid.</w:t>
      </w:r>
    </w:p>
  </w:footnote>
  <w:footnote w:id="28">
    <w:p w14:paraId="58EECA3D" w14:textId="74A199BF" w:rsidR="00282512" w:rsidRPr="00FA6CA3" w:rsidRDefault="00282512" w:rsidP="00323B20">
      <w:pPr>
        <w:pStyle w:val="FootnoteText"/>
        <w:rPr>
          <w:rFonts w:ascii="Times New Roman" w:hAnsi="Times New Roman" w:cs="Times New Roman"/>
          <w:sz w:val="22"/>
          <w:szCs w:val="22"/>
        </w:rPr>
      </w:pPr>
      <w:r w:rsidRPr="00FA6CA3">
        <w:rPr>
          <w:rStyle w:val="FootnoteReference"/>
          <w:rFonts w:ascii="Times New Roman" w:hAnsi="Times New Roman" w:cs="Times New Roman"/>
          <w:sz w:val="22"/>
          <w:szCs w:val="22"/>
        </w:rPr>
        <w:footnoteRef/>
      </w:r>
      <w:r w:rsidRPr="00FA6CA3">
        <w:rPr>
          <w:rFonts w:ascii="Times New Roman" w:hAnsi="Times New Roman" w:cs="Times New Roman"/>
          <w:sz w:val="22"/>
          <w:szCs w:val="22"/>
        </w:rPr>
        <w:t xml:space="preserve"> Ibid p. 54.</w:t>
      </w:r>
    </w:p>
  </w:footnote>
  <w:footnote w:id="29">
    <w:p w14:paraId="442C6134" w14:textId="50D7C1EB" w:rsidR="00052FFA" w:rsidRPr="00FA6CA3" w:rsidRDefault="00052FFA" w:rsidP="00323B20">
      <w:pPr>
        <w:pStyle w:val="FootnoteText"/>
        <w:rPr>
          <w:rFonts w:ascii="Times New Roman" w:hAnsi="Times New Roman" w:cs="Times New Roman"/>
          <w:sz w:val="22"/>
          <w:szCs w:val="22"/>
        </w:rPr>
      </w:pPr>
      <w:r w:rsidRPr="00FA6CA3">
        <w:rPr>
          <w:rStyle w:val="FootnoteReference"/>
          <w:rFonts w:ascii="Times New Roman" w:hAnsi="Times New Roman" w:cs="Times New Roman"/>
          <w:sz w:val="22"/>
          <w:szCs w:val="22"/>
        </w:rPr>
        <w:footnoteRef/>
      </w:r>
      <w:r w:rsidRPr="00FA6CA3">
        <w:rPr>
          <w:rFonts w:ascii="Times New Roman" w:hAnsi="Times New Roman" w:cs="Times New Roman"/>
          <w:sz w:val="22"/>
          <w:szCs w:val="22"/>
        </w:rPr>
        <w:t xml:space="preserve"> Ibid p. 55.</w:t>
      </w:r>
    </w:p>
  </w:footnote>
  <w:footnote w:id="30">
    <w:p w14:paraId="268C95F9" w14:textId="724719DD" w:rsidR="00A42FFF" w:rsidRPr="00FA6CA3" w:rsidRDefault="00A42FFF" w:rsidP="00323B20">
      <w:pPr>
        <w:pStyle w:val="FootnoteText"/>
        <w:rPr>
          <w:rFonts w:ascii="Times New Roman" w:hAnsi="Times New Roman" w:cs="Times New Roman"/>
          <w:sz w:val="22"/>
          <w:szCs w:val="22"/>
        </w:rPr>
      </w:pPr>
      <w:r w:rsidRPr="00FA6CA3">
        <w:rPr>
          <w:rStyle w:val="FootnoteReference"/>
          <w:rFonts w:ascii="Times New Roman" w:hAnsi="Times New Roman" w:cs="Times New Roman"/>
          <w:sz w:val="22"/>
          <w:szCs w:val="22"/>
        </w:rPr>
        <w:footnoteRef/>
      </w:r>
      <w:r w:rsidRPr="00FA6CA3">
        <w:rPr>
          <w:rFonts w:ascii="Times New Roman" w:hAnsi="Times New Roman" w:cs="Times New Roman"/>
          <w:sz w:val="22"/>
          <w:szCs w:val="22"/>
        </w:rPr>
        <w:t xml:space="preserve"> Ibid p. 66.</w:t>
      </w:r>
    </w:p>
  </w:footnote>
  <w:footnote w:id="31">
    <w:p w14:paraId="411F1F9E" w14:textId="7495C86F" w:rsidR="0078029A" w:rsidRPr="00AC461A" w:rsidRDefault="0078029A" w:rsidP="00323B20">
      <w:pPr>
        <w:spacing w:after="0"/>
        <w:rPr>
          <w:rFonts w:ascii="Times New Roman" w:hAnsi="Times New Roman" w:cs="Times New Roman"/>
        </w:rPr>
      </w:pPr>
      <w:r w:rsidRPr="00FA6CA3">
        <w:rPr>
          <w:rStyle w:val="FootnoteReference"/>
          <w:rFonts w:ascii="Times New Roman" w:hAnsi="Times New Roman" w:cs="Times New Roman"/>
        </w:rPr>
        <w:footnoteRef/>
      </w:r>
      <w:r w:rsidRPr="00FA6CA3">
        <w:rPr>
          <w:rFonts w:ascii="Times New Roman" w:hAnsi="Times New Roman" w:cs="Times New Roman"/>
        </w:rPr>
        <w:t xml:space="preserve"> </w:t>
      </w:r>
      <w:bookmarkStart w:id="4" w:name="_Toc223877947"/>
      <w:r w:rsidR="00FA6CA3" w:rsidRPr="00FA6CA3">
        <w:rPr>
          <w:rFonts w:ascii="Times New Roman" w:hAnsi="Times New Roman" w:cs="Times New Roman"/>
        </w:rPr>
        <w:t xml:space="preserve">Rose, Pamela, et al. “The Ceramics from Shaft I.” </w:t>
      </w:r>
      <w:r w:rsidR="00FA6CA3" w:rsidRPr="00FA6CA3">
        <w:rPr>
          <w:rFonts w:ascii="Times New Roman" w:hAnsi="Times New Roman" w:cs="Times New Roman"/>
          <w:i/>
          <w:iCs/>
        </w:rPr>
        <w:t xml:space="preserve">The Tomb of Pharaoh’s Chancellor Senneferi at </w:t>
      </w:r>
      <w:r w:rsidR="00FA6CA3" w:rsidRPr="00AC461A">
        <w:rPr>
          <w:rFonts w:ascii="Times New Roman" w:hAnsi="Times New Roman" w:cs="Times New Roman"/>
          <w:i/>
          <w:iCs/>
        </w:rPr>
        <w:t>Thebes (TT99)</w:t>
      </w:r>
      <w:r w:rsidR="00FA6CA3" w:rsidRPr="00AC461A">
        <w:rPr>
          <w:rFonts w:ascii="Times New Roman" w:hAnsi="Times New Roman" w:cs="Times New Roman"/>
        </w:rPr>
        <w:t xml:space="preserve">, edited by NIGEL STRUDWICK, 1st ed., Oxbow Books, 2016, pp. 191–238. </w:t>
      </w:r>
      <w:r w:rsidR="00FA6CA3" w:rsidRPr="00AC461A">
        <w:rPr>
          <w:rFonts w:ascii="Times New Roman" w:hAnsi="Times New Roman" w:cs="Times New Roman"/>
          <w:i/>
          <w:iCs/>
        </w:rPr>
        <w:t>JSTOR</w:t>
      </w:r>
      <w:r w:rsidR="00FA6CA3" w:rsidRPr="00AC461A">
        <w:rPr>
          <w:rFonts w:ascii="Times New Roman" w:hAnsi="Times New Roman" w:cs="Times New Roman"/>
        </w:rPr>
        <w:t>, http://www.jstor.org/stable/j.ctt1kw2b9v.18. Accessed 8 Mar. 2026, p. 193.</w:t>
      </w:r>
      <w:bookmarkEnd w:id="4"/>
    </w:p>
  </w:footnote>
  <w:footnote w:id="32">
    <w:p w14:paraId="3F4C3837" w14:textId="4A40400A" w:rsidR="00293F32" w:rsidRDefault="00293F32">
      <w:pPr>
        <w:pStyle w:val="FootnoteText"/>
      </w:pPr>
      <w:r w:rsidRPr="00AC461A">
        <w:rPr>
          <w:rStyle w:val="FootnoteReference"/>
          <w:rFonts w:ascii="Times New Roman" w:hAnsi="Times New Roman" w:cs="Times New Roman"/>
          <w:sz w:val="22"/>
          <w:szCs w:val="22"/>
        </w:rPr>
        <w:footnoteRef/>
      </w:r>
      <w:r w:rsidRPr="00AC461A">
        <w:rPr>
          <w:rFonts w:ascii="Times New Roman" w:hAnsi="Times New Roman" w:cs="Times New Roman"/>
          <w:sz w:val="22"/>
          <w:szCs w:val="22"/>
        </w:rPr>
        <w:t xml:space="preserve"> </w:t>
      </w:r>
      <w:r w:rsidR="00323B20" w:rsidRPr="000743C3">
        <w:rPr>
          <w:rFonts w:ascii="Times New Roman" w:hAnsi="Times New Roman" w:cs="Times New Roman"/>
          <w:sz w:val="22"/>
          <w:szCs w:val="22"/>
        </w:rPr>
        <w:t xml:space="preserve">Rose, Pamela, et al. “The Ceramics from Shaft I.” </w:t>
      </w:r>
      <w:r w:rsidR="00323B20" w:rsidRPr="000743C3">
        <w:rPr>
          <w:rFonts w:ascii="Times New Roman" w:hAnsi="Times New Roman" w:cs="Times New Roman"/>
          <w:i/>
          <w:iCs/>
          <w:sz w:val="22"/>
          <w:szCs w:val="22"/>
        </w:rPr>
        <w:t>The Tomb of Pharaoh’s Chancellor Senneferi at Thebes (TT99)</w:t>
      </w:r>
      <w:r w:rsidR="00323B20" w:rsidRPr="000743C3">
        <w:rPr>
          <w:rFonts w:ascii="Times New Roman" w:hAnsi="Times New Roman" w:cs="Times New Roman"/>
          <w:sz w:val="22"/>
          <w:szCs w:val="22"/>
        </w:rPr>
        <w:t xml:space="preserve">, edited by NIGEL STRUDWICK, 1st ed., Oxbow Books, 2016, pp. 191–238. </w:t>
      </w:r>
      <w:r w:rsidR="00323B20" w:rsidRPr="000743C3">
        <w:rPr>
          <w:rFonts w:ascii="Times New Roman" w:hAnsi="Times New Roman" w:cs="Times New Roman"/>
          <w:i/>
          <w:iCs/>
          <w:sz w:val="22"/>
          <w:szCs w:val="22"/>
        </w:rPr>
        <w:t>JSTOR</w:t>
      </w:r>
      <w:r w:rsidR="00323B20" w:rsidRPr="000743C3">
        <w:rPr>
          <w:rFonts w:ascii="Times New Roman" w:hAnsi="Times New Roman" w:cs="Times New Roman"/>
          <w:sz w:val="22"/>
          <w:szCs w:val="22"/>
        </w:rPr>
        <w:t xml:space="preserve">, http://www.jstor.org/stable/j.ctt1kw2b9v.18. Accessed 8 Mar. 2026, p. </w:t>
      </w:r>
      <w:r w:rsidR="00323B20">
        <w:rPr>
          <w:rFonts w:ascii="Times New Roman" w:hAnsi="Times New Roman" w:cs="Times New Roman"/>
          <w:sz w:val="22"/>
          <w:szCs w:val="22"/>
        </w:rPr>
        <w:t>196</w:t>
      </w:r>
      <w:r w:rsidR="00323B20" w:rsidRPr="000743C3">
        <w:rPr>
          <w:rFonts w:ascii="Times New Roman" w:hAnsi="Times New Roman" w:cs="Times New Roman"/>
          <w:sz w:val="22"/>
          <w:szCs w:val="22"/>
        </w:rPr>
        <w:t>.</w:t>
      </w:r>
    </w:p>
  </w:footnote>
  <w:footnote w:id="33">
    <w:p w14:paraId="7A7473A7" w14:textId="3C2723F9" w:rsidR="00AC461A" w:rsidRPr="000743C3" w:rsidRDefault="00AC461A">
      <w:pPr>
        <w:pStyle w:val="FootnoteText"/>
        <w:rPr>
          <w:rFonts w:ascii="Times New Roman" w:hAnsi="Times New Roman" w:cs="Times New Roman"/>
          <w:sz w:val="22"/>
          <w:szCs w:val="22"/>
        </w:rPr>
      </w:pPr>
      <w:r w:rsidRPr="000743C3">
        <w:rPr>
          <w:rStyle w:val="FootnoteReference"/>
          <w:rFonts w:ascii="Times New Roman" w:hAnsi="Times New Roman" w:cs="Times New Roman"/>
          <w:sz w:val="22"/>
          <w:szCs w:val="22"/>
        </w:rPr>
        <w:footnoteRef/>
      </w:r>
      <w:r w:rsidRPr="000743C3">
        <w:rPr>
          <w:rFonts w:ascii="Times New Roman" w:hAnsi="Times New Roman" w:cs="Times New Roman"/>
          <w:sz w:val="22"/>
          <w:szCs w:val="22"/>
        </w:rPr>
        <w:t xml:space="preserve"> </w:t>
      </w:r>
      <w:r w:rsidR="00323B20">
        <w:rPr>
          <w:rFonts w:ascii="Times New Roman" w:hAnsi="Times New Roman" w:cs="Times New Roman"/>
          <w:sz w:val="22"/>
          <w:szCs w:val="22"/>
        </w:rPr>
        <w:t>Ibid p. 206.</w:t>
      </w:r>
    </w:p>
  </w:footnote>
  <w:footnote w:id="34">
    <w:p w14:paraId="30FF0C99" w14:textId="0D3AA776" w:rsidR="00346241" w:rsidRPr="000743C3" w:rsidRDefault="00346241">
      <w:pPr>
        <w:pStyle w:val="FootnoteText"/>
        <w:rPr>
          <w:rFonts w:ascii="Times New Roman" w:hAnsi="Times New Roman" w:cs="Times New Roman"/>
          <w:sz w:val="22"/>
          <w:szCs w:val="22"/>
        </w:rPr>
      </w:pPr>
      <w:r w:rsidRPr="000743C3">
        <w:rPr>
          <w:rStyle w:val="FootnoteReference"/>
          <w:rFonts w:ascii="Times New Roman" w:hAnsi="Times New Roman" w:cs="Times New Roman"/>
          <w:sz w:val="22"/>
          <w:szCs w:val="22"/>
        </w:rPr>
        <w:footnoteRef/>
      </w:r>
      <w:r w:rsidRPr="000743C3">
        <w:rPr>
          <w:rFonts w:ascii="Times New Roman" w:hAnsi="Times New Roman" w:cs="Times New Roman"/>
          <w:sz w:val="22"/>
          <w:szCs w:val="22"/>
        </w:rPr>
        <w:t xml:space="preserve"> Ibid p. 2</w:t>
      </w:r>
      <w:r w:rsidR="00477F31" w:rsidRPr="000743C3">
        <w:rPr>
          <w:rFonts w:ascii="Times New Roman" w:hAnsi="Times New Roman" w:cs="Times New Roman"/>
          <w:sz w:val="22"/>
          <w:szCs w:val="22"/>
        </w:rPr>
        <w:t>14.</w:t>
      </w:r>
    </w:p>
  </w:footnote>
  <w:footnote w:id="35">
    <w:p w14:paraId="2F3C2ED0" w14:textId="46ED673F" w:rsidR="00B52AE7" w:rsidRPr="000743C3" w:rsidRDefault="00B52AE7">
      <w:pPr>
        <w:pStyle w:val="FootnoteText"/>
        <w:rPr>
          <w:rFonts w:ascii="Times New Roman" w:hAnsi="Times New Roman" w:cs="Times New Roman"/>
          <w:sz w:val="22"/>
          <w:szCs w:val="22"/>
        </w:rPr>
      </w:pPr>
      <w:r w:rsidRPr="000743C3">
        <w:rPr>
          <w:rStyle w:val="FootnoteReference"/>
          <w:rFonts w:ascii="Times New Roman" w:hAnsi="Times New Roman" w:cs="Times New Roman"/>
          <w:sz w:val="22"/>
          <w:szCs w:val="22"/>
        </w:rPr>
        <w:footnoteRef/>
      </w:r>
      <w:r w:rsidRPr="000743C3">
        <w:rPr>
          <w:rFonts w:ascii="Times New Roman" w:hAnsi="Times New Roman" w:cs="Times New Roman"/>
          <w:sz w:val="22"/>
          <w:szCs w:val="22"/>
        </w:rPr>
        <w:t xml:space="preserve"> </w:t>
      </w:r>
      <w:r w:rsidR="007D1AFE" w:rsidRPr="000743C3">
        <w:rPr>
          <w:rFonts w:ascii="Times New Roman" w:hAnsi="Times New Roman" w:cs="Times New Roman"/>
          <w:sz w:val="22"/>
          <w:szCs w:val="22"/>
        </w:rPr>
        <w:t xml:space="preserve">Strudwick, Nigel, et al. “Small Finds from Shaft I and an Overview of the Burial Assemblage of Senneferi.” </w:t>
      </w:r>
      <w:r w:rsidR="007D1AFE" w:rsidRPr="000743C3">
        <w:rPr>
          <w:rFonts w:ascii="Times New Roman" w:hAnsi="Times New Roman" w:cs="Times New Roman"/>
          <w:i/>
          <w:iCs/>
          <w:sz w:val="22"/>
          <w:szCs w:val="22"/>
        </w:rPr>
        <w:t>The Tomb of Pharaoh’s Chancellor Senneferi at Thebes (TT99)</w:t>
      </w:r>
      <w:r w:rsidR="007D1AFE" w:rsidRPr="000743C3">
        <w:rPr>
          <w:rFonts w:ascii="Times New Roman" w:hAnsi="Times New Roman" w:cs="Times New Roman"/>
          <w:sz w:val="22"/>
          <w:szCs w:val="22"/>
        </w:rPr>
        <w:t xml:space="preserve">, edited by NIGEL STRUDWICK, 1st ed., Oxbow Books, 2016, pp. 260–92. </w:t>
      </w:r>
      <w:r w:rsidR="007D1AFE" w:rsidRPr="000743C3">
        <w:rPr>
          <w:rFonts w:ascii="Times New Roman" w:hAnsi="Times New Roman" w:cs="Times New Roman"/>
          <w:i/>
          <w:iCs/>
          <w:sz w:val="22"/>
          <w:szCs w:val="22"/>
        </w:rPr>
        <w:t>JSTOR</w:t>
      </w:r>
      <w:r w:rsidR="007D1AFE" w:rsidRPr="000743C3">
        <w:rPr>
          <w:rFonts w:ascii="Times New Roman" w:hAnsi="Times New Roman" w:cs="Times New Roman"/>
          <w:sz w:val="22"/>
          <w:szCs w:val="22"/>
        </w:rPr>
        <w:t>, http://www.jstor.org/stable/j.ctt1kw2b9v.20. Accessed 8 Mar. 2026, p. 263 – 271.</w:t>
      </w:r>
    </w:p>
  </w:footnote>
  <w:footnote w:id="36">
    <w:p w14:paraId="56B214B1" w14:textId="4E213E8B" w:rsidR="00A97B78" w:rsidRPr="000743C3" w:rsidRDefault="00A97B78" w:rsidP="000743C3">
      <w:pPr>
        <w:spacing w:after="0"/>
        <w:rPr>
          <w:rFonts w:ascii="Times New Roman" w:hAnsi="Times New Roman" w:cs="Times New Roman"/>
        </w:rPr>
      </w:pPr>
      <w:r w:rsidRPr="000743C3">
        <w:rPr>
          <w:rStyle w:val="FootnoteReference"/>
          <w:rFonts w:ascii="Times New Roman" w:hAnsi="Times New Roman" w:cs="Times New Roman"/>
        </w:rPr>
        <w:footnoteRef/>
      </w:r>
      <w:r w:rsidRPr="000743C3">
        <w:rPr>
          <w:rFonts w:ascii="Times New Roman" w:hAnsi="Times New Roman" w:cs="Times New Roman"/>
        </w:rPr>
        <w:t xml:space="preserve"> </w:t>
      </w:r>
      <w:bookmarkStart w:id="5" w:name="_Toc223877950"/>
      <w:proofErr w:type="spellStart"/>
      <w:r w:rsidRPr="000743C3">
        <w:rPr>
          <w:rFonts w:ascii="Times New Roman" w:hAnsi="Times New Roman" w:cs="Times New Roman"/>
        </w:rPr>
        <w:t>Bohleke</w:t>
      </w:r>
      <w:proofErr w:type="spellEnd"/>
      <w:r w:rsidRPr="000743C3">
        <w:rPr>
          <w:rFonts w:ascii="Times New Roman" w:hAnsi="Times New Roman" w:cs="Times New Roman"/>
        </w:rPr>
        <w:t>, Briant, and Nigel Strudwick. 2017. ‘A Label for Opening of the Mouth Implements from the Burial of Senneferi (TT99) and Remarks on the Ritual’, </w:t>
      </w:r>
      <w:r w:rsidRPr="000743C3">
        <w:rPr>
          <w:rFonts w:ascii="Times New Roman" w:hAnsi="Times New Roman" w:cs="Times New Roman"/>
          <w:i/>
          <w:iCs/>
        </w:rPr>
        <w:t>Études et Travaux</w:t>
      </w:r>
      <w:r w:rsidRPr="000743C3">
        <w:rPr>
          <w:rFonts w:ascii="Times New Roman" w:hAnsi="Times New Roman" w:cs="Times New Roman"/>
        </w:rPr>
        <w:t>: 105 https://doi.org/10.12775/etudtrav.30.004</w:t>
      </w:r>
      <w:bookmarkEnd w:id="5"/>
      <w:r w:rsidRPr="000743C3">
        <w:rPr>
          <w:rFonts w:ascii="Times New Roman" w:hAnsi="Times New Roman" w:cs="Times New Roman"/>
        </w:rPr>
        <w:t>, p</w:t>
      </w:r>
      <w:r w:rsidR="001B00FF" w:rsidRPr="000743C3">
        <w:rPr>
          <w:rFonts w:ascii="Times New Roman" w:hAnsi="Times New Roman" w:cs="Times New Roman"/>
        </w:rPr>
        <w:t xml:space="preserve"> 115.</w:t>
      </w:r>
    </w:p>
  </w:footnote>
  <w:footnote w:id="37">
    <w:p w14:paraId="2BE0D999" w14:textId="1218573B" w:rsidR="00C11F14" w:rsidRPr="000743C3" w:rsidRDefault="00C11F14" w:rsidP="000743C3">
      <w:pPr>
        <w:pStyle w:val="FootnoteText"/>
        <w:rPr>
          <w:rFonts w:ascii="Times New Roman" w:hAnsi="Times New Roman" w:cs="Times New Roman"/>
          <w:sz w:val="22"/>
          <w:szCs w:val="22"/>
        </w:rPr>
      </w:pPr>
      <w:r w:rsidRPr="000743C3">
        <w:rPr>
          <w:rStyle w:val="FootnoteReference"/>
          <w:rFonts w:ascii="Times New Roman" w:hAnsi="Times New Roman" w:cs="Times New Roman"/>
          <w:sz w:val="22"/>
          <w:szCs w:val="22"/>
        </w:rPr>
        <w:footnoteRef/>
      </w:r>
      <w:r w:rsidRPr="000743C3">
        <w:rPr>
          <w:rFonts w:ascii="Times New Roman" w:hAnsi="Times New Roman" w:cs="Times New Roman"/>
          <w:sz w:val="22"/>
          <w:szCs w:val="22"/>
        </w:rPr>
        <w:t xml:space="preserve"> Strudwick, Nigel, et al. “Small Finds from Shaft I and an Overview of the Burial Assemblage of Senneferi.” </w:t>
      </w:r>
      <w:r w:rsidRPr="000743C3">
        <w:rPr>
          <w:rFonts w:ascii="Times New Roman" w:hAnsi="Times New Roman" w:cs="Times New Roman"/>
          <w:i/>
          <w:iCs/>
          <w:sz w:val="22"/>
          <w:szCs w:val="22"/>
        </w:rPr>
        <w:t>The Tomb of Pharaoh’s Chancellor Senneferi at Thebes (TT99)</w:t>
      </w:r>
      <w:r w:rsidRPr="000743C3">
        <w:rPr>
          <w:rFonts w:ascii="Times New Roman" w:hAnsi="Times New Roman" w:cs="Times New Roman"/>
          <w:sz w:val="22"/>
          <w:szCs w:val="22"/>
        </w:rPr>
        <w:t xml:space="preserve">, edited by NIGEL STRUDWICK, 1st ed., Oxbow Books, 2016, pp. 260–92. </w:t>
      </w:r>
      <w:r w:rsidRPr="000743C3">
        <w:rPr>
          <w:rFonts w:ascii="Times New Roman" w:hAnsi="Times New Roman" w:cs="Times New Roman"/>
          <w:i/>
          <w:iCs/>
          <w:sz w:val="22"/>
          <w:szCs w:val="22"/>
        </w:rPr>
        <w:t>JSTOR</w:t>
      </w:r>
      <w:r w:rsidRPr="000743C3">
        <w:rPr>
          <w:rFonts w:ascii="Times New Roman" w:hAnsi="Times New Roman" w:cs="Times New Roman"/>
          <w:sz w:val="22"/>
          <w:szCs w:val="22"/>
        </w:rPr>
        <w:t>, http://www.jstor.org/stable/j.ctt1kw2b9v.20. Accessed 8 Mar. 2026, p. 2</w:t>
      </w:r>
      <w:r w:rsidR="00222510" w:rsidRPr="000743C3">
        <w:rPr>
          <w:rFonts w:ascii="Times New Roman" w:hAnsi="Times New Roman" w:cs="Times New Roman"/>
          <w:sz w:val="22"/>
          <w:szCs w:val="22"/>
        </w:rPr>
        <w:t>76</w:t>
      </w:r>
      <w:r w:rsidRPr="000743C3">
        <w:rPr>
          <w:rFonts w:ascii="Times New Roman" w:hAnsi="Times New Roman" w:cs="Times New Roman"/>
          <w:sz w:val="22"/>
          <w:szCs w:val="22"/>
        </w:rPr>
        <w:t>.</w:t>
      </w:r>
    </w:p>
  </w:footnote>
  <w:footnote w:id="38">
    <w:p w14:paraId="3615A4F4" w14:textId="4989B223" w:rsidR="000743C3" w:rsidRDefault="000743C3" w:rsidP="000743C3">
      <w:pPr>
        <w:pStyle w:val="FootnoteText"/>
      </w:pPr>
      <w:r w:rsidRPr="000743C3">
        <w:rPr>
          <w:rStyle w:val="FootnoteReference"/>
          <w:rFonts w:ascii="Times New Roman" w:hAnsi="Times New Roman" w:cs="Times New Roman"/>
          <w:sz w:val="22"/>
          <w:szCs w:val="22"/>
        </w:rPr>
        <w:footnoteRef/>
      </w:r>
      <w:r w:rsidRPr="000743C3">
        <w:rPr>
          <w:rFonts w:ascii="Times New Roman" w:hAnsi="Times New Roman" w:cs="Times New Roman"/>
          <w:sz w:val="22"/>
          <w:szCs w:val="22"/>
        </w:rPr>
        <w:t xml:space="preserve"> </w:t>
      </w:r>
      <w:r w:rsidR="00323B20" w:rsidRPr="000743C3">
        <w:rPr>
          <w:rFonts w:ascii="Times New Roman" w:hAnsi="Times New Roman" w:cs="Times New Roman"/>
          <w:sz w:val="22"/>
          <w:szCs w:val="22"/>
        </w:rPr>
        <w:t xml:space="preserve">Strudwick, Nigel, et al. “Small Finds from Shaft I and an Overview of the Burial Assemblage of Senneferi.” </w:t>
      </w:r>
      <w:r w:rsidR="00323B20" w:rsidRPr="000743C3">
        <w:rPr>
          <w:rFonts w:ascii="Times New Roman" w:hAnsi="Times New Roman" w:cs="Times New Roman"/>
          <w:i/>
          <w:iCs/>
          <w:sz w:val="22"/>
          <w:szCs w:val="22"/>
        </w:rPr>
        <w:t>The Tomb of Pharaoh’s Chancellor Senneferi at Thebes (TT99)</w:t>
      </w:r>
      <w:r w:rsidR="00323B20" w:rsidRPr="000743C3">
        <w:rPr>
          <w:rFonts w:ascii="Times New Roman" w:hAnsi="Times New Roman" w:cs="Times New Roman"/>
          <w:sz w:val="22"/>
          <w:szCs w:val="22"/>
        </w:rPr>
        <w:t xml:space="preserve">, edited by NIGEL STRUDWICK, 1st ed., Oxbow Books, 2016, pp. 260–92. </w:t>
      </w:r>
      <w:r w:rsidR="00323B20" w:rsidRPr="000743C3">
        <w:rPr>
          <w:rFonts w:ascii="Times New Roman" w:hAnsi="Times New Roman" w:cs="Times New Roman"/>
          <w:i/>
          <w:iCs/>
          <w:sz w:val="22"/>
          <w:szCs w:val="22"/>
        </w:rPr>
        <w:t>JSTOR</w:t>
      </w:r>
      <w:r w:rsidR="00323B20" w:rsidRPr="000743C3">
        <w:rPr>
          <w:rFonts w:ascii="Times New Roman" w:hAnsi="Times New Roman" w:cs="Times New Roman"/>
          <w:sz w:val="22"/>
          <w:szCs w:val="22"/>
        </w:rPr>
        <w:t xml:space="preserve">, http://www.jstor.org/stable/j.ctt1kw2b9v.20. Accessed 8 Mar. 2026, </w:t>
      </w:r>
      <w:r w:rsidRPr="000743C3">
        <w:rPr>
          <w:rFonts w:ascii="Times New Roman" w:hAnsi="Times New Roman" w:cs="Times New Roman"/>
          <w:sz w:val="22"/>
          <w:szCs w:val="22"/>
        </w:rPr>
        <w:t>p. 276 – 277.</w:t>
      </w:r>
    </w:p>
  </w:footnote>
  <w:footnote w:id="39">
    <w:p w14:paraId="550AFC1E" w14:textId="6CF5ADBF" w:rsidR="00064B60" w:rsidRDefault="00064B60">
      <w:pPr>
        <w:pStyle w:val="FootnoteText"/>
      </w:pPr>
      <w:r>
        <w:rPr>
          <w:rStyle w:val="FootnoteReference"/>
        </w:rPr>
        <w:footnoteRef/>
      </w:r>
      <w:r>
        <w:t xml:space="preserve"> </w:t>
      </w:r>
      <w:r w:rsidRPr="000743C3">
        <w:rPr>
          <w:rFonts w:ascii="Times New Roman" w:hAnsi="Times New Roman" w:cs="Times New Roman"/>
          <w:sz w:val="22"/>
          <w:szCs w:val="22"/>
        </w:rPr>
        <w:t xml:space="preserve">Rose, Pamela, et al. “The Ceramics from Shaft I.” </w:t>
      </w:r>
      <w:r w:rsidRPr="000743C3">
        <w:rPr>
          <w:rFonts w:ascii="Times New Roman" w:hAnsi="Times New Roman" w:cs="Times New Roman"/>
          <w:i/>
          <w:iCs/>
          <w:sz w:val="22"/>
          <w:szCs w:val="22"/>
        </w:rPr>
        <w:t>The Tomb of Pharaoh’s Chancellor Senneferi at Thebes (TT99)</w:t>
      </w:r>
      <w:r w:rsidRPr="000743C3">
        <w:rPr>
          <w:rFonts w:ascii="Times New Roman" w:hAnsi="Times New Roman" w:cs="Times New Roman"/>
          <w:sz w:val="22"/>
          <w:szCs w:val="22"/>
        </w:rPr>
        <w:t xml:space="preserve">, edited by NIGEL STRUDWICK, 1st ed., Oxbow Books, 2016, pp. 191–238. </w:t>
      </w:r>
      <w:r w:rsidRPr="000743C3">
        <w:rPr>
          <w:rFonts w:ascii="Times New Roman" w:hAnsi="Times New Roman" w:cs="Times New Roman"/>
          <w:i/>
          <w:iCs/>
          <w:sz w:val="22"/>
          <w:szCs w:val="22"/>
        </w:rPr>
        <w:t>JSTOR</w:t>
      </w:r>
      <w:r w:rsidRPr="000743C3">
        <w:rPr>
          <w:rFonts w:ascii="Times New Roman" w:hAnsi="Times New Roman" w:cs="Times New Roman"/>
          <w:sz w:val="22"/>
          <w:szCs w:val="22"/>
        </w:rPr>
        <w:t>, http://www.jstor.org/stable/j.ctt1kw2b9v.18. Accessed 8 Mar. 2026, p. 206.</w:t>
      </w:r>
    </w:p>
  </w:footnote>
  <w:footnote w:id="40">
    <w:p w14:paraId="0DF269BA" w14:textId="033A219A" w:rsidR="00FE6D51" w:rsidRPr="00D50F74" w:rsidRDefault="00FE6D51" w:rsidP="00FE6D51">
      <w:pPr>
        <w:pStyle w:val="FootnoteText"/>
        <w:rPr>
          <w:rFonts w:ascii="Times New Roman" w:hAnsi="Times New Roman" w:cs="Times New Roman"/>
          <w:sz w:val="22"/>
          <w:szCs w:val="22"/>
        </w:rPr>
      </w:pPr>
      <w:r>
        <w:rPr>
          <w:rStyle w:val="FootnoteReference"/>
        </w:rPr>
        <w:footnoteRef/>
      </w:r>
      <w:r>
        <w:t xml:space="preserve"> </w:t>
      </w:r>
      <w:r w:rsidRPr="00D50F74">
        <w:rPr>
          <w:rFonts w:ascii="Times New Roman" w:hAnsi="Times New Roman" w:cs="Times New Roman"/>
          <w:sz w:val="22"/>
          <w:szCs w:val="22"/>
        </w:rPr>
        <w:t xml:space="preserve">Strudwick, Nigel, et al. “Senneferi, His Family and Related Monuments.” </w:t>
      </w:r>
      <w:r w:rsidRPr="00D50F74">
        <w:rPr>
          <w:rFonts w:ascii="Times New Roman" w:hAnsi="Times New Roman" w:cs="Times New Roman"/>
          <w:i/>
          <w:iCs/>
          <w:sz w:val="22"/>
          <w:szCs w:val="22"/>
        </w:rPr>
        <w:t>The Tomb of Pharaoh’s Chancellor Senneferi at Thebes (TT99)</w:t>
      </w:r>
      <w:r w:rsidRPr="00D50F74">
        <w:rPr>
          <w:rFonts w:ascii="Times New Roman" w:hAnsi="Times New Roman" w:cs="Times New Roman"/>
          <w:sz w:val="22"/>
          <w:szCs w:val="22"/>
        </w:rPr>
        <w:t xml:space="preserve">, edited by NIGEL STRUDWICK, 1st ed., Oxbow Books, 2016, pp. 8–36. </w:t>
      </w:r>
      <w:r w:rsidRPr="00D50F74">
        <w:rPr>
          <w:rFonts w:ascii="Times New Roman" w:hAnsi="Times New Roman" w:cs="Times New Roman"/>
          <w:i/>
          <w:iCs/>
          <w:sz w:val="22"/>
          <w:szCs w:val="22"/>
        </w:rPr>
        <w:t>JSTOR</w:t>
      </w:r>
      <w:r w:rsidRPr="00D50F74">
        <w:rPr>
          <w:rFonts w:ascii="Times New Roman" w:hAnsi="Times New Roman" w:cs="Times New Roman"/>
          <w:sz w:val="22"/>
          <w:szCs w:val="22"/>
        </w:rPr>
        <w:t>, http://www.jstor.org/stable/j.ctt1kw2b9v.11. Accessed 5 Mar. 2026</w:t>
      </w:r>
      <w:r>
        <w:rPr>
          <w:rFonts w:ascii="Times New Roman" w:hAnsi="Times New Roman" w:cs="Times New Roman"/>
          <w:sz w:val="22"/>
          <w:szCs w:val="22"/>
        </w:rPr>
        <w:t>.</w:t>
      </w:r>
    </w:p>
    <w:p w14:paraId="38A1F5B3" w14:textId="27CEAB3C" w:rsidR="00FE6D51" w:rsidRDefault="00FE6D51">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FACE2A" w14:textId="5D63A9D3" w:rsidR="00287D65" w:rsidRPr="00287D65" w:rsidRDefault="0048009B">
    <w:pPr>
      <w:pStyle w:val="Header"/>
      <w:jc w:val="center"/>
      <w:rPr>
        <w:rFonts w:ascii="Times New Roman" w:hAnsi="Times New Roman" w:cs="Times New Roman"/>
        <w:sz w:val="20"/>
      </w:rPr>
    </w:pPr>
    <w:sdt>
      <w:sdtPr>
        <w:rPr>
          <w:color w:val="156082" w:themeColor="accent1"/>
          <w:sz w:val="20"/>
          <w:szCs w:val="20"/>
        </w:rPr>
        <w:id w:val="-1494406263"/>
        <w:docPartObj>
          <w:docPartGallery w:val="Page Numbers (Margins)"/>
          <w:docPartUnique/>
        </w:docPartObj>
      </w:sdtPr>
      <w:sdtEndPr/>
      <w:sdtContent>
        <w:r w:rsidR="00287D65" w:rsidRPr="00287D65">
          <w:rPr>
            <w:noProof/>
            <w:color w:val="156082" w:themeColor="accent1"/>
            <w:sz w:val="20"/>
            <w:szCs w:val="20"/>
          </w:rPr>
          <mc:AlternateContent>
            <mc:Choice Requires="wps">
              <w:drawing>
                <wp:anchor distT="0" distB="0" distL="114300" distR="114300" simplePos="0" relativeHeight="251659264" behindDoc="0" locked="0" layoutInCell="0" allowOverlap="1" wp14:anchorId="6D71213B" wp14:editId="7D3D0C58">
                  <wp:simplePos x="0" y="0"/>
                  <wp:positionH relativeFrom="rightMargin">
                    <wp:align>right</wp:align>
                  </wp:positionH>
                  <mc:AlternateContent>
                    <mc:Choice Requires="wp14">
                      <wp:positionV relativeFrom="margin">
                        <wp14:pctPosVOffset>10000</wp14:pctPosVOffset>
                      </wp:positionV>
                    </mc:Choice>
                    <mc:Fallback>
                      <wp:positionV relativeFrom="page">
                        <wp:posOffset>1800225</wp:posOffset>
                      </wp:positionV>
                    </mc:Fallback>
                  </mc:AlternateContent>
                  <wp:extent cx="819150" cy="433705"/>
                  <wp:effectExtent l="0" t="0" r="1905" b="4445"/>
                  <wp:wrapNone/>
                  <wp:docPr id="128697318"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9150" cy="43370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814B9AA" w14:textId="77777777" w:rsidR="00287D65" w:rsidRDefault="00287D65">
                              <w:pPr>
                                <w:pBdr>
                                  <w:top w:val="single" w:sz="4" w:space="1" w:color="D8D8D8" w:themeColor="background1" w:themeShade="D8"/>
                                </w:pBdr>
                              </w:pPr>
                              <w:r>
                                <w:t xml:space="preserve">Page | </w:t>
                              </w:r>
                              <w:r>
                                <w:fldChar w:fldCharType="begin"/>
                              </w:r>
                              <w:r>
                                <w:instrText xml:space="preserve"> PAGE   \* MERGEFORMAT </w:instrText>
                              </w:r>
                              <w:r>
                                <w:fldChar w:fldCharType="separate"/>
                              </w:r>
                              <w:r>
                                <w:rPr>
                                  <w:noProof/>
                                </w:rPr>
                                <w:t>2</w:t>
                              </w:r>
                              <w:r>
                                <w:rPr>
                                  <w:noProof/>
                                </w:rPr>
                                <w:fldChar w:fldCharType="end"/>
                              </w:r>
                            </w:p>
                          </w:txbxContent>
                        </wps:txbx>
                        <wps:bodyPr rot="0" vert="horz" wrap="square" lIns="0" tIns="45720" rIns="0" bIns="45720" anchor="t" anchorCtr="0" upright="1">
                          <a:spAutoFit/>
                        </wps:bodyPr>
                      </wps:wsp>
                    </a:graphicData>
                  </a:graphic>
                  <wp14:sizeRelH relativeFrom="rightMargin">
                    <wp14:pctWidth>90000</wp14:pctWidth>
                  </wp14:sizeRelH>
                  <wp14:sizeRelV relativeFrom="page">
                    <wp14:pctHeight>0</wp14:pctHeight>
                  </wp14:sizeRelV>
                </wp:anchor>
              </w:drawing>
            </mc:Choice>
            <mc:Fallback>
              <w:pict>
                <v:rect w14:anchorId="6D71213B" id="Rectangle 1" o:spid="_x0000_s1026" style="position:absolute;left:0;text-align:left;margin-left:13.3pt;margin-top:0;width:64.5pt;height:34.15pt;z-index:251659264;visibility:visible;mso-wrap-style:square;mso-width-percent:900;mso-height-percent:0;mso-top-percent:100;mso-wrap-distance-left:9pt;mso-wrap-distance-top:0;mso-wrap-distance-right:9pt;mso-wrap-distance-bottom:0;mso-position-horizontal:right;mso-position-horizontal-relative:right-margin-area;mso-position-vertical-relative:margin;mso-width-percent:900;mso-height-percent:0;mso-top-percent:100;mso-width-relative:right-margin-area;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" o:allowincell="f" stroked="f">
                  <v:textbox style="mso-fit-shape-to-text:t" inset="0,,0">
                    <w:txbxContent>
                      <w:p w14:paraId="2814B9AA" w14:textId="77777777" w:rsidR="00287D65" w:rsidRDefault="00287D65">
                        <w:pPr>
                          <w:pBdr>
                            <w:top w:val="single" w:sz="4" w:space="1" w:color="D8D8D8" w:themeColor="background1" w:themeShade="D8"/>
                          </w:pBdr>
                        </w:pPr>
                        <w:r>
                          <w:t xml:space="preserve">Page | </w:t>
                        </w:r>
                        <w:r>
                          <w:fldChar w:fldCharType="begin"/>
                        </w:r>
                        <w:r>
                          <w:instrText xml:space="preserve"> PAGE   \* MERGEFORMAT </w:instrText>
                        </w:r>
                        <w:r>
                          <w:fldChar w:fldCharType="separate"/>
                        </w:r>
                        <w:r>
                          <w:rPr>
                            <w:noProof/>
                          </w:rPr>
                          <w:t>2</w:t>
                        </w:r>
                        <w:r>
                          <w:rPr>
                            <w:noProof/>
                          </w:rPr>
                          <w:fldChar w:fldCharType="end"/>
                        </w:r>
                      </w:p>
                    </w:txbxContent>
                  </v:textbox>
                  <w10:wrap anchorx="margin" anchory="margin"/>
                </v:rect>
              </w:pict>
            </mc:Fallback>
          </mc:AlternateContent>
        </w:r>
      </w:sdtContent>
    </w:sdt>
    <w:sdt>
      <w:sdtPr>
        <w:rPr>
          <w:rFonts w:ascii="Times New Roman" w:hAnsi="Times New Roman" w:cs="Times New Roman"/>
          <w:sz w:val="20"/>
          <w:szCs w:val="20"/>
        </w:rPr>
        <w:alias w:val="Author"/>
        <w:tag w:val=""/>
        <w:id w:val="-952397527"/>
        <w:placeholder>
          <w:docPart w:val="6C9C3BD74752404A9246035A1381B01B"/>
        </w:placeholder>
        <w:dataBinding w:prefixMappings="xmlns:ns0='http://purl.org/dc/elements/1.1/' xmlns:ns1='http://schemas.openxmlformats.org/package/2006/metadata/core-properties' " w:xpath="/ns1:coreProperties[1]/ns0:creator[1]" w:storeItemID="{6C3C8BC8-F283-45AE-878A-BAB7291924A1}"/>
        <w:text/>
      </w:sdtPr>
      <w:sdtEndPr/>
      <w:sdtContent>
        <w:r w:rsidR="00287D65" w:rsidRPr="00287D65">
          <w:rPr>
            <w:rFonts w:ascii="Times New Roman" w:hAnsi="Times New Roman" w:cs="Times New Roman"/>
            <w:sz w:val="20"/>
            <w:szCs w:val="20"/>
          </w:rPr>
          <w:t>Evan Davies (2304228)</w:t>
        </w:r>
      </w:sdtContent>
    </w:sdt>
  </w:p>
  <w:p w14:paraId="15C3F76E" w14:textId="31C2122A" w:rsidR="00287D65" w:rsidRPr="00287D65" w:rsidRDefault="00287D65">
    <w:pPr>
      <w:pStyle w:val="Header"/>
      <w:jc w:val="center"/>
      <w:rPr>
        <w:rFonts w:ascii="Times New Roman" w:hAnsi="Times New Roman" w:cs="Times New Roman"/>
        <w:caps/>
      </w:rPr>
    </w:pPr>
    <w:r w:rsidRPr="00287D65">
      <w:rPr>
        <w:rFonts w:ascii="Times New Roman" w:hAnsi="Times New Roman" w:cs="Times New Roman"/>
        <w:caps/>
      </w:rPr>
      <w:t xml:space="preserve"> </w:t>
    </w:r>
    <w:sdt>
      <w:sdtPr>
        <w:rPr>
          <w:rFonts w:ascii="Times New Roman" w:hAnsi="Times New Roman" w:cs="Times New Roman"/>
          <w:caps/>
        </w:rPr>
        <w:alias w:val="Title"/>
        <w:tag w:val=""/>
        <w:id w:val="-1954942076"/>
        <w:placeholder>
          <w:docPart w:val="6AB314B2D8A945E9AAB0F29C2DE9C1C6"/>
        </w:placeholder>
        <w:dataBinding w:prefixMappings="xmlns:ns0='http://purl.org/dc/elements/1.1/' xmlns:ns1='http://schemas.openxmlformats.org/package/2006/metadata/core-properties' " w:xpath="/ns1:coreProperties[1]/ns0:title[1]" w:storeItemID="{6C3C8BC8-F283-45AE-878A-BAB7291924A1}"/>
        <w:text/>
      </w:sdtPr>
      <w:sdtEndPr/>
      <w:sdtContent>
        <w:r w:rsidRPr="00287D65">
          <w:rPr>
            <w:rFonts w:ascii="Times New Roman" w:hAnsi="Times New Roman" w:cs="Times New Roman"/>
            <w:caps/>
          </w:rPr>
          <w:t>THE MATERIAL CULTURE OF DEATH: TOMB TT99 IN THEBES (SENNEFERI)</w:t>
        </w:r>
      </w:sdtContent>
    </w:sdt>
  </w:p>
  <w:p w14:paraId="74E27C13" w14:textId="77777777" w:rsidR="00287D65" w:rsidRDefault="00287D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88175B"/>
    <w:multiLevelType w:val="hybridMultilevel"/>
    <w:tmpl w:val="DDEC43C4"/>
    <w:lvl w:ilvl="0" w:tplc="511CF26C">
      <w:start w:val="6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05722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7D65"/>
    <w:rsid w:val="000112CA"/>
    <w:rsid w:val="00014DD4"/>
    <w:rsid w:val="00052FFA"/>
    <w:rsid w:val="0006491A"/>
    <w:rsid w:val="00064B60"/>
    <w:rsid w:val="000743C3"/>
    <w:rsid w:val="001105C0"/>
    <w:rsid w:val="001B00FF"/>
    <w:rsid w:val="00205D2D"/>
    <w:rsid w:val="00222510"/>
    <w:rsid w:val="00243DC5"/>
    <w:rsid w:val="00272526"/>
    <w:rsid w:val="00282512"/>
    <w:rsid w:val="00287D65"/>
    <w:rsid w:val="0029119A"/>
    <w:rsid w:val="00293F32"/>
    <w:rsid w:val="002E62A0"/>
    <w:rsid w:val="002F5E94"/>
    <w:rsid w:val="0032070F"/>
    <w:rsid w:val="00323B20"/>
    <w:rsid w:val="00344226"/>
    <w:rsid w:val="00346241"/>
    <w:rsid w:val="003540A3"/>
    <w:rsid w:val="003B02F6"/>
    <w:rsid w:val="003E276C"/>
    <w:rsid w:val="00400037"/>
    <w:rsid w:val="004126D2"/>
    <w:rsid w:val="00416A2B"/>
    <w:rsid w:val="00441807"/>
    <w:rsid w:val="00477F31"/>
    <w:rsid w:val="0048009B"/>
    <w:rsid w:val="004B2F6D"/>
    <w:rsid w:val="004D0ED4"/>
    <w:rsid w:val="00506471"/>
    <w:rsid w:val="00567757"/>
    <w:rsid w:val="00586C0A"/>
    <w:rsid w:val="005A4AA3"/>
    <w:rsid w:val="005B2E18"/>
    <w:rsid w:val="005D3032"/>
    <w:rsid w:val="005E2467"/>
    <w:rsid w:val="005F0526"/>
    <w:rsid w:val="00635781"/>
    <w:rsid w:val="0064350E"/>
    <w:rsid w:val="00672E4D"/>
    <w:rsid w:val="00683ED9"/>
    <w:rsid w:val="006C0600"/>
    <w:rsid w:val="006C2DF2"/>
    <w:rsid w:val="006E5619"/>
    <w:rsid w:val="00701054"/>
    <w:rsid w:val="00757745"/>
    <w:rsid w:val="007668AA"/>
    <w:rsid w:val="0078029A"/>
    <w:rsid w:val="007A4462"/>
    <w:rsid w:val="007C34E0"/>
    <w:rsid w:val="007C3D10"/>
    <w:rsid w:val="007C42D2"/>
    <w:rsid w:val="007C7B25"/>
    <w:rsid w:val="007D1AFE"/>
    <w:rsid w:val="008102FB"/>
    <w:rsid w:val="008A7539"/>
    <w:rsid w:val="008F53A8"/>
    <w:rsid w:val="00917F54"/>
    <w:rsid w:val="00932E55"/>
    <w:rsid w:val="0094176F"/>
    <w:rsid w:val="009420AB"/>
    <w:rsid w:val="00967293"/>
    <w:rsid w:val="00975E11"/>
    <w:rsid w:val="00987717"/>
    <w:rsid w:val="009C12C5"/>
    <w:rsid w:val="009D60E1"/>
    <w:rsid w:val="009E5CA0"/>
    <w:rsid w:val="00A017E0"/>
    <w:rsid w:val="00A31A89"/>
    <w:rsid w:val="00A35B7E"/>
    <w:rsid w:val="00A41810"/>
    <w:rsid w:val="00A42FFF"/>
    <w:rsid w:val="00A8241F"/>
    <w:rsid w:val="00A932C4"/>
    <w:rsid w:val="00A97B78"/>
    <w:rsid w:val="00AA7C46"/>
    <w:rsid w:val="00AC461A"/>
    <w:rsid w:val="00AE1A8A"/>
    <w:rsid w:val="00B1414E"/>
    <w:rsid w:val="00B150B0"/>
    <w:rsid w:val="00B52AE7"/>
    <w:rsid w:val="00B53807"/>
    <w:rsid w:val="00B66720"/>
    <w:rsid w:val="00B70C5B"/>
    <w:rsid w:val="00BB436D"/>
    <w:rsid w:val="00BB44B3"/>
    <w:rsid w:val="00BC33BD"/>
    <w:rsid w:val="00BF0426"/>
    <w:rsid w:val="00C11F14"/>
    <w:rsid w:val="00C14C49"/>
    <w:rsid w:val="00C14FDF"/>
    <w:rsid w:val="00C37066"/>
    <w:rsid w:val="00C67850"/>
    <w:rsid w:val="00CB3E7B"/>
    <w:rsid w:val="00CB662F"/>
    <w:rsid w:val="00CD25FB"/>
    <w:rsid w:val="00CF1046"/>
    <w:rsid w:val="00D31393"/>
    <w:rsid w:val="00D3635D"/>
    <w:rsid w:val="00D50F74"/>
    <w:rsid w:val="00D65390"/>
    <w:rsid w:val="00D65A16"/>
    <w:rsid w:val="00DB020F"/>
    <w:rsid w:val="00DB44D4"/>
    <w:rsid w:val="00DB55C3"/>
    <w:rsid w:val="00DC6F6E"/>
    <w:rsid w:val="00DE3F2F"/>
    <w:rsid w:val="00DF032B"/>
    <w:rsid w:val="00DF08AD"/>
    <w:rsid w:val="00E1305D"/>
    <w:rsid w:val="00E27F85"/>
    <w:rsid w:val="00E31468"/>
    <w:rsid w:val="00E5434C"/>
    <w:rsid w:val="00E76B56"/>
    <w:rsid w:val="00E83BD9"/>
    <w:rsid w:val="00EB610D"/>
    <w:rsid w:val="00EC54D3"/>
    <w:rsid w:val="00EE636D"/>
    <w:rsid w:val="00EF0D3F"/>
    <w:rsid w:val="00F56B2B"/>
    <w:rsid w:val="00F653DF"/>
    <w:rsid w:val="00F77972"/>
    <w:rsid w:val="00F84077"/>
    <w:rsid w:val="00FA6CA3"/>
    <w:rsid w:val="00FC467B"/>
    <w:rsid w:val="00FE6D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D7F4F32"/>
  <w15:chartTrackingRefBased/>
  <w15:docId w15:val="{F951AF4C-B89F-419B-B6FF-222A0B32DB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7D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87D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87D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7D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7D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7D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7D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7D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7D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7D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87D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87D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7D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7D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7D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7D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7D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7D65"/>
    <w:rPr>
      <w:rFonts w:eastAsiaTheme="majorEastAsia" w:cstheme="majorBidi"/>
      <w:color w:val="272727" w:themeColor="text1" w:themeTint="D8"/>
    </w:rPr>
  </w:style>
  <w:style w:type="paragraph" w:styleId="Title">
    <w:name w:val="Title"/>
    <w:basedOn w:val="Normal"/>
    <w:next w:val="Normal"/>
    <w:link w:val="TitleChar"/>
    <w:uiPriority w:val="10"/>
    <w:qFormat/>
    <w:rsid w:val="00287D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7D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7D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7D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7D65"/>
    <w:pPr>
      <w:spacing w:before="160"/>
      <w:jc w:val="center"/>
    </w:pPr>
    <w:rPr>
      <w:i/>
      <w:iCs/>
      <w:color w:val="404040" w:themeColor="text1" w:themeTint="BF"/>
    </w:rPr>
  </w:style>
  <w:style w:type="character" w:customStyle="1" w:styleId="QuoteChar">
    <w:name w:val="Quote Char"/>
    <w:basedOn w:val="DefaultParagraphFont"/>
    <w:link w:val="Quote"/>
    <w:uiPriority w:val="29"/>
    <w:rsid w:val="00287D65"/>
    <w:rPr>
      <w:i/>
      <w:iCs/>
      <w:color w:val="404040" w:themeColor="text1" w:themeTint="BF"/>
    </w:rPr>
  </w:style>
  <w:style w:type="paragraph" w:styleId="ListParagraph">
    <w:name w:val="List Paragraph"/>
    <w:basedOn w:val="Normal"/>
    <w:uiPriority w:val="34"/>
    <w:qFormat/>
    <w:rsid w:val="00287D65"/>
    <w:pPr>
      <w:ind w:left="720"/>
      <w:contextualSpacing/>
    </w:pPr>
  </w:style>
  <w:style w:type="character" w:styleId="IntenseEmphasis">
    <w:name w:val="Intense Emphasis"/>
    <w:basedOn w:val="DefaultParagraphFont"/>
    <w:uiPriority w:val="21"/>
    <w:qFormat/>
    <w:rsid w:val="00287D65"/>
    <w:rPr>
      <w:i/>
      <w:iCs/>
      <w:color w:val="0F4761" w:themeColor="accent1" w:themeShade="BF"/>
    </w:rPr>
  </w:style>
  <w:style w:type="paragraph" w:styleId="IntenseQuote">
    <w:name w:val="Intense Quote"/>
    <w:basedOn w:val="Normal"/>
    <w:next w:val="Normal"/>
    <w:link w:val="IntenseQuoteChar"/>
    <w:uiPriority w:val="30"/>
    <w:qFormat/>
    <w:rsid w:val="00287D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7D65"/>
    <w:rPr>
      <w:i/>
      <w:iCs/>
      <w:color w:val="0F4761" w:themeColor="accent1" w:themeShade="BF"/>
    </w:rPr>
  </w:style>
  <w:style w:type="character" w:styleId="IntenseReference">
    <w:name w:val="Intense Reference"/>
    <w:basedOn w:val="DefaultParagraphFont"/>
    <w:uiPriority w:val="32"/>
    <w:qFormat/>
    <w:rsid w:val="00287D65"/>
    <w:rPr>
      <w:b/>
      <w:bCs/>
      <w:smallCaps/>
      <w:color w:val="0F4761" w:themeColor="accent1" w:themeShade="BF"/>
      <w:spacing w:val="5"/>
    </w:rPr>
  </w:style>
  <w:style w:type="paragraph" w:styleId="Header">
    <w:name w:val="header"/>
    <w:basedOn w:val="Normal"/>
    <w:link w:val="HeaderChar"/>
    <w:uiPriority w:val="99"/>
    <w:unhideWhenUsed/>
    <w:rsid w:val="00287D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7D65"/>
  </w:style>
  <w:style w:type="paragraph" w:styleId="Footer">
    <w:name w:val="footer"/>
    <w:basedOn w:val="Normal"/>
    <w:link w:val="FooterChar"/>
    <w:uiPriority w:val="99"/>
    <w:unhideWhenUsed/>
    <w:rsid w:val="00287D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7D65"/>
  </w:style>
  <w:style w:type="paragraph" w:styleId="FootnoteText">
    <w:name w:val="footnote text"/>
    <w:basedOn w:val="Normal"/>
    <w:link w:val="FootnoteTextChar"/>
    <w:uiPriority w:val="99"/>
    <w:unhideWhenUsed/>
    <w:rsid w:val="00287D65"/>
    <w:pPr>
      <w:spacing w:after="0" w:line="240" w:lineRule="auto"/>
    </w:pPr>
    <w:rPr>
      <w:sz w:val="20"/>
      <w:szCs w:val="20"/>
    </w:rPr>
  </w:style>
  <w:style w:type="character" w:customStyle="1" w:styleId="FootnoteTextChar">
    <w:name w:val="Footnote Text Char"/>
    <w:basedOn w:val="DefaultParagraphFont"/>
    <w:link w:val="FootnoteText"/>
    <w:uiPriority w:val="99"/>
    <w:rsid w:val="00287D65"/>
    <w:rPr>
      <w:sz w:val="20"/>
      <w:szCs w:val="20"/>
    </w:rPr>
  </w:style>
  <w:style w:type="character" w:styleId="FootnoteReference">
    <w:name w:val="footnote reference"/>
    <w:basedOn w:val="DefaultParagraphFont"/>
    <w:uiPriority w:val="99"/>
    <w:semiHidden/>
    <w:unhideWhenUsed/>
    <w:rsid w:val="00287D65"/>
    <w:rPr>
      <w:vertAlign w:val="superscript"/>
    </w:rPr>
  </w:style>
  <w:style w:type="character" w:styleId="Hyperlink">
    <w:name w:val="Hyperlink"/>
    <w:basedOn w:val="DefaultParagraphFont"/>
    <w:uiPriority w:val="99"/>
    <w:unhideWhenUsed/>
    <w:rsid w:val="00C14C49"/>
    <w:rPr>
      <w:color w:val="467886" w:themeColor="hyperlink"/>
      <w:u w:val="single"/>
    </w:rPr>
  </w:style>
  <w:style w:type="character" w:styleId="UnresolvedMention">
    <w:name w:val="Unresolved Mention"/>
    <w:basedOn w:val="DefaultParagraphFont"/>
    <w:uiPriority w:val="99"/>
    <w:semiHidden/>
    <w:unhideWhenUsed/>
    <w:rsid w:val="00A97B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C9C3BD74752404A9246035A1381B01B"/>
        <w:category>
          <w:name w:val="General"/>
          <w:gallery w:val="placeholder"/>
        </w:category>
        <w:types>
          <w:type w:val="bbPlcHdr"/>
        </w:types>
        <w:behaviors>
          <w:behavior w:val="content"/>
        </w:behaviors>
        <w:guid w:val="{14038D96-5C0D-4E66-9C4E-2187FCE42ABF}"/>
      </w:docPartPr>
      <w:docPartBody>
        <w:p w:rsidR="00EE2D74" w:rsidRDefault="00BB2E1C" w:rsidP="00BB2E1C">
          <w:pPr>
            <w:pStyle w:val="6C9C3BD74752404A9246035A1381B01B"/>
          </w:pPr>
          <w:r>
            <w:rPr>
              <w:color w:val="156082" w:themeColor="accent1"/>
              <w:sz w:val="20"/>
              <w:szCs w:val="20"/>
            </w:rPr>
            <w:t>[Author name]</w:t>
          </w:r>
        </w:p>
      </w:docPartBody>
    </w:docPart>
    <w:docPart>
      <w:docPartPr>
        <w:name w:val="6AB314B2D8A945E9AAB0F29C2DE9C1C6"/>
        <w:category>
          <w:name w:val="General"/>
          <w:gallery w:val="placeholder"/>
        </w:category>
        <w:types>
          <w:type w:val="bbPlcHdr"/>
        </w:types>
        <w:behaviors>
          <w:behavior w:val="content"/>
        </w:behaviors>
        <w:guid w:val="{9A91B8DB-D00D-469B-AED8-4C6492AAB616}"/>
      </w:docPartPr>
      <w:docPartBody>
        <w:p w:rsidR="00EE2D74" w:rsidRDefault="00BB2E1C" w:rsidP="00BB2E1C">
          <w:pPr>
            <w:pStyle w:val="6AB314B2D8A945E9AAB0F29C2DE9C1C6"/>
          </w:pPr>
          <w:r>
            <w:rPr>
              <w:caps/>
              <w:color w:val="156082" w:themeColor="accent1"/>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E1C"/>
    <w:rsid w:val="00910BC1"/>
    <w:rsid w:val="00917F54"/>
    <w:rsid w:val="00BB2E1C"/>
    <w:rsid w:val="00EE2D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C9C3BD74752404A9246035A1381B01B">
    <w:name w:val="6C9C3BD74752404A9246035A1381B01B"/>
    <w:rsid w:val="00BB2E1C"/>
  </w:style>
  <w:style w:type="paragraph" w:customStyle="1" w:styleId="6AB314B2D8A945E9AAB0F29C2DE9C1C6">
    <w:name w:val="6AB314B2D8A945E9AAB0F29C2DE9C1C6"/>
    <w:rsid w:val="00BB2E1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3" ma:contentTypeDescription="Create a new document." ma:contentTypeScope="" ma:versionID="811ddac1e6ab1f67dfcc2fa1bda8f1f5">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979dab2f71e8ac9d93f9e12b158e9212"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45329BE-9DCF-44B0-80B7-65B53C053774}">
  <ds:schemaRefs>
    <ds:schemaRef ds:uri="http://schemas.openxmlformats.org/officeDocument/2006/bibliography"/>
  </ds:schemaRefs>
</ds:datastoreItem>
</file>

<file path=customXml/itemProps2.xml><?xml version="1.0" encoding="utf-8"?>
<ds:datastoreItem xmlns:ds="http://schemas.openxmlformats.org/officeDocument/2006/customXml" ds:itemID="{070F9116-6073-494C-BAC3-D76177B83D5A}">
  <ds:schemaRefs>
    <ds:schemaRef ds:uri="http://schemas.microsoft.com/office/2006/metadata/properties"/>
    <ds:schemaRef ds:uri="http://schemas.microsoft.com/office/infopath/2007/PartnerControls"/>
    <ds:schemaRef ds:uri="60ab93c2-c2e2-4a82-ab36-09e8ba3f753e"/>
  </ds:schemaRefs>
</ds:datastoreItem>
</file>

<file path=customXml/itemProps3.xml><?xml version="1.0" encoding="utf-8"?>
<ds:datastoreItem xmlns:ds="http://schemas.openxmlformats.org/officeDocument/2006/customXml" ds:itemID="{F5ED1D2F-8720-4789-A1BD-0745902606B6}">
  <ds:schemaRefs>
    <ds:schemaRef ds:uri="http://schemas.microsoft.com/sharepoint/v3/contenttype/forms"/>
  </ds:schemaRefs>
</ds:datastoreItem>
</file>

<file path=customXml/itemProps4.xml><?xml version="1.0" encoding="utf-8"?>
<ds:datastoreItem xmlns:ds="http://schemas.openxmlformats.org/officeDocument/2006/customXml" ds:itemID="{AB60C334-88E4-485D-AEA6-332F24DAA1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2819</TotalTime>
  <Pages>7</Pages>
  <Words>2598</Words>
  <Characters>12968</Characters>
  <Application>Microsoft Office Word</Application>
  <DocSecurity>0</DocSecurity>
  <Lines>164</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MATERIAL CULTURE OF DEATH: TOMB TT99 IN THEBES (SENNEFERI)</dc:title>
  <dc:subject/>
  <dc:creator>Evan Davies (2304228)</dc:creator>
  <cp:keywords/>
  <dc:description/>
  <cp:lastModifiedBy>Evan Davies (2304228)</cp:lastModifiedBy>
  <cp:revision>114</cp:revision>
  <dcterms:created xsi:type="dcterms:W3CDTF">2026-03-09T13:51:00Z</dcterms:created>
  <dcterms:modified xsi:type="dcterms:W3CDTF">2026-03-11T13:17:00Z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