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D81A58" w14:textId="77777777" w:rsidR="009257EB" w:rsidRPr="001B1385" w:rsidRDefault="001B1385">
      <w:pPr>
        <w:rPr>
          <w:b/>
          <w:bCs/>
          <w:sz w:val="36"/>
          <w:szCs w:val="36"/>
          <w:u w:val="single"/>
          <w:lang w:val="en-US"/>
        </w:rPr>
      </w:pPr>
      <w:r w:rsidRPr="001B1385">
        <w:rPr>
          <w:b/>
          <w:bCs/>
          <w:sz w:val="36"/>
          <w:szCs w:val="36"/>
          <w:u w:val="single"/>
          <w:lang w:val="en-US"/>
        </w:rPr>
        <w:t>TRUSTS OF THE FAMILY HOME</w:t>
      </w:r>
    </w:p>
    <w:p w14:paraId="43778FD0" w14:textId="77777777" w:rsidR="001B1385" w:rsidRPr="001615A8" w:rsidRDefault="001B1385">
      <w:pPr>
        <w:rPr>
          <w:sz w:val="28"/>
          <w:szCs w:val="28"/>
          <w:lang w:val="en-US"/>
        </w:rPr>
      </w:pPr>
      <w:r w:rsidRPr="001615A8">
        <w:rPr>
          <w:sz w:val="28"/>
          <w:szCs w:val="28"/>
          <w:lang w:val="en-US"/>
        </w:rPr>
        <w:t>Lauren and Karen have been living together for five years and bought a house for £160,000 two years ago.  Karen’s daughter from a previous relationship lives with them.  At the time when they bought the house, Karen’s daughter was very young and Karen was not working.  Lauren and Karen each contributed £20,000 towards the purchase and Lauren took out a mortgage for £120,000.  The house was put into their joint names.  They have a joint back account,  but only Lauren’s salary goes into this account.  The mortgage payments are taken from this joint account.  Karen is still not working but she has done a great deal of work on the house; she is a qualified electrician and also has experience of general building work.  Karen receives some state benefits and she puts these into a special account which is used for family holidays.  Lauren also pays her annual bonus into this account.  Lauren is unhappy in the relationship and is considering leaving Karen, but would like to know what her rights are with respect to the house.  Advise Lauren.</w:t>
      </w:r>
    </w:p>
    <w:p w14:paraId="5CD5037D" w14:textId="77777777" w:rsidR="00B623DD" w:rsidRDefault="00B623DD">
      <w:pPr>
        <w:rPr>
          <w:sz w:val="32"/>
          <w:szCs w:val="32"/>
          <w:lang w:val="en-US"/>
        </w:rPr>
      </w:pPr>
    </w:p>
    <w:p w14:paraId="72F3C5F2" w14:textId="77777777" w:rsidR="00B623DD" w:rsidRPr="001615A8" w:rsidRDefault="00B623DD">
      <w:pPr>
        <w:rPr>
          <w:i/>
          <w:iCs/>
          <w:sz w:val="32"/>
          <w:szCs w:val="32"/>
          <w:lang w:val="en-US"/>
        </w:rPr>
      </w:pPr>
      <w:r>
        <w:rPr>
          <w:i/>
          <w:iCs/>
          <w:sz w:val="32"/>
          <w:szCs w:val="32"/>
          <w:lang w:val="en-US"/>
        </w:rPr>
        <w:t>As the house is in joint names, the issue here is whether Lauren and Karen’s beneficial interests are the same as their legal interests.  The presumption will be that, in equity, they are joint owners, exactly the same as at law, and it is up to Lauren to displace that presumption.  This involves showing a common intention that their shares would be unequal</w:t>
      </w:r>
      <w:r w:rsidR="001615A8">
        <w:rPr>
          <w:i/>
          <w:iCs/>
          <w:sz w:val="32"/>
          <w:szCs w:val="32"/>
          <w:lang w:val="en-US"/>
        </w:rPr>
        <w:t xml:space="preserve">, plus detrimental reliance on that intention.  There does not appear to be an actual agreement about their shares, so the intention would have to be inferred from their conduct.  This is difficult to establish, according to </w:t>
      </w:r>
      <w:r w:rsidR="001615A8">
        <w:rPr>
          <w:b/>
          <w:bCs/>
          <w:i/>
          <w:iCs/>
          <w:sz w:val="32"/>
          <w:szCs w:val="32"/>
          <w:lang w:val="en-US"/>
        </w:rPr>
        <w:t>Stack v Dowden [2007]</w:t>
      </w:r>
      <w:r w:rsidR="001615A8">
        <w:rPr>
          <w:i/>
          <w:iCs/>
          <w:sz w:val="32"/>
          <w:szCs w:val="32"/>
          <w:lang w:val="en-US"/>
        </w:rPr>
        <w:t>, and it is not enough to show that their financial contributions were unequal.  The evidence suggests that Lauren and Karen have merged their finances so far as it is practicable and that the reason Karen doesn’t pay towards the mortgage is that she has not got the money to do so.  She does contribute in other ways towards the family and has assisted with the renovation of the house.  There is nothing obvious in these facts that suggest that the presumption of equal shares is rebutted.</w:t>
      </w:r>
    </w:p>
    <w:sectPr w:rsidR="00B623DD" w:rsidRPr="001615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385"/>
    <w:rsid w:val="001615A8"/>
    <w:rsid w:val="001B1385"/>
    <w:rsid w:val="004062A8"/>
    <w:rsid w:val="009257EB"/>
    <w:rsid w:val="00B62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9EBB3"/>
  <w15:chartTrackingRefBased/>
  <w15:docId w15:val="{66533685-B4EA-4B44-A002-0A9CDE289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324</Words>
  <Characters>1849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2020-11-25T16:16:00Z</dcterms:created>
  <dcterms:modified xsi:type="dcterms:W3CDTF">2020-11-25T16:16:00Z</dcterms:modified>
</cp:coreProperties>
</file>