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EB936F8" wp14:paraId="5E5787A5" wp14:textId="608D6DF8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="23B57B27">
        <w:drawing>
          <wp:inline xmlns:wp14="http://schemas.microsoft.com/office/word/2010/wordprocessingDrawing" wp14:editId="4F2D570F" wp14:anchorId="05E1B100">
            <wp:extent cx="5524500" cy="2219325"/>
            <wp:effectExtent l="0" t="0" r="0" b="0"/>
            <wp:docPr id="136957571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69575717" name="Picture 1369575717"/>
                    <pic:cNvPicPr/>
                  </pic:nvPicPr>
                  <pic:blipFill>
                    <a:blip xmlns:r="http://schemas.openxmlformats.org/officeDocument/2006/relationships" r:embed="rId9303471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4500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B936F8" w:rsidP="1EB936F8" w:rsidRDefault="1EB936F8" w14:paraId="57535746" w14:textId="195BD703">
      <w:pPr>
        <w:pStyle w:val="Normal"/>
        <w:spacing w:line="360" w:lineRule="auto"/>
        <w:jc w:val="center"/>
        <w:rPr>
          <w:rFonts w:ascii="Arial" w:hAnsi="Arial" w:eastAsia="Arial" w:cs="Arial"/>
          <w:sz w:val="40"/>
          <w:szCs w:val="40"/>
        </w:rPr>
      </w:pPr>
    </w:p>
    <w:p w:rsidR="1EB936F8" w:rsidP="1EB936F8" w:rsidRDefault="1EB936F8" w14:paraId="009545D4" w14:textId="27133997">
      <w:pPr>
        <w:pStyle w:val="Normal"/>
        <w:spacing w:line="360" w:lineRule="auto"/>
        <w:jc w:val="center"/>
        <w:rPr>
          <w:rFonts w:ascii="Arial" w:hAnsi="Arial" w:eastAsia="Arial" w:cs="Arial"/>
          <w:sz w:val="40"/>
          <w:szCs w:val="40"/>
        </w:rPr>
      </w:pPr>
    </w:p>
    <w:p w:rsidR="2141FD10" w:rsidP="1EB936F8" w:rsidRDefault="2141FD10" w14:paraId="1D0FF500" w14:textId="4954897C">
      <w:pPr>
        <w:pStyle w:val="Normal"/>
        <w:spacing w:line="360" w:lineRule="auto"/>
        <w:jc w:val="center"/>
        <w:rPr>
          <w:rFonts w:ascii="Arial" w:hAnsi="Arial" w:eastAsia="Arial" w:cs="Arial"/>
          <w:sz w:val="48"/>
          <w:szCs w:val="48"/>
        </w:rPr>
      </w:pPr>
      <w:r w:rsidRPr="1EB936F8" w:rsidR="2141FD10">
        <w:rPr>
          <w:rFonts w:ascii="Arial" w:hAnsi="Arial" w:eastAsia="Arial" w:cs="Arial"/>
          <w:sz w:val="48"/>
          <w:szCs w:val="48"/>
        </w:rPr>
        <w:t>Name: Chizoma Awoyemi</w:t>
      </w:r>
    </w:p>
    <w:p w:rsidR="2141FD10" w:rsidP="1EB936F8" w:rsidRDefault="2141FD10" w14:paraId="0EDDC7A5" w14:textId="058014F7">
      <w:pPr>
        <w:pStyle w:val="Normal"/>
        <w:spacing w:line="360" w:lineRule="auto"/>
        <w:jc w:val="center"/>
        <w:rPr>
          <w:rFonts w:ascii="Arial" w:hAnsi="Arial" w:eastAsia="Arial" w:cs="Arial"/>
          <w:sz w:val="48"/>
          <w:szCs w:val="48"/>
        </w:rPr>
      </w:pPr>
      <w:r w:rsidRPr="1EB936F8" w:rsidR="2141FD10">
        <w:rPr>
          <w:rFonts w:ascii="Arial" w:hAnsi="Arial" w:eastAsia="Arial" w:cs="Arial"/>
          <w:sz w:val="48"/>
          <w:szCs w:val="48"/>
        </w:rPr>
        <w:t>Student ID: 2223400</w:t>
      </w:r>
    </w:p>
    <w:p w:rsidR="2141FD10" w:rsidP="1EB936F8" w:rsidRDefault="2141FD10" w14:paraId="14EDBCF4" w14:textId="0BA6B51D">
      <w:pPr>
        <w:pStyle w:val="Normal"/>
        <w:spacing w:line="360" w:lineRule="auto"/>
        <w:jc w:val="center"/>
        <w:rPr>
          <w:rFonts w:ascii="Arial" w:hAnsi="Arial" w:eastAsia="Arial" w:cs="Arial"/>
          <w:sz w:val="48"/>
          <w:szCs w:val="48"/>
        </w:rPr>
      </w:pPr>
      <w:r w:rsidRPr="1EB936F8" w:rsidR="2141FD10">
        <w:rPr>
          <w:rFonts w:ascii="Arial" w:hAnsi="Arial" w:eastAsia="Arial" w:cs="Arial"/>
          <w:sz w:val="48"/>
          <w:szCs w:val="48"/>
        </w:rPr>
        <w:t>Module: BMHP6027_BIRM</w:t>
      </w:r>
    </w:p>
    <w:p w:rsidR="2141FD10" w:rsidP="1EB936F8" w:rsidRDefault="2141FD10" w14:paraId="1DDF4493" w14:textId="4A60246C">
      <w:pPr>
        <w:pStyle w:val="Normal"/>
        <w:spacing w:line="360" w:lineRule="auto"/>
        <w:jc w:val="center"/>
        <w:rPr>
          <w:rFonts w:ascii="Arial" w:hAnsi="Arial" w:eastAsia="Arial" w:cs="Arial"/>
          <w:sz w:val="48"/>
          <w:szCs w:val="48"/>
        </w:rPr>
      </w:pPr>
      <w:r w:rsidRPr="1EB936F8" w:rsidR="2141FD10">
        <w:rPr>
          <w:rFonts w:ascii="Arial" w:hAnsi="Arial" w:eastAsia="Arial" w:cs="Arial"/>
          <w:sz w:val="48"/>
          <w:szCs w:val="48"/>
        </w:rPr>
        <w:t xml:space="preserve">Module Name: Empowering Older </w:t>
      </w:r>
      <w:r w:rsidRPr="1EB936F8" w:rsidR="79802133">
        <w:rPr>
          <w:rFonts w:ascii="Arial" w:hAnsi="Arial" w:eastAsia="Arial" w:cs="Arial"/>
          <w:sz w:val="48"/>
          <w:szCs w:val="48"/>
        </w:rPr>
        <w:t>Person</w:t>
      </w:r>
    </w:p>
    <w:p w:rsidR="5E60D078" w:rsidP="1EB936F8" w:rsidRDefault="5E60D078" w14:paraId="5D2EA9AC" w14:textId="1CA7CA8A">
      <w:pPr>
        <w:pStyle w:val="Normal"/>
        <w:spacing w:line="360" w:lineRule="auto"/>
        <w:jc w:val="center"/>
        <w:rPr>
          <w:rFonts w:ascii="Arial" w:hAnsi="Arial" w:eastAsia="Arial" w:cs="Arial"/>
          <w:sz w:val="48"/>
          <w:szCs w:val="48"/>
        </w:rPr>
      </w:pPr>
      <w:r w:rsidRPr="1EB936F8" w:rsidR="5E60D078">
        <w:rPr>
          <w:rFonts w:ascii="Arial" w:hAnsi="Arial" w:eastAsia="Arial" w:cs="Arial"/>
          <w:sz w:val="48"/>
          <w:szCs w:val="48"/>
        </w:rPr>
        <w:t xml:space="preserve">Assignment: Debate </w:t>
      </w:r>
      <w:r w:rsidRPr="1EB936F8" w:rsidR="5E60D078">
        <w:rPr>
          <w:rFonts w:ascii="Arial" w:hAnsi="Arial" w:eastAsia="Arial" w:cs="Arial"/>
          <w:sz w:val="48"/>
          <w:szCs w:val="48"/>
        </w:rPr>
        <w:t>Discussion</w:t>
      </w:r>
      <w:r w:rsidRPr="1EB936F8" w:rsidR="79802133">
        <w:rPr>
          <w:rFonts w:ascii="Arial" w:hAnsi="Arial" w:eastAsia="Arial" w:cs="Arial"/>
          <w:sz w:val="48"/>
          <w:szCs w:val="48"/>
        </w:rPr>
        <w:t xml:space="preserve"> </w:t>
      </w:r>
      <w:r w:rsidRPr="1EB936F8" w:rsidR="79802133">
        <w:rPr>
          <w:rFonts w:ascii="Arial" w:hAnsi="Arial" w:eastAsia="Arial" w:cs="Arial"/>
          <w:sz w:val="48"/>
          <w:szCs w:val="48"/>
        </w:rPr>
        <w:t>Component 2</w:t>
      </w:r>
    </w:p>
    <w:p w:rsidR="7BEF5FED" w:rsidP="1EB936F8" w:rsidRDefault="7BEF5FED" w14:paraId="119511E7" w14:textId="2C39B842">
      <w:pPr>
        <w:pStyle w:val="Normal"/>
        <w:spacing w:line="360" w:lineRule="auto"/>
        <w:jc w:val="center"/>
        <w:rPr>
          <w:rFonts w:ascii="Arial" w:hAnsi="Arial" w:eastAsia="Arial" w:cs="Arial"/>
          <w:sz w:val="48"/>
          <w:szCs w:val="48"/>
        </w:rPr>
      </w:pPr>
      <w:r w:rsidRPr="1EB936F8" w:rsidR="7BEF5FED">
        <w:rPr>
          <w:rFonts w:ascii="Arial" w:hAnsi="Arial" w:eastAsia="Arial" w:cs="Arial"/>
          <w:sz w:val="48"/>
          <w:szCs w:val="48"/>
        </w:rPr>
        <w:t xml:space="preserve">Lecturer: Tomy </w:t>
      </w:r>
      <w:r w:rsidRPr="1EB936F8" w:rsidR="7BEF5FED">
        <w:rPr>
          <w:rFonts w:ascii="Arial" w:hAnsi="Arial" w:eastAsia="Arial" w:cs="Arial"/>
          <w:sz w:val="48"/>
          <w:szCs w:val="48"/>
        </w:rPr>
        <w:t>Adatu</w:t>
      </w:r>
      <w:r w:rsidRPr="1EB936F8" w:rsidR="7BEF5FED">
        <w:rPr>
          <w:rFonts w:ascii="Arial" w:hAnsi="Arial" w:eastAsia="Arial" w:cs="Arial"/>
          <w:sz w:val="48"/>
          <w:szCs w:val="48"/>
        </w:rPr>
        <w:t xml:space="preserve"> Chacko</w:t>
      </w:r>
    </w:p>
    <w:p w:rsidR="1EB936F8" w:rsidP="1EB936F8" w:rsidRDefault="1EB936F8" w14:paraId="190BBBF9" w14:textId="70B02C8A">
      <w:pPr>
        <w:pStyle w:val="Normal"/>
        <w:spacing w:line="360" w:lineRule="auto"/>
        <w:jc w:val="both"/>
        <w:rPr>
          <w:rFonts w:ascii="Arial" w:hAnsi="Arial" w:eastAsia="Arial" w:cs="Arial"/>
          <w:sz w:val="48"/>
          <w:szCs w:val="48"/>
        </w:rPr>
      </w:pPr>
    </w:p>
    <w:p w:rsidR="5AB4EB2C" w:rsidP="1EB936F8" w:rsidRDefault="5AB4EB2C" w14:paraId="02142304" w14:textId="59D9A364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1EB936F8" w:rsidR="5AB4EB2C">
        <w:rPr>
          <w:rFonts w:ascii="Arial" w:hAnsi="Arial" w:eastAsia="Arial" w:cs="Arial"/>
          <w:b w:val="1"/>
          <w:bCs w:val="1"/>
          <w:sz w:val="22"/>
          <w:szCs w:val="22"/>
        </w:rPr>
        <w:t xml:space="preserve">Topic: The Role of </w:t>
      </w:r>
      <w:r w:rsidRPr="1EB936F8" w:rsidR="5AB4EB2C">
        <w:rPr>
          <w:rFonts w:ascii="Arial" w:hAnsi="Arial" w:eastAsia="Arial" w:cs="Arial"/>
          <w:b w:val="1"/>
          <w:bCs w:val="1"/>
          <w:sz w:val="22"/>
          <w:szCs w:val="22"/>
        </w:rPr>
        <w:t>Technology</w:t>
      </w:r>
      <w:r w:rsidRPr="1EB936F8" w:rsidR="5AB4EB2C">
        <w:rPr>
          <w:rFonts w:ascii="Arial" w:hAnsi="Arial" w:eastAsia="Arial" w:cs="Arial"/>
          <w:b w:val="1"/>
          <w:bCs w:val="1"/>
          <w:sz w:val="22"/>
          <w:szCs w:val="22"/>
        </w:rPr>
        <w:t xml:space="preserve"> in Supporting the Independence and Well-</w:t>
      </w:r>
      <w:r w:rsidRPr="1EB936F8" w:rsidR="593905F3">
        <w:rPr>
          <w:rFonts w:ascii="Arial" w:hAnsi="Arial" w:eastAsia="Arial" w:cs="Arial"/>
          <w:b w:val="1"/>
          <w:bCs w:val="1"/>
          <w:sz w:val="22"/>
          <w:szCs w:val="22"/>
        </w:rPr>
        <w:t>Being</w:t>
      </w:r>
      <w:r w:rsidRPr="1EB936F8" w:rsidR="5AB4EB2C">
        <w:rPr>
          <w:rFonts w:ascii="Arial" w:hAnsi="Arial" w:eastAsia="Arial" w:cs="Arial"/>
          <w:b w:val="1"/>
          <w:bCs w:val="1"/>
          <w:sz w:val="22"/>
          <w:szCs w:val="22"/>
        </w:rPr>
        <w:t xml:space="preserve"> of </w:t>
      </w:r>
      <w:r w:rsidRPr="1EB936F8" w:rsidR="3C0D5CC7">
        <w:rPr>
          <w:rFonts w:ascii="Arial" w:hAnsi="Arial" w:eastAsia="Arial" w:cs="Arial"/>
          <w:b w:val="1"/>
          <w:bCs w:val="1"/>
          <w:sz w:val="22"/>
          <w:szCs w:val="22"/>
        </w:rPr>
        <w:t>O</w:t>
      </w:r>
      <w:r w:rsidRPr="1EB936F8" w:rsidR="5AB4EB2C">
        <w:rPr>
          <w:rFonts w:ascii="Arial" w:hAnsi="Arial" w:eastAsia="Arial" w:cs="Arial"/>
          <w:b w:val="1"/>
          <w:bCs w:val="1"/>
          <w:sz w:val="22"/>
          <w:szCs w:val="22"/>
        </w:rPr>
        <w:t xml:space="preserve">lder </w:t>
      </w:r>
      <w:r w:rsidRPr="1EB936F8" w:rsidR="044A088A">
        <w:rPr>
          <w:rFonts w:ascii="Arial" w:hAnsi="Arial" w:eastAsia="Arial" w:cs="Arial"/>
          <w:b w:val="1"/>
          <w:bCs w:val="1"/>
          <w:sz w:val="22"/>
          <w:szCs w:val="22"/>
        </w:rPr>
        <w:t>P</w:t>
      </w:r>
      <w:r w:rsidRPr="1EB936F8" w:rsidR="5AB4EB2C">
        <w:rPr>
          <w:rFonts w:ascii="Arial" w:hAnsi="Arial" w:eastAsia="Arial" w:cs="Arial"/>
          <w:b w:val="1"/>
          <w:bCs w:val="1"/>
          <w:sz w:val="22"/>
          <w:szCs w:val="22"/>
        </w:rPr>
        <w:t>eople.</w:t>
      </w:r>
    </w:p>
    <w:p w:rsidR="1EB936F8" w:rsidP="1EB936F8" w:rsidRDefault="1EB936F8" w14:paraId="781CECEC" w14:textId="0A6EE870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8105411" w:rsidP="1EB936F8" w:rsidRDefault="68105411" w14:paraId="1976B7D9" w14:textId="5D5590D9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B936F8" w:rsidR="68105411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Reference List</w:t>
      </w:r>
      <w:r w:rsidRPr="1EB936F8" w:rsidR="028C8F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w:rsidR="42BE91E5" w:rsidP="1EB936F8" w:rsidRDefault="42BE91E5" w14:paraId="320E428C" w14:textId="15BA9A7D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B936F8" w:rsidR="42BE91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Abraham, </w:t>
      </w:r>
      <w:r w:rsidRPr="1EB936F8" w:rsidR="42BE91E5">
        <w:rPr>
          <w:rFonts w:ascii="Arial" w:hAnsi="Arial" w:eastAsia="Arial" w:cs="Arial"/>
          <w:noProof w:val="0"/>
          <w:sz w:val="22"/>
          <w:szCs w:val="22"/>
          <w:lang w:val="en-GB"/>
        </w:rPr>
        <w:t>L.</w:t>
      </w:r>
      <w:r w:rsidRPr="1EB936F8" w:rsidR="42BE91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Singh, A. (2023)</w:t>
      </w:r>
      <w:r w:rsidRPr="1EB936F8" w:rsidR="42BE91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‘Socioeconomic disparities in access to telecare services</w:t>
      </w:r>
      <w:r w:rsidRPr="1EB936F8" w:rsidR="42BE91E5">
        <w:rPr>
          <w:rFonts w:ascii="Arial" w:hAnsi="Arial" w:eastAsia="Arial" w:cs="Arial"/>
          <w:noProof w:val="0"/>
          <w:sz w:val="22"/>
          <w:szCs w:val="22"/>
          <w:lang w:val="en-GB"/>
        </w:rPr>
        <w:t>’,</w:t>
      </w:r>
      <w:r w:rsidRPr="1EB936F8" w:rsidR="42BE91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EB936F8" w:rsidR="42BE91E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Health Affairs</w:t>
      </w:r>
      <w:r w:rsidRPr="1EB936F8" w:rsidR="42BE91E5">
        <w:rPr>
          <w:rFonts w:ascii="Arial" w:hAnsi="Arial" w:eastAsia="Arial" w:cs="Arial"/>
          <w:noProof w:val="0"/>
          <w:sz w:val="22"/>
          <w:szCs w:val="22"/>
          <w:lang w:val="en-GB"/>
        </w:rPr>
        <w:t>, 42(5), pp. 812–821.</w:t>
      </w:r>
      <w:r w:rsidRPr="1EB936F8" w:rsidR="2AEAAF6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AEAAF6C" w:rsidP="1EB936F8" w:rsidRDefault="2AEAAF6C" w14:paraId="1B69C2C7" w14:textId="5093A40E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B936F8" w:rsidR="2AEAAF6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Chen, </w:t>
      </w:r>
      <w:r w:rsidRPr="1EB936F8" w:rsidR="2AEAAF6C">
        <w:rPr>
          <w:rFonts w:ascii="Arial" w:hAnsi="Arial" w:eastAsia="Arial" w:cs="Arial"/>
          <w:noProof w:val="0"/>
          <w:sz w:val="22"/>
          <w:szCs w:val="22"/>
          <w:lang w:val="en-GB"/>
        </w:rPr>
        <w:t>Y.</w:t>
      </w:r>
      <w:r w:rsidRPr="1EB936F8" w:rsidR="2AEAAF6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Patel, R. (2023</w:t>
      </w:r>
      <w:r w:rsidRPr="1EB936F8" w:rsidR="5C70E6E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EB936F8" w:rsidR="2AEAAF6C">
        <w:rPr>
          <w:rFonts w:ascii="Arial" w:hAnsi="Arial" w:eastAsia="Arial" w:cs="Arial"/>
          <w:noProof w:val="0"/>
          <w:sz w:val="22"/>
          <w:szCs w:val="22"/>
          <w:lang w:val="en-GB"/>
        </w:rPr>
        <w:t>) ‘Privacy concerns and trust in health data among older users</w:t>
      </w:r>
      <w:r w:rsidRPr="1EB936F8" w:rsidR="2AEAAF6C">
        <w:rPr>
          <w:rFonts w:ascii="Arial" w:hAnsi="Arial" w:eastAsia="Arial" w:cs="Arial"/>
          <w:noProof w:val="0"/>
          <w:sz w:val="22"/>
          <w:szCs w:val="22"/>
          <w:lang w:val="en-GB"/>
        </w:rPr>
        <w:t>’,</w:t>
      </w:r>
      <w:r w:rsidRPr="1EB936F8" w:rsidR="2AEAAF6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EB936F8" w:rsidR="2AEAAF6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Medical Ethics</w:t>
      </w:r>
      <w:r w:rsidRPr="1EB936F8" w:rsidR="2AEAAF6C">
        <w:rPr>
          <w:rFonts w:ascii="Arial" w:hAnsi="Arial" w:eastAsia="Arial" w:cs="Arial"/>
          <w:noProof w:val="0"/>
          <w:sz w:val="22"/>
          <w:szCs w:val="22"/>
          <w:lang w:val="en-GB"/>
        </w:rPr>
        <w:t>, 49(2), pp. 100–110.</w:t>
      </w:r>
      <w:r w:rsidRPr="1EB936F8" w:rsidR="7D4F73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7D4F732A" w:rsidP="1EB936F8" w:rsidRDefault="7D4F732A" w14:paraId="4E139B62" w14:textId="61A0B344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B936F8" w:rsidR="7D4F73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Chen, </w:t>
      </w:r>
      <w:r w:rsidRPr="1EB936F8" w:rsidR="7D4F732A">
        <w:rPr>
          <w:rFonts w:ascii="Arial" w:hAnsi="Arial" w:eastAsia="Arial" w:cs="Arial"/>
          <w:noProof w:val="0"/>
          <w:sz w:val="22"/>
          <w:szCs w:val="22"/>
          <w:lang w:val="en-GB"/>
        </w:rPr>
        <w:t>D.</w:t>
      </w:r>
      <w:r w:rsidRPr="1EB936F8" w:rsidR="7D4F73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Lee, K. (2021)</w:t>
      </w:r>
      <w:r w:rsidRPr="1EB936F8" w:rsidR="3362028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EB936F8" w:rsidR="7D4F73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‘Privacy-preserving design in </w:t>
      </w:r>
      <w:r w:rsidRPr="1EB936F8" w:rsidR="49354880">
        <w:rPr>
          <w:rFonts w:ascii="Arial" w:hAnsi="Arial" w:eastAsia="Arial" w:cs="Arial"/>
          <w:noProof w:val="0"/>
          <w:sz w:val="22"/>
          <w:szCs w:val="22"/>
          <w:lang w:val="en-GB"/>
        </w:rPr>
        <w:t>ge</w:t>
      </w:r>
      <w:r w:rsidRPr="1EB936F8" w:rsidR="1376478C">
        <w:rPr>
          <w:rFonts w:ascii="Arial" w:hAnsi="Arial" w:eastAsia="Arial" w:cs="Arial"/>
          <w:noProof w:val="0"/>
          <w:sz w:val="22"/>
          <w:szCs w:val="22"/>
          <w:lang w:val="en-GB"/>
        </w:rPr>
        <w:t>r</w:t>
      </w:r>
      <w:r w:rsidRPr="1EB936F8" w:rsidR="49354880">
        <w:rPr>
          <w:rFonts w:ascii="Arial" w:hAnsi="Arial" w:eastAsia="Arial" w:cs="Arial"/>
          <w:noProof w:val="0"/>
          <w:sz w:val="22"/>
          <w:szCs w:val="22"/>
          <w:lang w:val="en-GB"/>
        </w:rPr>
        <w:t>o</w:t>
      </w:r>
      <w:r w:rsidRPr="1EB936F8" w:rsidR="5D26DCBC">
        <w:rPr>
          <w:rFonts w:ascii="Arial" w:hAnsi="Arial" w:eastAsia="Arial" w:cs="Arial"/>
          <w:noProof w:val="0"/>
          <w:sz w:val="22"/>
          <w:szCs w:val="22"/>
          <w:lang w:val="en-GB"/>
        </w:rPr>
        <w:t>n</w:t>
      </w:r>
      <w:r w:rsidRPr="1EB936F8" w:rsidR="49354880">
        <w:rPr>
          <w:rFonts w:ascii="Arial" w:hAnsi="Arial" w:eastAsia="Arial" w:cs="Arial"/>
          <w:noProof w:val="0"/>
          <w:sz w:val="22"/>
          <w:szCs w:val="22"/>
          <w:lang w:val="en-GB"/>
        </w:rPr>
        <w:t>technology</w:t>
      </w:r>
      <w:r w:rsidRPr="1EB936F8" w:rsidR="7D4F732A">
        <w:rPr>
          <w:rFonts w:ascii="Arial" w:hAnsi="Arial" w:eastAsia="Arial" w:cs="Arial"/>
          <w:noProof w:val="0"/>
          <w:sz w:val="22"/>
          <w:szCs w:val="22"/>
          <w:lang w:val="en-GB"/>
        </w:rPr>
        <w:t>: lessons from field deployments</w:t>
      </w:r>
      <w:r w:rsidRPr="1EB936F8" w:rsidR="7D4F732A">
        <w:rPr>
          <w:rFonts w:ascii="Arial" w:hAnsi="Arial" w:eastAsia="Arial" w:cs="Arial"/>
          <w:noProof w:val="0"/>
          <w:sz w:val="22"/>
          <w:szCs w:val="22"/>
          <w:lang w:val="en-GB"/>
        </w:rPr>
        <w:t>’,</w:t>
      </w:r>
      <w:r w:rsidRPr="1EB936F8" w:rsidR="7D4F73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EB936F8" w:rsidR="7D4F732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ACM Transactions on Accessible Computing</w:t>
      </w:r>
      <w:r w:rsidRPr="1EB936F8" w:rsidR="7D4F732A">
        <w:rPr>
          <w:rFonts w:ascii="Arial" w:hAnsi="Arial" w:eastAsia="Arial" w:cs="Arial"/>
          <w:noProof w:val="0"/>
          <w:sz w:val="22"/>
          <w:szCs w:val="22"/>
          <w:lang w:val="en-GB"/>
        </w:rPr>
        <w:t>, 14(3), 14:1–14:26.</w:t>
      </w:r>
    </w:p>
    <w:p w:rsidR="49252052" w:rsidP="1EB936F8" w:rsidRDefault="49252052" w14:paraId="322B9B1B" w14:textId="76B1A5A9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B936F8" w:rsidR="492520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Chen, </w:t>
      </w:r>
      <w:r w:rsidRPr="1EB936F8" w:rsidR="49252052">
        <w:rPr>
          <w:rFonts w:ascii="Arial" w:hAnsi="Arial" w:eastAsia="Arial" w:cs="Arial"/>
          <w:noProof w:val="0"/>
          <w:sz w:val="22"/>
          <w:szCs w:val="22"/>
          <w:lang w:val="en-GB"/>
        </w:rPr>
        <w:t>S.</w:t>
      </w:r>
      <w:r w:rsidRPr="1EB936F8" w:rsidR="492520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Garcia, M. (2023) ‘Costs of digital health technologies for older adults: a policy perspective’, </w:t>
      </w:r>
      <w:r w:rsidRPr="1EB936F8" w:rsidR="4925205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Health Economics Review</w:t>
      </w:r>
      <w:r w:rsidRPr="1EB936F8" w:rsidR="49252052">
        <w:rPr>
          <w:rFonts w:ascii="Arial" w:hAnsi="Arial" w:eastAsia="Arial" w:cs="Arial"/>
          <w:noProof w:val="0"/>
          <w:sz w:val="22"/>
          <w:szCs w:val="22"/>
          <w:lang w:val="en-GB"/>
        </w:rPr>
        <w:t>, 13(1), pp. 1–12.</w:t>
      </w:r>
      <w:r w:rsidRPr="1EB936F8" w:rsidR="2936ED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936EDD9" w:rsidP="1EB936F8" w:rsidRDefault="2936EDD9" w14:paraId="46DDA240" w14:textId="4CA4D121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B936F8" w:rsidR="2936ED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Davis, </w:t>
      </w:r>
      <w:r w:rsidRPr="1EB936F8" w:rsidR="2936EDD9">
        <w:rPr>
          <w:rFonts w:ascii="Arial" w:hAnsi="Arial" w:eastAsia="Arial" w:cs="Arial"/>
          <w:noProof w:val="0"/>
          <w:sz w:val="22"/>
          <w:szCs w:val="22"/>
          <w:lang w:val="en-GB"/>
        </w:rPr>
        <w:t>M.</w:t>
      </w:r>
      <w:r w:rsidRPr="1EB936F8" w:rsidR="2936ED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Chen, L. (2024) ‘Internet infrastructure limits in rural </w:t>
      </w:r>
      <w:r w:rsidRPr="1EB936F8" w:rsidR="7D758351">
        <w:rPr>
          <w:rFonts w:ascii="Arial" w:hAnsi="Arial" w:eastAsia="Arial" w:cs="Arial"/>
          <w:noProof w:val="0"/>
          <w:sz w:val="22"/>
          <w:szCs w:val="22"/>
          <w:lang w:val="en-GB"/>
        </w:rPr>
        <w:t>ageing</w:t>
      </w:r>
      <w:r w:rsidRPr="1EB936F8" w:rsidR="2936ED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populations’, </w:t>
      </w:r>
      <w:r w:rsidRPr="1EB936F8" w:rsidR="2936EDD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Rural Health Journal</w:t>
      </w:r>
      <w:r w:rsidRPr="1EB936F8" w:rsidR="2936EDD9">
        <w:rPr>
          <w:rFonts w:ascii="Arial" w:hAnsi="Arial" w:eastAsia="Arial" w:cs="Arial"/>
          <w:noProof w:val="0"/>
          <w:sz w:val="22"/>
          <w:szCs w:val="22"/>
          <w:lang w:val="en-GB"/>
        </w:rPr>
        <w:t>, 28(1), pp. 45–58.</w:t>
      </w:r>
    </w:p>
    <w:p w:rsidR="12DFD4DF" w:rsidP="1EB936F8" w:rsidRDefault="12DFD4DF" w14:paraId="51E8092A" w14:textId="6FD5B541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B936F8" w:rsidR="12DFD4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Davis, </w:t>
      </w:r>
      <w:r w:rsidRPr="1EB936F8" w:rsidR="12DFD4DF">
        <w:rPr>
          <w:rFonts w:ascii="Arial" w:hAnsi="Arial" w:eastAsia="Arial" w:cs="Arial"/>
          <w:noProof w:val="0"/>
          <w:sz w:val="22"/>
          <w:szCs w:val="22"/>
          <w:lang w:val="en-GB"/>
        </w:rPr>
        <w:t>M.</w:t>
      </w:r>
      <w:r w:rsidRPr="1EB936F8" w:rsidR="12DFD4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Chen, L. (2024) ‘Internet infrastructure limits in rural </w:t>
      </w:r>
      <w:r w:rsidRPr="1EB936F8" w:rsidR="011E705C">
        <w:rPr>
          <w:rFonts w:ascii="Arial" w:hAnsi="Arial" w:eastAsia="Arial" w:cs="Arial"/>
          <w:noProof w:val="0"/>
          <w:sz w:val="22"/>
          <w:szCs w:val="22"/>
          <w:lang w:val="en-GB"/>
        </w:rPr>
        <w:t>ageing</w:t>
      </w:r>
      <w:r w:rsidRPr="1EB936F8" w:rsidR="12DFD4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populations’, </w:t>
      </w:r>
      <w:r w:rsidRPr="1EB936F8" w:rsidR="12DFD4D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Rural Health Journal</w:t>
      </w:r>
      <w:r w:rsidRPr="1EB936F8" w:rsidR="12DFD4DF">
        <w:rPr>
          <w:rFonts w:ascii="Arial" w:hAnsi="Arial" w:eastAsia="Arial" w:cs="Arial"/>
          <w:noProof w:val="0"/>
          <w:sz w:val="22"/>
          <w:szCs w:val="22"/>
          <w:lang w:val="en-GB"/>
        </w:rPr>
        <w:t>, 28(1), pp. 45–58.</w:t>
      </w:r>
    </w:p>
    <w:p w:rsidR="61E7D735" w:rsidP="1EB936F8" w:rsidRDefault="61E7D735" w14:paraId="43C82EC4" w14:textId="09850C2B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B936F8" w:rsidR="61E7D7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Garrett, P. (2020) ‘Barriers to adoption of digital health among seniors: a qualitative study’, </w:t>
      </w:r>
      <w:r w:rsidRPr="1EB936F8" w:rsidR="61E7D73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BMC Geriatrics</w:t>
      </w:r>
      <w:r w:rsidRPr="1EB936F8" w:rsidR="61E7D735">
        <w:rPr>
          <w:rFonts w:ascii="Arial" w:hAnsi="Arial" w:eastAsia="Arial" w:cs="Arial"/>
          <w:noProof w:val="0"/>
          <w:sz w:val="22"/>
          <w:szCs w:val="22"/>
          <w:lang w:val="en-GB"/>
        </w:rPr>
        <w:t>, 20(1), pp. 1–9.</w:t>
      </w:r>
    </w:p>
    <w:p w:rsidR="23BCC66E" w:rsidP="1EB936F8" w:rsidRDefault="23BCC66E" w14:paraId="3EF95066" w14:textId="1DCB8707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B936F8" w:rsidR="23BCC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Johnson, </w:t>
      </w:r>
      <w:r w:rsidRPr="1EB936F8" w:rsidR="23BCC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M.</w:t>
      </w:r>
      <w:r w:rsidRPr="1EB936F8" w:rsidR="23BCC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Kim, S.</w:t>
      </w:r>
      <w:r w:rsidRPr="1EB936F8" w:rsidR="385D1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(2020).</w:t>
      </w:r>
      <w:r w:rsidRPr="1EB936F8" w:rsidR="23BCC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Usability challenges and abandonment of digital tools among older adults.</w:t>
      </w:r>
      <w:r w:rsidRPr="1EB936F8" w:rsidR="23BCC6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Disability and Rehabilitation: Assistive Technology</w:t>
      </w:r>
      <w:r w:rsidRPr="1EB936F8" w:rsidR="23BCC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15(6), pp.585-593.</w:t>
      </w:r>
      <w:r w:rsidRPr="1EB936F8" w:rsidR="4E2FBB1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E2FBB13" w:rsidP="1EB936F8" w:rsidRDefault="4E2FBB13" w14:paraId="2E6C9929" w14:textId="3F638C9B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B936F8" w:rsidR="4E2FBB1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Johnson, </w:t>
      </w:r>
      <w:r w:rsidRPr="1EB936F8" w:rsidR="4E2FBB13">
        <w:rPr>
          <w:rFonts w:ascii="Arial" w:hAnsi="Arial" w:eastAsia="Arial" w:cs="Arial"/>
          <w:noProof w:val="0"/>
          <w:sz w:val="22"/>
          <w:szCs w:val="22"/>
          <w:lang w:val="en-GB"/>
        </w:rPr>
        <w:t>A.</w:t>
      </w:r>
      <w:r w:rsidRPr="1EB936F8" w:rsidR="4E2FBB1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Park, S. (2023) ‘Ethical concerns in using AI-driven health tools for seniors’, </w:t>
      </w:r>
      <w:r w:rsidRPr="1EB936F8" w:rsidR="4E2FBB1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Ethics in IT</w:t>
      </w:r>
      <w:r w:rsidRPr="1EB936F8" w:rsidR="4E2FBB13">
        <w:rPr>
          <w:rFonts w:ascii="Arial" w:hAnsi="Arial" w:eastAsia="Arial" w:cs="Arial"/>
          <w:noProof w:val="0"/>
          <w:sz w:val="22"/>
          <w:szCs w:val="22"/>
          <w:lang w:val="en-GB"/>
        </w:rPr>
        <w:t>, 18(1), pp. 33–47.</w:t>
      </w:r>
    </w:p>
    <w:p w:rsidR="1EB936F8" w:rsidP="1EB936F8" w:rsidRDefault="1EB936F8" w14:paraId="418F0ADC" w14:textId="39BA7BE9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EB936F8" w:rsidP="1EB936F8" w:rsidRDefault="1EB936F8" w14:paraId="3A5E5F61" w14:textId="0C6EFE98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EB936F8" w:rsidP="1EB936F8" w:rsidRDefault="1EB936F8" w14:paraId="3DA57C19" w14:textId="3FF722AA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EB936F8" w:rsidP="1EB936F8" w:rsidRDefault="1EB936F8" w14:paraId="4F80CA9F" w14:textId="54633061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5434D3D0" w:rsidP="1EB936F8" w:rsidRDefault="5434D3D0" w14:paraId="1444ED0A" w14:textId="384DF29F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B936F8" w:rsidR="5434D3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Kim, </w:t>
      </w:r>
      <w:r w:rsidRPr="1EB936F8" w:rsidR="5434D3D0">
        <w:rPr>
          <w:rFonts w:ascii="Arial" w:hAnsi="Arial" w:eastAsia="Arial" w:cs="Arial"/>
          <w:noProof w:val="0"/>
          <w:sz w:val="22"/>
          <w:szCs w:val="22"/>
          <w:lang w:val="en-GB"/>
        </w:rPr>
        <w:t>D.</w:t>
      </w:r>
      <w:r w:rsidRPr="1EB936F8" w:rsidR="5434D3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Lee, H. (2020) ‘Usability testing with diverse </w:t>
      </w:r>
      <w:r w:rsidRPr="1EB936F8" w:rsidR="4AF41E8F">
        <w:rPr>
          <w:rFonts w:ascii="Arial" w:hAnsi="Arial" w:eastAsia="Arial" w:cs="Arial"/>
          <w:noProof w:val="0"/>
          <w:sz w:val="22"/>
          <w:szCs w:val="22"/>
          <w:lang w:val="en-GB"/>
        </w:rPr>
        <w:t>ageing</w:t>
      </w:r>
      <w:r w:rsidRPr="1EB936F8" w:rsidR="5434D3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populations: gaps and recommendations’, </w:t>
      </w:r>
      <w:r w:rsidRPr="1EB936F8" w:rsidR="5434D3D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Usability Studies</w:t>
      </w:r>
      <w:r w:rsidRPr="1EB936F8" w:rsidR="5434D3D0">
        <w:rPr>
          <w:rFonts w:ascii="Arial" w:hAnsi="Arial" w:eastAsia="Arial" w:cs="Arial"/>
          <w:noProof w:val="0"/>
          <w:sz w:val="22"/>
          <w:szCs w:val="22"/>
          <w:lang w:val="en-GB"/>
        </w:rPr>
        <w:t>, 15(4), pp. 1–18.</w:t>
      </w:r>
    </w:p>
    <w:p w:rsidR="55352616" w:rsidP="1EB936F8" w:rsidRDefault="55352616" w14:paraId="6A2A8E64" w14:textId="5A8F8AD1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B936F8" w:rsidR="553526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Kim, </w:t>
      </w:r>
      <w:r w:rsidRPr="1EB936F8" w:rsidR="55352616">
        <w:rPr>
          <w:rFonts w:ascii="Arial" w:hAnsi="Arial" w:eastAsia="Arial" w:cs="Arial"/>
          <w:noProof w:val="0"/>
          <w:sz w:val="22"/>
          <w:szCs w:val="22"/>
          <w:lang w:val="en-GB"/>
        </w:rPr>
        <w:t>H.</w:t>
      </w:r>
      <w:r w:rsidRPr="1EB936F8" w:rsidR="553526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Park, J. (2022) ‘Interface complexity and cognitive load in elder-targeted apps’, </w:t>
      </w:r>
      <w:r w:rsidRPr="1EB936F8" w:rsidR="5535261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Computers in Human Behaviour,</w:t>
      </w:r>
      <w:r w:rsidRPr="1EB936F8" w:rsidR="553526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127, 107031.</w:t>
      </w:r>
    </w:p>
    <w:p w:rsidR="30A88924" w:rsidP="1EB936F8" w:rsidRDefault="30A88924" w14:paraId="79D6F16B" w14:textId="2143CCF8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B936F8" w:rsidR="30A889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Nguyen, </w:t>
      </w:r>
      <w:r w:rsidRPr="1EB936F8" w:rsidR="30A88924">
        <w:rPr>
          <w:rFonts w:ascii="Arial" w:hAnsi="Arial" w:eastAsia="Arial" w:cs="Arial"/>
          <w:noProof w:val="0"/>
          <w:sz w:val="22"/>
          <w:szCs w:val="22"/>
          <w:lang w:val="en-GB"/>
        </w:rPr>
        <w:t>T.</w:t>
      </w:r>
      <w:r w:rsidRPr="1EB936F8" w:rsidR="30A889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Chen, Z. (2023) ‘Data security vulnerabilities in consumer health devices for seniors’, </w:t>
      </w:r>
      <w:r w:rsidRPr="1EB936F8" w:rsidR="30A8892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IEEE Access</w:t>
      </w:r>
      <w:r w:rsidRPr="1EB936F8" w:rsidR="30A88924">
        <w:rPr>
          <w:rFonts w:ascii="Arial" w:hAnsi="Arial" w:eastAsia="Arial" w:cs="Arial"/>
          <w:noProof w:val="0"/>
          <w:sz w:val="22"/>
          <w:szCs w:val="22"/>
          <w:lang w:val="en-GB"/>
        </w:rPr>
        <w:t>, 11, pp. 65890–65902.</w:t>
      </w:r>
    </w:p>
    <w:p w:rsidR="2DCB4124" w:rsidP="1EB936F8" w:rsidRDefault="2DCB4124" w14:paraId="58FA2C4F" w14:textId="392029E0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B936F8" w:rsidR="2DCB41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Park, </w:t>
      </w:r>
      <w:r w:rsidRPr="1EB936F8" w:rsidR="2DCB4124">
        <w:rPr>
          <w:rFonts w:ascii="Arial" w:hAnsi="Arial" w:eastAsia="Arial" w:cs="Arial"/>
          <w:noProof w:val="0"/>
          <w:sz w:val="22"/>
          <w:szCs w:val="22"/>
          <w:lang w:val="en-GB"/>
        </w:rPr>
        <w:t>Y.</w:t>
      </w:r>
      <w:r w:rsidRPr="1EB936F8" w:rsidR="2DCB41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Kim, H. (2021) ‘Dependence on technology and loss of traditional skills in older adults’, </w:t>
      </w:r>
      <w:r w:rsidRPr="1EB936F8" w:rsidR="2DCB412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Innovation in Ageing,</w:t>
      </w:r>
      <w:r w:rsidRPr="1EB936F8" w:rsidR="2DCB41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5(3), igab056.</w:t>
      </w:r>
    </w:p>
    <w:p w:rsidR="2BA981EA" w:rsidP="1EB936F8" w:rsidRDefault="2BA981EA" w14:paraId="28A30A91" w14:textId="47232B48">
      <w:p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B936F8" w:rsidR="2BA981E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Patel, </w:t>
      </w:r>
      <w:r w:rsidRPr="1EB936F8" w:rsidR="2BA981EA">
        <w:rPr>
          <w:rFonts w:ascii="Arial" w:hAnsi="Arial" w:eastAsia="Arial" w:cs="Arial"/>
          <w:noProof w:val="0"/>
          <w:sz w:val="22"/>
          <w:szCs w:val="22"/>
          <w:lang w:val="en-GB"/>
        </w:rPr>
        <w:t>Z.</w:t>
      </w:r>
      <w:r w:rsidRPr="1EB936F8" w:rsidR="2BA981E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Williams, L. (2021) ‘Smart device safety concerns for older users with </w:t>
      </w:r>
      <w:r w:rsidRPr="1EB936F8" w:rsidR="42B1CF67">
        <w:rPr>
          <w:rFonts w:ascii="Arial" w:hAnsi="Arial" w:eastAsia="Arial" w:cs="Arial"/>
          <w:noProof w:val="0"/>
          <w:sz w:val="22"/>
          <w:szCs w:val="22"/>
          <w:lang w:val="en-GB"/>
        </w:rPr>
        <w:t>cognitive impairment’,</w:t>
      </w:r>
      <w:r w:rsidRPr="1EB936F8" w:rsidR="2BA981E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EB936F8" w:rsidR="2BA981E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Safety Research</w:t>
      </w:r>
      <w:r w:rsidRPr="1EB936F8" w:rsidR="2BA981EA">
        <w:rPr>
          <w:rFonts w:ascii="Arial" w:hAnsi="Arial" w:eastAsia="Arial" w:cs="Arial"/>
          <w:noProof w:val="0"/>
          <w:sz w:val="22"/>
          <w:szCs w:val="22"/>
          <w:lang w:val="en-GB"/>
        </w:rPr>
        <w:t>, 78, pp. 102–112</w:t>
      </w:r>
      <w:r w:rsidRPr="1EB936F8" w:rsidR="113E67D3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EB936F8" w:rsidR="5C2EE5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5C2EE5AA" w:rsidP="1EB936F8" w:rsidRDefault="5C2EE5AA" w14:paraId="034C72C3" w14:textId="30264350">
      <w:p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B936F8" w:rsidR="5C2EE5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Rivera, </w:t>
      </w:r>
      <w:r w:rsidRPr="1EB936F8" w:rsidR="5C2EE5AA">
        <w:rPr>
          <w:rFonts w:ascii="Arial" w:hAnsi="Arial" w:eastAsia="Arial" w:cs="Arial"/>
          <w:noProof w:val="0"/>
          <w:sz w:val="22"/>
          <w:szCs w:val="22"/>
          <w:lang w:val="en-GB"/>
        </w:rPr>
        <w:t>J.</w:t>
      </w:r>
      <w:r w:rsidRPr="1EB936F8" w:rsidR="5C2EE5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Brown, K. (2022) ‘User privacy </w:t>
      </w:r>
      <w:r w:rsidRPr="1EB936F8" w:rsidR="5C2EE5AA">
        <w:rPr>
          <w:rFonts w:ascii="Arial" w:hAnsi="Arial" w:eastAsia="Arial" w:cs="Arial"/>
          <w:noProof w:val="0"/>
          <w:sz w:val="22"/>
          <w:szCs w:val="22"/>
          <w:lang w:val="en-GB"/>
        </w:rPr>
        <w:t>perceptions</w:t>
      </w:r>
      <w:r w:rsidRPr="1EB936F8" w:rsidR="5C2EE5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among older adults in smart home ecosystems’, </w:t>
      </w:r>
      <w:r w:rsidRPr="1EB936F8" w:rsidR="5C2EE5A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Geotechnology: International Journal on Ageing,</w:t>
      </w:r>
      <w:r w:rsidRPr="1EB936F8" w:rsidR="5C2EE5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21(4), pp. 230–243.</w:t>
      </w:r>
      <w:r w:rsidRPr="1EB936F8" w:rsidR="2DEAEB5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Rivera, </w:t>
      </w:r>
      <w:r w:rsidRPr="1EB936F8" w:rsidR="2DEAEB5A">
        <w:rPr>
          <w:rFonts w:ascii="Arial" w:hAnsi="Arial" w:eastAsia="Arial" w:cs="Arial"/>
          <w:noProof w:val="0"/>
          <w:sz w:val="22"/>
          <w:szCs w:val="22"/>
          <w:lang w:val="en-GB"/>
        </w:rPr>
        <w:t>J.</w:t>
      </w:r>
      <w:r w:rsidRPr="1EB936F8" w:rsidR="2DEAEB5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Brown, K. (2022) ‘User privacy </w:t>
      </w:r>
      <w:r w:rsidRPr="1EB936F8" w:rsidR="2DEAEB5A">
        <w:rPr>
          <w:rFonts w:ascii="Arial" w:hAnsi="Arial" w:eastAsia="Arial" w:cs="Arial"/>
          <w:noProof w:val="0"/>
          <w:sz w:val="22"/>
          <w:szCs w:val="22"/>
          <w:lang w:val="en-GB"/>
        </w:rPr>
        <w:t>perceptions</w:t>
      </w:r>
      <w:r w:rsidRPr="1EB936F8" w:rsidR="2DEAEB5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among older adults in smart home ecosystems’, </w:t>
      </w:r>
      <w:r w:rsidRPr="1EB936F8" w:rsidR="2DEAEB5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Gerontechnology</w:t>
      </w:r>
      <w:r w:rsidRPr="1EB936F8" w:rsidR="2DEAEB5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: International Journal on </w:t>
      </w:r>
      <w:r w:rsidRPr="1EB936F8" w:rsidR="2D1E965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Ageing,</w:t>
      </w:r>
      <w:r w:rsidRPr="1EB936F8" w:rsidR="2DEAEB5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21(4), pp. 230–243.</w:t>
      </w:r>
    </w:p>
    <w:p w:rsidR="54BCA592" w:rsidP="1EB936F8" w:rsidRDefault="54BCA592" w14:paraId="5007B3A1" w14:textId="0B45DD61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B936F8" w:rsidR="54BCA5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EB936F8" w:rsidR="1C371FB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Roberts, </w:t>
      </w:r>
      <w:r w:rsidRPr="1EB936F8" w:rsidR="1C371FBB">
        <w:rPr>
          <w:rFonts w:ascii="Arial" w:hAnsi="Arial" w:eastAsia="Arial" w:cs="Arial"/>
          <w:noProof w:val="0"/>
          <w:sz w:val="22"/>
          <w:szCs w:val="22"/>
          <w:lang w:val="en-GB"/>
        </w:rPr>
        <w:t>E.</w:t>
      </w:r>
      <w:r w:rsidRPr="1EB936F8" w:rsidR="1C371FB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Ahmed, F. (2023) ‘Policy levers to expand equitable access to </w:t>
      </w:r>
      <w:r w:rsidRPr="1EB936F8" w:rsidR="13D0527E">
        <w:rPr>
          <w:rFonts w:ascii="Arial" w:hAnsi="Arial" w:eastAsia="Arial" w:cs="Arial"/>
          <w:noProof w:val="0"/>
          <w:sz w:val="22"/>
          <w:szCs w:val="22"/>
          <w:lang w:val="en-GB"/>
        </w:rPr>
        <w:t>ageing-focused</w:t>
      </w:r>
      <w:r w:rsidRPr="1EB936F8" w:rsidR="1C371FB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digital health’, </w:t>
      </w:r>
      <w:r w:rsidRPr="1EB936F8" w:rsidR="1C371FB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Health Policy Journal</w:t>
      </w:r>
      <w:r w:rsidRPr="1EB936F8" w:rsidR="1C371FBB">
        <w:rPr>
          <w:rFonts w:ascii="Arial" w:hAnsi="Arial" w:eastAsia="Arial" w:cs="Arial"/>
          <w:noProof w:val="0"/>
          <w:sz w:val="22"/>
          <w:szCs w:val="22"/>
          <w:lang w:val="en-GB"/>
        </w:rPr>
        <w:t>, 17(2), pp. 210–225.</w:t>
      </w:r>
      <w:r w:rsidRPr="1EB936F8" w:rsidR="5593E2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5593E261" w:rsidP="1EB936F8" w:rsidRDefault="5593E261" w14:paraId="3107EF36" w14:textId="027C9332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B936F8" w:rsidR="5593E2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Singh, </w:t>
      </w:r>
      <w:r w:rsidRPr="1EB936F8" w:rsidR="5593E261">
        <w:rPr>
          <w:rFonts w:ascii="Arial" w:hAnsi="Arial" w:eastAsia="Arial" w:cs="Arial"/>
          <w:noProof w:val="0"/>
          <w:sz w:val="22"/>
          <w:szCs w:val="22"/>
          <w:lang w:val="en-GB"/>
        </w:rPr>
        <w:t>V.</w:t>
      </w:r>
      <w:r w:rsidRPr="1EB936F8" w:rsidR="5593E2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Patel, M. (2020) ‘Digital literacy deficits as a barrier to elder tech adoption’, </w:t>
      </w:r>
      <w:r w:rsidRPr="1EB936F8" w:rsidR="5593E26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Education and Information Technologies</w:t>
      </w:r>
      <w:r w:rsidRPr="1EB936F8" w:rsidR="5593E261">
        <w:rPr>
          <w:rFonts w:ascii="Arial" w:hAnsi="Arial" w:eastAsia="Arial" w:cs="Arial"/>
          <w:noProof w:val="0"/>
          <w:sz w:val="22"/>
          <w:szCs w:val="22"/>
          <w:lang w:val="en-GB"/>
        </w:rPr>
        <w:t>, 25(6), pp. 4889–4905.</w:t>
      </w:r>
    </w:p>
    <w:p w:rsidR="29D45835" w:rsidP="1EB936F8" w:rsidRDefault="29D45835" w14:paraId="5BD5702B" w14:textId="7BD5E31F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B936F8" w:rsidR="29D458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Williams, </w:t>
      </w:r>
      <w:r w:rsidRPr="1EB936F8" w:rsidR="29D45835">
        <w:rPr>
          <w:rFonts w:ascii="Arial" w:hAnsi="Arial" w:eastAsia="Arial" w:cs="Arial"/>
          <w:noProof w:val="0"/>
          <w:sz w:val="22"/>
          <w:szCs w:val="22"/>
          <w:lang w:val="en-GB"/>
        </w:rPr>
        <w:t>R.</w:t>
      </w:r>
      <w:r w:rsidRPr="1EB936F8" w:rsidR="29D458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Ahmed, N. (2022) ‘Cybersecurity threats targeting senior populations: a scoping review’, </w:t>
      </w:r>
      <w:r w:rsidRPr="1EB936F8" w:rsidR="29D4583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Cyber Policy</w:t>
      </w:r>
      <w:r w:rsidRPr="1EB936F8" w:rsidR="29D458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7(2), pp. 190–210. </w:t>
      </w:r>
    </w:p>
    <w:p w:rsidR="29D45835" w:rsidP="1EB936F8" w:rsidRDefault="29D45835" w14:paraId="23B3D8B9" w14:textId="0A49BCD5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B936F8" w:rsidR="29D458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Williams, </w:t>
      </w:r>
      <w:r w:rsidRPr="1EB936F8" w:rsidR="29D45835">
        <w:rPr>
          <w:rFonts w:ascii="Arial" w:hAnsi="Arial" w:eastAsia="Arial" w:cs="Arial"/>
          <w:noProof w:val="0"/>
          <w:sz w:val="22"/>
          <w:szCs w:val="22"/>
          <w:lang w:val="en-GB"/>
        </w:rPr>
        <w:t>J.</w:t>
      </w:r>
      <w:r w:rsidRPr="1EB936F8" w:rsidR="29D458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Rivera, S. (2021) ‘Digital divide: internet access and technology use in </w:t>
      </w:r>
      <w:r w:rsidRPr="1EB936F8" w:rsidR="08B84EA4">
        <w:rPr>
          <w:rFonts w:ascii="Arial" w:hAnsi="Arial" w:eastAsia="Arial" w:cs="Arial"/>
          <w:noProof w:val="0"/>
          <w:sz w:val="22"/>
          <w:szCs w:val="22"/>
          <w:lang w:val="en-GB"/>
        </w:rPr>
        <w:t>ageing</w:t>
      </w:r>
      <w:r w:rsidRPr="1EB936F8" w:rsidR="29D458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populations’, </w:t>
      </w:r>
      <w:r w:rsidRPr="1EB936F8" w:rsidR="29D4583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Journal of </w:t>
      </w:r>
      <w:r w:rsidRPr="1EB936F8" w:rsidR="2866DA7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Ageing</w:t>
      </w:r>
      <w:r w:rsidRPr="1EB936F8" w:rsidR="29D4583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&amp; Social Policy</w:t>
      </w:r>
      <w:r w:rsidRPr="1EB936F8" w:rsidR="29D45835">
        <w:rPr>
          <w:rFonts w:ascii="Arial" w:hAnsi="Arial" w:eastAsia="Arial" w:cs="Arial"/>
          <w:noProof w:val="0"/>
          <w:sz w:val="22"/>
          <w:szCs w:val="22"/>
          <w:lang w:val="en-GB"/>
        </w:rPr>
        <w:t>, 33(2), pp. 160–178.</w:t>
      </w:r>
    </w:p>
    <w:p w:rsidR="4E2E8E82" w:rsidP="1EB936F8" w:rsidRDefault="4E2E8E82" w14:paraId="38D07115" w14:textId="43E4A3A7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B936F8" w:rsidR="4E2E8E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Zhao, </w:t>
      </w:r>
      <w:r w:rsidRPr="1EB936F8" w:rsidR="4E2E8E82">
        <w:rPr>
          <w:rFonts w:ascii="Arial" w:hAnsi="Arial" w:eastAsia="Arial" w:cs="Arial"/>
          <w:noProof w:val="0"/>
          <w:sz w:val="22"/>
          <w:szCs w:val="22"/>
          <w:lang w:val="en-GB"/>
        </w:rPr>
        <w:t>M.</w:t>
      </w:r>
      <w:r w:rsidRPr="1EB936F8" w:rsidR="4E2E8E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Brown, S. (2020) ‘The home internet gap: broadband access in ageing communities’, </w:t>
      </w:r>
      <w:r w:rsidRPr="1EB936F8" w:rsidR="4E2E8E8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Telecommunications Policy</w:t>
      </w:r>
      <w:r w:rsidRPr="1EB936F8" w:rsidR="4E2E8E82">
        <w:rPr>
          <w:rFonts w:ascii="Arial" w:hAnsi="Arial" w:eastAsia="Arial" w:cs="Arial"/>
          <w:noProof w:val="0"/>
          <w:sz w:val="22"/>
          <w:szCs w:val="22"/>
          <w:lang w:val="en-GB"/>
        </w:rPr>
        <w:t>, 44(9), 101928.</w:t>
      </w:r>
    </w:p>
    <w:p w:rsidR="1EB936F8" w:rsidP="1EB936F8" w:rsidRDefault="1EB936F8" w14:paraId="6859C929" w14:textId="3314391D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EB936F8" w:rsidP="1EB936F8" w:rsidRDefault="1EB936F8" w14:paraId="33287E31" w14:textId="5EFBEEA3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EB936F8" w:rsidP="1EB936F8" w:rsidRDefault="1EB936F8" w14:paraId="019C7B8D" w14:textId="058D205E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EB936F8" w:rsidP="1EB936F8" w:rsidRDefault="1EB936F8" w14:paraId="1E0500F4" w14:textId="6EDB8197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EB936F8" w:rsidP="1EB936F8" w:rsidRDefault="1EB936F8" w14:paraId="34C05BBD" w14:textId="2AE0C8EB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EB936F8" w:rsidP="1EB936F8" w:rsidRDefault="1EB936F8" w14:paraId="6A3B3474" w14:textId="11297F30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EB936F8" w:rsidP="1EB936F8" w:rsidRDefault="1EB936F8" w14:paraId="1FF4FCB9" w14:textId="23B9F3B3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EB936F8" w:rsidP="1EB936F8" w:rsidRDefault="1EB936F8" w14:paraId="64BE2305" w14:textId="0FD2F487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B936F8" w:rsidP="1EB936F8" w:rsidRDefault="1EB936F8" w14:paraId="5A590723" w14:textId="771F32A9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B936F8" w:rsidP="1EB936F8" w:rsidRDefault="1EB936F8" w14:paraId="4BC35724" w14:textId="7BEA7159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B936F8" w:rsidP="1EB936F8" w:rsidRDefault="1EB936F8" w14:paraId="737D2ECC" w14:textId="66331770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B936F8" w:rsidP="1EB936F8" w:rsidRDefault="1EB936F8" w14:paraId="28DF3399" w14:textId="5885A4E6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B936F8" w:rsidP="1EB936F8" w:rsidRDefault="1EB936F8" w14:paraId="1240F513" w14:textId="39BA7BE9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B936F8" w:rsidP="1EB936F8" w:rsidRDefault="1EB936F8" w14:paraId="59CFBC5D" w14:textId="5E079B15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B936F8" w:rsidP="1EB936F8" w:rsidRDefault="1EB936F8" w14:paraId="251FA672" w14:textId="0341E0DA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B936F8" w:rsidP="1EB936F8" w:rsidRDefault="1EB936F8" w14:paraId="118A70F6" w14:textId="5B9FBE5E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B936F8" w:rsidP="1EB936F8" w:rsidRDefault="1EB936F8" w14:paraId="4E2358BF" w14:textId="53EAD633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B936F8" w:rsidP="1EB936F8" w:rsidRDefault="1EB936F8" w14:paraId="68838DCA" w14:textId="48C494B6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B936F8" w:rsidP="1EB936F8" w:rsidRDefault="1EB936F8" w14:paraId="059E0948" w14:textId="60CD7578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B936F8" w:rsidP="1EB936F8" w:rsidRDefault="1EB936F8" w14:paraId="00D77EEB" w14:textId="483CB680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B936F8" w:rsidP="1EB936F8" w:rsidRDefault="1EB936F8" w14:paraId="1EC3B04E" w14:textId="592817C8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B936F8" w:rsidP="1EB936F8" w:rsidRDefault="1EB936F8" w14:paraId="7F35CE3F" w14:textId="65D21283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B936F8" w:rsidP="1EB936F8" w:rsidRDefault="1EB936F8" w14:paraId="22DE9E37" w14:textId="02725410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B936F8" w:rsidP="1EB936F8" w:rsidRDefault="1EB936F8" w14:paraId="2EA8873D" w14:textId="4668D4AF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B936F8" w:rsidP="1EB936F8" w:rsidRDefault="1EB936F8" w14:paraId="63CA88A9" w14:textId="190AA1A3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B936F8" w:rsidP="1EB936F8" w:rsidRDefault="1EB936F8" w14:paraId="2BAD3B72" w14:textId="3224DFD7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B936F8" w:rsidP="1EB936F8" w:rsidRDefault="1EB936F8" w14:paraId="66661912" w14:textId="671BBB5C">
      <w:pPr>
        <w:pStyle w:val="Normal"/>
        <w:spacing w:line="360" w:lineRule="auto"/>
        <w:ind w:left="0"/>
        <w:jc w:val="left"/>
        <w:rPr>
          <w:noProof w:val="0"/>
          <w:lang w:val="en-GB"/>
        </w:rPr>
      </w:pPr>
    </w:p>
    <w:p w:rsidR="1EB936F8" w:rsidP="1EB936F8" w:rsidRDefault="1EB936F8" w14:paraId="3149F97F" w14:textId="474DB7A4">
      <w:pPr>
        <w:pStyle w:val="Normal"/>
        <w:spacing w:line="360" w:lineRule="auto"/>
        <w:ind w:left="0"/>
        <w:jc w:val="left"/>
        <w:rPr>
          <w:noProof w:val="0"/>
          <w:lang w:val="en-GB"/>
        </w:rPr>
      </w:pPr>
    </w:p>
    <w:p w:rsidR="1EB936F8" w:rsidP="1EB936F8" w:rsidRDefault="1EB936F8" w14:paraId="3ACA789D" w14:textId="6D6CA730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EB936F8" w:rsidP="1EB936F8" w:rsidRDefault="1EB936F8" w14:paraId="7F7265B5" w14:textId="39D03D70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EB936F8" w:rsidP="1EB936F8" w:rsidRDefault="1EB936F8" w14:paraId="1531B97C" w14:textId="301DA6DF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EB936F8" w:rsidP="1EB936F8" w:rsidRDefault="1EB936F8" w14:paraId="5FB8368B" w14:textId="097DABF0">
      <w:pPr>
        <w:pStyle w:val="Normal"/>
        <w:spacing w:line="360" w:lineRule="auto"/>
        <w:jc w:val="both"/>
        <w:rPr>
          <w:rFonts w:ascii="Arial" w:hAnsi="Arial" w:eastAsia="Arial" w:cs="Arial"/>
          <w:sz w:val="48"/>
          <w:szCs w:val="48"/>
        </w:rPr>
      </w:pPr>
    </w:p>
    <w:p w:rsidR="1EB936F8" w:rsidP="1EB936F8" w:rsidRDefault="1EB936F8" w14:paraId="4D62D18E" w14:textId="1D04B4AC">
      <w:pPr>
        <w:pStyle w:val="Normal"/>
        <w:spacing w:line="360" w:lineRule="auto"/>
        <w:jc w:val="both"/>
        <w:rPr>
          <w:rFonts w:ascii="Arial" w:hAnsi="Arial" w:eastAsia="Arial" w:cs="Arial"/>
          <w:sz w:val="40"/>
          <w:szCs w:val="4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18ad77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48a298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dcccb4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26A7AA"/>
    <w:rsid w:val="006253ED"/>
    <w:rsid w:val="011E705C"/>
    <w:rsid w:val="028C8FC7"/>
    <w:rsid w:val="044A088A"/>
    <w:rsid w:val="083DF598"/>
    <w:rsid w:val="08B84EA4"/>
    <w:rsid w:val="0D2EC7C3"/>
    <w:rsid w:val="0DD89C0A"/>
    <w:rsid w:val="113E67D3"/>
    <w:rsid w:val="12DFD4DF"/>
    <w:rsid w:val="1376478C"/>
    <w:rsid w:val="13D0527E"/>
    <w:rsid w:val="15710992"/>
    <w:rsid w:val="15A99CF1"/>
    <w:rsid w:val="167390D8"/>
    <w:rsid w:val="173E764F"/>
    <w:rsid w:val="192D8049"/>
    <w:rsid w:val="1B05A4F8"/>
    <w:rsid w:val="1C371FBB"/>
    <w:rsid w:val="1CEA7C2C"/>
    <w:rsid w:val="1EB936F8"/>
    <w:rsid w:val="1F9D386D"/>
    <w:rsid w:val="2141FD10"/>
    <w:rsid w:val="23B57B27"/>
    <w:rsid w:val="23BCC66E"/>
    <w:rsid w:val="24962C9A"/>
    <w:rsid w:val="25DFF80D"/>
    <w:rsid w:val="26035763"/>
    <w:rsid w:val="27E741BC"/>
    <w:rsid w:val="2866DA72"/>
    <w:rsid w:val="2936EDD9"/>
    <w:rsid w:val="29D45835"/>
    <w:rsid w:val="2AEAAF6C"/>
    <w:rsid w:val="2BA981EA"/>
    <w:rsid w:val="2C5702B0"/>
    <w:rsid w:val="2CD8B29D"/>
    <w:rsid w:val="2D1E9658"/>
    <w:rsid w:val="2DCB4124"/>
    <w:rsid w:val="2DEAEB5A"/>
    <w:rsid w:val="30A88924"/>
    <w:rsid w:val="313E1583"/>
    <w:rsid w:val="3362028A"/>
    <w:rsid w:val="35E564FA"/>
    <w:rsid w:val="35E8E6CB"/>
    <w:rsid w:val="379B16CD"/>
    <w:rsid w:val="385D1A63"/>
    <w:rsid w:val="3ACE07EE"/>
    <w:rsid w:val="3C0D5CC7"/>
    <w:rsid w:val="3CEEE411"/>
    <w:rsid w:val="3F1A94DD"/>
    <w:rsid w:val="3FCD9202"/>
    <w:rsid w:val="4175F2EA"/>
    <w:rsid w:val="42B1CF67"/>
    <w:rsid w:val="42BE91E5"/>
    <w:rsid w:val="43A6EDFD"/>
    <w:rsid w:val="44B0A9AE"/>
    <w:rsid w:val="46A98103"/>
    <w:rsid w:val="46F19F9E"/>
    <w:rsid w:val="477BA909"/>
    <w:rsid w:val="49252052"/>
    <w:rsid w:val="49354880"/>
    <w:rsid w:val="4AF41E8F"/>
    <w:rsid w:val="4C368D26"/>
    <w:rsid w:val="4E2E8E82"/>
    <w:rsid w:val="4E2FBB13"/>
    <w:rsid w:val="4EB9665F"/>
    <w:rsid w:val="4F01660C"/>
    <w:rsid w:val="4F63B349"/>
    <w:rsid w:val="53124254"/>
    <w:rsid w:val="53288D6B"/>
    <w:rsid w:val="53FED885"/>
    <w:rsid w:val="543388F8"/>
    <w:rsid w:val="5434D3D0"/>
    <w:rsid w:val="543F1D56"/>
    <w:rsid w:val="54BCA592"/>
    <w:rsid w:val="55352616"/>
    <w:rsid w:val="5593E261"/>
    <w:rsid w:val="55DEA149"/>
    <w:rsid w:val="55F62907"/>
    <w:rsid w:val="564B8CE1"/>
    <w:rsid w:val="5798936F"/>
    <w:rsid w:val="5897DD70"/>
    <w:rsid w:val="593905F3"/>
    <w:rsid w:val="5A144F41"/>
    <w:rsid w:val="5A420C6B"/>
    <w:rsid w:val="5AB4EB2C"/>
    <w:rsid w:val="5AE47D89"/>
    <w:rsid w:val="5C2EE5AA"/>
    <w:rsid w:val="5C70E6E0"/>
    <w:rsid w:val="5CD02338"/>
    <w:rsid w:val="5D26DCBC"/>
    <w:rsid w:val="5E60D078"/>
    <w:rsid w:val="61E7D735"/>
    <w:rsid w:val="637CE275"/>
    <w:rsid w:val="65350C03"/>
    <w:rsid w:val="66DB159C"/>
    <w:rsid w:val="68105411"/>
    <w:rsid w:val="6993A786"/>
    <w:rsid w:val="69A270CF"/>
    <w:rsid w:val="6A7E266E"/>
    <w:rsid w:val="6AF17596"/>
    <w:rsid w:val="6CC69F64"/>
    <w:rsid w:val="6D35F4EE"/>
    <w:rsid w:val="7026A7AA"/>
    <w:rsid w:val="7083ADF6"/>
    <w:rsid w:val="72827065"/>
    <w:rsid w:val="73875706"/>
    <w:rsid w:val="76CA344D"/>
    <w:rsid w:val="79802133"/>
    <w:rsid w:val="7A97F3B3"/>
    <w:rsid w:val="7AF1F24F"/>
    <w:rsid w:val="7BEF5FED"/>
    <w:rsid w:val="7C234CE8"/>
    <w:rsid w:val="7C7F5B74"/>
    <w:rsid w:val="7D4F732A"/>
    <w:rsid w:val="7D7583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26A7AA"/>
  <w15:chartTrackingRefBased/>
  <w15:docId w15:val="{CAB6C265-8AE7-458E-9A49-6E1D02AA54D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EB936F8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930347129" /><Relationship Type="http://schemas.openxmlformats.org/officeDocument/2006/relationships/numbering" Target="/word/numbering.xml" Id="R880da1f9b45d41d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Chizoma Awoyemi (2223400)</dc:creator>
  <keywords/>
  <dc:description/>
  <lastModifiedBy>Chizoma Awoyemi (2223400)</lastModifiedBy>
  <revision>2</revision>
  <dcterms:created xsi:type="dcterms:W3CDTF">2025-11-07T13:40:41.9282832Z</dcterms:created>
  <dcterms:modified xsi:type="dcterms:W3CDTF">2025-11-08T01:27:17.2231386Z</dcterms:modified>
</coreProperties>
</file>