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AF25A" w14:textId="77777777" w:rsidR="00C4620B" w:rsidRDefault="00C4620B" w:rsidP="00CC3DEF">
      <w:pPr>
        <w:rPr>
          <w:sz w:val="36"/>
          <w:szCs w:val="40"/>
        </w:rPr>
      </w:pPr>
    </w:p>
    <w:p w14:paraId="39F3C63B" w14:textId="172AEE67" w:rsidR="00872ECB" w:rsidRPr="00872ECB" w:rsidRDefault="00872ECB" w:rsidP="00C4620B">
      <w:pPr>
        <w:jc w:val="center"/>
        <w:rPr>
          <w:rFonts w:cs="Arial"/>
          <w:sz w:val="28"/>
          <w:szCs w:val="28"/>
        </w:rPr>
      </w:pPr>
      <w:r w:rsidRPr="00872ECB">
        <w:rPr>
          <w:rFonts w:cs="Arial"/>
          <w:noProof/>
          <w:sz w:val="28"/>
          <w:szCs w:val="28"/>
        </w:rPr>
        <w:drawing>
          <wp:inline distT="0" distB="0" distL="0" distR="0" wp14:anchorId="4D2FC521" wp14:editId="2BF5FE56">
            <wp:extent cx="4157980" cy="1329055"/>
            <wp:effectExtent l="0" t="0" r="0" b="0"/>
            <wp:docPr id="1975464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7980" cy="1329055"/>
                    </a:xfrm>
                    <a:prstGeom prst="rect">
                      <a:avLst/>
                    </a:prstGeom>
                    <a:noFill/>
                  </pic:spPr>
                </pic:pic>
              </a:graphicData>
            </a:graphic>
          </wp:inline>
        </w:drawing>
      </w:r>
    </w:p>
    <w:p w14:paraId="095C8047" w14:textId="08EA8A4F" w:rsidR="00872ECB" w:rsidRPr="00B25E3A" w:rsidRDefault="00872ECB" w:rsidP="00872ECB">
      <w:pPr>
        <w:rPr>
          <w:rFonts w:cs="Arial"/>
          <w:b/>
          <w:bCs/>
          <w:sz w:val="28"/>
          <w:szCs w:val="28"/>
        </w:rPr>
      </w:pPr>
      <w:r w:rsidRPr="00B25E3A">
        <w:rPr>
          <w:rFonts w:cs="Arial"/>
          <w:b/>
          <w:bCs/>
          <w:sz w:val="28"/>
          <w:szCs w:val="28"/>
        </w:rPr>
        <w:t>Institute of Inner-City Learning Birmingham Campus</w:t>
      </w:r>
    </w:p>
    <w:p w14:paraId="3CB1CA62" w14:textId="77777777" w:rsidR="00872ECB" w:rsidRDefault="00872ECB" w:rsidP="00872ECB">
      <w:pPr>
        <w:rPr>
          <w:rFonts w:cs="Arial"/>
          <w:b/>
          <w:bCs/>
          <w:sz w:val="28"/>
          <w:szCs w:val="28"/>
        </w:rPr>
      </w:pPr>
      <w:r w:rsidRPr="00B25E3A">
        <w:rPr>
          <w:rFonts w:cs="Arial"/>
          <w:b/>
          <w:bCs/>
          <w:sz w:val="28"/>
          <w:szCs w:val="28"/>
        </w:rPr>
        <w:t>BSc (Hons) Health and Social Care</w:t>
      </w:r>
    </w:p>
    <w:p w14:paraId="27905DDB" w14:textId="2AF55649" w:rsidR="00872ECB" w:rsidRDefault="00B25E3A" w:rsidP="00872ECB">
      <w:pPr>
        <w:rPr>
          <w:rFonts w:cs="Arial"/>
          <w:sz w:val="28"/>
          <w:szCs w:val="28"/>
        </w:rPr>
      </w:pPr>
      <w:r w:rsidRPr="00B25E3A">
        <w:rPr>
          <w:rFonts w:cs="Arial"/>
          <w:b/>
          <w:bCs/>
          <w:sz w:val="28"/>
          <w:szCs w:val="28"/>
        </w:rPr>
        <w:t>Name:</w:t>
      </w:r>
      <w:r>
        <w:rPr>
          <w:rFonts w:cs="Arial"/>
          <w:sz w:val="28"/>
          <w:szCs w:val="28"/>
        </w:rPr>
        <w:t xml:space="preserve"> Melody Maseko</w:t>
      </w:r>
    </w:p>
    <w:p w14:paraId="4A311D90" w14:textId="28C8A2D0" w:rsidR="00872ECB" w:rsidRDefault="00B25E3A" w:rsidP="00872ECB">
      <w:pPr>
        <w:rPr>
          <w:rFonts w:cs="Arial"/>
          <w:sz w:val="28"/>
          <w:szCs w:val="28"/>
        </w:rPr>
      </w:pPr>
      <w:r w:rsidRPr="00B25E3A">
        <w:rPr>
          <w:rFonts w:cs="Arial"/>
          <w:b/>
          <w:bCs/>
          <w:sz w:val="28"/>
          <w:szCs w:val="28"/>
        </w:rPr>
        <w:t>Student number:</w:t>
      </w:r>
      <w:r>
        <w:rPr>
          <w:rFonts w:cs="Arial"/>
          <w:sz w:val="28"/>
          <w:szCs w:val="28"/>
        </w:rPr>
        <w:t xml:space="preserve"> 2244812</w:t>
      </w:r>
    </w:p>
    <w:p w14:paraId="56577BA6" w14:textId="0F23BA34" w:rsidR="00B25E3A" w:rsidRDefault="00B25E3A" w:rsidP="00872ECB">
      <w:pPr>
        <w:rPr>
          <w:rFonts w:cs="Arial"/>
          <w:sz w:val="28"/>
          <w:szCs w:val="28"/>
        </w:rPr>
      </w:pPr>
      <w:r w:rsidRPr="00AB0636">
        <w:rPr>
          <w:rFonts w:cs="Arial"/>
          <w:b/>
          <w:bCs/>
          <w:sz w:val="28"/>
          <w:szCs w:val="28"/>
        </w:rPr>
        <w:t>Module:</w:t>
      </w:r>
      <w:r>
        <w:rPr>
          <w:rFonts w:cs="Arial"/>
          <w:sz w:val="28"/>
          <w:szCs w:val="28"/>
        </w:rPr>
        <w:t xml:space="preserve"> </w:t>
      </w:r>
      <w:r w:rsidR="00AB0636">
        <w:rPr>
          <w:rFonts w:cs="Arial"/>
          <w:sz w:val="28"/>
          <w:szCs w:val="28"/>
        </w:rPr>
        <w:t>Independent Project</w:t>
      </w:r>
    </w:p>
    <w:p w14:paraId="08011C68" w14:textId="77691B73" w:rsidR="00AB0636" w:rsidRDefault="00AB0636" w:rsidP="00872ECB">
      <w:pPr>
        <w:rPr>
          <w:rFonts w:cs="Arial"/>
          <w:sz w:val="28"/>
          <w:szCs w:val="28"/>
        </w:rPr>
      </w:pPr>
      <w:r w:rsidRPr="00AB0636">
        <w:rPr>
          <w:rFonts w:cs="Arial"/>
          <w:b/>
          <w:bCs/>
          <w:sz w:val="28"/>
          <w:szCs w:val="28"/>
        </w:rPr>
        <w:t>Module code:</w:t>
      </w:r>
      <w:r>
        <w:rPr>
          <w:rFonts w:cs="Arial"/>
          <w:sz w:val="28"/>
          <w:szCs w:val="28"/>
        </w:rPr>
        <w:t xml:space="preserve"> BMPH6020</w:t>
      </w:r>
    </w:p>
    <w:p w14:paraId="0930EA91" w14:textId="347D9556" w:rsidR="00110FB5" w:rsidRDefault="00110FB5" w:rsidP="00872ECB">
      <w:pPr>
        <w:rPr>
          <w:rFonts w:cs="Arial"/>
          <w:sz w:val="28"/>
          <w:szCs w:val="28"/>
        </w:rPr>
      </w:pPr>
      <w:r w:rsidRPr="00110FB5">
        <w:rPr>
          <w:rFonts w:cs="Arial"/>
          <w:b/>
          <w:bCs/>
          <w:sz w:val="28"/>
          <w:szCs w:val="28"/>
        </w:rPr>
        <w:t>Project Title:</w:t>
      </w:r>
      <w:r w:rsidRPr="00110FB5">
        <w:rPr>
          <w:rFonts w:cs="Arial"/>
          <w:sz w:val="28"/>
          <w:szCs w:val="28"/>
        </w:rPr>
        <w:t xml:space="preserve"> Barriers to accessing Community based End-of-life Care for the Elderly in the UK</w:t>
      </w:r>
    </w:p>
    <w:p w14:paraId="026B7D07" w14:textId="77777777" w:rsidR="00B25E3A" w:rsidRDefault="00B25E3A" w:rsidP="00872ECB">
      <w:pPr>
        <w:rPr>
          <w:rFonts w:cs="Arial"/>
          <w:sz w:val="28"/>
          <w:szCs w:val="28"/>
        </w:rPr>
      </w:pPr>
    </w:p>
    <w:p w14:paraId="7B47E86F" w14:textId="77777777" w:rsidR="00B25E3A" w:rsidRPr="00B25E3A" w:rsidRDefault="00B25E3A" w:rsidP="00872ECB">
      <w:pPr>
        <w:rPr>
          <w:rFonts w:cs="Arial"/>
          <w:sz w:val="28"/>
          <w:szCs w:val="28"/>
        </w:rPr>
      </w:pPr>
    </w:p>
    <w:p w14:paraId="5947F7F9" w14:textId="77777777" w:rsidR="00872ECB" w:rsidRPr="00B25E3A" w:rsidRDefault="00872ECB" w:rsidP="00872ECB">
      <w:pPr>
        <w:rPr>
          <w:rFonts w:cs="Arial"/>
          <w:b/>
          <w:bCs/>
          <w:sz w:val="28"/>
          <w:szCs w:val="28"/>
        </w:rPr>
      </w:pPr>
      <w:r w:rsidRPr="00B25E3A">
        <w:rPr>
          <w:rFonts w:cs="Arial"/>
          <w:b/>
          <w:bCs/>
          <w:sz w:val="28"/>
          <w:szCs w:val="28"/>
        </w:rPr>
        <w:t>Disclaimer</w:t>
      </w:r>
    </w:p>
    <w:p w14:paraId="06BA9BD2" w14:textId="143AFF65" w:rsidR="00872ECB" w:rsidRPr="00B25E3A" w:rsidRDefault="00872ECB" w:rsidP="00872ECB">
      <w:pPr>
        <w:rPr>
          <w:rFonts w:cs="Arial"/>
          <w:szCs w:val="22"/>
        </w:rPr>
      </w:pPr>
      <w:r w:rsidRPr="00B25E3A">
        <w:rPr>
          <w:rFonts w:cs="Arial"/>
          <w:szCs w:val="22"/>
        </w:rPr>
        <w:t xml:space="preserve">This document was correct at the time of publication. The Module Coordinator reserves the right to modify any </w:t>
      </w:r>
      <w:proofErr w:type="gramStart"/>
      <w:r w:rsidRPr="00B25E3A">
        <w:rPr>
          <w:rFonts w:cs="Arial"/>
          <w:szCs w:val="22"/>
        </w:rPr>
        <w:t>statement</w:t>
      </w:r>
      <w:proofErr w:type="gramEnd"/>
      <w:r w:rsidRPr="00B25E3A">
        <w:rPr>
          <w:rFonts w:cs="Arial"/>
          <w:szCs w:val="22"/>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7B17F997" w14:textId="0D155716" w:rsidR="00872ECB" w:rsidRPr="00B25E3A" w:rsidRDefault="00872ECB" w:rsidP="00872ECB">
      <w:pPr>
        <w:rPr>
          <w:rFonts w:cs="Arial"/>
          <w:b/>
          <w:bCs/>
          <w:sz w:val="28"/>
          <w:szCs w:val="28"/>
        </w:rPr>
      </w:pPr>
      <w:r w:rsidRPr="00B25E3A">
        <w:rPr>
          <w:rFonts w:cs="Arial"/>
          <w:b/>
          <w:bCs/>
          <w:sz w:val="28"/>
          <w:szCs w:val="28"/>
        </w:rPr>
        <w:t>DECLARATION</w:t>
      </w:r>
    </w:p>
    <w:p w14:paraId="61CF07AB" w14:textId="77777777" w:rsidR="00872ECB" w:rsidRPr="00B25E3A" w:rsidRDefault="00872ECB" w:rsidP="00872ECB">
      <w:pPr>
        <w:rPr>
          <w:rFonts w:cs="Arial"/>
          <w:szCs w:val="22"/>
        </w:rPr>
      </w:pPr>
      <w:r w:rsidRPr="00B25E3A">
        <w:rPr>
          <w:rFonts w:cs="Arial"/>
          <w:szCs w:val="22"/>
        </w:rPr>
        <w:t>This work has not previously been accepted in substance for any degree and is not being concurrently submitted in candidature for any degree</w:t>
      </w:r>
    </w:p>
    <w:p w14:paraId="5E662806" w14:textId="1817985C" w:rsidR="00872ECB" w:rsidRPr="00B25E3A" w:rsidRDefault="00872ECB" w:rsidP="00872ECB">
      <w:pPr>
        <w:rPr>
          <w:rFonts w:cs="Arial"/>
          <w:szCs w:val="22"/>
        </w:rPr>
      </w:pPr>
      <w:r w:rsidRPr="00B25E3A">
        <w:rPr>
          <w:rFonts w:cs="Arial"/>
          <w:szCs w:val="22"/>
        </w:rPr>
        <w:lastRenderedPageBreak/>
        <w:t>Signed</w:t>
      </w:r>
      <w:r w:rsidRPr="00B25E3A">
        <w:rPr>
          <w:rFonts w:cs="Arial"/>
          <w:szCs w:val="22"/>
        </w:rPr>
        <w:t xml:space="preserve">: </w:t>
      </w:r>
      <w:proofErr w:type="spellStart"/>
      <w:proofErr w:type="gramStart"/>
      <w:r w:rsidRPr="00B25E3A">
        <w:rPr>
          <w:rFonts w:cs="Arial"/>
          <w:szCs w:val="22"/>
        </w:rPr>
        <w:t>M.Maseko</w:t>
      </w:r>
      <w:proofErr w:type="spellEnd"/>
      <w:proofErr w:type="gramEnd"/>
    </w:p>
    <w:p w14:paraId="101A6685" w14:textId="30CE6C24" w:rsidR="00872ECB" w:rsidRPr="00B25E3A" w:rsidRDefault="00872ECB" w:rsidP="00872ECB">
      <w:pPr>
        <w:rPr>
          <w:rFonts w:cs="Arial"/>
          <w:szCs w:val="22"/>
        </w:rPr>
      </w:pPr>
      <w:r w:rsidRPr="00B25E3A">
        <w:rPr>
          <w:rFonts w:cs="Arial"/>
          <w:szCs w:val="22"/>
        </w:rPr>
        <w:t>Date</w:t>
      </w:r>
      <w:r w:rsidRPr="00B25E3A">
        <w:rPr>
          <w:rFonts w:cs="Arial"/>
          <w:szCs w:val="22"/>
        </w:rPr>
        <w:t>: 25/7/2026</w:t>
      </w:r>
    </w:p>
    <w:p w14:paraId="5FDBA4DA" w14:textId="77777777" w:rsidR="00872ECB" w:rsidRPr="00B25E3A" w:rsidRDefault="00872ECB" w:rsidP="00872ECB">
      <w:pPr>
        <w:rPr>
          <w:rFonts w:cs="Arial"/>
          <w:b/>
          <w:bCs/>
          <w:sz w:val="28"/>
          <w:szCs w:val="28"/>
        </w:rPr>
      </w:pPr>
      <w:r w:rsidRPr="00B25E3A">
        <w:rPr>
          <w:rFonts w:cs="Arial"/>
          <w:b/>
          <w:bCs/>
          <w:sz w:val="28"/>
          <w:szCs w:val="28"/>
        </w:rPr>
        <w:t xml:space="preserve">STATEMENT 1 </w:t>
      </w:r>
    </w:p>
    <w:p w14:paraId="0850234E" w14:textId="77777777" w:rsidR="00872ECB" w:rsidRPr="00B25E3A" w:rsidRDefault="00872ECB" w:rsidP="00872ECB">
      <w:pPr>
        <w:rPr>
          <w:rFonts w:cs="Arial"/>
          <w:szCs w:val="22"/>
        </w:rPr>
      </w:pPr>
      <w:r w:rsidRPr="00B25E3A">
        <w:rPr>
          <w:rFonts w:cs="Arial"/>
          <w:szCs w:val="22"/>
        </w:rPr>
        <w:t>This dissertation is being submitted in partial fulfilment of the requirements for the degree of BSc.</w:t>
      </w:r>
    </w:p>
    <w:p w14:paraId="05670E3A" w14:textId="190A10A5" w:rsidR="00872ECB" w:rsidRPr="00B25E3A" w:rsidRDefault="00872ECB" w:rsidP="00872ECB">
      <w:pPr>
        <w:rPr>
          <w:rFonts w:cs="Arial"/>
          <w:szCs w:val="22"/>
        </w:rPr>
      </w:pPr>
      <w:r w:rsidRPr="00B25E3A">
        <w:rPr>
          <w:rFonts w:cs="Arial"/>
          <w:szCs w:val="22"/>
        </w:rPr>
        <w:t>Signed</w:t>
      </w:r>
      <w:r w:rsidRPr="00B25E3A">
        <w:rPr>
          <w:rFonts w:cs="Arial"/>
          <w:szCs w:val="22"/>
        </w:rPr>
        <w:t xml:space="preserve">: </w:t>
      </w:r>
      <w:proofErr w:type="spellStart"/>
      <w:proofErr w:type="gramStart"/>
      <w:r w:rsidRPr="00B25E3A">
        <w:rPr>
          <w:rFonts w:cs="Arial"/>
          <w:szCs w:val="22"/>
        </w:rPr>
        <w:t>M.Maseko</w:t>
      </w:r>
      <w:proofErr w:type="spellEnd"/>
      <w:proofErr w:type="gramEnd"/>
    </w:p>
    <w:p w14:paraId="5D9984F6" w14:textId="7564F538" w:rsidR="00872ECB" w:rsidRPr="00B25E3A" w:rsidRDefault="00872ECB" w:rsidP="00872ECB">
      <w:pPr>
        <w:rPr>
          <w:rFonts w:cs="Arial"/>
          <w:szCs w:val="22"/>
        </w:rPr>
      </w:pPr>
      <w:r w:rsidRPr="00B25E3A">
        <w:rPr>
          <w:rFonts w:cs="Arial"/>
          <w:szCs w:val="22"/>
        </w:rPr>
        <w:t>Dat</w:t>
      </w:r>
      <w:r w:rsidRPr="00B25E3A">
        <w:rPr>
          <w:rFonts w:cs="Arial"/>
          <w:szCs w:val="22"/>
        </w:rPr>
        <w:t>e: 25/7/26</w:t>
      </w:r>
    </w:p>
    <w:p w14:paraId="658EAC8E" w14:textId="77777777" w:rsidR="00872ECB" w:rsidRPr="00B25E3A" w:rsidRDefault="00872ECB" w:rsidP="00872ECB">
      <w:pPr>
        <w:rPr>
          <w:rFonts w:cs="Arial"/>
          <w:b/>
          <w:bCs/>
          <w:sz w:val="28"/>
          <w:szCs w:val="28"/>
        </w:rPr>
      </w:pPr>
      <w:r w:rsidRPr="00B25E3A">
        <w:rPr>
          <w:rFonts w:cs="Arial"/>
          <w:b/>
          <w:bCs/>
          <w:sz w:val="28"/>
          <w:szCs w:val="28"/>
        </w:rPr>
        <w:t>STATEMENT 2</w:t>
      </w:r>
    </w:p>
    <w:p w14:paraId="2D7E9F99" w14:textId="77777777" w:rsidR="00872ECB" w:rsidRPr="00B25E3A" w:rsidRDefault="00872ECB" w:rsidP="00872ECB">
      <w:pPr>
        <w:rPr>
          <w:rFonts w:cs="Arial"/>
          <w:szCs w:val="22"/>
        </w:rPr>
      </w:pPr>
      <w:r w:rsidRPr="00B25E3A">
        <w:rPr>
          <w:rFonts w:cs="Arial"/>
          <w:szCs w:val="22"/>
        </w:rPr>
        <w:t>This dissertation is the result of my own independent work/investigation, except where otherwise stated. Other sources are acknowledged by footnotes giving explicit references.  A bibliography is appended.</w:t>
      </w:r>
    </w:p>
    <w:p w14:paraId="6DBD8C84" w14:textId="49AC8E16" w:rsidR="00872ECB" w:rsidRPr="00B25E3A" w:rsidRDefault="00872ECB" w:rsidP="00872ECB">
      <w:pPr>
        <w:rPr>
          <w:rFonts w:cs="Arial"/>
          <w:szCs w:val="22"/>
        </w:rPr>
      </w:pPr>
      <w:r w:rsidRPr="00B25E3A">
        <w:rPr>
          <w:rFonts w:cs="Arial"/>
          <w:szCs w:val="22"/>
        </w:rPr>
        <w:t>Signed</w:t>
      </w:r>
      <w:r w:rsidRPr="00B25E3A">
        <w:rPr>
          <w:rFonts w:cs="Arial"/>
          <w:szCs w:val="22"/>
        </w:rPr>
        <w:t xml:space="preserve">: </w:t>
      </w:r>
      <w:proofErr w:type="spellStart"/>
      <w:proofErr w:type="gramStart"/>
      <w:r w:rsidRPr="00B25E3A">
        <w:rPr>
          <w:rFonts w:cs="Arial"/>
          <w:szCs w:val="22"/>
        </w:rPr>
        <w:t>M.Maseko</w:t>
      </w:r>
      <w:proofErr w:type="spellEnd"/>
      <w:proofErr w:type="gramEnd"/>
    </w:p>
    <w:p w14:paraId="1BC49F4A" w14:textId="1DB98B0F" w:rsidR="00872ECB" w:rsidRPr="00B25E3A" w:rsidRDefault="00872ECB" w:rsidP="00872ECB">
      <w:pPr>
        <w:rPr>
          <w:rFonts w:cs="Arial"/>
          <w:szCs w:val="22"/>
        </w:rPr>
      </w:pPr>
      <w:r w:rsidRPr="00B25E3A">
        <w:rPr>
          <w:rFonts w:cs="Arial"/>
          <w:szCs w:val="22"/>
        </w:rPr>
        <w:t>Date</w:t>
      </w:r>
      <w:r w:rsidRPr="00B25E3A">
        <w:rPr>
          <w:rFonts w:cs="Arial"/>
          <w:szCs w:val="22"/>
        </w:rPr>
        <w:t>: 25/7/26</w:t>
      </w:r>
    </w:p>
    <w:p w14:paraId="611F8CC2" w14:textId="77777777" w:rsidR="00872ECB" w:rsidRPr="00B25E3A" w:rsidRDefault="00872ECB" w:rsidP="00872ECB">
      <w:pPr>
        <w:rPr>
          <w:rFonts w:cs="Arial"/>
          <w:b/>
          <w:bCs/>
          <w:sz w:val="28"/>
          <w:szCs w:val="28"/>
        </w:rPr>
      </w:pPr>
      <w:r w:rsidRPr="00B25E3A">
        <w:rPr>
          <w:rFonts w:cs="Arial"/>
          <w:b/>
          <w:bCs/>
          <w:sz w:val="28"/>
          <w:szCs w:val="28"/>
        </w:rPr>
        <w:t>STATEMENT 3</w:t>
      </w:r>
    </w:p>
    <w:p w14:paraId="1267D522" w14:textId="77777777" w:rsidR="00872ECB" w:rsidRPr="00B25E3A" w:rsidRDefault="00872ECB" w:rsidP="00872ECB">
      <w:pPr>
        <w:rPr>
          <w:rFonts w:cs="Arial"/>
          <w:szCs w:val="22"/>
        </w:rPr>
      </w:pPr>
      <w:r w:rsidRPr="00B25E3A">
        <w:rPr>
          <w:rFonts w:cs="Arial"/>
          <w:szCs w:val="22"/>
        </w:rPr>
        <w:t>I hereby give consent for my dissertation, if accepted, to be available for photocopying and for interlibrary loan, and for the title and summary to be made available to outside organisations.</w:t>
      </w:r>
    </w:p>
    <w:p w14:paraId="346826FC" w14:textId="29E9228D" w:rsidR="00872ECB" w:rsidRPr="00B25E3A" w:rsidRDefault="00872ECB" w:rsidP="00872ECB">
      <w:pPr>
        <w:rPr>
          <w:rFonts w:cs="Arial"/>
          <w:szCs w:val="22"/>
        </w:rPr>
      </w:pPr>
      <w:r w:rsidRPr="00B25E3A">
        <w:rPr>
          <w:rFonts w:cs="Arial"/>
          <w:szCs w:val="22"/>
        </w:rPr>
        <w:t>Signed</w:t>
      </w:r>
      <w:r w:rsidRPr="00B25E3A">
        <w:rPr>
          <w:rFonts w:cs="Arial"/>
          <w:szCs w:val="22"/>
        </w:rPr>
        <w:t>: 25/7/26</w:t>
      </w:r>
    </w:p>
    <w:p w14:paraId="1AAC5CC7" w14:textId="4BEBE309" w:rsidR="00872ECB" w:rsidRPr="00B25E3A" w:rsidRDefault="00872ECB" w:rsidP="00872ECB">
      <w:pPr>
        <w:rPr>
          <w:rFonts w:cs="Arial"/>
          <w:szCs w:val="22"/>
        </w:rPr>
      </w:pPr>
      <w:r w:rsidRPr="00B25E3A">
        <w:rPr>
          <w:rFonts w:cs="Arial"/>
          <w:szCs w:val="22"/>
        </w:rPr>
        <w:t>Date</w:t>
      </w:r>
      <w:r w:rsidRPr="00B25E3A">
        <w:rPr>
          <w:rFonts w:cs="Arial"/>
          <w:szCs w:val="22"/>
        </w:rPr>
        <w:t>: 25/7/26</w:t>
      </w:r>
    </w:p>
    <w:p w14:paraId="616FFFDA" w14:textId="77777777" w:rsidR="00872ECB" w:rsidRPr="00B25E3A" w:rsidRDefault="00872ECB" w:rsidP="00872ECB">
      <w:pPr>
        <w:rPr>
          <w:rFonts w:cs="Arial"/>
          <w:b/>
          <w:bCs/>
          <w:sz w:val="28"/>
          <w:szCs w:val="28"/>
        </w:rPr>
      </w:pPr>
      <w:r w:rsidRPr="00B25E3A">
        <w:rPr>
          <w:rFonts w:cs="Arial"/>
          <w:b/>
          <w:bCs/>
          <w:sz w:val="28"/>
          <w:szCs w:val="28"/>
        </w:rPr>
        <w:t>STATEMENT 4</w:t>
      </w:r>
    </w:p>
    <w:p w14:paraId="20B74BED" w14:textId="77777777" w:rsidR="00872ECB" w:rsidRPr="00B25E3A" w:rsidRDefault="00872ECB" w:rsidP="00872ECB">
      <w:pPr>
        <w:rPr>
          <w:rFonts w:cs="Arial"/>
          <w:szCs w:val="22"/>
        </w:rPr>
      </w:pPr>
      <w:r w:rsidRPr="00B25E3A">
        <w:rPr>
          <w:rFonts w:cs="Arial"/>
          <w:szCs w:val="22"/>
        </w:rPr>
        <w:t>I hereby give consent for my dissertation, if accepted, to be available on the university’s IT system to those who have consent to use the system.</w:t>
      </w:r>
    </w:p>
    <w:p w14:paraId="32E894FF" w14:textId="0215A885" w:rsidR="00872ECB" w:rsidRPr="00B25E3A" w:rsidRDefault="00872ECB" w:rsidP="00872ECB">
      <w:pPr>
        <w:rPr>
          <w:rFonts w:cs="Arial"/>
          <w:szCs w:val="22"/>
        </w:rPr>
      </w:pPr>
      <w:r w:rsidRPr="00B25E3A">
        <w:rPr>
          <w:rFonts w:cs="Arial"/>
          <w:szCs w:val="22"/>
        </w:rPr>
        <w:t>Signed</w:t>
      </w:r>
      <w:r w:rsidRPr="00B25E3A">
        <w:rPr>
          <w:rFonts w:cs="Arial"/>
          <w:szCs w:val="22"/>
        </w:rPr>
        <w:t xml:space="preserve">: </w:t>
      </w:r>
      <w:proofErr w:type="spellStart"/>
      <w:proofErr w:type="gramStart"/>
      <w:r w:rsidRPr="00B25E3A">
        <w:rPr>
          <w:rFonts w:cs="Arial"/>
          <w:szCs w:val="22"/>
        </w:rPr>
        <w:t>M.Maseko</w:t>
      </w:r>
      <w:proofErr w:type="spellEnd"/>
      <w:proofErr w:type="gramEnd"/>
    </w:p>
    <w:p w14:paraId="3E014F31" w14:textId="318421AF" w:rsidR="00872ECB" w:rsidRPr="00B25E3A" w:rsidRDefault="00872ECB" w:rsidP="00872ECB">
      <w:pPr>
        <w:rPr>
          <w:rFonts w:cs="Arial"/>
          <w:szCs w:val="22"/>
        </w:rPr>
      </w:pPr>
      <w:r w:rsidRPr="00B25E3A">
        <w:rPr>
          <w:rFonts w:cs="Arial"/>
          <w:szCs w:val="22"/>
        </w:rPr>
        <w:t>Dat</w:t>
      </w:r>
      <w:r w:rsidRPr="00B25E3A">
        <w:rPr>
          <w:rFonts w:cs="Arial"/>
          <w:szCs w:val="22"/>
        </w:rPr>
        <w:t>e: 25/7/26</w:t>
      </w:r>
    </w:p>
    <w:p w14:paraId="0A09A302" w14:textId="77777777" w:rsidR="00872ECB" w:rsidRDefault="00872ECB" w:rsidP="00C4620B">
      <w:pPr>
        <w:jc w:val="center"/>
        <w:rPr>
          <w:sz w:val="36"/>
          <w:szCs w:val="40"/>
        </w:rPr>
      </w:pPr>
    </w:p>
    <w:p w14:paraId="1DCB60CD" w14:textId="77777777" w:rsidR="00872ECB" w:rsidRDefault="00872ECB" w:rsidP="00C4620B">
      <w:pPr>
        <w:jc w:val="center"/>
        <w:rPr>
          <w:sz w:val="36"/>
          <w:szCs w:val="40"/>
        </w:rPr>
      </w:pPr>
    </w:p>
    <w:p w14:paraId="197557C6" w14:textId="77777777" w:rsidR="00872ECB" w:rsidRDefault="00872ECB" w:rsidP="00C4620B">
      <w:pPr>
        <w:jc w:val="center"/>
        <w:rPr>
          <w:sz w:val="36"/>
          <w:szCs w:val="40"/>
        </w:rPr>
      </w:pPr>
    </w:p>
    <w:p w14:paraId="10774784" w14:textId="5AE3855F" w:rsidR="00A96D3E" w:rsidRDefault="00A96D3E" w:rsidP="00AB0636">
      <w:pPr>
        <w:spacing w:line="278" w:lineRule="auto"/>
        <w:jc w:val="left"/>
        <w:rPr>
          <w:b/>
          <w:bCs/>
        </w:rPr>
      </w:pPr>
      <w:bookmarkStart w:id="0" w:name="_Toc232206443"/>
      <w:r w:rsidRPr="00AB0636">
        <w:rPr>
          <w:b/>
          <w:bCs/>
        </w:rPr>
        <w:t>Acknowledgements</w:t>
      </w:r>
      <w:bookmarkEnd w:id="0"/>
    </w:p>
    <w:p w14:paraId="0D25F58C" w14:textId="77777777" w:rsidR="00AB0636" w:rsidRPr="00AB0636" w:rsidRDefault="00AB0636" w:rsidP="00AB0636">
      <w:pPr>
        <w:spacing w:line="278" w:lineRule="auto"/>
        <w:jc w:val="left"/>
        <w:rPr>
          <w:b/>
          <w:bCs/>
          <w:sz w:val="36"/>
          <w:szCs w:val="40"/>
        </w:rPr>
      </w:pPr>
    </w:p>
    <w:p w14:paraId="4AFF5FE7" w14:textId="77777777" w:rsidR="00A96D3E" w:rsidRPr="008459EE" w:rsidRDefault="00A96D3E" w:rsidP="00A96D3E">
      <w:r w:rsidRPr="008459EE">
        <w:t>I would like to thank my supervisor who not only advised but gave me constructive feedback and support throughout the compilation of this dissertation. Thank you to the lecturers, the university library team for supporting my acquisition of the understanding of research methods, referencing and literature searching; and family and friends for being patient and supportive during the course of this project, which I know kept my determination strong and confidence high; all researchers whose research studies contributed to this secondary investigation on community based end of life care for the elderly in the UK.</w:t>
      </w:r>
    </w:p>
    <w:p w14:paraId="6DB9D0CD" w14:textId="77777777" w:rsidR="00B25E3A" w:rsidRDefault="00B25E3A" w:rsidP="00872ECB">
      <w:pPr>
        <w:spacing w:line="278" w:lineRule="auto"/>
        <w:jc w:val="left"/>
        <w:rPr>
          <w:b/>
          <w:bCs/>
        </w:rPr>
      </w:pPr>
      <w:bookmarkStart w:id="1" w:name="_Toc232206444"/>
    </w:p>
    <w:p w14:paraId="7B00FB49" w14:textId="77777777" w:rsidR="00B25E3A" w:rsidRDefault="00B25E3A" w:rsidP="00872ECB">
      <w:pPr>
        <w:spacing w:line="278" w:lineRule="auto"/>
        <w:jc w:val="left"/>
        <w:rPr>
          <w:b/>
          <w:bCs/>
        </w:rPr>
      </w:pPr>
    </w:p>
    <w:p w14:paraId="0EDD1895" w14:textId="77777777" w:rsidR="00B25E3A" w:rsidRDefault="00B25E3A" w:rsidP="00872ECB">
      <w:pPr>
        <w:spacing w:line="278" w:lineRule="auto"/>
        <w:jc w:val="left"/>
        <w:rPr>
          <w:b/>
          <w:bCs/>
        </w:rPr>
      </w:pPr>
    </w:p>
    <w:p w14:paraId="76770327" w14:textId="77777777" w:rsidR="00B25E3A" w:rsidRDefault="00B25E3A" w:rsidP="00872ECB">
      <w:pPr>
        <w:spacing w:line="278" w:lineRule="auto"/>
        <w:jc w:val="left"/>
        <w:rPr>
          <w:b/>
          <w:bCs/>
        </w:rPr>
      </w:pPr>
    </w:p>
    <w:p w14:paraId="59363212" w14:textId="77777777" w:rsidR="00B25E3A" w:rsidRDefault="00B25E3A" w:rsidP="00872ECB">
      <w:pPr>
        <w:spacing w:line="278" w:lineRule="auto"/>
        <w:jc w:val="left"/>
        <w:rPr>
          <w:b/>
          <w:bCs/>
        </w:rPr>
      </w:pPr>
    </w:p>
    <w:p w14:paraId="1BC6CFFD" w14:textId="77777777" w:rsidR="00B25E3A" w:rsidRDefault="00B25E3A" w:rsidP="00872ECB">
      <w:pPr>
        <w:spacing w:line="278" w:lineRule="auto"/>
        <w:jc w:val="left"/>
        <w:rPr>
          <w:b/>
          <w:bCs/>
        </w:rPr>
      </w:pPr>
    </w:p>
    <w:p w14:paraId="0A08317D" w14:textId="77777777" w:rsidR="00B25E3A" w:rsidRDefault="00B25E3A" w:rsidP="00872ECB">
      <w:pPr>
        <w:spacing w:line="278" w:lineRule="auto"/>
        <w:jc w:val="left"/>
        <w:rPr>
          <w:b/>
          <w:bCs/>
        </w:rPr>
      </w:pPr>
    </w:p>
    <w:p w14:paraId="1D41115A" w14:textId="77777777" w:rsidR="00B25E3A" w:rsidRDefault="00B25E3A" w:rsidP="00872ECB">
      <w:pPr>
        <w:spacing w:line="278" w:lineRule="auto"/>
        <w:jc w:val="left"/>
        <w:rPr>
          <w:b/>
          <w:bCs/>
        </w:rPr>
      </w:pPr>
    </w:p>
    <w:p w14:paraId="0A8A8DEE" w14:textId="77777777" w:rsidR="00B25E3A" w:rsidRDefault="00B25E3A" w:rsidP="00872ECB">
      <w:pPr>
        <w:spacing w:line="278" w:lineRule="auto"/>
        <w:jc w:val="left"/>
        <w:rPr>
          <w:b/>
          <w:bCs/>
        </w:rPr>
      </w:pPr>
    </w:p>
    <w:p w14:paraId="7035670B" w14:textId="77777777" w:rsidR="00B25E3A" w:rsidRDefault="00B25E3A" w:rsidP="00872ECB">
      <w:pPr>
        <w:spacing w:line="278" w:lineRule="auto"/>
        <w:jc w:val="left"/>
        <w:rPr>
          <w:b/>
          <w:bCs/>
        </w:rPr>
      </w:pPr>
    </w:p>
    <w:p w14:paraId="797FCBC7" w14:textId="77777777" w:rsidR="00B25E3A" w:rsidRDefault="00B25E3A" w:rsidP="00872ECB">
      <w:pPr>
        <w:spacing w:line="278" w:lineRule="auto"/>
        <w:jc w:val="left"/>
        <w:rPr>
          <w:b/>
          <w:bCs/>
        </w:rPr>
      </w:pPr>
    </w:p>
    <w:p w14:paraId="093D593C" w14:textId="77777777" w:rsidR="00B25E3A" w:rsidRDefault="00B25E3A" w:rsidP="00872ECB">
      <w:pPr>
        <w:spacing w:line="278" w:lineRule="auto"/>
        <w:jc w:val="left"/>
        <w:rPr>
          <w:b/>
          <w:bCs/>
        </w:rPr>
      </w:pPr>
    </w:p>
    <w:p w14:paraId="1B723060" w14:textId="77777777" w:rsidR="00B25E3A" w:rsidRDefault="00B25E3A" w:rsidP="00872ECB">
      <w:pPr>
        <w:spacing w:line="278" w:lineRule="auto"/>
        <w:jc w:val="left"/>
        <w:rPr>
          <w:b/>
          <w:bCs/>
        </w:rPr>
      </w:pPr>
    </w:p>
    <w:p w14:paraId="23445CC2" w14:textId="77777777" w:rsidR="00B25E3A" w:rsidRDefault="00B25E3A" w:rsidP="00872ECB">
      <w:pPr>
        <w:spacing w:line="278" w:lineRule="auto"/>
        <w:jc w:val="left"/>
        <w:rPr>
          <w:b/>
          <w:bCs/>
        </w:rPr>
      </w:pPr>
    </w:p>
    <w:p w14:paraId="7AFD3ABF" w14:textId="77777777" w:rsidR="00B25E3A" w:rsidRDefault="00B25E3A" w:rsidP="00872ECB">
      <w:pPr>
        <w:spacing w:line="278" w:lineRule="auto"/>
        <w:jc w:val="left"/>
        <w:rPr>
          <w:b/>
          <w:bCs/>
        </w:rPr>
      </w:pPr>
    </w:p>
    <w:p w14:paraId="70F9A59A" w14:textId="77777777" w:rsidR="00B25E3A" w:rsidRDefault="00B25E3A" w:rsidP="00872ECB">
      <w:pPr>
        <w:spacing w:line="278" w:lineRule="auto"/>
        <w:jc w:val="left"/>
        <w:rPr>
          <w:b/>
          <w:bCs/>
        </w:rPr>
      </w:pPr>
    </w:p>
    <w:p w14:paraId="702FF22B" w14:textId="77777777" w:rsidR="00B25E3A" w:rsidRDefault="00B25E3A" w:rsidP="00872ECB">
      <w:pPr>
        <w:spacing w:line="278" w:lineRule="auto"/>
        <w:jc w:val="left"/>
        <w:rPr>
          <w:b/>
          <w:bCs/>
        </w:rPr>
      </w:pPr>
    </w:p>
    <w:p w14:paraId="595ACD20" w14:textId="77777777" w:rsidR="00B25E3A" w:rsidRDefault="00B25E3A" w:rsidP="00872ECB">
      <w:pPr>
        <w:spacing w:line="278" w:lineRule="auto"/>
        <w:jc w:val="left"/>
        <w:rPr>
          <w:b/>
          <w:bCs/>
        </w:rPr>
      </w:pPr>
    </w:p>
    <w:p w14:paraId="353BFACC" w14:textId="77777777" w:rsidR="00B25E3A" w:rsidRDefault="00B25E3A" w:rsidP="00872ECB">
      <w:pPr>
        <w:spacing w:line="278" w:lineRule="auto"/>
        <w:jc w:val="left"/>
        <w:rPr>
          <w:b/>
          <w:bCs/>
        </w:rPr>
      </w:pPr>
    </w:p>
    <w:p w14:paraId="6F97F766" w14:textId="77777777" w:rsidR="00B25E3A" w:rsidRDefault="00B25E3A" w:rsidP="00872ECB">
      <w:pPr>
        <w:spacing w:line="278" w:lineRule="auto"/>
        <w:jc w:val="left"/>
        <w:rPr>
          <w:b/>
          <w:bCs/>
        </w:rPr>
      </w:pPr>
    </w:p>
    <w:p w14:paraId="3F60AF6A" w14:textId="77777777" w:rsidR="00B25E3A" w:rsidRDefault="00B25E3A" w:rsidP="00872ECB">
      <w:pPr>
        <w:spacing w:line="278" w:lineRule="auto"/>
        <w:jc w:val="left"/>
        <w:rPr>
          <w:b/>
          <w:bCs/>
        </w:rPr>
      </w:pPr>
    </w:p>
    <w:p w14:paraId="523410B0" w14:textId="33FB00F6" w:rsidR="00A96D3E" w:rsidRPr="00872ECB" w:rsidRDefault="00A96D3E" w:rsidP="00872ECB">
      <w:pPr>
        <w:spacing w:line="278" w:lineRule="auto"/>
        <w:jc w:val="left"/>
        <w:rPr>
          <w:b/>
          <w:bCs/>
        </w:rPr>
      </w:pPr>
      <w:r w:rsidRPr="00872ECB">
        <w:rPr>
          <w:b/>
          <w:bCs/>
        </w:rPr>
        <w:t>Abstract</w:t>
      </w:r>
      <w:bookmarkEnd w:id="1"/>
    </w:p>
    <w:p w14:paraId="37FDCD08" w14:textId="1B2E5887" w:rsidR="00A96D3E" w:rsidRPr="008459EE" w:rsidRDefault="00A96D3E" w:rsidP="00A96D3E">
      <w:r w:rsidRPr="008459EE">
        <w:t xml:space="preserve">This dissertation investigates the barriers to </w:t>
      </w:r>
      <w:r w:rsidR="00B25E3A" w:rsidRPr="008459EE">
        <w:t>community-based</w:t>
      </w:r>
      <w:r w:rsidRPr="008459EE">
        <w:t xml:space="preserve"> end of life care for the elderly in the UK. I selected this topic as there are growing concerns that while many elderly prefer to be nursed in a </w:t>
      </w:r>
      <w:r w:rsidR="00B25E3A" w:rsidRPr="008459EE">
        <w:t>community-based</w:t>
      </w:r>
      <w:r w:rsidRPr="008459EE">
        <w:t xml:space="preserve"> setting, the access to this type of care remains patchy and dependent on the service based, social, cultural, and clinical barriers present within </w:t>
      </w:r>
      <w:proofErr w:type="gramStart"/>
      <w:r w:rsidRPr="008459EE">
        <w:t>community based</w:t>
      </w:r>
      <w:proofErr w:type="gramEnd"/>
      <w:r w:rsidRPr="008459EE">
        <w:t xml:space="preserve"> end of life care for the elderly in the UK. This research used a secondary based, literature based approach to critically analyse recent direct access research and policy literature to identify the barriers to access for end of life care among the elderly in the UK and provide recommendations to inform more equitable and person centred end of life care in the UK. My research identified four themes, service fragmentation, and communication difficulties between services; cultural and minority ethnic groups and service access barriers; deprivation and low socioeconomic groups' and deprived areas access to end of life care; and late referrals and non-cancer condition elderly care. Service fragmentation led to the conclusion that there is a lack of cohesion between health and social care service provision and that this leads to reactive care, unnecessary hospital admission, and family distress. Barriers exist regarding service use by minority ethnic groups, including language, trust, awareness and mobility; while deprived areas continue to suffer from the access difficulties regarding the </w:t>
      </w:r>
      <w:r w:rsidR="00AB0636" w:rsidRPr="008459EE">
        <w:t>community-based</w:t>
      </w:r>
      <w:r w:rsidRPr="008459EE">
        <w:t xml:space="preserve"> end of life care available. Elderly people with frailty and dementia and non-cancer patients with multimorbidity, for example, were seen to be often referred late because the trajectory of the disease is difficult to identify. It is argued that integration, clearer referral points, culturally responsive communication, intervention targeted in deprived communities and better care of carers and care homes is essential for equitable end of life care in all local UK health and social care provision.</w:t>
      </w:r>
    </w:p>
    <w:p w14:paraId="110869FC" w14:textId="7FA871E6" w:rsidR="00C4620B" w:rsidRPr="008459EE" w:rsidRDefault="00A96D3E" w:rsidP="00A96D3E">
      <w:pPr>
        <w:rPr>
          <w:b/>
          <w:bCs/>
        </w:rPr>
      </w:pPr>
      <w:r w:rsidRPr="008459EE">
        <w:rPr>
          <w:b/>
          <w:bCs/>
        </w:rPr>
        <w:t xml:space="preserve">Keywords </w:t>
      </w:r>
      <w:r w:rsidRPr="008459EE">
        <w:t>Community based end of life care; Elderly people; Palliative care; UK health and social care; service fragmentation; health inequalities; minority ethnic barriers; socioeconomic deprivation; delayed referral; non-cancer conditions.</w:t>
      </w:r>
      <w:r w:rsidR="00C4620B" w:rsidRPr="008459EE">
        <w:br w:type="page"/>
      </w:r>
    </w:p>
    <w:sdt>
      <w:sdtPr>
        <w:rPr>
          <w:b/>
          <w:bCs/>
          <w:sz w:val="24"/>
          <w:szCs w:val="28"/>
        </w:rPr>
        <w:id w:val="-1746639751"/>
        <w:docPartObj>
          <w:docPartGallery w:val="Table of Contents"/>
          <w:docPartUnique/>
        </w:docPartObj>
      </w:sdtPr>
      <w:sdtEndPr>
        <w:rPr>
          <w:sz w:val="22"/>
          <w:szCs w:val="24"/>
        </w:rPr>
      </w:sdtEndPr>
      <w:sdtContent>
        <w:p w14:paraId="0AD6A4A5" w14:textId="77777777" w:rsidR="00C4620B" w:rsidRPr="008459EE" w:rsidRDefault="00C4620B" w:rsidP="00C4620B">
          <w:pPr>
            <w:jc w:val="center"/>
            <w:rPr>
              <w:b/>
              <w:bCs/>
              <w:sz w:val="24"/>
              <w:szCs w:val="28"/>
            </w:rPr>
          </w:pPr>
          <w:r w:rsidRPr="008459EE">
            <w:rPr>
              <w:b/>
              <w:bCs/>
              <w:sz w:val="24"/>
              <w:szCs w:val="28"/>
            </w:rPr>
            <w:t>Table of Contents</w:t>
          </w:r>
        </w:p>
        <w:p w14:paraId="04978CBB" w14:textId="1429BCFF" w:rsidR="008459EE" w:rsidRDefault="00C4620B">
          <w:pPr>
            <w:pStyle w:val="TOC1"/>
            <w:tabs>
              <w:tab w:val="right" w:leader="dot" w:pos="9016"/>
            </w:tabs>
            <w:rPr>
              <w:rFonts w:asciiTheme="minorHAnsi" w:eastAsiaTheme="minorEastAsia" w:hAnsiTheme="minorHAnsi"/>
              <w:noProof/>
              <w:color w:val="auto"/>
              <w:sz w:val="24"/>
              <w:lang w:val="en-US"/>
            </w:rPr>
          </w:pPr>
          <w:r w:rsidRPr="008459EE">
            <w:fldChar w:fldCharType="begin"/>
          </w:r>
          <w:r w:rsidRPr="008459EE">
            <w:instrText xml:space="preserve"> TOC \o "1-3" \h \z \u </w:instrText>
          </w:r>
          <w:r w:rsidRPr="008459EE">
            <w:fldChar w:fldCharType="separate"/>
          </w:r>
          <w:hyperlink w:anchor="_Toc232206443" w:history="1">
            <w:r w:rsidR="008459EE" w:rsidRPr="00965328">
              <w:rPr>
                <w:rStyle w:val="Hyperlink"/>
                <w:noProof/>
              </w:rPr>
              <w:t>Acknowledgements</w:t>
            </w:r>
            <w:r w:rsidR="008459EE">
              <w:rPr>
                <w:noProof/>
                <w:webHidden/>
              </w:rPr>
              <w:tab/>
            </w:r>
            <w:r w:rsidR="008459EE">
              <w:rPr>
                <w:noProof/>
                <w:webHidden/>
              </w:rPr>
              <w:fldChar w:fldCharType="begin"/>
            </w:r>
            <w:r w:rsidR="008459EE">
              <w:rPr>
                <w:noProof/>
                <w:webHidden/>
              </w:rPr>
              <w:instrText xml:space="preserve"> PAGEREF _Toc232206443 \h </w:instrText>
            </w:r>
            <w:r w:rsidR="008459EE">
              <w:rPr>
                <w:noProof/>
                <w:webHidden/>
              </w:rPr>
            </w:r>
            <w:r w:rsidR="008459EE">
              <w:rPr>
                <w:noProof/>
                <w:webHidden/>
              </w:rPr>
              <w:fldChar w:fldCharType="separate"/>
            </w:r>
            <w:r w:rsidR="008459EE">
              <w:rPr>
                <w:noProof/>
                <w:webHidden/>
              </w:rPr>
              <w:t>2</w:t>
            </w:r>
            <w:r w:rsidR="008459EE">
              <w:rPr>
                <w:noProof/>
                <w:webHidden/>
              </w:rPr>
              <w:fldChar w:fldCharType="end"/>
            </w:r>
          </w:hyperlink>
        </w:p>
        <w:p w14:paraId="44FE879F" w14:textId="7569765B"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44" w:history="1">
            <w:r w:rsidRPr="00965328">
              <w:rPr>
                <w:rStyle w:val="Hyperlink"/>
                <w:noProof/>
              </w:rPr>
              <w:t>Abstract</w:t>
            </w:r>
            <w:r>
              <w:rPr>
                <w:noProof/>
                <w:webHidden/>
              </w:rPr>
              <w:tab/>
            </w:r>
            <w:r>
              <w:rPr>
                <w:noProof/>
                <w:webHidden/>
              </w:rPr>
              <w:fldChar w:fldCharType="begin"/>
            </w:r>
            <w:r>
              <w:rPr>
                <w:noProof/>
                <w:webHidden/>
              </w:rPr>
              <w:instrText xml:space="preserve"> PAGEREF _Toc232206444 \h </w:instrText>
            </w:r>
            <w:r>
              <w:rPr>
                <w:noProof/>
                <w:webHidden/>
              </w:rPr>
            </w:r>
            <w:r>
              <w:rPr>
                <w:noProof/>
                <w:webHidden/>
              </w:rPr>
              <w:fldChar w:fldCharType="separate"/>
            </w:r>
            <w:r>
              <w:rPr>
                <w:noProof/>
                <w:webHidden/>
              </w:rPr>
              <w:t>3</w:t>
            </w:r>
            <w:r>
              <w:rPr>
                <w:noProof/>
                <w:webHidden/>
              </w:rPr>
              <w:fldChar w:fldCharType="end"/>
            </w:r>
          </w:hyperlink>
        </w:p>
        <w:p w14:paraId="73A5C69C" w14:textId="7ED32E38"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45" w:history="1">
            <w:r w:rsidRPr="00965328">
              <w:rPr>
                <w:rStyle w:val="Hyperlink"/>
                <w:noProof/>
              </w:rPr>
              <w:t>List of Tables</w:t>
            </w:r>
            <w:r>
              <w:rPr>
                <w:noProof/>
                <w:webHidden/>
              </w:rPr>
              <w:tab/>
            </w:r>
            <w:r>
              <w:rPr>
                <w:noProof/>
                <w:webHidden/>
              </w:rPr>
              <w:fldChar w:fldCharType="begin"/>
            </w:r>
            <w:r>
              <w:rPr>
                <w:noProof/>
                <w:webHidden/>
              </w:rPr>
              <w:instrText xml:space="preserve"> PAGEREF _Toc232206445 \h </w:instrText>
            </w:r>
            <w:r>
              <w:rPr>
                <w:noProof/>
                <w:webHidden/>
              </w:rPr>
            </w:r>
            <w:r>
              <w:rPr>
                <w:noProof/>
                <w:webHidden/>
              </w:rPr>
              <w:fldChar w:fldCharType="separate"/>
            </w:r>
            <w:r>
              <w:rPr>
                <w:noProof/>
                <w:webHidden/>
              </w:rPr>
              <w:t>6</w:t>
            </w:r>
            <w:r>
              <w:rPr>
                <w:noProof/>
                <w:webHidden/>
              </w:rPr>
              <w:fldChar w:fldCharType="end"/>
            </w:r>
          </w:hyperlink>
        </w:p>
        <w:p w14:paraId="39C1456F" w14:textId="6E5BD4FB"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46" w:history="1">
            <w:r w:rsidRPr="00965328">
              <w:rPr>
                <w:rStyle w:val="Hyperlink"/>
                <w:noProof/>
              </w:rPr>
              <w:t>CHAPTER 1: Introduction</w:t>
            </w:r>
            <w:r>
              <w:rPr>
                <w:noProof/>
                <w:webHidden/>
              </w:rPr>
              <w:tab/>
            </w:r>
            <w:r>
              <w:rPr>
                <w:noProof/>
                <w:webHidden/>
              </w:rPr>
              <w:fldChar w:fldCharType="begin"/>
            </w:r>
            <w:r>
              <w:rPr>
                <w:noProof/>
                <w:webHidden/>
              </w:rPr>
              <w:instrText xml:space="preserve"> PAGEREF _Toc232206446 \h </w:instrText>
            </w:r>
            <w:r>
              <w:rPr>
                <w:noProof/>
                <w:webHidden/>
              </w:rPr>
            </w:r>
            <w:r>
              <w:rPr>
                <w:noProof/>
                <w:webHidden/>
              </w:rPr>
              <w:fldChar w:fldCharType="separate"/>
            </w:r>
            <w:r>
              <w:rPr>
                <w:noProof/>
                <w:webHidden/>
              </w:rPr>
              <w:t>7</w:t>
            </w:r>
            <w:r>
              <w:rPr>
                <w:noProof/>
                <w:webHidden/>
              </w:rPr>
              <w:fldChar w:fldCharType="end"/>
            </w:r>
          </w:hyperlink>
        </w:p>
        <w:p w14:paraId="4691896B" w14:textId="195C737A"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47" w:history="1">
            <w:r w:rsidRPr="00965328">
              <w:rPr>
                <w:rStyle w:val="Hyperlink"/>
                <w:noProof/>
              </w:rPr>
              <w:t>1.1 Introduction</w:t>
            </w:r>
            <w:r>
              <w:rPr>
                <w:noProof/>
                <w:webHidden/>
              </w:rPr>
              <w:tab/>
            </w:r>
            <w:r>
              <w:rPr>
                <w:noProof/>
                <w:webHidden/>
              </w:rPr>
              <w:fldChar w:fldCharType="begin"/>
            </w:r>
            <w:r>
              <w:rPr>
                <w:noProof/>
                <w:webHidden/>
              </w:rPr>
              <w:instrText xml:space="preserve"> PAGEREF _Toc232206447 \h </w:instrText>
            </w:r>
            <w:r>
              <w:rPr>
                <w:noProof/>
                <w:webHidden/>
              </w:rPr>
            </w:r>
            <w:r>
              <w:rPr>
                <w:noProof/>
                <w:webHidden/>
              </w:rPr>
              <w:fldChar w:fldCharType="separate"/>
            </w:r>
            <w:r>
              <w:rPr>
                <w:noProof/>
                <w:webHidden/>
              </w:rPr>
              <w:t>7</w:t>
            </w:r>
            <w:r>
              <w:rPr>
                <w:noProof/>
                <w:webHidden/>
              </w:rPr>
              <w:fldChar w:fldCharType="end"/>
            </w:r>
          </w:hyperlink>
        </w:p>
        <w:p w14:paraId="58519C65" w14:textId="06EC751F"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48" w:history="1">
            <w:r w:rsidRPr="00965328">
              <w:rPr>
                <w:rStyle w:val="Hyperlink"/>
                <w:noProof/>
              </w:rPr>
              <w:t>1.2 Definitions and Terminology</w:t>
            </w:r>
            <w:r>
              <w:rPr>
                <w:noProof/>
                <w:webHidden/>
              </w:rPr>
              <w:tab/>
            </w:r>
            <w:r>
              <w:rPr>
                <w:noProof/>
                <w:webHidden/>
              </w:rPr>
              <w:fldChar w:fldCharType="begin"/>
            </w:r>
            <w:r>
              <w:rPr>
                <w:noProof/>
                <w:webHidden/>
              </w:rPr>
              <w:instrText xml:space="preserve"> PAGEREF _Toc232206448 \h </w:instrText>
            </w:r>
            <w:r>
              <w:rPr>
                <w:noProof/>
                <w:webHidden/>
              </w:rPr>
            </w:r>
            <w:r>
              <w:rPr>
                <w:noProof/>
                <w:webHidden/>
              </w:rPr>
              <w:fldChar w:fldCharType="separate"/>
            </w:r>
            <w:r>
              <w:rPr>
                <w:noProof/>
                <w:webHidden/>
              </w:rPr>
              <w:t>7</w:t>
            </w:r>
            <w:r>
              <w:rPr>
                <w:noProof/>
                <w:webHidden/>
              </w:rPr>
              <w:fldChar w:fldCharType="end"/>
            </w:r>
          </w:hyperlink>
        </w:p>
        <w:p w14:paraId="4DE9B651" w14:textId="4F5B672B"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49" w:history="1">
            <w:r w:rsidRPr="00965328">
              <w:rPr>
                <w:rStyle w:val="Hyperlink"/>
                <w:noProof/>
              </w:rPr>
              <w:t>1.3 Rationale for Research</w:t>
            </w:r>
            <w:r>
              <w:rPr>
                <w:noProof/>
                <w:webHidden/>
              </w:rPr>
              <w:tab/>
            </w:r>
            <w:r>
              <w:rPr>
                <w:noProof/>
                <w:webHidden/>
              </w:rPr>
              <w:fldChar w:fldCharType="begin"/>
            </w:r>
            <w:r>
              <w:rPr>
                <w:noProof/>
                <w:webHidden/>
              </w:rPr>
              <w:instrText xml:space="preserve"> PAGEREF _Toc232206449 \h </w:instrText>
            </w:r>
            <w:r>
              <w:rPr>
                <w:noProof/>
                <w:webHidden/>
              </w:rPr>
            </w:r>
            <w:r>
              <w:rPr>
                <w:noProof/>
                <w:webHidden/>
              </w:rPr>
              <w:fldChar w:fldCharType="separate"/>
            </w:r>
            <w:r>
              <w:rPr>
                <w:noProof/>
                <w:webHidden/>
              </w:rPr>
              <w:t>7</w:t>
            </w:r>
            <w:r>
              <w:rPr>
                <w:noProof/>
                <w:webHidden/>
              </w:rPr>
              <w:fldChar w:fldCharType="end"/>
            </w:r>
          </w:hyperlink>
        </w:p>
        <w:p w14:paraId="1A042349" w14:textId="73D79E98"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0" w:history="1">
            <w:r w:rsidRPr="00965328">
              <w:rPr>
                <w:rStyle w:val="Hyperlink"/>
                <w:noProof/>
              </w:rPr>
              <w:t>1.4 Aim and Objectives</w:t>
            </w:r>
            <w:r>
              <w:rPr>
                <w:noProof/>
                <w:webHidden/>
              </w:rPr>
              <w:tab/>
            </w:r>
            <w:r>
              <w:rPr>
                <w:noProof/>
                <w:webHidden/>
              </w:rPr>
              <w:fldChar w:fldCharType="begin"/>
            </w:r>
            <w:r>
              <w:rPr>
                <w:noProof/>
                <w:webHidden/>
              </w:rPr>
              <w:instrText xml:space="preserve"> PAGEREF _Toc232206450 \h </w:instrText>
            </w:r>
            <w:r>
              <w:rPr>
                <w:noProof/>
                <w:webHidden/>
              </w:rPr>
            </w:r>
            <w:r>
              <w:rPr>
                <w:noProof/>
                <w:webHidden/>
              </w:rPr>
              <w:fldChar w:fldCharType="separate"/>
            </w:r>
            <w:r>
              <w:rPr>
                <w:noProof/>
                <w:webHidden/>
              </w:rPr>
              <w:t>8</w:t>
            </w:r>
            <w:r>
              <w:rPr>
                <w:noProof/>
                <w:webHidden/>
              </w:rPr>
              <w:fldChar w:fldCharType="end"/>
            </w:r>
          </w:hyperlink>
        </w:p>
        <w:p w14:paraId="2BCA638A" w14:textId="49756987"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1" w:history="1">
            <w:r w:rsidRPr="00965328">
              <w:rPr>
                <w:rStyle w:val="Hyperlink"/>
                <w:noProof/>
              </w:rPr>
              <w:t>1.5 Conclusion</w:t>
            </w:r>
            <w:r>
              <w:rPr>
                <w:noProof/>
                <w:webHidden/>
              </w:rPr>
              <w:tab/>
            </w:r>
            <w:r>
              <w:rPr>
                <w:noProof/>
                <w:webHidden/>
              </w:rPr>
              <w:fldChar w:fldCharType="begin"/>
            </w:r>
            <w:r>
              <w:rPr>
                <w:noProof/>
                <w:webHidden/>
              </w:rPr>
              <w:instrText xml:space="preserve"> PAGEREF _Toc232206451 \h </w:instrText>
            </w:r>
            <w:r>
              <w:rPr>
                <w:noProof/>
                <w:webHidden/>
              </w:rPr>
            </w:r>
            <w:r>
              <w:rPr>
                <w:noProof/>
                <w:webHidden/>
              </w:rPr>
              <w:fldChar w:fldCharType="separate"/>
            </w:r>
            <w:r>
              <w:rPr>
                <w:noProof/>
                <w:webHidden/>
              </w:rPr>
              <w:t>9</w:t>
            </w:r>
            <w:r>
              <w:rPr>
                <w:noProof/>
                <w:webHidden/>
              </w:rPr>
              <w:fldChar w:fldCharType="end"/>
            </w:r>
          </w:hyperlink>
        </w:p>
        <w:p w14:paraId="0E596B92" w14:textId="117AC94E"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52" w:history="1">
            <w:r w:rsidRPr="00965328">
              <w:rPr>
                <w:rStyle w:val="Hyperlink"/>
                <w:noProof/>
              </w:rPr>
              <w:t>CHAPTER 2 – Background Information and Analysis</w:t>
            </w:r>
            <w:r>
              <w:rPr>
                <w:noProof/>
                <w:webHidden/>
              </w:rPr>
              <w:tab/>
            </w:r>
            <w:r>
              <w:rPr>
                <w:noProof/>
                <w:webHidden/>
              </w:rPr>
              <w:fldChar w:fldCharType="begin"/>
            </w:r>
            <w:r>
              <w:rPr>
                <w:noProof/>
                <w:webHidden/>
              </w:rPr>
              <w:instrText xml:space="preserve"> PAGEREF _Toc232206452 \h </w:instrText>
            </w:r>
            <w:r>
              <w:rPr>
                <w:noProof/>
                <w:webHidden/>
              </w:rPr>
            </w:r>
            <w:r>
              <w:rPr>
                <w:noProof/>
                <w:webHidden/>
              </w:rPr>
              <w:fldChar w:fldCharType="separate"/>
            </w:r>
            <w:r>
              <w:rPr>
                <w:noProof/>
                <w:webHidden/>
              </w:rPr>
              <w:t>10</w:t>
            </w:r>
            <w:r>
              <w:rPr>
                <w:noProof/>
                <w:webHidden/>
              </w:rPr>
              <w:fldChar w:fldCharType="end"/>
            </w:r>
          </w:hyperlink>
        </w:p>
        <w:p w14:paraId="178069A1" w14:textId="6713F5EA"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3" w:history="1">
            <w:r w:rsidRPr="00965328">
              <w:rPr>
                <w:rStyle w:val="Hyperlink"/>
                <w:noProof/>
              </w:rPr>
              <w:t>2.1 Introduction</w:t>
            </w:r>
            <w:r>
              <w:rPr>
                <w:noProof/>
                <w:webHidden/>
              </w:rPr>
              <w:tab/>
            </w:r>
            <w:r>
              <w:rPr>
                <w:noProof/>
                <w:webHidden/>
              </w:rPr>
              <w:fldChar w:fldCharType="begin"/>
            </w:r>
            <w:r>
              <w:rPr>
                <w:noProof/>
                <w:webHidden/>
              </w:rPr>
              <w:instrText xml:space="preserve"> PAGEREF _Toc232206453 \h </w:instrText>
            </w:r>
            <w:r>
              <w:rPr>
                <w:noProof/>
                <w:webHidden/>
              </w:rPr>
            </w:r>
            <w:r>
              <w:rPr>
                <w:noProof/>
                <w:webHidden/>
              </w:rPr>
              <w:fldChar w:fldCharType="separate"/>
            </w:r>
            <w:r>
              <w:rPr>
                <w:noProof/>
                <w:webHidden/>
              </w:rPr>
              <w:t>10</w:t>
            </w:r>
            <w:r>
              <w:rPr>
                <w:noProof/>
                <w:webHidden/>
              </w:rPr>
              <w:fldChar w:fldCharType="end"/>
            </w:r>
          </w:hyperlink>
        </w:p>
        <w:p w14:paraId="3460F1B2" w14:textId="12BA5D82"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4" w:history="1">
            <w:r w:rsidRPr="00965328">
              <w:rPr>
                <w:rStyle w:val="Hyperlink"/>
                <w:noProof/>
              </w:rPr>
              <w:t>2.2 Historical Background</w:t>
            </w:r>
            <w:r>
              <w:rPr>
                <w:noProof/>
                <w:webHidden/>
              </w:rPr>
              <w:tab/>
            </w:r>
            <w:r>
              <w:rPr>
                <w:noProof/>
                <w:webHidden/>
              </w:rPr>
              <w:fldChar w:fldCharType="begin"/>
            </w:r>
            <w:r>
              <w:rPr>
                <w:noProof/>
                <w:webHidden/>
              </w:rPr>
              <w:instrText xml:space="preserve"> PAGEREF _Toc232206454 \h </w:instrText>
            </w:r>
            <w:r>
              <w:rPr>
                <w:noProof/>
                <w:webHidden/>
              </w:rPr>
            </w:r>
            <w:r>
              <w:rPr>
                <w:noProof/>
                <w:webHidden/>
              </w:rPr>
              <w:fldChar w:fldCharType="separate"/>
            </w:r>
            <w:r>
              <w:rPr>
                <w:noProof/>
                <w:webHidden/>
              </w:rPr>
              <w:t>10</w:t>
            </w:r>
            <w:r>
              <w:rPr>
                <w:noProof/>
                <w:webHidden/>
              </w:rPr>
              <w:fldChar w:fldCharType="end"/>
            </w:r>
          </w:hyperlink>
        </w:p>
        <w:p w14:paraId="062519F3" w14:textId="6D6306A2"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5" w:history="1">
            <w:r w:rsidRPr="00965328">
              <w:rPr>
                <w:rStyle w:val="Hyperlink"/>
                <w:noProof/>
              </w:rPr>
              <w:t>2.3 Theoretical Background</w:t>
            </w:r>
            <w:r>
              <w:rPr>
                <w:noProof/>
                <w:webHidden/>
              </w:rPr>
              <w:tab/>
            </w:r>
            <w:r>
              <w:rPr>
                <w:noProof/>
                <w:webHidden/>
              </w:rPr>
              <w:fldChar w:fldCharType="begin"/>
            </w:r>
            <w:r>
              <w:rPr>
                <w:noProof/>
                <w:webHidden/>
              </w:rPr>
              <w:instrText xml:space="preserve"> PAGEREF _Toc232206455 \h </w:instrText>
            </w:r>
            <w:r>
              <w:rPr>
                <w:noProof/>
                <w:webHidden/>
              </w:rPr>
            </w:r>
            <w:r>
              <w:rPr>
                <w:noProof/>
                <w:webHidden/>
              </w:rPr>
              <w:fldChar w:fldCharType="separate"/>
            </w:r>
            <w:r>
              <w:rPr>
                <w:noProof/>
                <w:webHidden/>
              </w:rPr>
              <w:t>11</w:t>
            </w:r>
            <w:r>
              <w:rPr>
                <w:noProof/>
                <w:webHidden/>
              </w:rPr>
              <w:fldChar w:fldCharType="end"/>
            </w:r>
          </w:hyperlink>
        </w:p>
        <w:p w14:paraId="58614269" w14:textId="77A7D363"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6" w:history="1">
            <w:r w:rsidRPr="00965328">
              <w:rPr>
                <w:rStyle w:val="Hyperlink"/>
                <w:noProof/>
              </w:rPr>
              <w:t>2.4 International Context</w:t>
            </w:r>
            <w:r>
              <w:rPr>
                <w:noProof/>
                <w:webHidden/>
              </w:rPr>
              <w:tab/>
            </w:r>
            <w:r>
              <w:rPr>
                <w:noProof/>
                <w:webHidden/>
              </w:rPr>
              <w:fldChar w:fldCharType="begin"/>
            </w:r>
            <w:r>
              <w:rPr>
                <w:noProof/>
                <w:webHidden/>
              </w:rPr>
              <w:instrText xml:space="preserve"> PAGEREF _Toc232206456 \h </w:instrText>
            </w:r>
            <w:r>
              <w:rPr>
                <w:noProof/>
                <w:webHidden/>
              </w:rPr>
            </w:r>
            <w:r>
              <w:rPr>
                <w:noProof/>
                <w:webHidden/>
              </w:rPr>
              <w:fldChar w:fldCharType="separate"/>
            </w:r>
            <w:r>
              <w:rPr>
                <w:noProof/>
                <w:webHidden/>
              </w:rPr>
              <w:t>12</w:t>
            </w:r>
            <w:r>
              <w:rPr>
                <w:noProof/>
                <w:webHidden/>
              </w:rPr>
              <w:fldChar w:fldCharType="end"/>
            </w:r>
          </w:hyperlink>
        </w:p>
        <w:p w14:paraId="263DACC2" w14:textId="589FF90F"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7" w:history="1">
            <w:r w:rsidRPr="00965328">
              <w:rPr>
                <w:rStyle w:val="Hyperlink"/>
                <w:noProof/>
              </w:rPr>
              <w:t>2.5 National and Local UK Context</w:t>
            </w:r>
            <w:r>
              <w:rPr>
                <w:noProof/>
                <w:webHidden/>
              </w:rPr>
              <w:tab/>
            </w:r>
            <w:r>
              <w:rPr>
                <w:noProof/>
                <w:webHidden/>
              </w:rPr>
              <w:fldChar w:fldCharType="begin"/>
            </w:r>
            <w:r>
              <w:rPr>
                <w:noProof/>
                <w:webHidden/>
              </w:rPr>
              <w:instrText xml:space="preserve"> PAGEREF _Toc232206457 \h </w:instrText>
            </w:r>
            <w:r>
              <w:rPr>
                <w:noProof/>
                <w:webHidden/>
              </w:rPr>
            </w:r>
            <w:r>
              <w:rPr>
                <w:noProof/>
                <w:webHidden/>
              </w:rPr>
              <w:fldChar w:fldCharType="separate"/>
            </w:r>
            <w:r>
              <w:rPr>
                <w:noProof/>
                <w:webHidden/>
              </w:rPr>
              <w:t>13</w:t>
            </w:r>
            <w:r>
              <w:rPr>
                <w:noProof/>
                <w:webHidden/>
              </w:rPr>
              <w:fldChar w:fldCharType="end"/>
            </w:r>
          </w:hyperlink>
        </w:p>
        <w:p w14:paraId="2719568F" w14:textId="271AE324"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58" w:history="1">
            <w:r w:rsidRPr="00965328">
              <w:rPr>
                <w:rStyle w:val="Hyperlink"/>
                <w:noProof/>
              </w:rPr>
              <w:t>2.6 Conclusion</w:t>
            </w:r>
            <w:r>
              <w:rPr>
                <w:noProof/>
                <w:webHidden/>
              </w:rPr>
              <w:tab/>
            </w:r>
            <w:r>
              <w:rPr>
                <w:noProof/>
                <w:webHidden/>
              </w:rPr>
              <w:fldChar w:fldCharType="begin"/>
            </w:r>
            <w:r>
              <w:rPr>
                <w:noProof/>
                <w:webHidden/>
              </w:rPr>
              <w:instrText xml:space="preserve"> PAGEREF _Toc232206458 \h </w:instrText>
            </w:r>
            <w:r>
              <w:rPr>
                <w:noProof/>
                <w:webHidden/>
              </w:rPr>
            </w:r>
            <w:r>
              <w:rPr>
                <w:noProof/>
                <w:webHidden/>
              </w:rPr>
              <w:fldChar w:fldCharType="separate"/>
            </w:r>
            <w:r>
              <w:rPr>
                <w:noProof/>
                <w:webHidden/>
              </w:rPr>
              <w:t>14</w:t>
            </w:r>
            <w:r>
              <w:rPr>
                <w:noProof/>
                <w:webHidden/>
              </w:rPr>
              <w:fldChar w:fldCharType="end"/>
            </w:r>
          </w:hyperlink>
        </w:p>
        <w:p w14:paraId="121A7BC0" w14:textId="0C343E09"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59" w:history="1">
            <w:r w:rsidRPr="00965328">
              <w:rPr>
                <w:rStyle w:val="Hyperlink"/>
                <w:noProof/>
              </w:rPr>
              <w:t>CHAPTER 3  Methods and Search Strategy</w:t>
            </w:r>
            <w:r>
              <w:rPr>
                <w:noProof/>
                <w:webHidden/>
              </w:rPr>
              <w:tab/>
            </w:r>
            <w:r>
              <w:rPr>
                <w:noProof/>
                <w:webHidden/>
              </w:rPr>
              <w:fldChar w:fldCharType="begin"/>
            </w:r>
            <w:r>
              <w:rPr>
                <w:noProof/>
                <w:webHidden/>
              </w:rPr>
              <w:instrText xml:space="preserve"> PAGEREF _Toc232206459 \h </w:instrText>
            </w:r>
            <w:r>
              <w:rPr>
                <w:noProof/>
                <w:webHidden/>
              </w:rPr>
            </w:r>
            <w:r>
              <w:rPr>
                <w:noProof/>
                <w:webHidden/>
              </w:rPr>
              <w:fldChar w:fldCharType="separate"/>
            </w:r>
            <w:r>
              <w:rPr>
                <w:noProof/>
                <w:webHidden/>
              </w:rPr>
              <w:t>15</w:t>
            </w:r>
            <w:r>
              <w:rPr>
                <w:noProof/>
                <w:webHidden/>
              </w:rPr>
              <w:fldChar w:fldCharType="end"/>
            </w:r>
          </w:hyperlink>
        </w:p>
        <w:p w14:paraId="1D0A3963" w14:textId="6ED36FAD"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0" w:history="1">
            <w:r w:rsidRPr="00965328">
              <w:rPr>
                <w:rStyle w:val="Hyperlink"/>
                <w:noProof/>
              </w:rPr>
              <w:t>3.1 Introduction</w:t>
            </w:r>
            <w:r>
              <w:rPr>
                <w:noProof/>
                <w:webHidden/>
              </w:rPr>
              <w:tab/>
            </w:r>
            <w:r>
              <w:rPr>
                <w:noProof/>
                <w:webHidden/>
              </w:rPr>
              <w:fldChar w:fldCharType="begin"/>
            </w:r>
            <w:r>
              <w:rPr>
                <w:noProof/>
                <w:webHidden/>
              </w:rPr>
              <w:instrText xml:space="preserve"> PAGEREF _Toc232206460 \h </w:instrText>
            </w:r>
            <w:r>
              <w:rPr>
                <w:noProof/>
                <w:webHidden/>
              </w:rPr>
            </w:r>
            <w:r>
              <w:rPr>
                <w:noProof/>
                <w:webHidden/>
              </w:rPr>
              <w:fldChar w:fldCharType="separate"/>
            </w:r>
            <w:r>
              <w:rPr>
                <w:noProof/>
                <w:webHidden/>
              </w:rPr>
              <w:t>15</w:t>
            </w:r>
            <w:r>
              <w:rPr>
                <w:noProof/>
                <w:webHidden/>
              </w:rPr>
              <w:fldChar w:fldCharType="end"/>
            </w:r>
          </w:hyperlink>
        </w:p>
        <w:p w14:paraId="2C484D21" w14:textId="2AA9E340"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1" w:history="1">
            <w:r w:rsidRPr="00965328">
              <w:rPr>
                <w:rStyle w:val="Hyperlink"/>
                <w:noProof/>
              </w:rPr>
              <w:t>3.2 Search Strategy</w:t>
            </w:r>
            <w:r>
              <w:rPr>
                <w:noProof/>
                <w:webHidden/>
              </w:rPr>
              <w:tab/>
            </w:r>
            <w:r>
              <w:rPr>
                <w:noProof/>
                <w:webHidden/>
              </w:rPr>
              <w:fldChar w:fldCharType="begin"/>
            </w:r>
            <w:r>
              <w:rPr>
                <w:noProof/>
                <w:webHidden/>
              </w:rPr>
              <w:instrText xml:space="preserve"> PAGEREF _Toc232206461 \h </w:instrText>
            </w:r>
            <w:r>
              <w:rPr>
                <w:noProof/>
                <w:webHidden/>
              </w:rPr>
            </w:r>
            <w:r>
              <w:rPr>
                <w:noProof/>
                <w:webHidden/>
              </w:rPr>
              <w:fldChar w:fldCharType="separate"/>
            </w:r>
            <w:r>
              <w:rPr>
                <w:noProof/>
                <w:webHidden/>
              </w:rPr>
              <w:t>15</w:t>
            </w:r>
            <w:r>
              <w:rPr>
                <w:noProof/>
                <w:webHidden/>
              </w:rPr>
              <w:fldChar w:fldCharType="end"/>
            </w:r>
          </w:hyperlink>
        </w:p>
        <w:p w14:paraId="6CC3AD5F" w14:textId="0E737D7D"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2" w:history="1">
            <w:r w:rsidRPr="00965328">
              <w:rPr>
                <w:rStyle w:val="Hyperlink"/>
                <w:noProof/>
              </w:rPr>
              <w:t>3.4 Research Validation</w:t>
            </w:r>
            <w:r>
              <w:rPr>
                <w:noProof/>
                <w:webHidden/>
              </w:rPr>
              <w:tab/>
            </w:r>
            <w:r>
              <w:rPr>
                <w:noProof/>
                <w:webHidden/>
              </w:rPr>
              <w:fldChar w:fldCharType="begin"/>
            </w:r>
            <w:r>
              <w:rPr>
                <w:noProof/>
                <w:webHidden/>
              </w:rPr>
              <w:instrText xml:space="preserve"> PAGEREF _Toc232206462 \h </w:instrText>
            </w:r>
            <w:r>
              <w:rPr>
                <w:noProof/>
                <w:webHidden/>
              </w:rPr>
            </w:r>
            <w:r>
              <w:rPr>
                <w:noProof/>
                <w:webHidden/>
              </w:rPr>
              <w:fldChar w:fldCharType="separate"/>
            </w:r>
            <w:r>
              <w:rPr>
                <w:noProof/>
                <w:webHidden/>
              </w:rPr>
              <w:t>16</w:t>
            </w:r>
            <w:r>
              <w:rPr>
                <w:noProof/>
                <w:webHidden/>
              </w:rPr>
              <w:fldChar w:fldCharType="end"/>
            </w:r>
          </w:hyperlink>
        </w:p>
        <w:p w14:paraId="29DF132B" w14:textId="01B570AE"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3" w:history="1">
            <w:r w:rsidRPr="00965328">
              <w:rPr>
                <w:rStyle w:val="Hyperlink"/>
                <w:noProof/>
              </w:rPr>
              <w:t>3.5 Inclusion and Exclusion Criteria</w:t>
            </w:r>
            <w:r>
              <w:rPr>
                <w:noProof/>
                <w:webHidden/>
              </w:rPr>
              <w:tab/>
            </w:r>
            <w:r>
              <w:rPr>
                <w:noProof/>
                <w:webHidden/>
              </w:rPr>
              <w:fldChar w:fldCharType="begin"/>
            </w:r>
            <w:r>
              <w:rPr>
                <w:noProof/>
                <w:webHidden/>
              </w:rPr>
              <w:instrText xml:space="preserve"> PAGEREF _Toc232206463 \h </w:instrText>
            </w:r>
            <w:r>
              <w:rPr>
                <w:noProof/>
                <w:webHidden/>
              </w:rPr>
            </w:r>
            <w:r>
              <w:rPr>
                <w:noProof/>
                <w:webHidden/>
              </w:rPr>
              <w:fldChar w:fldCharType="separate"/>
            </w:r>
            <w:r>
              <w:rPr>
                <w:noProof/>
                <w:webHidden/>
              </w:rPr>
              <w:t>16</w:t>
            </w:r>
            <w:r>
              <w:rPr>
                <w:noProof/>
                <w:webHidden/>
              </w:rPr>
              <w:fldChar w:fldCharType="end"/>
            </w:r>
          </w:hyperlink>
        </w:p>
        <w:p w14:paraId="6DEF239F" w14:textId="14EE4DCE"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4" w:history="1">
            <w:r w:rsidRPr="00965328">
              <w:rPr>
                <w:rStyle w:val="Hyperlink"/>
                <w:noProof/>
              </w:rPr>
              <w:t>3.6 Analysing Research</w:t>
            </w:r>
            <w:r>
              <w:rPr>
                <w:noProof/>
                <w:webHidden/>
              </w:rPr>
              <w:tab/>
            </w:r>
            <w:r>
              <w:rPr>
                <w:noProof/>
                <w:webHidden/>
              </w:rPr>
              <w:fldChar w:fldCharType="begin"/>
            </w:r>
            <w:r>
              <w:rPr>
                <w:noProof/>
                <w:webHidden/>
              </w:rPr>
              <w:instrText xml:space="preserve"> PAGEREF _Toc232206464 \h </w:instrText>
            </w:r>
            <w:r>
              <w:rPr>
                <w:noProof/>
                <w:webHidden/>
              </w:rPr>
            </w:r>
            <w:r>
              <w:rPr>
                <w:noProof/>
                <w:webHidden/>
              </w:rPr>
              <w:fldChar w:fldCharType="separate"/>
            </w:r>
            <w:r>
              <w:rPr>
                <w:noProof/>
                <w:webHidden/>
              </w:rPr>
              <w:t>16</w:t>
            </w:r>
            <w:r>
              <w:rPr>
                <w:noProof/>
                <w:webHidden/>
              </w:rPr>
              <w:fldChar w:fldCharType="end"/>
            </w:r>
          </w:hyperlink>
        </w:p>
        <w:p w14:paraId="0A368426" w14:textId="4307E82C"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5" w:history="1">
            <w:r w:rsidRPr="00965328">
              <w:rPr>
                <w:rStyle w:val="Hyperlink"/>
                <w:noProof/>
              </w:rPr>
              <w:t>3.7 Ethical Considerations</w:t>
            </w:r>
            <w:r>
              <w:rPr>
                <w:noProof/>
                <w:webHidden/>
              </w:rPr>
              <w:tab/>
            </w:r>
            <w:r>
              <w:rPr>
                <w:noProof/>
                <w:webHidden/>
              </w:rPr>
              <w:fldChar w:fldCharType="begin"/>
            </w:r>
            <w:r>
              <w:rPr>
                <w:noProof/>
                <w:webHidden/>
              </w:rPr>
              <w:instrText xml:space="preserve"> PAGEREF _Toc232206465 \h </w:instrText>
            </w:r>
            <w:r>
              <w:rPr>
                <w:noProof/>
                <w:webHidden/>
              </w:rPr>
            </w:r>
            <w:r>
              <w:rPr>
                <w:noProof/>
                <w:webHidden/>
              </w:rPr>
              <w:fldChar w:fldCharType="separate"/>
            </w:r>
            <w:r>
              <w:rPr>
                <w:noProof/>
                <w:webHidden/>
              </w:rPr>
              <w:t>17</w:t>
            </w:r>
            <w:r>
              <w:rPr>
                <w:noProof/>
                <w:webHidden/>
              </w:rPr>
              <w:fldChar w:fldCharType="end"/>
            </w:r>
          </w:hyperlink>
        </w:p>
        <w:p w14:paraId="6878632B" w14:textId="659EECE1"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6" w:history="1">
            <w:r w:rsidRPr="00965328">
              <w:rPr>
                <w:rStyle w:val="Hyperlink"/>
                <w:noProof/>
              </w:rPr>
              <w:t>3.8 Chapter Conclusion</w:t>
            </w:r>
            <w:r>
              <w:rPr>
                <w:noProof/>
                <w:webHidden/>
              </w:rPr>
              <w:tab/>
            </w:r>
            <w:r>
              <w:rPr>
                <w:noProof/>
                <w:webHidden/>
              </w:rPr>
              <w:fldChar w:fldCharType="begin"/>
            </w:r>
            <w:r>
              <w:rPr>
                <w:noProof/>
                <w:webHidden/>
              </w:rPr>
              <w:instrText xml:space="preserve"> PAGEREF _Toc232206466 \h </w:instrText>
            </w:r>
            <w:r>
              <w:rPr>
                <w:noProof/>
                <w:webHidden/>
              </w:rPr>
            </w:r>
            <w:r>
              <w:rPr>
                <w:noProof/>
                <w:webHidden/>
              </w:rPr>
              <w:fldChar w:fldCharType="separate"/>
            </w:r>
            <w:r>
              <w:rPr>
                <w:noProof/>
                <w:webHidden/>
              </w:rPr>
              <w:t>17</w:t>
            </w:r>
            <w:r>
              <w:rPr>
                <w:noProof/>
                <w:webHidden/>
              </w:rPr>
              <w:fldChar w:fldCharType="end"/>
            </w:r>
          </w:hyperlink>
        </w:p>
        <w:p w14:paraId="6D815FC1" w14:textId="1A87EB0C"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67" w:history="1">
            <w:r w:rsidRPr="00965328">
              <w:rPr>
                <w:rStyle w:val="Hyperlink"/>
                <w:noProof/>
              </w:rPr>
              <w:t>CHAPTER 4: Findings and Discussion</w:t>
            </w:r>
            <w:r>
              <w:rPr>
                <w:noProof/>
                <w:webHidden/>
              </w:rPr>
              <w:tab/>
            </w:r>
            <w:r>
              <w:rPr>
                <w:noProof/>
                <w:webHidden/>
              </w:rPr>
              <w:fldChar w:fldCharType="begin"/>
            </w:r>
            <w:r>
              <w:rPr>
                <w:noProof/>
                <w:webHidden/>
              </w:rPr>
              <w:instrText xml:space="preserve"> PAGEREF _Toc232206467 \h </w:instrText>
            </w:r>
            <w:r>
              <w:rPr>
                <w:noProof/>
                <w:webHidden/>
              </w:rPr>
            </w:r>
            <w:r>
              <w:rPr>
                <w:noProof/>
                <w:webHidden/>
              </w:rPr>
              <w:fldChar w:fldCharType="separate"/>
            </w:r>
            <w:r>
              <w:rPr>
                <w:noProof/>
                <w:webHidden/>
              </w:rPr>
              <w:t>18</w:t>
            </w:r>
            <w:r>
              <w:rPr>
                <w:noProof/>
                <w:webHidden/>
              </w:rPr>
              <w:fldChar w:fldCharType="end"/>
            </w:r>
          </w:hyperlink>
        </w:p>
        <w:p w14:paraId="174367FA" w14:textId="1A2256AA"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8" w:history="1">
            <w:r w:rsidRPr="00965328">
              <w:rPr>
                <w:rStyle w:val="Hyperlink"/>
                <w:noProof/>
              </w:rPr>
              <w:t>4.1 Introduction</w:t>
            </w:r>
            <w:r>
              <w:rPr>
                <w:noProof/>
                <w:webHidden/>
              </w:rPr>
              <w:tab/>
            </w:r>
            <w:r>
              <w:rPr>
                <w:noProof/>
                <w:webHidden/>
              </w:rPr>
              <w:fldChar w:fldCharType="begin"/>
            </w:r>
            <w:r>
              <w:rPr>
                <w:noProof/>
                <w:webHidden/>
              </w:rPr>
              <w:instrText xml:space="preserve"> PAGEREF _Toc232206468 \h </w:instrText>
            </w:r>
            <w:r>
              <w:rPr>
                <w:noProof/>
                <w:webHidden/>
              </w:rPr>
            </w:r>
            <w:r>
              <w:rPr>
                <w:noProof/>
                <w:webHidden/>
              </w:rPr>
              <w:fldChar w:fldCharType="separate"/>
            </w:r>
            <w:r>
              <w:rPr>
                <w:noProof/>
                <w:webHidden/>
              </w:rPr>
              <w:t>18</w:t>
            </w:r>
            <w:r>
              <w:rPr>
                <w:noProof/>
                <w:webHidden/>
              </w:rPr>
              <w:fldChar w:fldCharType="end"/>
            </w:r>
          </w:hyperlink>
        </w:p>
        <w:p w14:paraId="0FF894DA" w14:textId="2D77130E"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69" w:history="1">
            <w:r w:rsidRPr="00965328">
              <w:rPr>
                <w:rStyle w:val="Hyperlink"/>
                <w:noProof/>
              </w:rPr>
              <w:t>4.2 Finding</w:t>
            </w:r>
            <w:r>
              <w:rPr>
                <w:noProof/>
                <w:webHidden/>
              </w:rPr>
              <w:tab/>
            </w:r>
            <w:r>
              <w:rPr>
                <w:noProof/>
                <w:webHidden/>
              </w:rPr>
              <w:fldChar w:fldCharType="begin"/>
            </w:r>
            <w:r>
              <w:rPr>
                <w:noProof/>
                <w:webHidden/>
              </w:rPr>
              <w:instrText xml:space="preserve"> PAGEREF _Toc232206469 \h </w:instrText>
            </w:r>
            <w:r>
              <w:rPr>
                <w:noProof/>
                <w:webHidden/>
              </w:rPr>
            </w:r>
            <w:r>
              <w:rPr>
                <w:noProof/>
                <w:webHidden/>
              </w:rPr>
              <w:fldChar w:fldCharType="separate"/>
            </w:r>
            <w:r>
              <w:rPr>
                <w:noProof/>
                <w:webHidden/>
              </w:rPr>
              <w:t>18</w:t>
            </w:r>
            <w:r>
              <w:rPr>
                <w:noProof/>
                <w:webHidden/>
              </w:rPr>
              <w:fldChar w:fldCharType="end"/>
            </w:r>
          </w:hyperlink>
        </w:p>
        <w:p w14:paraId="4E73170E" w14:textId="6B8B9EC2"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0" w:history="1">
            <w:r w:rsidRPr="00965328">
              <w:rPr>
                <w:rStyle w:val="Hyperlink"/>
                <w:noProof/>
              </w:rPr>
              <w:t>4.2.1 Forming of Initial Theme</w:t>
            </w:r>
            <w:r>
              <w:rPr>
                <w:noProof/>
                <w:webHidden/>
              </w:rPr>
              <w:tab/>
            </w:r>
            <w:r>
              <w:rPr>
                <w:noProof/>
                <w:webHidden/>
              </w:rPr>
              <w:fldChar w:fldCharType="begin"/>
            </w:r>
            <w:r>
              <w:rPr>
                <w:noProof/>
                <w:webHidden/>
              </w:rPr>
              <w:instrText xml:space="preserve"> PAGEREF _Toc232206470 \h </w:instrText>
            </w:r>
            <w:r>
              <w:rPr>
                <w:noProof/>
                <w:webHidden/>
              </w:rPr>
            </w:r>
            <w:r>
              <w:rPr>
                <w:noProof/>
                <w:webHidden/>
              </w:rPr>
              <w:fldChar w:fldCharType="separate"/>
            </w:r>
            <w:r>
              <w:rPr>
                <w:noProof/>
                <w:webHidden/>
              </w:rPr>
              <w:t>18</w:t>
            </w:r>
            <w:r>
              <w:rPr>
                <w:noProof/>
                <w:webHidden/>
              </w:rPr>
              <w:fldChar w:fldCharType="end"/>
            </w:r>
          </w:hyperlink>
        </w:p>
        <w:p w14:paraId="30486634" w14:textId="199DB3CB"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1" w:history="1">
            <w:r w:rsidRPr="00965328">
              <w:rPr>
                <w:rStyle w:val="Hyperlink"/>
                <w:noProof/>
              </w:rPr>
              <w:t>4.2.2 Forming of Final Theme</w:t>
            </w:r>
            <w:r>
              <w:rPr>
                <w:noProof/>
                <w:webHidden/>
              </w:rPr>
              <w:tab/>
            </w:r>
            <w:r>
              <w:rPr>
                <w:noProof/>
                <w:webHidden/>
              </w:rPr>
              <w:fldChar w:fldCharType="begin"/>
            </w:r>
            <w:r>
              <w:rPr>
                <w:noProof/>
                <w:webHidden/>
              </w:rPr>
              <w:instrText xml:space="preserve"> PAGEREF _Toc232206471 \h </w:instrText>
            </w:r>
            <w:r>
              <w:rPr>
                <w:noProof/>
                <w:webHidden/>
              </w:rPr>
            </w:r>
            <w:r>
              <w:rPr>
                <w:noProof/>
                <w:webHidden/>
              </w:rPr>
              <w:fldChar w:fldCharType="separate"/>
            </w:r>
            <w:r>
              <w:rPr>
                <w:noProof/>
                <w:webHidden/>
              </w:rPr>
              <w:t>21</w:t>
            </w:r>
            <w:r>
              <w:rPr>
                <w:noProof/>
                <w:webHidden/>
              </w:rPr>
              <w:fldChar w:fldCharType="end"/>
            </w:r>
          </w:hyperlink>
        </w:p>
        <w:p w14:paraId="6485A4DE" w14:textId="7B711AEA"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2" w:history="1">
            <w:r w:rsidRPr="00965328">
              <w:rPr>
                <w:rStyle w:val="Hyperlink"/>
                <w:noProof/>
              </w:rPr>
              <w:t>4.2.3 Justification</w:t>
            </w:r>
            <w:r>
              <w:rPr>
                <w:noProof/>
                <w:webHidden/>
              </w:rPr>
              <w:tab/>
            </w:r>
            <w:r>
              <w:rPr>
                <w:noProof/>
                <w:webHidden/>
              </w:rPr>
              <w:fldChar w:fldCharType="begin"/>
            </w:r>
            <w:r>
              <w:rPr>
                <w:noProof/>
                <w:webHidden/>
              </w:rPr>
              <w:instrText xml:space="preserve"> PAGEREF _Toc232206472 \h </w:instrText>
            </w:r>
            <w:r>
              <w:rPr>
                <w:noProof/>
                <w:webHidden/>
              </w:rPr>
            </w:r>
            <w:r>
              <w:rPr>
                <w:noProof/>
                <w:webHidden/>
              </w:rPr>
              <w:fldChar w:fldCharType="separate"/>
            </w:r>
            <w:r>
              <w:rPr>
                <w:noProof/>
                <w:webHidden/>
              </w:rPr>
              <w:t>22</w:t>
            </w:r>
            <w:r>
              <w:rPr>
                <w:noProof/>
                <w:webHidden/>
              </w:rPr>
              <w:fldChar w:fldCharType="end"/>
            </w:r>
          </w:hyperlink>
        </w:p>
        <w:p w14:paraId="7612B987" w14:textId="6D8F7D20"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73" w:history="1">
            <w:r w:rsidRPr="00965328">
              <w:rPr>
                <w:rStyle w:val="Hyperlink"/>
                <w:noProof/>
              </w:rPr>
              <w:t>4.3 Thematic Analysis</w:t>
            </w:r>
            <w:r>
              <w:rPr>
                <w:noProof/>
                <w:webHidden/>
              </w:rPr>
              <w:tab/>
            </w:r>
            <w:r>
              <w:rPr>
                <w:noProof/>
                <w:webHidden/>
              </w:rPr>
              <w:fldChar w:fldCharType="begin"/>
            </w:r>
            <w:r>
              <w:rPr>
                <w:noProof/>
                <w:webHidden/>
              </w:rPr>
              <w:instrText xml:space="preserve"> PAGEREF _Toc232206473 \h </w:instrText>
            </w:r>
            <w:r>
              <w:rPr>
                <w:noProof/>
                <w:webHidden/>
              </w:rPr>
            </w:r>
            <w:r>
              <w:rPr>
                <w:noProof/>
                <w:webHidden/>
              </w:rPr>
              <w:fldChar w:fldCharType="separate"/>
            </w:r>
            <w:r>
              <w:rPr>
                <w:noProof/>
                <w:webHidden/>
              </w:rPr>
              <w:t>22</w:t>
            </w:r>
            <w:r>
              <w:rPr>
                <w:noProof/>
                <w:webHidden/>
              </w:rPr>
              <w:fldChar w:fldCharType="end"/>
            </w:r>
          </w:hyperlink>
        </w:p>
        <w:p w14:paraId="47646AED" w14:textId="4C641E96"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4" w:history="1">
            <w:r w:rsidRPr="00965328">
              <w:rPr>
                <w:rStyle w:val="Hyperlink"/>
                <w:noProof/>
              </w:rPr>
              <w:t>4.3.1 Theme 1: Service Fragmentation and Communication Barriers</w:t>
            </w:r>
            <w:r>
              <w:rPr>
                <w:noProof/>
                <w:webHidden/>
              </w:rPr>
              <w:tab/>
            </w:r>
            <w:r>
              <w:rPr>
                <w:noProof/>
                <w:webHidden/>
              </w:rPr>
              <w:fldChar w:fldCharType="begin"/>
            </w:r>
            <w:r>
              <w:rPr>
                <w:noProof/>
                <w:webHidden/>
              </w:rPr>
              <w:instrText xml:space="preserve"> PAGEREF _Toc232206474 \h </w:instrText>
            </w:r>
            <w:r>
              <w:rPr>
                <w:noProof/>
                <w:webHidden/>
              </w:rPr>
            </w:r>
            <w:r>
              <w:rPr>
                <w:noProof/>
                <w:webHidden/>
              </w:rPr>
              <w:fldChar w:fldCharType="separate"/>
            </w:r>
            <w:r>
              <w:rPr>
                <w:noProof/>
                <w:webHidden/>
              </w:rPr>
              <w:t>23</w:t>
            </w:r>
            <w:r>
              <w:rPr>
                <w:noProof/>
                <w:webHidden/>
              </w:rPr>
              <w:fldChar w:fldCharType="end"/>
            </w:r>
          </w:hyperlink>
        </w:p>
        <w:p w14:paraId="7266DBBD" w14:textId="7ED7A1A3"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5" w:history="1">
            <w:r w:rsidRPr="00965328">
              <w:rPr>
                <w:rStyle w:val="Hyperlink"/>
                <w:noProof/>
              </w:rPr>
              <w:t>4.3.2 Theme 2: Cultural and Minority Ethnic Barriers</w:t>
            </w:r>
            <w:r>
              <w:rPr>
                <w:noProof/>
                <w:webHidden/>
              </w:rPr>
              <w:tab/>
            </w:r>
            <w:r>
              <w:rPr>
                <w:noProof/>
                <w:webHidden/>
              </w:rPr>
              <w:fldChar w:fldCharType="begin"/>
            </w:r>
            <w:r>
              <w:rPr>
                <w:noProof/>
                <w:webHidden/>
              </w:rPr>
              <w:instrText xml:space="preserve"> PAGEREF _Toc232206475 \h </w:instrText>
            </w:r>
            <w:r>
              <w:rPr>
                <w:noProof/>
                <w:webHidden/>
              </w:rPr>
            </w:r>
            <w:r>
              <w:rPr>
                <w:noProof/>
                <w:webHidden/>
              </w:rPr>
              <w:fldChar w:fldCharType="separate"/>
            </w:r>
            <w:r>
              <w:rPr>
                <w:noProof/>
                <w:webHidden/>
              </w:rPr>
              <w:t>25</w:t>
            </w:r>
            <w:r>
              <w:rPr>
                <w:noProof/>
                <w:webHidden/>
              </w:rPr>
              <w:fldChar w:fldCharType="end"/>
            </w:r>
          </w:hyperlink>
        </w:p>
        <w:p w14:paraId="6F08D319" w14:textId="6FDCA7B8"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6" w:history="1">
            <w:r w:rsidRPr="00965328">
              <w:rPr>
                <w:rStyle w:val="Hyperlink"/>
                <w:noProof/>
              </w:rPr>
              <w:t>4.3.3 Theme 3: Socioeconomic Inequality and Deprived-Area Access</w:t>
            </w:r>
            <w:r>
              <w:rPr>
                <w:noProof/>
                <w:webHidden/>
              </w:rPr>
              <w:tab/>
            </w:r>
            <w:r>
              <w:rPr>
                <w:noProof/>
                <w:webHidden/>
              </w:rPr>
              <w:fldChar w:fldCharType="begin"/>
            </w:r>
            <w:r>
              <w:rPr>
                <w:noProof/>
                <w:webHidden/>
              </w:rPr>
              <w:instrText xml:space="preserve"> PAGEREF _Toc232206476 \h </w:instrText>
            </w:r>
            <w:r>
              <w:rPr>
                <w:noProof/>
                <w:webHidden/>
              </w:rPr>
            </w:r>
            <w:r>
              <w:rPr>
                <w:noProof/>
                <w:webHidden/>
              </w:rPr>
              <w:fldChar w:fldCharType="separate"/>
            </w:r>
            <w:r>
              <w:rPr>
                <w:noProof/>
                <w:webHidden/>
              </w:rPr>
              <w:t>26</w:t>
            </w:r>
            <w:r>
              <w:rPr>
                <w:noProof/>
                <w:webHidden/>
              </w:rPr>
              <w:fldChar w:fldCharType="end"/>
            </w:r>
          </w:hyperlink>
        </w:p>
        <w:p w14:paraId="40976696" w14:textId="5164D87C" w:rsidR="008459EE" w:rsidRDefault="008459EE">
          <w:pPr>
            <w:pStyle w:val="TOC3"/>
            <w:tabs>
              <w:tab w:val="right" w:leader="dot" w:pos="9016"/>
            </w:tabs>
            <w:rPr>
              <w:rFonts w:asciiTheme="minorHAnsi" w:eastAsiaTheme="minorEastAsia" w:hAnsiTheme="minorHAnsi"/>
              <w:noProof/>
              <w:color w:val="auto"/>
              <w:sz w:val="24"/>
              <w:lang w:val="en-US"/>
            </w:rPr>
          </w:pPr>
          <w:hyperlink w:anchor="_Toc232206477" w:history="1">
            <w:r w:rsidRPr="00965328">
              <w:rPr>
                <w:rStyle w:val="Hyperlink"/>
                <w:noProof/>
              </w:rPr>
              <w:t>4.3.4 Theme 4: Delayed Referral for Older Adults with Non-Cancer Conditions</w:t>
            </w:r>
            <w:r>
              <w:rPr>
                <w:noProof/>
                <w:webHidden/>
              </w:rPr>
              <w:tab/>
            </w:r>
            <w:r>
              <w:rPr>
                <w:noProof/>
                <w:webHidden/>
              </w:rPr>
              <w:fldChar w:fldCharType="begin"/>
            </w:r>
            <w:r>
              <w:rPr>
                <w:noProof/>
                <w:webHidden/>
              </w:rPr>
              <w:instrText xml:space="preserve"> PAGEREF _Toc232206477 \h </w:instrText>
            </w:r>
            <w:r>
              <w:rPr>
                <w:noProof/>
                <w:webHidden/>
              </w:rPr>
            </w:r>
            <w:r>
              <w:rPr>
                <w:noProof/>
                <w:webHidden/>
              </w:rPr>
              <w:fldChar w:fldCharType="separate"/>
            </w:r>
            <w:r>
              <w:rPr>
                <w:noProof/>
                <w:webHidden/>
              </w:rPr>
              <w:t>28</w:t>
            </w:r>
            <w:r>
              <w:rPr>
                <w:noProof/>
                <w:webHidden/>
              </w:rPr>
              <w:fldChar w:fldCharType="end"/>
            </w:r>
          </w:hyperlink>
        </w:p>
        <w:p w14:paraId="0B474FC1" w14:textId="24D555A7"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78" w:history="1">
            <w:r w:rsidRPr="00965328">
              <w:rPr>
                <w:rStyle w:val="Hyperlink"/>
                <w:noProof/>
              </w:rPr>
              <w:t>4.4 Discussion</w:t>
            </w:r>
            <w:r>
              <w:rPr>
                <w:noProof/>
                <w:webHidden/>
              </w:rPr>
              <w:tab/>
            </w:r>
            <w:r>
              <w:rPr>
                <w:noProof/>
                <w:webHidden/>
              </w:rPr>
              <w:fldChar w:fldCharType="begin"/>
            </w:r>
            <w:r>
              <w:rPr>
                <w:noProof/>
                <w:webHidden/>
              </w:rPr>
              <w:instrText xml:space="preserve"> PAGEREF _Toc232206478 \h </w:instrText>
            </w:r>
            <w:r>
              <w:rPr>
                <w:noProof/>
                <w:webHidden/>
              </w:rPr>
            </w:r>
            <w:r>
              <w:rPr>
                <w:noProof/>
                <w:webHidden/>
              </w:rPr>
              <w:fldChar w:fldCharType="separate"/>
            </w:r>
            <w:r>
              <w:rPr>
                <w:noProof/>
                <w:webHidden/>
              </w:rPr>
              <w:t>30</w:t>
            </w:r>
            <w:r>
              <w:rPr>
                <w:noProof/>
                <w:webHidden/>
              </w:rPr>
              <w:fldChar w:fldCharType="end"/>
            </w:r>
          </w:hyperlink>
        </w:p>
        <w:p w14:paraId="49CB48A0" w14:textId="6D242CBE"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79" w:history="1">
            <w:r w:rsidRPr="00965328">
              <w:rPr>
                <w:rStyle w:val="Hyperlink"/>
                <w:noProof/>
              </w:rPr>
              <w:t>CHAPTER 5: Recommendations and Conclusion</w:t>
            </w:r>
            <w:r>
              <w:rPr>
                <w:noProof/>
                <w:webHidden/>
              </w:rPr>
              <w:tab/>
            </w:r>
            <w:r>
              <w:rPr>
                <w:noProof/>
                <w:webHidden/>
              </w:rPr>
              <w:fldChar w:fldCharType="begin"/>
            </w:r>
            <w:r>
              <w:rPr>
                <w:noProof/>
                <w:webHidden/>
              </w:rPr>
              <w:instrText xml:space="preserve"> PAGEREF _Toc232206479 \h </w:instrText>
            </w:r>
            <w:r>
              <w:rPr>
                <w:noProof/>
                <w:webHidden/>
              </w:rPr>
            </w:r>
            <w:r>
              <w:rPr>
                <w:noProof/>
                <w:webHidden/>
              </w:rPr>
              <w:fldChar w:fldCharType="separate"/>
            </w:r>
            <w:r>
              <w:rPr>
                <w:noProof/>
                <w:webHidden/>
              </w:rPr>
              <w:t>32</w:t>
            </w:r>
            <w:r>
              <w:rPr>
                <w:noProof/>
                <w:webHidden/>
              </w:rPr>
              <w:fldChar w:fldCharType="end"/>
            </w:r>
          </w:hyperlink>
        </w:p>
        <w:p w14:paraId="16ADEDBB" w14:textId="5744AEC1"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0" w:history="1">
            <w:r w:rsidRPr="00965328">
              <w:rPr>
                <w:rStyle w:val="Hyperlink"/>
                <w:noProof/>
              </w:rPr>
              <w:t>5.1 Introduction</w:t>
            </w:r>
            <w:r>
              <w:rPr>
                <w:noProof/>
                <w:webHidden/>
              </w:rPr>
              <w:tab/>
            </w:r>
            <w:r>
              <w:rPr>
                <w:noProof/>
                <w:webHidden/>
              </w:rPr>
              <w:fldChar w:fldCharType="begin"/>
            </w:r>
            <w:r>
              <w:rPr>
                <w:noProof/>
                <w:webHidden/>
              </w:rPr>
              <w:instrText xml:space="preserve"> PAGEREF _Toc232206480 \h </w:instrText>
            </w:r>
            <w:r>
              <w:rPr>
                <w:noProof/>
                <w:webHidden/>
              </w:rPr>
            </w:r>
            <w:r>
              <w:rPr>
                <w:noProof/>
                <w:webHidden/>
              </w:rPr>
              <w:fldChar w:fldCharType="separate"/>
            </w:r>
            <w:r>
              <w:rPr>
                <w:noProof/>
                <w:webHidden/>
              </w:rPr>
              <w:t>32</w:t>
            </w:r>
            <w:r>
              <w:rPr>
                <w:noProof/>
                <w:webHidden/>
              </w:rPr>
              <w:fldChar w:fldCharType="end"/>
            </w:r>
          </w:hyperlink>
        </w:p>
        <w:p w14:paraId="2985DCFA" w14:textId="370A3C4E"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1" w:history="1">
            <w:r w:rsidRPr="00965328">
              <w:rPr>
                <w:rStyle w:val="Hyperlink"/>
                <w:noProof/>
              </w:rPr>
              <w:t>5.2 Summary of Key Findings</w:t>
            </w:r>
            <w:r>
              <w:rPr>
                <w:noProof/>
                <w:webHidden/>
              </w:rPr>
              <w:tab/>
            </w:r>
            <w:r>
              <w:rPr>
                <w:noProof/>
                <w:webHidden/>
              </w:rPr>
              <w:fldChar w:fldCharType="begin"/>
            </w:r>
            <w:r>
              <w:rPr>
                <w:noProof/>
                <w:webHidden/>
              </w:rPr>
              <w:instrText xml:space="preserve"> PAGEREF _Toc232206481 \h </w:instrText>
            </w:r>
            <w:r>
              <w:rPr>
                <w:noProof/>
                <w:webHidden/>
              </w:rPr>
            </w:r>
            <w:r>
              <w:rPr>
                <w:noProof/>
                <w:webHidden/>
              </w:rPr>
              <w:fldChar w:fldCharType="separate"/>
            </w:r>
            <w:r>
              <w:rPr>
                <w:noProof/>
                <w:webHidden/>
              </w:rPr>
              <w:t>32</w:t>
            </w:r>
            <w:r>
              <w:rPr>
                <w:noProof/>
                <w:webHidden/>
              </w:rPr>
              <w:fldChar w:fldCharType="end"/>
            </w:r>
          </w:hyperlink>
        </w:p>
        <w:p w14:paraId="0F7B2596" w14:textId="217E3199"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2" w:history="1">
            <w:r w:rsidRPr="00965328">
              <w:rPr>
                <w:rStyle w:val="Hyperlink"/>
                <w:noProof/>
              </w:rPr>
              <w:t>5.3 Recommendations</w:t>
            </w:r>
            <w:r>
              <w:rPr>
                <w:noProof/>
                <w:webHidden/>
              </w:rPr>
              <w:tab/>
            </w:r>
            <w:r>
              <w:rPr>
                <w:noProof/>
                <w:webHidden/>
              </w:rPr>
              <w:fldChar w:fldCharType="begin"/>
            </w:r>
            <w:r>
              <w:rPr>
                <w:noProof/>
                <w:webHidden/>
              </w:rPr>
              <w:instrText xml:space="preserve"> PAGEREF _Toc232206482 \h </w:instrText>
            </w:r>
            <w:r>
              <w:rPr>
                <w:noProof/>
                <w:webHidden/>
              </w:rPr>
            </w:r>
            <w:r>
              <w:rPr>
                <w:noProof/>
                <w:webHidden/>
              </w:rPr>
              <w:fldChar w:fldCharType="separate"/>
            </w:r>
            <w:r>
              <w:rPr>
                <w:noProof/>
                <w:webHidden/>
              </w:rPr>
              <w:t>32</w:t>
            </w:r>
            <w:r>
              <w:rPr>
                <w:noProof/>
                <w:webHidden/>
              </w:rPr>
              <w:fldChar w:fldCharType="end"/>
            </w:r>
          </w:hyperlink>
        </w:p>
        <w:p w14:paraId="025D98E7" w14:textId="4775781E"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3" w:history="1">
            <w:r w:rsidRPr="00965328">
              <w:rPr>
                <w:rStyle w:val="Hyperlink"/>
                <w:noProof/>
              </w:rPr>
              <w:t>5.4 Limitations of the Study</w:t>
            </w:r>
            <w:r>
              <w:rPr>
                <w:noProof/>
                <w:webHidden/>
              </w:rPr>
              <w:tab/>
            </w:r>
            <w:r>
              <w:rPr>
                <w:noProof/>
                <w:webHidden/>
              </w:rPr>
              <w:fldChar w:fldCharType="begin"/>
            </w:r>
            <w:r>
              <w:rPr>
                <w:noProof/>
                <w:webHidden/>
              </w:rPr>
              <w:instrText xml:space="preserve"> PAGEREF _Toc232206483 \h </w:instrText>
            </w:r>
            <w:r>
              <w:rPr>
                <w:noProof/>
                <w:webHidden/>
              </w:rPr>
            </w:r>
            <w:r>
              <w:rPr>
                <w:noProof/>
                <w:webHidden/>
              </w:rPr>
              <w:fldChar w:fldCharType="separate"/>
            </w:r>
            <w:r>
              <w:rPr>
                <w:noProof/>
                <w:webHidden/>
              </w:rPr>
              <w:t>33</w:t>
            </w:r>
            <w:r>
              <w:rPr>
                <w:noProof/>
                <w:webHidden/>
              </w:rPr>
              <w:fldChar w:fldCharType="end"/>
            </w:r>
          </w:hyperlink>
        </w:p>
        <w:p w14:paraId="5BBF8C3D" w14:textId="63617CE0"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4" w:history="1">
            <w:r w:rsidRPr="00965328">
              <w:rPr>
                <w:rStyle w:val="Hyperlink"/>
                <w:noProof/>
              </w:rPr>
              <w:t>5.5 Conclusion</w:t>
            </w:r>
            <w:r>
              <w:rPr>
                <w:noProof/>
                <w:webHidden/>
              </w:rPr>
              <w:tab/>
            </w:r>
            <w:r>
              <w:rPr>
                <w:noProof/>
                <w:webHidden/>
              </w:rPr>
              <w:fldChar w:fldCharType="begin"/>
            </w:r>
            <w:r>
              <w:rPr>
                <w:noProof/>
                <w:webHidden/>
              </w:rPr>
              <w:instrText xml:space="preserve"> PAGEREF _Toc232206484 \h </w:instrText>
            </w:r>
            <w:r>
              <w:rPr>
                <w:noProof/>
                <w:webHidden/>
              </w:rPr>
            </w:r>
            <w:r>
              <w:rPr>
                <w:noProof/>
                <w:webHidden/>
              </w:rPr>
              <w:fldChar w:fldCharType="separate"/>
            </w:r>
            <w:r>
              <w:rPr>
                <w:noProof/>
                <w:webHidden/>
              </w:rPr>
              <w:t>34</w:t>
            </w:r>
            <w:r>
              <w:rPr>
                <w:noProof/>
                <w:webHidden/>
              </w:rPr>
              <w:fldChar w:fldCharType="end"/>
            </w:r>
          </w:hyperlink>
        </w:p>
        <w:p w14:paraId="5E73F473" w14:textId="675F82C6"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85" w:history="1">
            <w:r w:rsidRPr="00965328">
              <w:rPr>
                <w:rStyle w:val="Hyperlink"/>
                <w:noProof/>
              </w:rPr>
              <w:t>References</w:t>
            </w:r>
            <w:r>
              <w:rPr>
                <w:noProof/>
                <w:webHidden/>
              </w:rPr>
              <w:tab/>
            </w:r>
            <w:r>
              <w:rPr>
                <w:noProof/>
                <w:webHidden/>
              </w:rPr>
              <w:fldChar w:fldCharType="begin"/>
            </w:r>
            <w:r>
              <w:rPr>
                <w:noProof/>
                <w:webHidden/>
              </w:rPr>
              <w:instrText xml:space="preserve"> PAGEREF _Toc232206485 \h </w:instrText>
            </w:r>
            <w:r>
              <w:rPr>
                <w:noProof/>
                <w:webHidden/>
              </w:rPr>
            </w:r>
            <w:r>
              <w:rPr>
                <w:noProof/>
                <w:webHidden/>
              </w:rPr>
              <w:fldChar w:fldCharType="separate"/>
            </w:r>
            <w:r>
              <w:rPr>
                <w:noProof/>
                <w:webHidden/>
              </w:rPr>
              <w:t>35</w:t>
            </w:r>
            <w:r>
              <w:rPr>
                <w:noProof/>
                <w:webHidden/>
              </w:rPr>
              <w:fldChar w:fldCharType="end"/>
            </w:r>
          </w:hyperlink>
        </w:p>
        <w:p w14:paraId="2175CD06" w14:textId="75153171" w:rsidR="008459EE" w:rsidRDefault="008459EE">
          <w:pPr>
            <w:pStyle w:val="TOC1"/>
            <w:tabs>
              <w:tab w:val="right" w:leader="dot" w:pos="9016"/>
            </w:tabs>
            <w:rPr>
              <w:rFonts w:asciiTheme="minorHAnsi" w:eastAsiaTheme="minorEastAsia" w:hAnsiTheme="minorHAnsi"/>
              <w:noProof/>
              <w:color w:val="auto"/>
              <w:sz w:val="24"/>
              <w:lang w:val="en-US"/>
            </w:rPr>
          </w:pPr>
          <w:hyperlink w:anchor="_Toc232206486" w:history="1">
            <w:r w:rsidRPr="00965328">
              <w:rPr>
                <w:rStyle w:val="Hyperlink"/>
                <w:noProof/>
              </w:rPr>
              <w:t>Appendices</w:t>
            </w:r>
            <w:r>
              <w:rPr>
                <w:noProof/>
                <w:webHidden/>
              </w:rPr>
              <w:tab/>
            </w:r>
            <w:r>
              <w:rPr>
                <w:noProof/>
                <w:webHidden/>
              </w:rPr>
              <w:fldChar w:fldCharType="begin"/>
            </w:r>
            <w:r>
              <w:rPr>
                <w:noProof/>
                <w:webHidden/>
              </w:rPr>
              <w:instrText xml:space="preserve"> PAGEREF _Toc232206486 \h </w:instrText>
            </w:r>
            <w:r>
              <w:rPr>
                <w:noProof/>
                <w:webHidden/>
              </w:rPr>
            </w:r>
            <w:r>
              <w:rPr>
                <w:noProof/>
                <w:webHidden/>
              </w:rPr>
              <w:fldChar w:fldCharType="separate"/>
            </w:r>
            <w:r>
              <w:rPr>
                <w:noProof/>
                <w:webHidden/>
              </w:rPr>
              <w:t>41</w:t>
            </w:r>
            <w:r>
              <w:rPr>
                <w:noProof/>
                <w:webHidden/>
              </w:rPr>
              <w:fldChar w:fldCharType="end"/>
            </w:r>
          </w:hyperlink>
        </w:p>
        <w:p w14:paraId="3F473293" w14:textId="0D06F549" w:rsidR="008459EE" w:rsidRDefault="008459EE">
          <w:pPr>
            <w:pStyle w:val="TOC2"/>
            <w:tabs>
              <w:tab w:val="right" w:leader="dot" w:pos="9016"/>
            </w:tabs>
            <w:rPr>
              <w:rFonts w:asciiTheme="minorHAnsi" w:eastAsiaTheme="minorEastAsia" w:hAnsiTheme="minorHAnsi"/>
              <w:noProof/>
              <w:color w:val="auto"/>
              <w:sz w:val="24"/>
              <w:lang w:val="en-US"/>
            </w:rPr>
          </w:pPr>
          <w:hyperlink w:anchor="_Toc232206487" w:history="1">
            <w:r w:rsidRPr="00965328">
              <w:rPr>
                <w:rStyle w:val="Hyperlink"/>
                <w:noProof/>
              </w:rPr>
              <w:t xml:space="preserve">Appendix A: </w:t>
            </w:r>
            <w:r w:rsidR="00AB0636">
              <w:rPr>
                <w:rStyle w:val="Hyperlink"/>
                <w:noProof/>
              </w:rPr>
              <w:t>CRAAP Test Sources</w:t>
            </w:r>
            <w:r>
              <w:rPr>
                <w:noProof/>
                <w:webHidden/>
              </w:rPr>
              <w:tab/>
            </w:r>
            <w:r>
              <w:rPr>
                <w:noProof/>
                <w:webHidden/>
              </w:rPr>
              <w:fldChar w:fldCharType="begin"/>
            </w:r>
            <w:r>
              <w:rPr>
                <w:noProof/>
                <w:webHidden/>
              </w:rPr>
              <w:instrText xml:space="preserve"> PAGEREF _Toc232206487 \h </w:instrText>
            </w:r>
            <w:r>
              <w:rPr>
                <w:noProof/>
                <w:webHidden/>
              </w:rPr>
            </w:r>
            <w:r>
              <w:rPr>
                <w:noProof/>
                <w:webHidden/>
              </w:rPr>
              <w:fldChar w:fldCharType="separate"/>
            </w:r>
            <w:r>
              <w:rPr>
                <w:noProof/>
                <w:webHidden/>
              </w:rPr>
              <w:t>41</w:t>
            </w:r>
            <w:r>
              <w:rPr>
                <w:noProof/>
                <w:webHidden/>
              </w:rPr>
              <w:fldChar w:fldCharType="end"/>
            </w:r>
          </w:hyperlink>
        </w:p>
        <w:p w14:paraId="0C82C67B" w14:textId="296C119D" w:rsidR="00C4620B" w:rsidRPr="008459EE" w:rsidRDefault="00C4620B" w:rsidP="00C4620B">
          <w:r w:rsidRPr="008459EE">
            <w:rPr>
              <w:b/>
              <w:bCs/>
            </w:rPr>
            <w:fldChar w:fldCharType="end"/>
          </w:r>
        </w:p>
      </w:sdtContent>
    </w:sdt>
    <w:p w14:paraId="1005061F" w14:textId="77777777" w:rsidR="00C4620B" w:rsidRPr="008459EE" w:rsidRDefault="00C4620B" w:rsidP="00C4620B"/>
    <w:p w14:paraId="2BC897E6" w14:textId="77777777" w:rsidR="00C4620B" w:rsidRPr="008459EE" w:rsidRDefault="00C4620B" w:rsidP="00C4620B"/>
    <w:p w14:paraId="497814B7" w14:textId="77777777" w:rsidR="00C4620B" w:rsidRPr="008459EE" w:rsidRDefault="00C4620B" w:rsidP="00C4620B">
      <w:pPr>
        <w:tabs>
          <w:tab w:val="left" w:pos="1485"/>
        </w:tabs>
      </w:pPr>
      <w:r w:rsidRPr="008459EE">
        <w:tab/>
      </w:r>
    </w:p>
    <w:p w14:paraId="1EBF993C" w14:textId="77777777" w:rsidR="00C4620B" w:rsidRPr="008459EE" w:rsidRDefault="00C4620B" w:rsidP="00C4620B">
      <w:pPr>
        <w:spacing w:line="278" w:lineRule="auto"/>
        <w:jc w:val="left"/>
      </w:pPr>
      <w:r w:rsidRPr="008459EE">
        <w:br w:type="page"/>
      </w:r>
    </w:p>
    <w:p w14:paraId="376643BA" w14:textId="77777777" w:rsidR="00C4620B" w:rsidRPr="008459EE" w:rsidRDefault="00C4620B" w:rsidP="00C4620B">
      <w:pPr>
        <w:pStyle w:val="Heading1"/>
      </w:pPr>
      <w:bookmarkStart w:id="2" w:name="_Toc232206445"/>
      <w:r w:rsidRPr="008459EE">
        <w:lastRenderedPageBreak/>
        <w:t>List of Tables</w:t>
      </w:r>
      <w:bookmarkEnd w:id="2"/>
    </w:p>
    <w:p w14:paraId="6941017F" w14:textId="77777777" w:rsidR="00C4620B" w:rsidRPr="008459EE" w:rsidRDefault="00C4620B" w:rsidP="00C4620B">
      <w:pPr>
        <w:pStyle w:val="TableofFigures"/>
        <w:tabs>
          <w:tab w:val="right" w:leader="dot" w:pos="9016"/>
        </w:tabs>
        <w:rPr>
          <w:noProof/>
        </w:rPr>
      </w:pPr>
      <w:r w:rsidRPr="008459EE">
        <w:fldChar w:fldCharType="begin"/>
      </w:r>
      <w:r w:rsidRPr="008459EE">
        <w:instrText xml:space="preserve"> TOC \h \z \c "Table" </w:instrText>
      </w:r>
      <w:r w:rsidRPr="008459EE">
        <w:fldChar w:fldCharType="separate"/>
      </w:r>
      <w:hyperlink w:anchor="_Toc232201007" w:history="1">
        <w:r w:rsidRPr="008459EE">
          <w:rPr>
            <w:rStyle w:val="Hyperlink"/>
            <w:noProof/>
          </w:rPr>
          <w:t>Table 1: Initial Theme</w:t>
        </w:r>
        <w:r w:rsidRPr="008459EE">
          <w:rPr>
            <w:noProof/>
            <w:webHidden/>
          </w:rPr>
          <w:tab/>
        </w:r>
        <w:r w:rsidRPr="008459EE">
          <w:rPr>
            <w:noProof/>
            <w:webHidden/>
          </w:rPr>
          <w:fldChar w:fldCharType="begin"/>
        </w:r>
        <w:r w:rsidRPr="008459EE">
          <w:rPr>
            <w:noProof/>
            <w:webHidden/>
          </w:rPr>
          <w:instrText xml:space="preserve"> PAGEREF _Toc232201007 \h </w:instrText>
        </w:r>
        <w:r w:rsidRPr="008459EE">
          <w:rPr>
            <w:noProof/>
            <w:webHidden/>
          </w:rPr>
        </w:r>
        <w:r w:rsidRPr="008459EE">
          <w:rPr>
            <w:noProof/>
            <w:webHidden/>
          </w:rPr>
          <w:fldChar w:fldCharType="separate"/>
        </w:r>
        <w:r w:rsidRPr="008459EE">
          <w:rPr>
            <w:noProof/>
            <w:webHidden/>
          </w:rPr>
          <w:t>16</w:t>
        </w:r>
        <w:r w:rsidRPr="008459EE">
          <w:rPr>
            <w:noProof/>
            <w:webHidden/>
          </w:rPr>
          <w:fldChar w:fldCharType="end"/>
        </w:r>
      </w:hyperlink>
    </w:p>
    <w:p w14:paraId="7DE3578C" w14:textId="77777777" w:rsidR="00C4620B" w:rsidRDefault="00C4620B" w:rsidP="00C4620B">
      <w:pPr>
        <w:pStyle w:val="TableofFigures"/>
        <w:tabs>
          <w:tab w:val="right" w:leader="dot" w:pos="9016"/>
        </w:tabs>
      </w:pPr>
      <w:hyperlink w:anchor="_Toc232201008" w:history="1">
        <w:r w:rsidRPr="008459EE">
          <w:rPr>
            <w:rStyle w:val="Hyperlink"/>
            <w:noProof/>
          </w:rPr>
          <w:t>Table 2: Final Theme</w:t>
        </w:r>
        <w:r w:rsidRPr="008459EE">
          <w:rPr>
            <w:noProof/>
            <w:webHidden/>
          </w:rPr>
          <w:tab/>
        </w:r>
        <w:r w:rsidRPr="008459EE">
          <w:rPr>
            <w:noProof/>
            <w:webHidden/>
          </w:rPr>
          <w:fldChar w:fldCharType="begin"/>
        </w:r>
        <w:r w:rsidRPr="008459EE">
          <w:rPr>
            <w:noProof/>
            <w:webHidden/>
          </w:rPr>
          <w:instrText xml:space="preserve"> PAGEREF _Toc232201008 \h </w:instrText>
        </w:r>
        <w:r w:rsidRPr="008459EE">
          <w:rPr>
            <w:noProof/>
            <w:webHidden/>
          </w:rPr>
        </w:r>
        <w:r w:rsidRPr="008459EE">
          <w:rPr>
            <w:noProof/>
            <w:webHidden/>
          </w:rPr>
          <w:fldChar w:fldCharType="separate"/>
        </w:r>
        <w:r w:rsidRPr="008459EE">
          <w:rPr>
            <w:noProof/>
            <w:webHidden/>
          </w:rPr>
          <w:t>19</w:t>
        </w:r>
        <w:r w:rsidRPr="008459EE">
          <w:rPr>
            <w:noProof/>
            <w:webHidden/>
          </w:rPr>
          <w:fldChar w:fldCharType="end"/>
        </w:r>
      </w:hyperlink>
    </w:p>
    <w:p w14:paraId="1D9D58F3" w14:textId="2005FAA5" w:rsidR="00AB0636" w:rsidRPr="00AB0636" w:rsidRDefault="00110FB5" w:rsidP="00AB0636">
      <w:r w:rsidRPr="00110FB5">
        <w:t>Independent Project Source Tracking Table</w:t>
      </w:r>
      <w:r w:rsidRPr="00110FB5">
        <w:t xml:space="preserve"> </w:t>
      </w:r>
      <w:r>
        <w:t>……………...</w:t>
      </w:r>
      <w:r w:rsidR="00AB0636">
        <w:t>………………………………………41</w:t>
      </w:r>
    </w:p>
    <w:p w14:paraId="15A2A414" w14:textId="77777777" w:rsidR="00C4620B" w:rsidRPr="008459EE" w:rsidRDefault="00C4620B" w:rsidP="00C4620B">
      <w:r w:rsidRPr="008459EE">
        <w:fldChar w:fldCharType="end"/>
      </w:r>
    </w:p>
    <w:p w14:paraId="1B7D3D74" w14:textId="77777777" w:rsidR="00C4620B" w:rsidRPr="008459EE" w:rsidRDefault="00C4620B" w:rsidP="00C4620B">
      <w:pPr>
        <w:tabs>
          <w:tab w:val="left" w:pos="1485"/>
        </w:tabs>
        <w:sectPr w:rsidR="00C4620B" w:rsidRPr="008459EE" w:rsidSect="00C4620B">
          <w:pgSz w:w="11906" w:h="16838" w:code="9"/>
          <w:pgMar w:top="1440" w:right="1440" w:bottom="1440" w:left="1440" w:header="720" w:footer="720" w:gutter="0"/>
          <w:cols w:space="720"/>
          <w:docGrid w:linePitch="360"/>
        </w:sectPr>
      </w:pPr>
      <w:r w:rsidRPr="008459EE">
        <w:tab/>
      </w:r>
    </w:p>
    <w:p w14:paraId="2EAB48BC" w14:textId="77777777" w:rsidR="00C4620B" w:rsidRPr="008459EE" w:rsidRDefault="00C4620B" w:rsidP="00C4620B">
      <w:pPr>
        <w:pStyle w:val="Heading1"/>
      </w:pPr>
      <w:bookmarkStart w:id="3" w:name="_Toc232206446"/>
      <w:r w:rsidRPr="008459EE">
        <w:lastRenderedPageBreak/>
        <w:t>CHAPTER 1: Introduction</w:t>
      </w:r>
      <w:bookmarkEnd w:id="3"/>
    </w:p>
    <w:p w14:paraId="7C12139C" w14:textId="77777777" w:rsidR="00C4620B" w:rsidRPr="008459EE" w:rsidRDefault="00C4620B" w:rsidP="00C4620B">
      <w:pPr>
        <w:pStyle w:val="Heading2"/>
      </w:pPr>
      <w:bookmarkStart w:id="4" w:name="_Toc232206447"/>
      <w:r w:rsidRPr="008459EE">
        <w:t>1.1 Introduction</w:t>
      </w:r>
      <w:bookmarkEnd w:id="4"/>
    </w:p>
    <w:p w14:paraId="5C87342B" w14:textId="4398351D" w:rsidR="00C4620B" w:rsidRPr="008459EE" w:rsidRDefault="00C4620B" w:rsidP="00C4620B">
      <w:r w:rsidRPr="008459EE">
        <w:t xml:space="preserve">Community-based end-of-life care is a fundamental part of health and social care, since most of the elderly population will live with chronic and debilitating conditions such as advanced illness, frailty, dementia, </w:t>
      </w:r>
      <w:r w:rsidR="00DC419F" w:rsidRPr="008459EE">
        <w:t>cancer,</w:t>
      </w:r>
      <w:r w:rsidRPr="008459EE">
        <w:t xml:space="preserve"> or co-morbidity until they die (Fantoni et al., 2024; de Nooijer et al., 2022). It focuses on support in the home, care homes, hospices or familiar surroundings, rather than being based entirely within hospital care, alongside the support provided to relatives and informal carers (Evans et al., 2021). Evidence from the UK recently indicated that those in receipt or provision of palliative and end-of-life care continue to be hampered by issues of limited resources, fragmentation, communication issues, unequal access and difficulty discussing death (Hodge et al., 2025). Community palliative care programs have been shown to improve the patient and carer experience by implementing early interventions, multidisciplinary working and organised support from within the existing local community care system (Hughes et al., 2023) (Goodrich et al., 2022).</w:t>
      </w:r>
    </w:p>
    <w:p w14:paraId="49E9300F" w14:textId="77777777" w:rsidR="00C4620B" w:rsidRPr="008459EE" w:rsidRDefault="00C4620B" w:rsidP="00C4620B">
      <w:pPr>
        <w:pStyle w:val="Heading2"/>
      </w:pPr>
      <w:bookmarkStart w:id="5" w:name="_Toc232206448"/>
      <w:r w:rsidRPr="008459EE">
        <w:t>1.2 Definitions and Terminology</w:t>
      </w:r>
      <w:bookmarkEnd w:id="5"/>
    </w:p>
    <w:p w14:paraId="11E59282" w14:textId="77777777" w:rsidR="00C4620B" w:rsidRPr="008459EE" w:rsidRDefault="00C4620B" w:rsidP="00C4620B">
      <w:r w:rsidRPr="008459EE">
        <w:t>End-of-life care is defined as the care and support a person receives from the months, weeks and days prior to death, including symptom management, psychological, social and spiritual care, as well as advanced care planning, support for family members and dignified decision-making. This is closely linked to palliative care, although this term can apply to an earlier stage of illness and its goals include the improvement of the quality of life for those with life-limiting conditions. Community-based end-of-life care is simply defined as care outside of an acute hospital setting, whether within a private home, care home, hospice, or primary care setting. The term "elderly" is taken to refer to any person aged 65 or over. Barriers to access are described as factors that impede a person receiving their appropriate treatment or care, these factors are numerous but could include staff shortages, a lack of information, fragmented referrals, unequal geographical access, lack of awareness, communication difficulties and a lack of out-of-hours support (Firth et al., 2025). Studies on the usage of the A&amp;E in the UK have highlighted that a high proportion of patients with palliative care needs are presenting at hospital, often due to difficulties in community management, a lack of a care plan or being unable to arrange an out-of-hours service (Sausman et al., 2023) (Petrova et al., 2021; Orlovic et al., 2023).</w:t>
      </w:r>
    </w:p>
    <w:p w14:paraId="2F323DA6" w14:textId="77777777" w:rsidR="00C4620B" w:rsidRPr="008459EE" w:rsidRDefault="00C4620B" w:rsidP="00C4620B">
      <w:pPr>
        <w:pStyle w:val="Heading2"/>
      </w:pPr>
      <w:bookmarkStart w:id="6" w:name="_Toc232206449"/>
      <w:r w:rsidRPr="008459EE">
        <w:t>1.3 Rationale for Research</w:t>
      </w:r>
      <w:bookmarkEnd w:id="6"/>
    </w:p>
    <w:p w14:paraId="3573DA87" w14:textId="77777777" w:rsidR="00C4620B" w:rsidRPr="008459EE" w:rsidRDefault="00C4620B" w:rsidP="00C4620B">
      <w:r w:rsidRPr="008459EE">
        <w:t xml:space="preserve">The importance of the topic stems from the ageing population of the UK and a rising number of elderly people suffering from multimorbidity and complex care needs (Fantoni et al., 2024; </w:t>
      </w:r>
      <w:r w:rsidRPr="008459EE">
        <w:lastRenderedPageBreak/>
        <w:t>de Nooijer et al., 2022). It is predicted that those suffering from multimorbidity will become major receivers of palliative care, yet evidence indicates that their psychological, social, physical and practical needs do not always gain appropriate attention within the design of person-centred services (Nicholson et al., 2023). A crucial aspect for many of the elderly is that good end-of-life care doesn't just relate to medical intervention; but a comfortable state, being heard, avoiding unnecessary hospital admissions, retaining dignity and having a cohesive care plan with social care and family input (Silies et al., 2022).</w:t>
      </w:r>
    </w:p>
    <w:p w14:paraId="389342FD" w14:textId="77777777" w:rsidR="00C4620B" w:rsidRPr="008459EE" w:rsidRDefault="00C4620B" w:rsidP="00C4620B">
      <w:r w:rsidRPr="008459EE">
        <w:t>Although the UK health care system clearly expresses preference towards community care it has not resulted in consistent access, so that while some of the elderly may have early referral and coordinated support, others receive late identification of need or have a lack of specialist provision, and are not supported by continuity of care between their GP, district nurses, hospices, social care and hospitals (Chambers et al., 2022; Weetman et al., 2022). It is particularly important to identify what could disadvantage the elderly; those suffering from conditions other than cancer, may receive little appropriate support due to their ambiguous nature, and unclear referral triggers that can lead to delayed palliative care (Kawashima et al., 2023). People from minority ethnic backgrounds, those with low levels of health literacy and those living alone or in impoverished/rural communities may also be significantly disadvantaged. A review into the literature found that language barriers, lack of trust, service ignorance, cultural preferences and structural inequality are factors that contribute to barriers to accessing services for elderly ethnic minorities (Aker et al., 2024) (Dixon et al., 2023; Rosa et al., 2023).</w:t>
      </w:r>
    </w:p>
    <w:p w14:paraId="047DA481" w14:textId="77777777" w:rsidR="00C4620B" w:rsidRPr="008459EE" w:rsidRDefault="00C4620B" w:rsidP="00C4620B">
      <w:r w:rsidRPr="008459EE">
        <w:t xml:space="preserve">The need for further investigation into the barriers facing the elderly accessing </w:t>
      </w:r>
      <w:proofErr w:type="gramStart"/>
      <w:r w:rsidRPr="008459EE">
        <w:t>community based</w:t>
      </w:r>
      <w:proofErr w:type="gramEnd"/>
      <w:r w:rsidRPr="008459EE">
        <w:t xml:space="preserve"> end-of-life care within the UK has been clearly identified. The research problem is not one of availability of services, but whether older people can effectively reach and utilise the services when they need them. Research within care homes in the UK also indicates that high quality end-of-life care is dependent upon relationship-centred practice, integration of services and a supported work force, all of which may be strained by wider systemic pressures (Bradshaw et al., 2023) (Bailey et al., 2023; Mitchell et al., 2021). By examining recent </w:t>
      </w:r>
      <w:proofErr w:type="gramStart"/>
      <w:r w:rsidRPr="008459EE">
        <w:t>studies</w:t>
      </w:r>
      <w:proofErr w:type="gramEnd"/>
      <w:r w:rsidRPr="008459EE">
        <w:t xml:space="preserve"> it is hoped that patterns in the data can be identified and the effect on dignified and equal care considered.</w:t>
      </w:r>
    </w:p>
    <w:p w14:paraId="631C8C01" w14:textId="77777777" w:rsidR="00C4620B" w:rsidRPr="008459EE" w:rsidRDefault="00C4620B" w:rsidP="00C4620B">
      <w:pPr>
        <w:pStyle w:val="Heading2"/>
      </w:pPr>
      <w:bookmarkStart w:id="7" w:name="_Toc232206450"/>
      <w:r w:rsidRPr="008459EE">
        <w:t>1.4 Aim and Objectives</w:t>
      </w:r>
      <w:bookmarkEnd w:id="7"/>
    </w:p>
    <w:p w14:paraId="5933E378" w14:textId="77777777" w:rsidR="00C4620B" w:rsidRPr="008459EE" w:rsidRDefault="00C4620B" w:rsidP="00C4620B">
      <w:r w:rsidRPr="008459EE">
        <w:t>The aim of this research is to explore community-based end-of-life care for older adults in the UK, with a focus on identifying the factors that hinder access to services. This research aims to examine the key barriers affecting services accessibility and to develop evidence-based recommendations to improve end-of-life care outcomes for the elderly population.</w:t>
      </w:r>
    </w:p>
    <w:p w14:paraId="36AA5C05" w14:textId="77777777" w:rsidR="00C4620B" w:rsidRPr="008459EE" w:rsidRDefault="00C4620B" w:rsidP="00C4620B">
      <w:pPr>
        <w:rPr>
          <w:b/>
          <w:bCs/>
        </w:rPr>
      </w:pPr>
      <w:r w:rsidRPr="008459EE">
        <w:rPr>
          <w:b/>
          <w:bCs/>
        </w:rPr>
        <w:lastRenderedPageBreak/>
        <w:t>Objectives are:</w:t>
      </w:r>
    </w:p>
    <w:p w14:paraId="4098F519" w14:textId="77777777" w:rsidR="00C4620B" w:rsidRPr="008459EE" w:rsidRDefault="00C4620B" w:rsidP="00C4620B">
      <w:pPr>
        <w:pStyle w:val="ListParagraph"/>
        <w:numPr>
          <w:ilvl w:val="0"/>
          <w:numId w:val="3"/>
        </w:numPr>
      </w:pPr>
      <w:r w:rsidRPr="008459EE">
        <w:t>To define and examine the key barriers to accessing community-based end-  of-life care among the urban elderly population.</w:t>
      </w:r>
    </w:p>
    <w:p w14:paraId="46FF8C49" w14:textId="77777777" w:rsidR="00C4620B" w:rsidRPr="008459EE" w:rsidRDefault="00C4620B" w:rsidP="00C4620B">
      <w:pPr>
        <w:pStyle w:val="ListParagraph"/>
        <w:numPr>
          <w:ilvl w:val="0"/>
          <w:numId w:val="3"/>
        </w:numPr>
      </w:pPr>
      <w:r w:rsidRPr="008459EE">
        <w:t>To analyse existing literature and secondary data to identify trends and patterns in access to community end-of-life care services.</w:t>
      </w:r>
    </w:p>
    <w:p w14:paraId="54B59BF1" w14:textId="77777777" w:rsidR="00C4620B" w:rsidRPr="008459EE" w:rsidRDefault="00C4620B" w:rsidP="00C4620B">
      <w:pPr>
        <w:pStyle w:val="ListParagraph"/>
        <w:numPr>
          <w:ilvl w:val="0"/>
          <w:numId w:val="3"/>
        </w:numPr>
      </w:pPr>
      <w:r w:rsidRPr="008459EE">
        <w:t>To evaluate the effectiveness of current policies and interventions aimed at improving access to community-based end-of-life care for older adults.</w:t>
      </w:r>
    </w:p>
    <w:p w14:paraId="562C5B12" w14:textId="77777777" w:rsidR="00C4620B" w:rsidRPr="008459EE" w:rsidRDefault="00C4620B" w:rsidP="00C4620B">
      <w:pPr>
        <w:pStyle w:val="ListParagraph"/>
        <w:numPr>
          <w:ilvl w:val="0"/>
          <w:numId w:val="3"/>
        </w:numPr>
      </w:pPr>
      <w:r w:rsidRPr="008459EE">
        <w:t>To provide practical, evidence-based recommendations to address identified barriers and enhance the accessibility and quality of community end-of-life care for the urban elderly.</w:t>
      </w:r>
    </w:p>
    <w:p w14:paraId="7EAE984D" w14:textId="77777777" w:rsidR="00C4620B" w:rsidRPr="008459EE" w:rsidRDefault="00C4620B" w:rsidP="00C4620B">
      <w:pPr>
        <w:pStyle w:val="Heading2"/>
      </w:pPr>
      <w:bookmarkStart w:id="8" w:name="_Toc232206451"/>
      <w:r w:rsidRPr="008459EE">
        <w:t>1.5 Conclusion</w:t>
      </w:r>
      <w:bookmarkEnd w:id="8"/>
    </w:p>
    <w:p w14:paraId="0B15CF37" w14:textId="77777777" w:rsidR="00C4620B" w:rsidRPr="008459EE" w:rsidRDefault="00C4620B" w:rsidP="00C4620B">
      <w:r w:rsidRPr="008459EE">
        <w:t xml:space="preserve">This chapter has introduced the dissertation, outlining why access to community-based end-of-life care is an important issue for the elderly in the UK. The study defined some of the relevant terminology used throughout and outlined the reasons for investigating the barriers faced by the elderly accessing care such as a lack of coordinated working and support, a deficit in human resources and the barriers of communication. </w:t>
      </w:r>
      <w:proofErr w:type="gramStart"/>
      <w:r w:rsidRPr="008459EE">
        <w:t>Finally</w:t>
      </w:r>
      <w:proofErr w:type="gramEnd"/>
      <w:r w:rsidRPr="008459EE">
        <w:t xml:space="preserve"> it discussed the aim and objectives of the research which will be developed further throughout the dissertation. The dissertation reflects the current worries and concerns in relation to the elderly population in relation to their multimorbidity, dignity, equality and care provision, but also in the way health services currently provide their care.</w:t>
      </w:r>
    </w:p>
    <w:p w14:paraId="5EBB3397" w14:textId="77777777" w:rsidR="00C4620B" w:rsidRPr="008459EE" w:rsidRDefault="00C4620B" w:rsidP="00C4620B">
      <w:pPr>
        <w:spacing w:line="278" w:lineRule="auto"/>
        <w:jc w:val="left"/>
      </w:pPr>
      <w:r w:rsidRPr="008459EE">
        <w:br w:type="page"/>
      </w:r>
    </w:p>
    <w:p w14:paraId="4EB7140D" w14:textId="77777777" w:rsidR="00C4620B" w:rsidRPr="008459EE" w:rsidRDefault="00C4620B" w:rsidP="00C4620B">
      <w:pPr>
        <w:pStyle w:val="Heading1"/>
      </w:pPr>
      <w:bookmarkStart w:id="9" w:name="_Toc232206452"/>
      <w:r w:rsidRPr="008459EE">
        <w:lastRenderedPageBreak/>
        <w:t>CHAPTER 2 – Background Information and Analysis</w:t>
      </w:r>
      <w:bookmarkEnd w:id="9"/>
    </w:p>
    <w:p w14:paraId="60891BA6" w14:textId="77777777" w:rsidR="00C4620B" w:rsidRPr="008459EE" w:rsidRDefault="00C4620B" w:rsidP="00C4620B">
      <w:pPr>
        <w:pStyle w:val="Heading2"/>
      </w:pPr>
      <w:bookmarkStart w:id="10" w:name="_Toc232206453"/>
      <w:r w:rsidRPr="008459EE">
        <w:t>2.1 Introduction</w:t>
      </w:r>
      <w:bookmarkEnd w:id="10"/>
    </w:p>
    <w:p w14:paraId="06F6A2D9" w14:textId="77777777" w:rsidR="00C4620B" w:rsidRPr="008459EE" w:rsidRDefault="00C4620B" w:rsidP="00C4620B">
      <w:r w:rsidRPr="008459EE">
        <w:t>The purpose of this chapter is to provide background to the study of barriers to access to community end-of-life care for older people in the UK, extending the introduction and establishing the topic within broader historical, theoretical, international and national contexts. This chapter does not include findings of the dissertation but will discuss the growth of care, important concepts in practice, and policy issues that influence access barriers. Community end-of-life care is becoming increasingly significant as the older population has growing rates of frailty, dementia, cancer, heart failure, respiratory disease and multimorbidity in the pre-terminal phase. This tends to require care from many disciplines: primary care, community nursing, hospice, social care, care homes and family carers, and there is evidence in recent UK research that the quality and effectiveness of palliative and end-of-life care can be compromised through inadequate resources, poor communication, poor coordination, inequality and a refusal to address end-of-life issues (Hodge et al, 2025). The background of this subject, therefore, needs to be considered as an issue of care quality and an issue of access equity (Sleeman et al., 2021; Borgstrom et al., 2023).</w:t>
      </w:r>
    </w:p>
    <w:p w14:paraId="3ED215C1" w14:textId="77777777" w:rsidR="00C4620B" w:rsidRPr="008459EE" w:rsidRDefault="00C4620B" w:rsidP="00C4620B">
      <w:pPr>
        <w:pStyle w:val="Heading2"/>
      </w:pPr>
      <w:bookmarkStart w:id="11" w:name="_Toc232206454"/>
      <w:r w:rsidRPr="008459EE">
        <w:t>2.2 Historical Background</w:t>
      </w:r>
      <w:bookmarkEnd w:id="11"/>
    </w:p>
    <w:p w14:paraId="1C996C6D" w14:textId="77777777" w:rsidR="00C4620B" w:rsidRPr="008459EE" w:rsidRDefault="00C4620B" w:rsidP="00C4620B">
      <w:r w:rsidRPr="008459EE">
        <w:t>End of life care was traditionally linked to religious charity, family support, and care in the community, an institution or in hospital. As most people died in the home prior to modern medicine, in the twentieth century the majority dying took place in hospitals due to advances in medical technologies and the dominance of a model of acute care as the response to serious illness. While better diagnoses and treatments resulted, it meant there was an increasing risk that death could become viewed as a failure rather than a phase in which comfort, dignity and family support were required. As part of an attempt to challenge this, the modern hospice movement was born providing care in the form of pain relief, comfort, emotional and spiritual support and holistic treatment of the individual (Tobin et al. 2022) and was integral in the development of contemporary palliative care which supports both prolonging life and ensuring an enhanced quality of life.</w:t>
      </w:r>
    </w:p>
    <w:p w14:paraId="44E146DF" w14:textId="77777777" w:rsidR="00C4620B" w:rsidRPr="008459EE" w:rsidRDefault="00C4620B" w:rsidP="00C4620B">
      <w:r w:rsidRPr="008459EE">
        <w:t xml:space="preserve">Within the UK the development of hospice and specialist palliative care was considerable, yet these services were not accessible in equal measure to all people. Historically those with cancer were referred more frequently than those with chronic illnesses, frailty and comorbidity as well as those with dementia. Yet it is those individuals who, following a progressive decline with increasing levels of care, multiple hospitalizations, and deteriorating independence that are a major focus for palliative care today, who can remain overlooked regarding their physical, psychological, social and practical needs (Nicholson et al. 2023). Similar findings exist </w:t>
      </w:r>
      <w:r w:rsidRPr="008459EE">
        <w:lastRenderedPageBreak/>
        <w:t>surrounding access to hospice and specialist palliative care among groups dependent upon their diagnosis, ethnicity, socioeconomic position, where they live and their age.</w:t>
      </w:r>
    </w:p>
    <w:p w14:paraId="1168B879" w14:textId="77777777" w:rsidR="00C4620B" w:rsidRPr="008459EE" w:rsidRDefault="00C4620B" w:rsidP="00C4620B">
      <w:r w:rsidRPr="008459EE">
        <w:t>Policy and practice have a greater emphasis than ever on preferences for dying at home or in the community. This can help avoid hospitalisation, provide better continuity of care and more involvement from the individual and family (Leniz et al., 2023). However the service depends upon the availability of other practical elements such as community nursing, quick and timely access to medication, specialist equipment, an out of hours support system, access to hospice services and shared medical records (Birtwistle et al., 2022). The quality of the end-of-life experience can be improved with early introduction of palliative care programs involving multiple agencies, volunteers and established community support (Hughes et al. 2023) and these models can be seen as a development from a background which historically, saw the need for rebalancing care away from reactive, acute hospital treatment, toward a more pro-active, family supported, care focused model.</w:t>
      </w:r>
    </w:p>
    <w:p w14:paraId="7979BD2A" w14:textId="77777777" w:rsidR="00C4620B" w:rsidRPr="008459EE" w:rsidRDefault="00C4620B" w:rsidP="00C4620B">
      <w:pPr>
        <w:pStyle w:val="Heading2"/>
      </w:pPr>
      <w:bookmarkStart w:id="12" w:name="_Toc232206455"/>
      <w:r w:rsidRPr="008459EE">
        <w:t>2.3 Theoretical Background</w:t>
      </w:r>
      <w:bookmarkEnd w:id="12"/>
    </w:p>
    <w:p w14:paraId="4E5AF1D6" w14:textId="77777777" w:rsidR="00C4620B" w:rsidRPr="008459EE" w:rsidRDefault="00C4620B" w:rsidP="00C4620B">
      <w:r w:rsidRPr="008459EE">
        <w:t>The first key concept relevant to this study is 'person-cantered care' meaning that care is planned around the individual's values, needs, goals, symptoms and relationships. This is particularly relevant to end-of-life care when some older people are not necessarily driven by wanting further medical treatment but by desire to have physical comfort and contact with family, spirituality and control over their own care, where they want to die. This implies clear communication, review of changing needs and respect for older person's autonomy although barriers exist to achieve this due to conditions such as cognitive impairment, sensory loss, social isolation or ignorance of available services. A scoping review on older people's preferences for end-of-life care showed they were not fixed so care planners needed to continue planning care instead of assuming one ultimate wish (Robinson et al., 2025) (Murray et al., 2024).</w:t>
      </w:r>
    </w:p>
    <w:p w14:paraId="11FC8912" w14:textId="77777777" w:rsidR="00C4620B" w:rsidRPr="008459EE" w:rsidRDefault="00C4620B" w:rsidP="00C4620B">
      <w:r w:rsidRPr="008459EE">
        <w:t xml:space="preserve">The second key concept for this study is 'holistic care', acknowledging the fact that end-of-life needs have multiple dimensions. As well as physical aspects like pain and breathlessness, there are psychosocial, spiritual and practical concerns and these need to be addressed to maintain well-being. This means that community care cannot just rely on medical and nursing interventions but should focus on addressing physical pain and breathlessness, the psychological needs associated with anxiety and loneliness, the social needs of the patient or their careers in relation to their social support network and practical needs, such as finances and carer well-being, that may cause suffering for the patient. A systematic umbrella review identified key aspects of good practice for adult's end-of-life community care as being person-centred assessment, provision of equipment and medicines, skilled staff, planning, family care </w:t>
      </w:r>
      <w:r w:rsidRPr="008459EE">
        <w:lastRenderedPageBreak/>
        <w:t>and support, and service co-ordination (Pask et al., 2025) highlighting the relevance to the older person's complex needs.</w:t>
      </w:r>
    </w:p>
    <w:p w14:paraId="2023215A" w14:textId="77777777" w:rsidR="00C4620B" w:rsidRPr="008459EE" w:rsidRDefault="00C4620B" w:rsidP="00C4620B">
      <w:r w:rsidRPr="008459EE">
        <w:t>The third concept relevant to this study is 'integrated care' where services like GPs, district nurses, hospices, acute hospitals, care homes, social care services, pharmacists and volunteers work together in a way that is a seamless process. There is a risk of the failure of care if services are not working together, such as where a care package needs to be provided, anticipatory medicines should be available, and the care home discharge plan and hospice input is linked to family carer support. A study in care homes showed that quality end-of-life care depends on relationship-centred practice, connection to the whole health service, the use of technology to enhance care and the support of staff, and the fact that preparation for end-of-life requires confidence, training and communication skills together with support from within organizations (Bradshaw et al., 2023; Wilkin et al., 2024).</w:t>
      </w:r>
    </w:p>
    <w:p w14:paraId="7EC33ACE" w14:textId="77777777" w:rsidR="00C4620B" w:rsidRPr="008459EE" w:rsidRDefault="00C4620B" w:rsidP="00C4620B">
      <w:r w:rsidRPr="008459EE">
        <w:t>Access theory is also important since it describes "more than just having a service available", and includes 'awareness, referral, acceptance, cost, eligibility, out-of-hours availability, continuity, and negotiation' of the pathways required to access a particular service. One UK emergency department study showed that patients requiring end-of-life care were admitted because of difficulties in organizing community care and support due to lack of a care plan and absence of out-of-hours support, therefore barriers in access to community care may be resulting in unnecessary hospitalisation (Sausman et al., 2023) (Petrova et al., 2021; Goodrich et al., 2022)..</w:t>
      </w:r>
    </w:p>
    <w:p w14:paraId="22B3EB1F" w14:textId="77777777" w:rsidR="00C4620B" w:rsidRPr="008459EE" w:rsidRDefault="00C4620B" w:rsidP="00C4620B">
      <w:pPr>
        <w:pStyle w:val="Heading2"/>
      </w:pPr>
      <w:bookmarkStart w:id="13" w:name="_Toc232206456"/>
      <w:r w:rsidRPr="008459EE">
        <w:t>2.4 International Context</w:t>
      </w:r>
      <w:bookmarkEnd w:id="13"/>
    </w:p>
    <w:p w14:paraId="6B4FC885" w14:textId="77777777" w:rsidR="00C4620B" w:rsidRPr="008459EE" w:rsidRDefault="00C4620B" w:rsidP="00C4620B">
      <w:r w:rsidRPr="008459EE">
        <w:t>Globally, as the population continues to age and there is an increase in people living with life limiting, life progressing and life threatening conditions, palliative and end-of-life care is becoming recognised as a public health issue. While high-income countries tend to have some level of hospice and palliative care provision in place, access will still very dependent on geographical area, diagnosis, income, ethnicity and whether a professional referral is made. This is even more complex in lower- and middle-income countries where additional obstacles may be in place, such as limitations in opioid availability, underdeveloped primary care systems, fewer trained professional staff and less public awareness of what palliative care has to offer. A global scoping review into equity in palliative care found that access to services is influenced by social, financial, cultural, geographical and health system factors across a variety of settings (Stima et al, 2024) (Immanuel et al., 2024; Gupta et al., 2024).</w:t>
      </w:r>
    </w:p>
    <w:p w14:paraId="6ECC825C" w14:textId="77777777" w:rsidR="00C4620B" w:rsidRPr="008459EE" w:rsidRDefault="00C4620B" w:rsidP="00C4620B">
      <w:r w:rsidRPr="008459EE">
        <w:t xml:space="preserve">Home based care is another issue that features in the international evidence; being able to care for someone in their own home has a host of benefits including increased comfort and dignity for the patient, and involvement for the family but can also put pressure on informal </w:t>
      </w:r>
      <w:r w:rsidRPr="008459EE">
        <w:lastRenderedPageBreak/>
        <w:t>carers if there is lack of professional input. In the "super-aged society" there is growth in the provision of home-based palliative care as a solution to the demands placed on services, but this may have its own problems, including staff shortage, caregiver stress, lack of resources and inadequate psycho-social support (Lin and Chu, 2025) (Effendy et al., 2022; Pairojkul et al., 2021). These are challenges that relate directly to the UK's community nursing, hospice care, social care and family caring. The international perspective suggests that barriers to accessing palliative and end-of-life care are not unique to the UK and that the NHS, social care and hospice care services within the UK will need to work in ways to overcome these barriers.</w:t>
      </w:r>
    </w:p>
    <w:p w14:paraId="36B200ED" w14:textId="77777777" w:rsidR="00C4620B" w:rsidRPr="008459EE" w:rsidRDefault="00C4620B" w:rsidP="00C4620B">
      <w:pPr>
        <w:pStyle w:val="Heading2"/>
      </w:pPr>
      <w:bookmarkStart w:id="14" w:name="_Toc232206457"/>
      <w:r w:rsidRPr="008459EE">
        <w:t>2.5 National and Local UK Context</w:t>
      </w:r>
      <w:bookmarkEnd w:id="14"/>
    </w:p>
    <w:p w14:paraId="65DA6787" w14:textId="77777777" w:rsidR="00C4620B" w:rsidRPr="008459EE" w:rsidRDefault="00C4620B" w:rsidP="00C4620B">
      <w:r w:rsidRPr="008459EE">
        <w:t xml:space="preserve">In the UK, the </w:t>
      </w:r>
      <w:proofErr w:type="gramStart"/>
      <w:r w:rsidRPr="008459EE">
        <w:t>community based</w:t>
      </w:r>
      <w:proofErr w:type="gramEnd"/>
      <w:r w:rsidRPr="008459EE">
        <w:t xml:space="preserve"> end of life care system relies on a combination of services including NHS services, hospices, general practice, care homes, community nurses, care services, local authorities and voluntary organisations. This combination of services can provide a strong system if all the services within it communicate well but can be fragmented if boundaries between responsibilities are blurred. Patients will need access to symptom control, equipment, home modifications, assistance with personal care, family support and a crisis plan. Delays or miscommunication within the system, will mean patients are admitted to hospital unnecessarily or their symptoms remain unmanaged. Research investigating quality good </w:t>
      </w:r>
      <w:proofErr w:type="gramStart"/>
      <w:r w:rsidRPr="008459EE">
        <w:t>community based</w:t>
      </w:r>
      <w:proofErr w:type="gramEnd"/>
      <w:r w:rsidRPr="008459EE">
        <w:t xml:space="preserve"> end of life care within England reported that quality was linked to continuity of primary care, specialist palliative care and dying out of hospital when it matched the needs and wishes of the patient (ElMokhallalati et al., 2023) (Mitchell et al., 2021; Borgstrom et al., 2023).</w:t>
      </w:r>
    </w:p>
    <w:p w14:paraId="06C2814F" w14:textId="77777777" w:rsidR="00C4620B" w:rsidRPr="008459EE" w:rsidRDefault="00C4620B" w:rsidP="00C4620B">
      <w:r w:rsidRPr="008459EE">
        <w:t>Referral into the system remains an issue for all in the UK. With regards to older people and non-cancer illness they may be referred later, as progression of illness is unpredictable, and professionals have difficulty predicting the exact point where a need for palliative care becomes apparent. Findings of a review looking at needs based triggers for severely ill non-cancer patients revealed the need for earlier intervention but suggested that uncertainty regarding progression of illness, and unclear referral triggers delay entry into the system (Kawashima and Evans, 2023) (Polak and Etkind, 2024; Murray et al., 2024). This is significant, as older people need palliative care integrated with ongoing illness management rather than a period exclusively at the end of life.</w:t>
      </w:r>
    </w:p>
    <w:p w14:paraId="6EE77050" w14:textId="77777777" w:rsidR="00C4620B" w:rsidRPr="008459EE" w:rsidRDefault="00C4620B" w:rsidP="00C4620B">
      <w:r w:rsidRPr="008459EE">
        <w:t xml:space="preserve">Inequality is an important national and local issue, and in deprived areas an individual may have limited service navigation, limited choices, and little access to specialist palliative care. A narrative synthesis found that inequalities exist about socioeconomic factors in access to </w:t>
      </w:r>
      <w:proofErr w:type="gramStart"/>
      <w:r w:rsidRPr="008459EE">
        <w:t>end of life</w:t>
      </w:r>
      <w:proofErr w:type="gramEnd"/>
      <w:r w:rsidRPr="008459EE">
        <w:t xml:space="preserve"> care with variations found in availability, professional recognition, patient support </w:t>
      </w:r>
      <w:r w:rsidRPr="008459EE">
        <w:lastRenderedPageBreak/>
        <w:t>and resources (French et al., 2021). With regards to minority ethnic older people issues around language, culture, faith, knowledge of service, trust and structure discrimination were identified as barriers (Aker et al., 2024) (Rosa et al., 2023; Dixon et al., 2023). Both inequalities demonstrate that a 'culturally responsive' service is essential with inclusion of diverse communications and information and greater proactive work within less engaged communities.</w:t>
      </w:r>
    </w:p>
    <w:p w14:paraId="3FCCAB3E" w14:textId="77777777" w:rsidR="00C4620B" w:rsidRPr="008459EE" w:rsidRDefault="00C4620B" w:rsidP="00C4620B">
      <w:r w:rsidRPr="008459EE">
        <w:t xml:space="preserve">Access, as outlined previously, remains vital, access to timely medicines, equipment and timely response from professionals is paramount. Delays in receiving medication for symptom management lead to increased suffering for patients, extra work for carers, and calls for urgent care (Ogi et al., 2021) (Bowers et al., 2023). Local disparity of service means there may be a difference in availability of hospice at home schemes, district nursing services, and out of hours provision compared with neighbouring services. The variation in services can lead to a post code effect on </w:t>
      </w:r>
      <w:proofErr w:type="gramStart"/>
      <w:r w:rsidRPr="008459EE">
        <w:t>end of life</w:t>
      </w:r>
      <w:proofErr w:type="gramEnd"/>
      <w:r w:rsidRPr="008459EE">
        <w:t xml:space="preserve"> care especially for those that are elderly, living alone, in rural communities, living in deprived areas or those who have very limited social support network. The UK end of life care provision does provide evidence of the necessity to investigate those issues that prevent access in an end of life care scenario.</w:t>
      </w:r>
    </w:p>
    <w:p w14:paraId="29D23EDE" w14:textId="77777777" w:rsidR="00C4620B" w:rsidRPr="008459EE" w:rsidRDefault="00C4620B" w:rsidP="00C4620B">
      <w:pPr>
        <w:pStyle w:val="Heading2"/>
      </w:pPr>
      <w:bookmarkStart w:id="15" w:name="_Toc232206458"/>
      <w:r w:rsidRPr="008459EE">
        <w:t>2.6 Conclusion</w:t>
      </w:r>
      <w:bookmarkEnd w:id="15"/>
    </w:p>
    <w:p w14:paraId="01C2A038" w14:textId="77777777" w:rsidR="00C4620B" w:rsidRPr="008459EE" w:rsidRDefault="00C4620B" w:rsidP="00C4620B">
      <w:r w:rsidRPr="008459EE">
        <w:t>This chapter provided background to community-based end-of-life care for the elderly in the UK. From its historical, hospital-focused, disease-based orientation, end-of-life care has evolved to embrace dignity, comfort, person-centred planning and care nearer to home. Theory indicates that holistic assessment, integrated working, advance care planning and equity are important features of quality community end-of-life care. The literature clearly illustrates that workforces, resources, geography, culture and the organization of health services are key in the identification of access barriers. These have been shown to be apparent in the UK in the form of delayed referral, social inequality, cultural difficulties, service fragmentation, pharmaceutical delays and local inequalities. This background prepares the way for the following chapter, which details the secondary research method, search strategy, inclusion and exclusion criteria, source validation and thematic analysis.</w:t>
      </w:r>
    </w:p>
    <w:p w14:paraId="22894875" w14:textId="77777777" w:rsidR="00C4620B" w:rsidRPr="008459EE" w:rsidRDefault="00C4620B" w:rsidP="00C4620B">
      <w:pPr>
        <w:spacing w:line="278" w:lineRule="auto"/>
        <w:jc w:val="left"/>
      </w:pPr>
      <w:r w:rsidRPr="008459EE">
        <w:br w:type="page"/>
      </w:r>
    </w:p>
    <w:p w14:paraId="07AD6842" w14:textId="77777777" w:rsidR="00C4620B" w:rsidRPr="008459EE" w:rsidRDefault="00C4620B" w:rsidP="00C4620B">
      <w:pPr>
        <w:pStyle w:val="Heading1"/>
      </w:pPr>
      <w:bookmarkStart w:id="16" w:name="_Toc232206459"/>
      <w:r w:rsidRPr="008459EE">
        <w:lastRenderedPageBreak/>
        <w:t>CHAPTER 3  Methods and Search Strategy</w:t>
      </w:r>
      <w:bookmarkEnd w:id="16"/>
    </w:p>
    <w:p w14:paraId="2285557D" w14:textId="77777777" w:rsidR="00C4620B" w:rsidRPr="008459EE" w:rsidRDefault="00C4620B" w:rsidP="00C4620B">
      <w:pPr>
        <w:pStyle w:val="Heading2"/>
      </w:pPr>
      <w:bookmarkStart w:id="17" w:name="_Toc232206460"/>
      <w:r w:rsidRPr="008459EE">
        <w:t>3.1 Introduction</w:t>
      </w:r>
      <w:bookmarkEnd w:id="17"/>
    </w:p>
    <w:p w14:paraId="702D6803" w14:textId="77777777" w:rsidR="00C4620B" w:rsidRPr="008459EE" w:rsidRDefault="00C4620B" w:rsidP="00C4620B">
      <w:r w:rsidRPr="008459EE">
        <w:t>This chapter explains the method used to examine barriers to accessing community-based end-of-life care for elderly people in the UK. The dissertation used a secondary research design because the study is based on existing academic literature, policy discussion and published evidence rather than primary data collection. This approach was appropriate because end-of-life care is a sensitive field involving vulnerable older adults, family carers and bereaved people. Secondary research allowed the topic to be investigated ethically without recruiting participants or handling personal data. The method also matched the approved project proposal, which identified literature review and thematic analysis as the main approach.</w:t>
      </w:r>
    </w:p>
    <w:p w14:paraId="18FC1F7F" w14:textId="77777777" w:rsidR="00C4620B" w:rsidRPr="008459EE" w:rsidRDefault="00C4620B" w:rsidP="00C4620B">
      <w:pPr>
        <w:pStyle w:val="Heading2"/>
      </w:pPr>
      <w:bookmarkStart w:id="18" w:name="_Toc232206461"/>
      <w:r w:rsidRPr="008459EE">
        <w:t>3.2 Search Strategy</w:t>
      </w:r>
      <w:bookmarkEnd w:id="18"/>
    </w:p>
    <w:p w14:paraId="1B510DE7" w14:textId="77777777" w:rsidR="00C4620B" w:rsidRPr="008459EE" w:rsidRDefault="00C4620B" w:rsidP="00C4620B">
      <w:r w:rsidRPr="008459EE">
        <w:t>The search strategy was developed from the dissertation title, aim and objectives. The main search terms were end-of-life care, palliative care, community-based care, older adults, elderly, barriers, access, UK, care homes, home care, hospice care, primary care, integrated care and health inequalities. Synonyms included terminal care, supportive care, service access, advance care planning, multimorbidity and community nursing. Boolean operators were used to combine or narrow terms. Examples included end-of-life care AND elderly AND UK, community palliative care AND barriers, and care homes AND end-of-life care AND UK. PRISMA-S guidance highlights the importance of reporting search terms, information sources and search processes clearly so that literature searches are transparent and reproducible (Rethlefsen et al., 2021).</w:t>
      </w:r>
    </w:p>
    <w:p w14:paraId="0F8F0454" w14:textId="77777777" w:rsidR="00C4620B" w:rsidRPr="008459EE" w:rsidRDefault="00C4620B" w:rsidP="00C4620B">
      <w:pPr>
        <w:spacing w:line="278" w:lineRule="auto"/>
        <w:jc w:val="left"/>
        <w:rPr>
          <w:b/>
          <w:bCs/>
        </w:rPr>
      </w:pPr>
      <w:r w:rsidRPr="008459EE">
        <w:rPr>
          <w:b/>
          <w:bCs/>
        </w:rPr>
        <w:t>3.3 Searching for Information</w:t>
      </w:r>
    </w:p>
    <w:p w14:paraId="7CA5C0D6" w14:textId="77777777" w:rsidR="00C4620B" w:rsidRPr="008459EE" w:rsidRDefault="00C4620B" w:rsidP="00C4620B">
      <w:r w:rsidRPr="008459EE">
        <w:t>Searches were carried out using databases and platforms relevant to health and social care, including PubMed, CINAHL, Scopus, Google Scholar and the university library. These platforms were selected because they provide access to peer-reviewed health, nursing, social care and palliative care literature. The search also included credible UK policy and professional sources where they supported understanding of service organisation, although peer-reviewed literature remained the main evidence base. Filters were applied to improve relevance. These included English language, full-text availability where possible, publication years from 2021 to 2026, UK focus, older adult population and relevance to community or home-based end-of-life care. International literature was used only where it supported wider background understanding.</w:t>
      </w:r>
    </w:p>
    <w:p w14:paraId="7DE3C607" w14:textId="77777777" w:rsidR="00C4620B" w:rsidRPr="008459EE" w:rsidRDefault="00C4620B" w:rsidP="00C4620B">
      <w:pPr>
        <w:pStyle w:val="Heading2"/>
      </w:pPr>
      <w:bookmarkStart w:id="19" w:name="_Toc232206462"/>
      <w:r w:rsidRPr="008459EE">
        <w:lastRenderedPageBreak/>
        <w:t>3.4 Research Validation</w:t>
      </w:r>
      <w:bookmarkEnd w:id="19"/>
    </w:p>
    <w:p w14:paraId="2630F727" w14:textId="77777777" w:rsidR="00C4620B" w:rsidRPr="008459EE" w:rsidRDefault="00C4620B" w:rsidP="00C4620B">
      <w:r w:rsidRPr="008459EE">
        <w:t xml:space="preserve">Each </w:t>
      </w:r>
      <w:proofErr w:type="gramStart"/>
      <w:r w:rsidRPr="008459EE">
        <w:t>sources</w:t>
      </w:r>
      <w:proofErr w:type="gramEnd"/>
      <w:r w:rsidRPr="008459EE">
        <w:t xml:space="preserve"> were reviewed prior to their selection. The title and abstract were examined to determine if the study was about </w:t>
      </w:r>
      <w:proofErr w:type="gramStart"/>
      <w:r w:rsidRPr="008459EE">
        <w:t>end of life</w:t>
      </w:r>
      <w:proofErr w:type="gramEnd"/>
      <w:r w:rsidRPr="008459EE">
        <w:t xml:space="preserve"> care, palliative care, older adults, barriers or access to community services or the UK health and social care practice. Where appropriate the introduction, methodology, results and conclusions of the source were scrutinized. A stronger source was one that contained a defined aim, a clearly stated methodology, an adequate sample, relevant findings, references from other academic literature and. A practical guide to the quality of the sources was provided by the CRAAP method (Currency, Relevance, Authority, Accuracy, Purpose); although not strictly applied, Purpose helped the reviewer avoid selection of promotional or </w:t>
      </w:r>
      <w:proofErr w:type="gramStart"/>
      <w:r w:rsidRPr="008459EE">
        <w:t>opinion based</w:t>
      </w:r>
      <w:proofErr w:type="gramEnd"/>
      <w:r w:rsidRPr="008459EE">
        <w:t xml:space="preserve"> documents.</w:t>
      </w:r>
    </w:p>
    <w:p w14:paraId="3F864957" w14:textId="77777777" w:rsidR="00C4620B" w:rsidRPr="008459EE" w:rsidRDefault="00C4620B" w:rsidP="00C4620B">
      <w:pPr>
        <w:pStyle w:val="Heading2"/>
      </w:pPr>
      <w:bookmarkStart w:id="20" w:name="_Toc232206463"/>
      <w:r w:rsidRPr="008459EE">
        <w:t>3.5 Inclusion and Exclusion Criteria</w:t>
      </w:r>
      <w:bookmarkEnd w:id="20"/>
    </w:p>
    <w:p w14:paraId="1DB874F6" w14:textId="77777777" w:rsidR="00C4620B" w:rsidRPr="008459EE" w:rsidRDefault="00C4620B" w:rsidP="00C4620B">
      <w:r w:rsidRPr="008459EE">
        <w:t xml:space="preserve">The inclusion criteria included peer reviewed journal articles, systematic reviews, scoping reviews, qualitative, mixed methods and credible UK health &amp; social care reports. We selected sources where the literature contained data and commentary on </w:t>
      </w:r>
      <w:proofErr w:type="gramStart"/>
      <w:r w:rsidRPr="008459EE">
        <w:t>end of life</w:t>
      </w:r>
      <w:proofErr w:type="gramEnd"/>
      <w:r w:rsidRPr="008459EE">
        <w:t xml:space="preserve"> care, palliative care, older adults, home based care, care homes, community services, access barriers, health inequalities, referral pathways or service integration. Studies where recent, related to UK, and clearly related to elderly people or </w:t>
      </w:r>
      <w:proofErr w:type="gramStart"/>
      <w:r w:rsidRPr="008459EE">
        <w:t>community based</w:t>
      </w:r>
      <w:proofErr w:type="gramEnd"/>
      <w:r w:rsidRPr="008459EE">
        <w:t xml:space="preserve"> care were prioritized. The exclusion criteria were blogs, commercial websites, non-English language, historical sources without any clear added value, only literature related to children, unrelated acute hospital treatment, and any articles without a relation to access or older people.</w:t>
      </w:r>
    </w:p>
    <w:p w14:paraId="486BB97D" w14:textId="77777777" w:rsidR="00C4620B" w:rsidRPr="008459EE" w:rsidRDefault="00C4620B" w:rsidP="00C4620B">
      <w:pPr>
        <w:pStyle w:val="Heading2"/>
      </w:pPr>
      <w:bookmarkStart w:id="21" w:name="_Toc232206464"/>
      <w:r w:rsidRPr="008459EE">
        <w:t>3.6 Analysing Research</w:t>
      </w:r>
      <w:bookmarkEnd w:id="21"/>
    </w:p>
    <w:p w14:paraId="67B7CC1F" w14:textId="77777777" w:rsidR="00C4620B" w:rsidRPr="008459EE" w:rsidRDefault="00C4620B" w:rsidP="00C4620B">
      <w:r w:rsidRPr="008459EE">
        <w:t>Analysis of the chosen sources was carried out using thematic analysis. This was deemed appropriate as the aim of this dissertation was to see where themes occurred repeatedly in published evidence, rather than measure a single statistical factor. Thematic analysis helps to systematically describe, identify and interpret meaning and patterns in qualitative material (Braun and Clarke, 2021) and so involved thoroughly reading the text of each selected source. Notes were taken on common problems encountered such as 'delayed referral,' 'fragmented service,' 'limited capacity of the workforce,' 'poor information provision,' 'cultural barrier,' 'lack of out-of-hours support' and 'unequal access based on geography.' These concepts were transformed into codes that, in turn, formed thematic headings for the analysis of the sources that formed chapter 4. Good practice rules were maintained by not coding what is stated but linking it to the aims of the dissertation and ensuring nothing is assumed or unsupported (Braun and Clarke, 2022). The table below documents author, year, type of study, key focus and emerging codes.</w:t>
      </w:r>
    </w:p>
    <w:p w14:paraId="111EA7B1" w14:textId="77777777" w:rsidR="00C4620B" w:rsidRPr="008459EE" w:rsidRDefault="00C4620B" w:rsidP="00C4620B">
      <w:pPr>
        <w:pStyle w:val="Heading2"/>
      </w:pPr>
      <w:bookmarkStart w:id="22" w:name="_Toc232206465"/>
      <w:r w:rsidRPr="008459EE">
        <w:lastRenderedPageBreak/>
        <w:t>3.7 Ethical Considerations</w:t>
      </w:r>
      <w:bookmarkEnd w:id="22"/>
    </w:p>
    <w:p w14:paraId="6013F064" w14:textId="77777777" w:rsidR="00C4620B" w:rsidRPr="008459EE" w:rsidRDefault="00C4620B" w:rsidP="00C4620B">
      <w:r w:rsidRPr="008459EE">
        <w:t>No primary data was collected, and no participants were contacted. Therefore, the dissertation did not require consent forms, interviews or management of confidential participant information. Ethical responsibility was still important because the topic involves death, dying, inequality and vulnerable older adults. Sources were reported accurately, cited using Harvard referencing and interpreted fairly. The study avoided presenting elderly people as one uniform group because access can be shaped by diagnosis, ethnicity, income, geography, family support, disability and service availability. The analysis also aimed to avoid bias by including evidence showing different types of barriers.</w:t>
      </w:r>
    </w:p>
    <w:p w14:paraId="77FA03EB" w14:textId="77777777" w:rsidR="00C4620B" w:rsidRPr="008459EE" w:rsidRDefault="00C4620B" w:rsidP="00C4620B">
      <w:pPr>
        <w:pStyle w:val="Heading2"/>
      </w:pPr>
      <w:bookmarkStart w:id="23" w:name="_Toc232206466"/>
      <w:r w:rsidRPr="008459EE">
        <w:t>3.8 Chapter Conclusion</w:t>
      </w:r>
      <w:bookmarkEnd w:id="23"/>
    </w:p>
    <w:p w14:paraId="4D75352C" w14:textId="50D6C9A0" w:rsidR="00C4620B" w:rsidRDefault="00C4620B" w:rsidP="00C4620B">
      <w:r w:rsidRPr="008459EE">
        <w:t>This chapter has explained the secondary research method used in the dissertation. It has outlined the search strategy, databases, keywords, Boolean operators, validation process, inclusion and exclusion criteria, thematic coding and ethical considerations. This method is suitable because it allows the study to review existing evidence on barriers to community-based end-of-life care for elderly people in the UK. The next chapter will present the findings throug</w:t>
      </w:r>
      <w:r w:rsidR="00210FD7">
        <w:t>h</w:t>
      </w:r>
      <w:r w:rsidRPr="008459EE">
        <w:t xml:space="preserve"> the key themes identified dur</w:t>
      </w:r>
      <w:r w:rsidR="00210FD7">
        <w:t>i</w:t>
      </w:r>
      <w:r w:rsidRPr="008459EE">
        <w:t>ng the review.</w:t>
      </w:r>
      <w:r w:rsidR="00210FD7" w:rsidRPr="00210FD7">
        <w:t xml:space="preserve"> </w:t>
      </w:r>
    </w:p>
    <w:p w14:paraId="50AD6D09" w14:textId="77777777" w:rsidR="00210FD7" w:rsidRPr="008459EE" w:rsidRDefault="00210FD7" w:rsidP="00C4620B"/>
    <w:p w14:paraId="701346E2" w14:textId="77777777" w:rsidR="00A82A69" w:rsidRDefault="00A82A69" w:rsidP="00A82A69">
      <w:pPr>
        <w:spacing w:line="278" w:lineRule="auto"/>
        <w:jc w:val="left"/>
      </w:pPr>
      <w:bookmarkStart w:id="24" w:name="_Toc232206467"/>
    </w:p>
    <w:p w14:paraId="5BF2655F" w14:textId="7C875D4D" w:rsidR="00A82A69" w:rsidRPr="00A82A69" w:rsidRDefault="00C4620B" w:rsidP="00A82A69">
      <w:pPr>
        <w:spacing w:line="278" w:lineRule="auto"/>
        <w:jc w:val="left"/>
        <w:rPr>
          <w:b/>
          <w:bCs/>
        </w:rPr>
      </w:pPr>
      <w:r w:rsidRPr="00A82A69">
        <w:rPr>
          <w:b/>
          <w:bCs/>
        </w:rPr>
        <w:t>C</w:t>
      </w:r>
      <w:r w:rsidR="00A82A69" w:rsidRPr="00A82A69">
        <w:rPr>
          <w:b/>
          <w:bCs/>
        </w:rPr>
        <w:t>H</w:t>
      </w:r>
      <w:r w:rsidRPr="00A82A69">
        <w:rPr>
          <w:b/>
          <w:bCs/>
        </w:rPr>
        <w:t>APTER 4: Findings and Discussion</w:t>
      </w:r>
      <w:bookmarkStart w:id="25" w:name="_Toc232206468"/>
      <w:bookmarkEnd w:id="24"/>
    </w:p>
    <w:p w14:paraId="47F567BC" w14:textId="4713C17B" w:rsidR="00C4620B" w:rsidRPr="008459EE" w:rsidRDefault="00C4620B" w:rsidP="00C4620B">
      <w:pPr>
        <w:pStyle w:val="Heading2"/>
      </w:pPr>
      <w:r w:rsidRPr="008459EE">
        <w:t>4.1 Introduction</w:t>
      </w:r>
      <w:bookmarkEnd w:id="25"/>
    </w:p>
    <w:p w14:paraId="2C99679F" w14:textId="0CD23CC7" w:rsidR="00C4620B" w:rsidRPr="008459EE" w:rsidRDefault="00C4620B" w:rsidP="00C4620B">
      <w:r w:rsidRPr="008459EE">
        <w:t xml:space="preserve">This chapter will describe the results of the dissertation and discusses them. The aim of this chapter is to analyse major barriers faced in gaining access to community-based end-of-life care among the elderly in the United Kingdom by looking at evidence from the chosen open-access articles, reviews and </w:t>
      </w:r>
      <w:proofErr w:type="gramStart"/>
      <w:r w:rsidRPr="008459EE">
        <w:t>case based</w:t>
      </w:r>
      <w:proofErr w:type="gramEnd"/>
      <w:r w:rsidRPr="008459EE">
        <w:t xml:space="preserve"> studies. The chapter is structured using secondary research, a methodology explained in Chapter 3. The sources of information were systematically searched, read, verified and coded thematically. This chapter is not just about describing barriers that are found in literature, but also to interpret how those barriers affect older adults, families, carers, health professionals and the health community-based end-of-life system. In the literature search, each article is interpreted through coding and identifying themes. A selection of articles was initially studied to formulate the codes and themes and from those, themes were chosen since they relate to the aim and objectives of this dissertation the best. These themes are service fragmentation and communication barriers; cultural and minority ethnic barriers; socioeconomic inequality and deprivation-area access; and delayed referral for older adults with non-cancer conditions. These themes reflect recurrent patterns </w:t>
      </w:r>
      <w:r w:rsidRPr="008459EE">
        <w:lastRenderedPageBreak/>
        <w:t>across the articles and indicates how access to end-of-life care in the community is influenced by factors ranging from structural, to organisational, to clinical and social aspects of care, to cultural factors.</w:t>
      </w:r>
    </w:p>
    <w:p w14:paraId="11B6EBBA" w14:textId="30F899F8" w:rsidR="00210FD7" w:rsidRDefault="00C4620B" w:rsidP="00C4620B">
      <w:r w:rsidRPr="008459EE">
        <w:t xml:space="preserve">The chapter will begin with the initial theme formation table using articles. It then illustrates final theme table using the </w:t>
      </w:r>
      <w:r w:rsidR="00872ECB">
        <w:t>4</w:t>
      </w:r>
      <w:r w:rsidR="003C4A0A">
        <w:t xml:space="preserve"> </w:t>
      </w:r>
      <w:r w:rsidRPr="008459EE">
        <w:t>strongest articles and providing a justification for the selection of those articles. The discussion section of this chapter analyzes thematic analysis and will explain each of the themes that arise from the literature analysis. The final section will synthesize findings and demonstrate how the findings address the research aim.</w:t>
      </w:r>
    </w:p>
    <w:p w14:paraId="4BEFAB97" w14:textId="77777777" w:rsidR="00210FD7" w:rsidRPr="008459EE" w:rsidRDefault="00210FD7" w:rsidP="00C4620B"/>
    <w:p w14:paraId="0603B03E" w14:textId="77777777" w:rsidR="00C4620B" w:rsidRPr="008459EE" w:rsidRDefault="00C4620B" w:rsidP="00C4620B">
      <w:pPr>
        <w:pStyle w:val="Heading2"/>
      </w:pPr>
      <w:bookmarkStart w:id="26" w:name="_Toc232206469"/>
      <w:r w:rsidRPr="008459EE">
        <w:t>4.2 Finding</w:t>
      </w:r>
      <w:bookmarkEnd w:id="26"/>
    </w:p>
    <w:p w14:paraId="568CFF88" w14:textId="77777777" w:rsidR="00C4620B" w:rsidRPr="008459EE" w:rsidRDefault="00C4620B" w:rsidP="00C4620B">
      <w:pPr>
        <w:pStyle w:val="Heading3"/>
      </w:pPr>
      <w:bookmarkStart w:id="27" w:name="_Toc232206470"/>
      <w:r w:rsidRPr="008459EE">
        <w:t>4.2.1 Forming of Initial Theme</w:t>
      </w:r>
      <w:bookmarkEnd w:id="27"/>
    </w:p>
    <w:p w14:paraId="7A33E968" w14:textId="77777777" w:rsidR="00C4620B" w:rsidRPr="008459EE" w:rsidRDefault="00C4620B" w:rsidP="00C4620B">
      <w:pPr>
        <w:pStyle w:val="Caption"/>
        <w:keepNext/>
        <w:jc w:val="center"/>
        <w:rPr>
          <w:color w:val="000000" w:themeColor="text1"/>
        </w:rPr>
      </w:pPr>
      <w:bookmarkStart w:id="28" w:name="_Toc232201007"/>
      <w:r w:rsidRPr="008459EE">
        <w:rPr>
          <w:color w:val="000000" w:themeColor="text1"/>
        </w:rPr>
        <w:t xml:space="preserve">Table </w:t>
      </w:r>
      <w:r w:rsidRPr="008459EE">
        <w:rPr>
          <w:color w:val="000000" w:themeColor="text1"/>
        </w:rPr>
        <w:fldChar w:fldCharType="begin"/>
      </w:r>
      <w:r w:rsidRPr="008459EE">
        <w:rPr>
          <w:color w:val="000000" w:themeColor="text1"/>
        </w:rPr>
        <w:instrText xml:space="preserve"> SEQ Table \* ARABIC </w:instrText>
      </w:r>
      <w:r w:rsidRPr="008459EE">
        <w:rPr>
          <w:color w:val="000000" w:themeColor="text1"/>
        </w:rPr>
        <w:fldChar w:fldCharType="separate"/>
      </w:r>
      <w:r w:rsidRPr="008459EE">
        <w:rPr>
          <w:noProof/>
          <w:color w:val="000000" w:themeColor="text1"/>
        </w:rPr>
        <w:t>1</w:t>
      </w:r>
      <w:r w:rsidRPr="008459EE">
        <w:rPr>
          <w:color w:val="000000" w:themeColor="text1"/>
        </w:rPr>
        <w:fldChar w:fldCharType="end"/>
      </w:r>
      <w:r w:rsidRPr="008459EE">
        <w:rPr>
          <w:color w:val="000000" w:themeColor="text1"/>
        </w:rPr>
        <w:t>: Initial Theme</w:t>
      </w:r>
      <w:bookmarkEnd w:id="28"/>
    </w:p>
    <w:tbl>
      <w:tblPr>
        <w:tblStyle w:val="GridTable5Dark-Accent1"/>
        <w:tblW w:w="0" w:type="auto"/>
        <w:tblLook w:val="04A0" w:firstRow="1" w:lastRow="0" w:firstColumn="1" w:lastColumn="0" w:noHBand="0" w:noVBand="1"/>
      </w:tblPr>
      <w:tblGrid>
        <w:gridCol w:w="340"/>
        <w:gridCol w:w="2309"/>
        <w:gridCol w:w="2073"/>
        <w:gridCol w:w="2366"/>
        <w:gridCol w:w="1928"/>
      </w:tblGrid>
      <w:tr w:rsidR="00C4620B" w:rsidRPr="008459EE" w14:paraId="13E69AC9" w14:textId="77777777" w:rsidTr="00C64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8E354A" w14:textId="43F40892" w:rsidR="00C4620B" w:rsidRPr="008459EE" w:rsidRDefault="00C4620B" w:rsidP="00C646FF"/>
        </w:tc>
        <w:tc>
          <w:tcPr>
            <w:tcW w:w="0" w:type="auto"/>
            <w:hideMark/>
          </w:tcPr>
          <w:p w14:paraId="4E9F311F" w14:textId="0B96B677" w:rsidR="00C4620B" w:rsidRPr="008459EE" w:rsidRDefault="003C4A0A" w:rsidP="00C646FF">
            <w:pPr>
              <w:cnfStyle w:val="100000000000" w:firstRow="1" w:lastRow="0" w:firstColumn="0" w:lastColumn="0" w:oddVBand="0" w:evenVBand="0" w:oddHBand="0" w:evenHBand="0" w:firstRowFirstColumn="0" w:firstRowLastColumn="0" w:lastRowFirstColumn="0" w:lastRowLastColumn="0"/>
            </w:pPr>
            <w:r>
              <w:t>Author &amp; year</w:t>
            </w:r>
          </w:p>
        </w:tc>
        <w:tc>
          <w:tcPr>
            <w:tcW w:w="0" w:type="auto"/>
            <w:hideMark/>
          </w:tcPr>
          <w:p w14:paraId="4C2C58EA" w14:textId="2405F7AB" w:rsidR="00C4620B" w:rsidRPr="008459EE" w:rsidRDefault="003C4A0A" w:rsidP="00C646FF">
            <w:pPr>
              <w:cnfStyle w:val="100000000000" w:firstRow="1" w:lastRow="0" w:firstColumn="0" w:lastColumn="0" w:oddVBand="0" w:evenVBand="0" w:oddHBand="0" w:evenHBand="0" w:firstRowFirstColumn="0" w:firstRowLastColumn="0" w:lastRowFirstColumn="0" w:lastRowLastColumn="0"/>
            </w:pPr>
            <w:r>
              <w:t xml:space="preserve">Article Title </w:t>
            </w:r>
          </w:p>
        </w:tc>
        <w:tc>
          <w:tcPr>
            <w:tcW w:w="0" w:type="auto"/>
            <w:hideMark/>
          </w:tcPr>
          <w:p w14:paraId="5C5BDD00" w14:textId="64255879" w:rsidR="00C4620B" w:rsidRPr="008459EE" w:rsidRDefault="003C4A0A" w:rsidP="00C646FF">
            <w:pPr>
              <w:cnfStyle w:val="100000000000" w:firstRow="1" w:lastRow="0" w:firstColumn="0" w:lastColumn="0" w:oddVBand="0" w:evenVBand="0" w:oddHBand="0" w:evenHBand="0" w:firstRowFirstColumn="0" w:firstRowLastColumn="0" w:lastRowFirstColumn="0" w:lastRowLastColumn="0"/>
            </w:pPr>
            <w:r>
              <w:t>Article Summary</w:t>
            </w:r>
          </w:p>
        </w:tc>
        <w:tc>
          <w:tcPr>
            <w:tcW w:w="0" w:type="auto"/>
            <w:hideMark/>
          </w:tcPr>
          <w:p w14:paraId="4B3A3A97" w14:textId="654ABD12" w:rsidR="00C4620B" w:rsidRPr="008459EE" w:rsidRDefault="003C4A0A" w:rsidP="00C646FF">
            <w:pPr>
              <w:cnfStyle w:val="100000000000" w:firstRow="1" w:lastRow="0" w:firstColumn="0" w:lastColumn="0" w:oddVBand="0" w:evenVBand="0" w:oddHBand="0" w:evenHBand="0" w:firstRowFirstColumn="0" w:firstRowLastColumn="0" w:lastRowFirstColumn="0" w:lastRowLastColumn="0"/>
            </w:pPr>
            <w:r>
              <w:t xml:space="preserve">Keywords </w:t>
            </w:r>
            <w:r w:rsidR="00C4620B" w:rsidRPr="008459EE">
              <w:t>/code</w:t>
            </w:r>
            <w:r>
              <w:t>s</w:t>
            </w:r>
          </w:p>
        </w:tc>
      </w:tr>
      <w:tr w:rsidR="00C4620B" w:rsidRPr="008459EE" w14:paraId="435E82AB" w14:textId="77777777" w:rsidTr="00C64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CCC207" w14:textId="77777777" w:rsidR="00C4620B" w:rsidRPr="008459EE" w:rsidRDefault="00C4620B" w:rsidP="00C646FF">
            <w:r w:rsidRPr="008459EE">
              <w:t>1</w:t>
            </w:r>
          </w:p>
        </w:tc>
        <w:tc>
          <w:tcPr>
            <w:tcW w:w="0" w:type="auto"/>
            <w:hideMark/>
          </w:tcPr>
          <w:p w14:paraId="1A3C3214" w14:textId="7A77867A"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 xml:space="preserve">Hodge, G. et al. (2025) </w:t>
            </w:r>
          </w:p>
        </w:tc>
        <w:tc>
          <w:tcPr>
            <w:tcW w:w="0" w:type="auto"/>
            <w:hideMark/>
          </w:tcPr>
          <w:p w14:paraId="1259F133" w14:textId="5723260C" w:rsidR="00C4620B" w:rsidRPr="008459EE" w:rsidRDefault="005C77E4" w:rsidP="00C646FF">
            <w:pPr>
              <w:cnfStyle w:val="000000100000" w:firstRow="0" w:lastRow="0" w:firstColumn="0" w:lastColumn="0" w:oddVBand="0" w:evenVBand="0" w:oddHBand="1" w:evenHBand="0" w:firstRowFirstColumn="0" w:firstRowLastColumn="0" w:lastRowFirstColumn="0" w:lastRowLastColumn="0"/>
            </w:pPr>
            <w:r w:rsidRPr="005C77E4">
              <w:t>‘Exploring perceived barriers to palliative and end of life care provision in South-West England: bringing together the perspectives of professionals, patients, and families’, Frontiers in Sociology, 9, 1488688.</w:t>
            </w:r>
          </w:p>
        </w:tc>
        <w:tc>
          <w:tcPr>
            <w:tcW w:w="0" w:type="auto"/>
            <w:hideMark/>
          </w:tcPr>
          <w:p w14:paraId="1F86F364" w14:textId="566EFAA5"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17341035"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Service barriers, communication issues, resource limits, out-of-hours support</w:t>
            </w:r>
          </w:p>
        </w:tc>
      </w:tr>
      <w:tr w:rsidR="00C4620B" w:rsidRPr="008459EE" w14:paraId="151EFB3D" w14:textId="77777777" w:rsidTr="00C646FF">
        <w:tc>
          <w:tcPr>
            <w:cnfStyle w:val="001000000000" w:firstRow="0" w:lastRow="0" w:firstColumn="1" w:lastColumn="0" w:oddVBand="0" w:evenVBand="0" w:oddHBand="0" w:evenHBand="0" w:firstRowFirstColumn="0" w:firstRowLastColumn="0" w:lastRowFirstColumn="0" w:lastRowLastColumn="0"/>
            <w:tcW w:w="0" w:type="auto"/>
            <w:hideMark/>
          </w:tcPr>
          <w:p w14:paraId="1BC7A38E" w14:textId="77777777" w:rsidR="00C4620B" w:rsidRPr="008459EE" w:rsidRDefault="00C4620B" w:rsidP="00C646FF">
            <w:r w:rsidRPr="008459EE">
              <w:t>2</w:t>
            </w:r>
          </w:p>
        </w:tc>
        <w:tc>
          <w:tcPr>
            <w:tcW w:w="0" w:type="auto"/>
            <w:hideMark/>
          </w:tcPr>
          <w:p w14:paraId="54DA325C"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 xml:space="preserve">Aker, N. et al. (2024) ‘Experiences and access of palliative and end of life care for older people from minority ethnic groups: a scoping </w:t>
            </w:r>
            <w:r w:rsidRPr="008459EE">
              <w:lastRenderedPageBreak/>
              <w:t>review’, BMC Palliative Care, 23, 228.</w:t>
            </w:r>
          </w:p>
        </w:tc>
        <w:tc>
          <w:tcPr>
            <w:tcW w:w="0" w:type="auto"/>
            <w:hideMark/>
          </w:tcPr>
          <w:p w14:paraId="51CAE0F7"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lastRenderedPageBreak/>
              <w:t>Open-access scoping review</w:t>
            </w:r>
          </w:p>
        </w:tc>
        <w:tc>
          <w:tcPr>
            <w:tcW w:w="0" w:type="auto"/>
            <w:hideMark/>
          </w:tcPr>
          <w:p w14:paraId="6F2552FF"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Very useful for discussing ethnic inequality, language barriers, cultural needs, trust and awareness of services. (</w:t>
            </w:r>
            <w:hyperlink r:id="rId7" w:tooltip="Experiences and access of palliative and end of life care for ..." w:history="1">
              <w:r w:rsidRPr="008459EE">
                <w:rPr>
                  <w:rStyle w:val="Hyperlink"/>
                </w:rPr>
                <w:t>Springer</w:t>
              </w:r>
            </w:hyperlink>
            <w:r w:rsidRPr="008459EE">
              <w:t>)</w:t>
            </w:r>
          </w:p>
        </w:tc>
        <w:tc>
          <w:tcPr>
            <w:tcW w:w="0" w:type="auto"/>
            <w:hideMark/>
          </w:tcPr>
          <w:p w14:paraId="05EDF6BA"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Cultural barriers, minority ethnic access, health inequality</w:t>
            </w:r>
          </w:p>
        </w:tc>
      </w:tr>
      <w:tr w:rsidR="00C4620B" w:rsidRPr="008459EE" w14:paraId="0DF4676D" w14:textId="77777777" w:rsidTr="00C64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991971" w14:textId="77777777" w:rsidR="00C4620B" w:rsidRPr="008459EE" w:rsidRDefault="00C4620B" w:rsidP="00C646FF">
            <w:r w:rsidRPr="008459EE">
              <w:lastRenderedPageBreak/>
              <w:t>3</w:t>
            </w:r>
          </w:p>
        </w:tc>
        <w:tc>
          <w:tcPr>
            <w:tcW w:w="0" w:type="auto"/>
            <w:hideMark/>
          </w:tcPr>
          <w:p w14:paraId="6C71EC6C"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French, M. et al. (2021) ‘Exploring socioeconomic inequities in access to palliative and end-of-life care in the UK: a narrative synthesis’, BMC Palliative Care, 20, 179.</w:t>
            </w:r>
          </w:p>
        </w:tc>
        <w:tc>
          <w:tcPr>
            <w:tcW w:w="0" w:type="auto"/>
            <w:hideMark/>
          </w:tcPr>
          <w:p w14:paraId="6987EC69"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Open-access narrative synthesis</w:t>
            </w:r>
          </w:p>
        </w:tc>
        <w:tc>
          <w:tcPr>
            <w:tcW w:w="0" w:type="auto"/>
            <w:hideMark/>
          </w:tcPr>
          <w:p w14:paraId="1E8557AE"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Strong UK-based source on deprivation and socioeconomic inequality in access to palliative/end-of-life care. (</w:t>
            </w:r>
            <w:hyperlink r:id="rId8" w:tooltip="Exploring socioeconomic inequities in access to palliative and ..." w:history="1">
              <w:r w:rsidRPr="008459EE">
                <w:rPr>
                  <w:rStyle w:val="Hyperlink"/>
                </w:rPr>
                <w:t>Springer</w:t>
              </w:r>
            </w:hyperlink>
            <w:r w:rsidRPr="008459EE">
              <w:t>)</w:t>
            </w:r>
          </w:p>
        </w:tc>
        <w:tc>
          <w:tcPr>
            <w:tcW w:w="0" w:type="auto"/>
            <w:hideMark/>
          </w:tcPr>
          <w:p w14:paraId="7C817863"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Socioeconomic inequality, deprived areas, unequal access</w:t>
            </w:r>
          </w:p>
        </w:tc>
      </w:tr>
      <w:tr w:rsidR="00C4620B" w:rsidRPr="008459EE" w14:paraId="25A66F87" w14:textId="77777777" w:rsidTr="00C646FF">
        <w:tc>
          <w:tcPr>
            <w:cnfStyle w:val="001000000000" w:firstRow="0" w:lastRow="0" w:firstColumn="1" w:lastColumn="0" w:oddVBand="0" w:evenVBand="0" w:oddHBand="0" w:evenHBand="0" w:firstRowFirstColumn="0" w:firstRowLastColumn="0" w:lastRowFirstColumn="0" w:lastRowLastColumn="0"/>
            <w:tcW w:w="0" w:type="auto"/>
            <w:hideMark/>
          </w:tcPr>
          <w:p w14:paraId="74308501" w14:textId="77777777" w:rsidR="00C4620B" w:rsidRPr="008459EE" w:rsidRDefault="00C4620B" w:rsidP="00C646FF">
            <w:r w:rsidRPr="008459EE">
              <w:t>4</w:t>
            </w:r>
          </w:p>
        </w:tc>
        <w:tc>
          <w:tcPr>
            <w:tcW w:w="0" w:type="auto"/>
            <w:hideMark/>
          </w:tcPr>
          <w:p w14:paraId="046B715A"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Bradshaw, A. et al. (2023) ‘Provision of palliative and end-of-life care in UK care homes during the COVID-19 pandemic: A mixed methods observational study with implications for policy’, Frontiers in Public Health, 11, 1058736.</w:t>
            </w:r>
          </w:p>
        </w:tc>
        <w:tc>
          <w:tcPr>
            <w:tcW w:w="0" w:type="auto"/>
            <w:hideMark/>
          </w:tcPr>
          <w:p w14:paraId="28E83215"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Open-access mixed-methods study</w:t>
            </w:r>
          </w:p>
        </w:tc>
        <w:tc>
          <w:tcPr>
            <w:tcW w:w="0" w:type="auto"/>
            <w:hideMark/>
          </w:tcPr>
          <w:p w14:paraId="6ED625CB"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Useful for care-home barriers, workforce pressure, service disruption, integration problems and policy implications. (</w:t>
            </w:r>
            <w:hyperlink r:id="rId9" w:tooltip="Provision of palliative and end-of-life care in UK care homes ..." w:history="1">
              <w:r w:rsidRPr="008459EE">
                <w:rPr>
                  <w:rStyle w:val="Hyperlink"/>
                </w:rPr>
                <w:t>Hertfordshire Research Profiles</w:t>
              </w:r>
            </w:hyperlink>
            <w:r w:rsidRPr="008459EE">
              <w:t>)</w:t>
            </w:r>
          </w:p>
        </w:tc>
        <w:tc>
          <w:tcPr>
            <w:tcW w:w="0" w:type="auto"/>
            <w:hideMark/>
          </w:tcPr>
          <w:p w14:paraId="2874D89B"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Care-home provision, workforce pressure, service integration</w:t>
            </w:r>
          </w:p>
        </w:tc>
      </w:tr>
      <w:tr w:rsidR="00C4620B" w:rsidRPr="008459EE" w14:paraId="1D092D29" w14:textId="77777777" w:rsidTr="00C64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1150E0" w14:textId="77777777" w:rsidR="00C4620B" w:rsidRPr="008459EE" w:rsidRDefault="00C4620B" w:rsidP="00C646FF">
            <w:r w:rsidRPr="008459EE">
              <w:t>5</w:t>
            </w:r>
          </w:p>
        </w:tc>
        <w:tc>
          <w:tcPr>
            <w:tcW w:w="0" w:type="auto"/>
            <w:hideMark/>
          </w:tcPr>
          <w:p w14:paraId="1C58A27B"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 xml:space="preserve">ElMokhallalati, Y. et al. (2023) ‘Characteristics of good home-based end-of-life care: analysis of 5-year data from a nationwide mortality follow-back survey in England’, British Journal of General </w:t>
            </w:r>
            <w:r w:rsidRPr="008459EE">
              <w:lastRenderedPageBreak/>
              <w:t>Practice, 73(731), pp. e443–e450.</w:t>
            </w:r>
          </w:p>
        </w:tc>
        <w:tc>
          <w:tcPr>
            <w:tcW w:w="0" w:type="auto"/>
            <w:hideMark/>
          </w:tcPr>
          <w:p w14:paraId="0F5DFAF7"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lastRenderedPageBreak/>
              <w:t>Open-access survey analysis</w:t>
            </w:r>
          </w:p>
        </w:tc>
        <w:tc>
          <w:tcPr>
            <w:tcW w:w="0" w:type="auto"/>
            <w:hideMark/>
          </w:tcPr>
          <w:p w14:paraId="237184A3"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Directly supports home/community-based end-of-life care in England and helps identify what good care requires. (</w:t>
            </w:r>
            <w:hyperlink r:id="rId10" w:tooltip="Characteristics of good home-based end-of-life care - PMC" w:history="1">
              <w:r w:rsidRPr="008459EE">
                <w:rPr>
                  <w:rStyle w:val="Hyperlink"/>
                </w:rPr>
                <w:t>PMC</w:t>
              </w:r>
            </w:hyperlink>
            <w:r w:rsidRPr="008459EE">
              <w:t>)</w:t>
            </w:r>
          </w:p>
        </w:tc>
        <w:tc>
          <w:tcPr>
            <w:tcW w:w="0" w:type="auto"/>
            <w:hideMark/>
          </w:tcPr>
          <w:p w14:paraId="54FA2FD0"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Home-based care, continuity, specialist support, quality of care</w:t>
            </w:r>
          </w:p>
        </w:tc>
      </w:tr>
      <w:tr w:rsidR="00C4620B" w:rsidRPr="008459EE" w14:paraId="54810516" w14:textId="77777777" w:rsidTr="00C646FF">
        <w:tc>
          <w:tcPr>
            <w:cnfStyle w:val="001000000000" w:firstRow="0" w:lastRow="0" w:firstColumn="1" w:lastColumn="0" w:oddVBand="0" w:evenVBand="0" w:oddHBand="0" w:evenHBand="0" w:firstRowFirstColumn="0" w:firstRowLastColumn="0" w:lastRowFirstColumn="0" w:lastRowLastColumn="0"/>
            <w:tcW w:w="0" w:type="auto"/>
            <w:hideMark/>
          </w:tcPr>
          <w:p w14:paraId="04163545" w14:textId="77777777" w:rsidR="00C4620B" w:rsidRPr="008459EE" w:rsidRDefault="00C4620B" w:rsidP="00C646FF">
            <w:r w:rsidRPr="008459EE">
              <w:t>6</w:t>
            </w:r>
          </w:p>
        </w:tc>
        <w:tc>
          <w:tcPr>
            <w:tcW w:w="0" w:type="auto"/>
            <w:hideMark/>
          </w:tcPr>
          <w:p w14:paraId="63065475"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Kawashima, A. and Evans, C.J. (2023) ‘Needs-based triggers for timely referral to palliative care for older adults severely affected by noncancer conditions: a systematic review and narrative synthesis’, BMC Palliative Care, 22, 20.</w:t>
            </w:r>
          </w:p>
        </w:tc>
        <w:tc>
          <w:tcPr>
            <w:tcW w:w="0" w:type="auto"/>
            <w:hideMark/>
          </w:tcPr>
          <w:p w14:paraId="04E2F5C8"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Open-access systematic review</w:t>
            </w:r>
          </w:p>
        </w:tc>
        <w:tc>
          <w:tcPr>
            <w:tcW w:w="0" w:type="auto"/>
            <w:hideMark/>
          </w:tcPr>
          <w:p w14:paraId="11FBB501"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Important for older adults with non-cancer conditions, who are often referred late due to uncertain illness trajectories. (</w:t>
            </w:r>
            <w:hyperlink r:id="rId11" w:tooltip="Needs-based triggers for timely referral to palliative care for ..." w:history="1">
              <w:r w:rsidRPr="008459EE">
                <w:rPr>
                  <w:rStyle w:val="Hyperlink"/>
                </w:rPr>
                <w:t>SpringerLink</w:t>
              </w:r>
            </w:hyperlink>
            <w:r w:rsidRPr="008459EE">
              <w:t>)</w:t>
            </w:r>
          </w:p>
        </w:tc>
        <w:tc>
          <w:tcPr>
            <w:tcW w:w="0" w:type="auto"/>
            <w:hideMark/>
          </w:tcPr>
          <w:p w14:paraId="005B9573"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Delayed referral, non-cancer conditions, needs-based access</w:t>
            </w:r>
          </w:p>
        </w:tc>
      </w:tr>
      <w:tr w:rsidR="00C4620B" w:rsidRPr="008459EE" w14:paraId="5CF51E6D" w14:textId="77777777" w:rsidTr="00C64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AD128E" w14:textId="77777777" w:rsidR="00C4620B" w:rsidRPr="008459EE" w:rsidRDefault="00C4620B" w:rsidP="00C646FF">
            <w:r w:rsidRPr="008459EE">
              <w:t>7</w:t>
            </w:r>
          </w:p>
        </w:tc>
        <w:tc>
          <w:tcPr>
            <w:tcW w:w="0" w:type="auto"/>
            <w:hideMark/>
          </w:tcPr>
          <w:p w14:paraId="2EADB996"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Ogi, M. et al. (2021) ‘Community access to palliative care medicines—patient and professional experience: systematic review and narrative synthesis’, BMJ Supportive &amp; Palliative Care.</w:t>
            </w:r>
          </w:p>
        </w:tc>
        <w:tc>
          <w:tcPr>
            <w:tcW w:w="0" w:type="auto"/>
            <w:hideMark/>
          </w:tcPr>
          <w:p w14:paraId="59B58DD3"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Open-access systematic review</w:t>
            </w:r>
          </w:p>
        </w:tc>
        <w:tc>
          <w:tcPr>
            <w:tcW w:w="0" w:type="auto"/>
            <w:hideMark/>
          </w:tcPr>
          <w:p w14:paraId="250ECBCB"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Useful for discussing access to medicines, anticipatory prescribing, symptom control and urgent community support. (</w:t>
            </w:r>
            <w:hyperlink r:id="rId12" w:tooltip="Community access to palliative care medicines - Patient and ..." w:history="1">
              <w:r w:rsidRPr="008459EE">
                <w:rPr>
                  <w:rStyle w:val="Hyperlink"/>
                </w:rPr>
                <w:t>ePrints Soton</w:t>
              </w:r>
            </w:hyperlink>
            <w:r w:rsidRPr="008459EE">
              <w:t>)</w:t>
            </w:r>
          </w:p>
        </w:tc>
        <w:tc>
          <w:tcPr>
            <w:tcW w:w="0" w:type="auto"/>
            <w:hideMark/>
          </w:tcPr>
          <w:p w14:paraId="43ACF30D"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Medicine access, symptom control, urgent support</w:t>
            </w:r>
          </w:p>
        </w:tc>
      </w:tr>
      <w:tr w:rsidR="00C4620B" w:rsidRPr="008459EE" w14:paraId="0037C7B5" w14:textId="77777777" w:rsidTr="00C646FF">
        <w:tc>
          <w:tcPr>
            <w:cnfStyle w:val="001000000000" w:firstRow="0" w:lastRow="0" w:firstColumn="1" w:lastColumn="0" w:oddVBand="0" w:evenVBand="0" w:oddHBand="0" w:evenHBand="0" w:firstRowFirstColumn="0" w:firstRowLastColumn="0" w:lastRowFirstColumn="0" w:lastRowLastColumn="0"/>
            <w:tcW w:w="0" w:type="auto"/>
            <w:hideMark/>
          </w:tcPr>
          <w:p w14:paraId="429D1A3B" w14:textId="77777777" w:rsidR="00C4620B" w:rsidRPr="008459EE" w:rsidRDefault="00C4620B" w:rsidP="00C646FF">
            <w:r w:rsidRPr="008459EE">
              <w:t>8</w:t>
            </w:r>
          </w:p>
        </w:tc>
        <w:tc>
          <w:tcPr>
            <w:tcW w:w="0" w:type="auto"/>
            <w:hideMark/>
          </w:tcPr>
          <w:p w14:paraId="20043316"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 xml:space="preserve">Macgregor, A. et al. (2023) ‘Supporting care home residents in the last year of life through “Needs Rounds”: Development of a pre-implementation programme theory </w:t>
            </w:r>
            <w:r w:rsidRPr="008459EE">
              <w:lastRenderedPageBreak/>
              <w:t>through a rapid collaborative online approach’, Frontiers in Health Services.</w:t>
            </w:r>
          </w:p>
        </w:tc>
        <w:tc>
          <w:tcPr>
            <w:tcW w:w="0" w:type="auto"/>
            <w:hideMark/>
          </w:tcPr>
          <w:p w14:paraId="5C288AD0"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lastRenderedPageBreak/>
              <w:t>Open-access qualitative case-study-site article</w:t>
            </w:r>
          </w:p>
        </w:tc>
        <w:tc>
          <w:tcPr>
            <w:tcW w:w="0" w:type="auto"/>
            <w:hideMark/>
          </w:tcPr>
          <w:p w14:paraId="1A6233C4"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 xml:space="preserve">Uses six case study sites in England and Scotland and is highly relevant to care homes, multidisciplinary planning, anticipatory care and reduced </w:t>
            </w:r>
            <w:r w:rsidRPr="008459EE">
              <w:lastRenderedPageBreak/>
              <w:t>hospitalisation. (</w:t>
            </w:r>
            <w:hyperlink r:id="rId13" w:tooltip="Frontiers | Supporting care home residents in the last year of life through ‘Needs Rounds’: Development of a pre-implementation programme theory through a rapid collaborative online approach" w:history="1">
              <w:r w:rsidRPr="008459EE">
                <w:rPr>
                  <w:rStyle w:val="Hyperlink"/>
                </w:rPr>
                <w:t>Frontiers</w:t>
              </w:r>
            </w:hyperlink>
            <w:r w:rsidRPr="008459EE">
              <w:t>)</w:t>
            </w:r>
          </w:p>
        </w:tc>
        <w:tc>
          <w:tcPr>
            <w:tcW w:w="0" w:type="auto"/>
            <w:hideMark/>
          </w:tcPr>
          <w:p w14:paraId="4468B6C0"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lastRenderedPageBreak/>
              <w:t>Care-home case study, multidisciplinary working, anticipatory planning</w:t>
            </w:r>
          </w:p>
        </w:tc>
      </w:tr>
    </w:tbl>
    <w:p w14:paraId="76F52A11" w14:textId="77777777" w:rsidR="00C4620B" w:rsidRPr="008459EE" w:rsidRDefault="00C4620B" w:rsidP="00C4620B"/>
    <w:p w14:paraId="365BBAAD" w14:textId="77777777" w:rsidR="00C4620B" w:rsidRPr="008459EE" w:rsidRDefault="00C4620B" w:rsidP="00C4620B">
      <w:pPr>
        <w:pStyle w:val="Heading3"/>
      </w:pPr>
      <w:bookmarkStart w:id="29" w:name="_Toc232206471"/>
      <w:r w:rsidRPr="008459EE">
        <w:t>4.2.2 Forming of Final Theme</w:t>
      </w:r>
      <w:bookmarkEnd w:id="29"/>
    </w:p>
    <w:p w14:paraId="7815414E" w14:textId="77777777" w:rsidR="00C4620B" w:rsidRPr="008459EE" w:rsidRDefault="00C4620B" w:rsidP="00C4620B">
      <w:pPr>
        <w:pStyle w:val="Caption"/>
        <w:keepNext/>
        <w:jc w:val="center"/>
        <w:rPr>
          <w:color w:val="000000" w:themeColor="text1"/>
        </w:rPr>
      </w:pPr>
      <w:bookmarkStart w:id="30" w:name="_Toc232201008"/>
      <w:r w:rsidRPr="008459EE">
        <w:rPr>
          <w:color w:val="000000" w:themeColor="text1"/>
        </w:rPr>
        <w:t xml:space="preserve">Table </w:t>
      </w:r>
      <w:r w:rsidRPr="008459EE">
        <w:rPr>
          <w:color w:val="000000" w:themeColor="text1"/>
        </w:rPr>
        <w:fldChar w:fldCharType="begin"/>
      </w:r>
      <w:r w:rsidRPr="008459EE">
        <w:rPr>
          <w:color w:val="000000" w:themeColor="text1"/>
        </w:rPr>
        <w:instrText xml:space="preserve"> SEQ Table \* ARABIC </w:instrText>
      </w:r>
      <w:r w:rsidRPr="008459EE">
        <w:rPr>
          <w:color w:val="000000" w:themeColor="text1"/>
        </w:rPr>
        <w:fldChar w:fldCharType="separate"/>
      </w:r>
      <w:r w:rsidRPr="008459EE">
        <w:rPr>
          <w:noProof/>
          <w:color w:val="000000" w:themeColor="text1"/>
        </w:rPr>
        <w:t>2</w:t>
      </w:r>
      <w:r w:rsidRPr="008459EE">
        <w:rPr>
          <w:color w:val="000000" w:themeColor="text1"/>
        </w:rPr>
        <w:fldChar w:fldCharType="end"/>
      </w:r>
      <w:r w:rsidRPr="008459EE">
        <w:rPr>
          <w:color w:val="000000" w:themeColor="text1"/>
        </w:rPr>
        <w:t>: Final Theme</w:t>
      </w:r>
      <w:bookmarkEnd w:id="30"/>
    </w:p>
    <w:tbl>
      <w:tblPr>
        <w:tblStyle w:val="GridTable5Dark-Accent1"/>
        <w:tblW w:w="9835" w:type="dxa"/>
        <w:tblLook w:val="04A0" w:firstRow="1" w:lastRow="0" w:firstColumn="1" w:lastColumn="0" w:noHBand="0" w:noVBand="1"/>
      </w:tblPr>
      <w:tblGrid>
        <w:gridCol w:w="571"/>
        <w:gridCol w:w="3063"/>
        <w:gridCol w:w="1691"/>
        <w:gridCol w:w="2381"/>
        <w:gridCol w:w="2129"/>
      </w:tblGrid>
      <w:tr w:rsidR="00C4620B" w:rsidRPr="008459EE" w14:paraId="1D5F2FFC" w14:textId="77777777" w:rsidTr="00210FD7">
        <w:trPr>
          <w:cnfStyle w:val="100000000000" w:firstRow="1" w:lastRow="0" w:firstColumn="0" w:lastColumn="0" w:oddVBand="0" w:evenVBand="0" w:oddHBand="0"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0" w:type="auto"/>
            <w:hideMark/>
          </w:tcPr>
          <w:p w14:paraId="627751F5" w14:textId="77777777" w:rsidR="00C4620B" w:rsidRPr="008459EE" w:rsidRDefault="00C4620B" w:rsidP="00C646FF">
            <w:r w:rsidRPr="008459EE">
              <w:t>No.</w:t>
            </w:r>
          </w:p>
        </w:tc>
        <w:tc>
          <w:tcPr>
            <w:tcW w:w="0" w:type="auto"/>
            <w:hideMark/>
          </w:tcPr>
          <w:p w14:paraId="16901154" w14:textId="77777777" w:rsidR="00C4620B" w:rsidRPr="008459EE" w:rsidRDefault="00C4620B" w:rsidP="00C646FF">
            <w:pPr>
              <w:cnfStyle w:val="100000000000" w:firstRow="1" w:lastRow="0" w:firstColumn="0" w:lastColumn="0" w:oddVBand="0" w:evenVBand="0" w:oddHBand="0" w:evenHBand="0" w:firstRowFirstColumn="0" w:firstRowLastColumn="0" w:lastRowFirstColumn="0" w:lastRowLastColumn="0"/>
            </w:pPr>
            <w:r w:rsidRPr="008459EE">
              <w:t>Best article / case study</w:t>
            </w:r>
          </w:p>
        </w:tc>
        <w:tc>
          <w:tcPr>
            <w:tcW w:w="0" w:type="auto"/>
            <w:hideMark/>
          </w:tcPr>
          <w:p w14:paraId="2FF57784" w14:textId="77777777" w:rsidR="00C4620B" w:rsidRPr="008459EE" w:rsidRDefault="00C4620B" w:rsidP="00C646FF">
            <w:pPr>
              <w:cnfStyle w:val="100000000000" w:firstRow="1" w:lastRow="0" w:firstColumn="0" w:lastColumn="0" w:oddVBand="0" w:evenVBand="0" w:oddHBand="0" w:evenHBand="0" w:firstRowFirstColumn="0" w:firstRowLastColumn="0" w:lastRowFirstColumn="0" w:lastRowLastColumn="0"/>
            </w:pPr>
            <w:r w:rsidRPr="008459EE">
              <w:t>Type</w:t>
            </w:r>
          </w:p>
        </w:tc>
        <w:tc>
          <w:tcPr>
            <w:tcW w:w="0" w:type="auto"/>
            <w:hideMark/>
          </w:tcPr>
          <w:p w14:paraId="76F6DF09" w14:textId="77777777" w:rsidR="00C4620B" w:rsidRPr="008459EE" w:rsidRDefault="00C4620B" w:rsidP="00C646FF">
            <w:pPr>
              <w:cnfStyle w:val="100000000000" w:firstRow="1" w:lastRow="0" w:firstColumn="0" w:lastColumn="0" w:oddVBand="0" w:evenVBand="0" w:oddHBand="0" w:evenHBand="0" w:firstRowFirstColumn="0" w:firstRowLastColumn="0" w:lastRowFirstColumn="0" w:lastRowLastColumn="0"/>
            </w:pPr>
            <w:r w:rsidRPr="008459EE">
              <w:t>Why it is best for your study</w:t>
            </w:r>
          </w:p>
        </w:tc>
        <w:tc>
          <w:tcPr>
            <w:tcW w:w="0" w:type="auto"/>
            <w:hideMark/>
          </w:tcPr>
          <w:p w14:paraId="77D76589" w14:textId="77777777" w:rsidR="00C4620B" w:rsidRPr="008459EE" w:rsidRDefault="00C4620B" w:rsidP="00C646FF">
            <w:pPr>
              <w:cnfStyle w:val="100000000000" w:firstRow="1" w:lastRow="0" w:firstColumn="0" w:lastColumn="0" w:oddVBand="0" w:evenVBand="0" w:oddHBand="0" w:evenHBand="0" w:firstRowFirstColumn="0" w:firstRowLastColumn="0" w:lastRowFirstColumn="0" w:lastRowLastColumn="0"/>
            </w:pPr>
            <w:r w:rsidRPr="008459EE">
              <w:t>Suitable theme</w:t>
            </w:r>
          </w:p>
        </w:tc>
      </w:tr>
      <w:tr w:rsidR="00C4620B" w:rsidRPr="008459EE" w14:paraId="047318F0" w14:textId="77777777" w:rsidTr="00210FD7">
        <w:trPr>
          <w:cnfStyle w:val="000000100000" w:firstRow="0" w:lastRow="0" w:firstColumn="0" w:lastColumn="0" w:oddVBand="0" w:evenVBand="0" w:oddHBand="1" w:evenHBand="0" w:firstRowFirstColumn="0" w:firstRowLastColumn="0" w:lastRowFirstColumn="0" w:lastRowLastColumn="0"/>
          <w:trHeight w:val="1996"/>
        </w:trPr>
        <w:tc>
          <w:tcPr>
            <w:cnfStyle w:val="001000000000" w:firstRow="0" w:lastRow="0" w:firstColumn="1" w:lastColumn="0" w:oddVBand="0" w:evenVBand="0" w:oddHBand="0" w:evenHBand="0" w:firstRowFirstColumn="0" w:firstRowLastColumn="0" w:lastRowFirstColumn="0" w:lastRowLastColumn="0"/>
            <w:tcW w:w="0" w:type="auto"/>
            <w:hideMark/>
          </w:tcPr>
          <w:p w14:paraId="67C089B9" w14:textId="77777777" w:rsidR="00C4620B" w:rsidRPr="008459EE" w:rsidRDefault="00C4620B" w:rsidP="00C646FF">
            <w:r w:rsidRPr="008459EE">
              <w:t>1</w:t>
            </w:r>
          </w:p>
        </w:tc>
        <w:tc>
          <w:tcPr>
            <w:tcW w:w="0" w:type="auto"/>
            <w:hideMark/>
          </w:tcPr>
          <w:p w14:paraId="60705A5E"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Hodge, G. et al. (2025) – Exploring perceived barriers to palliative and end of life care provision in South-West England</w:t>
            </w:r>
          </w:p>
        </w:tc>
        <w:tc>
          <w:tcPr>
            <w:tcW w:w="0" w:type="auto"/>
            <w:hideMark/>
          </w:tcPr>
          <w:p w14:paraId="5147B205"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Open-access empirical article / regional case evidence</w:t>
            </w:r>
          </w:p>
        </w:tc>
        <w:tc>
          <w:tcPr>
            <w:tcW w:w="0" w:type="auto"/>
            <w:hideMark/>
          </w:tcPr>
          <w:p w14:paraId="46855CE8"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Directly focuses on barriers from professionals, patients and families in England.</w:t>
            </w:r>
          </w:p>
        </w:tc>
        <w:tc>
          <w:tcPr>
            <w:tcW w:w="0" w:type="auto"/>
            <w:hideMark/>
          </w:tcPr>
          <w:p w14:paraId="054A0A20"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Service fragmentation, resources, communication barriers</w:t>
            </w:r>
          </w:p>
        </w:tc>
      </w:tr>
      <w:tr w:rsidR="00C4620B" w:rsidRPr="008459EE" w14:paraId="28A852B1" w14:textId="77777777" w:rsidTr="00210FD7">
        <w:trPr>
          <w:trHeight w:val="2388"/>
        </w:trPr>
        <w:tc>
          <w:tcPr>
            <w:cnfStyle w:val="001000000000" w:firstRow="0" w:lastRow="0" w:firstColumn="1" w:lastColumn="0" w:oddVBand="0" w:evenVBand="0" w:oddHBand="0" w:evenHBand="0" w:firstRowFirstColumn="0" w:firstRowLastColumn="0" w:lastRowFirstColumn="0" w:lastRowLastColumn="0"/>
            <w:tcW w:w="0" w:type="auto"/>
            <w:hideMark/>
          </w:tcPr>
          <w:p w14:paraId="4E906237" w14:textId="77777777" w:rsidR="00C4620B" w:rsidRPr="008459EE" w:rsidRDefault="00C4620B" w:rsidP="00C646FF">
            <w:r w:rsidRPr="008459EE">
              <w:t>2</w:t>
            </w:r>
          </w:p>
        </w:tc>
        <w:tc>
          <w:tcPr>
            <w:tcW w:w="0" w:type="auto"/>
            <w:hideMark/>
          </w:tcPr>
          <w:p w14:paraId="1414A635"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Aker, N. et al. (2024) – Experiences and access of palliative and end of life care for older people from minority ethnic groups</w:t>
            </w:r>
          </w:p>
        </w:tc>
        <w:tc>
          <w:tcPr>
            <w:tcW w:w="0" w:type="auto"/>
            <w:hideMark/>
          </w:tcPr>
          <w:p w14:paraId="77390B01"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Open-access scoping review</w:t>
            </w:r>
          </w:p>
        </w:tc>
        <w:tc>
          <w:tcPr>
            <w:tcW w:w="0" w:type="auto"/>
            <w:hideMark/>
          </w:tcPr>
          <w:p w14:paraId="626817B4"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Strong source for cultural, language, trust and minority ethnic barriers.</w:t>
            </w:r>
          </w:p>
        </w:tc>
        <w:tc>
          <w:tcPr>
            <w:tcW w:w="0" w:type="auto"/>
            <w:hideMark/>
          </w:tcPr>
          <w:p w14:paraId="4E62356C"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Cultural barriers and unequal access</w:t>
            </w:r>
          </w:p>
        </w:tc>
      </w:tr>
      <w:tr w:rsidR="00C4620B" w:rsidRPr="008459EE" w14:paraId="4AA305DD" w14:textId="77777777" w:rsidTr="00210FD7">
        <w:trPr>
          <w:cnfStyle w:val="000000100000" w:firstRow="0" w:lastRow="0" w:firstColumn="0" w:lastColumn="0" w:oddVBand="0" w:evenVBand="0" w:oddHBand="1" w:evenHBand="0" w:firstRowFirstColumn="0" w:firstRowLastColumn="0" w:lastRowFirstColumn="0" w:lastRowLastColumn="0"/>
          <w:trHeight w:val="1996"/>
        </w:trPr>
        <w:tc>
          <w:tcPr>
            <w:cnfStyle w:val="001000000000" w:firstRow="0" w:lastRow="0" w:firstColumn="1" w:lastColumn="0" w:oddVBand="0" w:evenVBand="0" w:oddHBand="0" w:evenHBand="0" w:firstRowFirstColumn="0" w:firstRowLastColumn="0" w:lastRowFirstColumn="0" w:lastRowLastColumn="0"/>
            <w:tcW w:w="0" w:type="auto"/>
            <w:hideMark/>
          </w:tcPr>
          <w:p w14:paraId="5C791DB3" w14:textId="77777777" w:rsidR="00C4620B" w:rsidRPr="008459EE" w:rsidRDefault="00C4620B" w:rsidP="00C646FF">
            <w:r w:rsidRPr="008459EE">
              <w:t>3</w:t>
            </w:r>
          </w:p>
        </w:tc>
        <w:tc>
          <w:tcPr>
            <w:tcW w:w="0" w:type="auto"/>
            <w:hideMark/>
          </w:tcPr>
          <w:p w14:paraId="2D754E38"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French, M. et al. (2021) – Exploring socioeconomic inequities in access to palliative and end-of-life care in the UK</w:t>
            </w:r>
          </w:p>
        </w:tc>
        <w:tc>
          <w:tcPr>
            <w:tcW w:w="0" w:type="auto"/>
            <w:hideMark/>
          </w:tcPr>
          <w:p w14:paraId="08468D4B"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Open-access narrative synthesis</w:t>
            </w:r>
          </w:p>
        </w:tc>
        <w:tc>
          <w:tcPr>
            <w:tcW w:w="0" w:type="auto"/>
            <w:hideMark/>
          </w:tcPr>
          <w:p w14:paraId="15A72CA6"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Directly supports UK socioeconomic inequality and deprivation-related access barriers.</w:t>
            </w:r>
          </w:p>
        </w:tc>
        <w:tc>
          <w:tcPr>
            <w:tcW w:w="0" w:type="auto"/>
            <w:hideMark/>
          </w:tcPr>
          <w:p w14:paraId="49688AD6" w14:textId="77777777" w:rsidR="00C4620B" w:rsidRPr="008459EE" w:rsidRDefault="00C4620B" w:rsidP="00C646FF">
            <w:pPr>
              <w:cnfStyle w:val="000000100000" w:firstRow="0" w:lastRow="0" w:firstColumn="0" w:lastColumn="0" w:oddVBand="0" w:evenVBand="0" w:oddHBand="1" w:evenHBand="0" w:firstRowFirstColumn="0" w:firstRowLastColumn="0" w:lastRowFirstColumn="0" w:lastRowLastColumn="0"/>
            </w:pPr>
            <w:r w:rsidRPr="008459EE">
              <w:t>Socioeconomic inequality</w:t>
            </w:r>
          </w:p>
        </w:tc>
      </w:tr>
      <w:tr w:rsidR="00C4620B" w:rsidRPr="008459EE" w14:paraId="2AB72656" w14:textId="77777777" w:rsidTr="00210FD7">
        <w:trPr>
          <w:trHeight w:val="2792"/>
        </w:trPr>
        <w:tc>
          <w:tcPr>
            <w:cnfStyle w:val="001000000000" w:firstRow="0" w:lastRow="0" w:firstColumn="1" w:lastColumn="0" w:oddVBand="0" w:evenVBand="0" w:oddHBand="0" w:evenHBand="0" w:firstRowFirstColumn="0" w:firstRowLastColumn="0" w:lastRowFirstColumn="0" w:lastRowLastColumn="0"/>
            <w:tcW w:w="0" w:type="auto"/>
            <w:hideMark/>
          </w:tcPr>
          <w:p w14:paraId="6B24CC1E" w14:textId="77777777" w:rsidR="00C4620B" w:rsidRPr="008459EE" w:rsidRDefault="00C4620B" w:rsidP="00C646FF">
            <w:r w:rsidRPr="008459EE">
              <w:t>4</w:t>
            </w:r>
          </w:p>
        </w:tc>
        <w:tc>
          <w:tcPr>
            <w:tcW w:w="0" w:type="auto"/>
            <w:hideMark/>
          </w:tcPr>
          <w:p w14:paraId="7DB79D1F"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Kawashima, A. and Evans, C.J. (2023) – Needs-based triggers for timely referral to palliative care for older adults severely affected by noncancer conditions</w:t>
            </w:r>
          </w:p>
        </w:tc>
        <w:tc>
          <w:tcPr>
            <w:tcW w:w="0" w:type="auto"/>
            <w:hideMark/>
          </w:tcPr>
          <w:p w14:paraId="0813A2C7"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Open-access systematic review</w:t>
            </w:r>
          </w:p>
        </w:tc>
        <w:tc>
          <w:tcPr>
            <w:tcW w:w="0" w:type="auto"/>
            <w:hideMark/>
          </w:tcPr>
          <w:p w14:paraId="74587126"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Best source for delayed referral and older adults with non-cancer conditions.</w:t>
            </w:r>
          </w:p>
        </w:tc>
        <w:tc>
          <w:tcPr>
            <w:tcW w:w="0" w:type="auto"/>
            <w:hideMark/>
          </w:tcPr>
          <w:p w14:paraId="7FF9BC3B" w14:textId="77777777" w:rsidR="00C4620B" w:rsidRPr="008459EE" w:rsidRDefault="00C4620B" w:rsidP="00C646FF">
            <w:pPr>
              <w:cnfStyle w:val="000000000000" w:firstRow="0" w:lastRow="0" w:firstColumn="0" w:lastColumn="0" w:oddVBand="0" w:evenVBand="0" w:oddHBand="0" w:evenHBand="0" w:firstRowFirstColumn="0" w:firstRowLastColumn="0" w:lastRowFirstColumn="0" w:lastRowLastColumn="0"/>
            </w:pPr>
            <w:r w:rsidRPr="008459EE">
              <w:t>Delayed referral and non-cancer care barriers</w:t>
            </w:r>
          </w:p>
        </w:tc>
      </w:tr>
    </w:tbl>
    <w:p w14:paraId="4F46714E" w14:textId="77777777" w:rsidR="00C4620B" w:rsidRPr="008459EE" w:rsidRDefault="00C4620B" w:rsidP="00C4620B"/>
    <w:p w14:paraId="5C75A2CA" w14:textId="77777777" w:rsidR="00C4620B" w:rsidRPr="008459EE" w:rsidRDefault="00C4620B" w:rsidP="00C4620B">
      <w:pPr>
        <w:pStyle w:val="Heading3"/>
      </w:pPr>
      <w:bookmarkStart w:id="31" w:name="_Toc232206472"/>
      <w:r w:rsidRPr="008459EE">
        <w:lastRenderedPageBreak/>
        <w:t>4.2.3 Justification</w:t>
      </w:r>
      <w:bookmarkEnd w:id="31"/>
    </w:p>
    <w:p w14:paraId="27F2F6FA" w14:textId="1AFC3D74" w:rsidR="00C4620B" w:rsidRPr="008459EE" w:rsidRDefault="00C4620B" w:rsidP="00C4620B">
      <w:r w:rsidRPr="008459EE">
        <w:t>These four articles were chosen since they give the strongest evidence of barriers to access of community-based end-of-life care among older adults in the UK. Hodge et al. (2025) directly addresses practical service barriers in England and relates strongly to the aim of the research. Aker et al. (2024) assists in discussing cultural, minority ethnic, and language barriers and French et al. (2021) give solid UK based information of socioeconomic inequalities. Kawashima and Evans (2023) are crucial to discussing barriers of referral delay in non-cancer cases and provides information about this issue, which represents a major access barrier for community-based palliative care.</w:t>
      </w:r>
    </w:p>
    <w:p w14:paraId="2EF99543" w14:textId="77777777" w:rsidR="00C4620B" w:rsidRPr="008459EE" w:rsidRDefault="00C4620B" w:rsidP="00C4620B">
      <w:pPr>
        <w:pStyle w:val="Heading2"/>
      </w:pPr>
      <w:bookmarkStart w:id="32" w:name="_Toc232206473"/>
      <w:r w:rsidRPr="008459EE">
        <w:t>4.3 Thematic Analysis</w:t>
      </w:r>
      <w:bookmarkEnd w:id="32"/>
    </w:p>
    <w:p w14:paraId="37DFE6E9" w14:textId="03AC5405" w:rsidR="00C4620B" w:rsidRPr="008459EE" w:rsidRDefault="00C4620B" w:rsidP="00C4620B">
      <w:r w:rsidRPr="008459EE">
        <w:t xml:space="preserve">This method of analysing the data selected for this dissertation involves systematically analysing the themes extracted from the studies. The method is deemed appropriate for a dissertation based on secondary research as it seeks to determine and identify patterns of recurrence within a variety of articles rather than conduct numerical measurements on primary data. The method moves findings from individual articles to broader themes which help explain the research problem. For this dissertation the research problem is to understand why some older adults in the UK might not receive end-of-life care within the community. The chosen literature is initially studied and read according to the dissertation aim concerning barriers to </w:t>
      </w:r>
      <w:proofErr w:type="gramStart"/>
      <w:r w:rsidRPr="008459EE">
        <w:t>community based</w:t>
      </w:r>
      <w:proofErr w:type="gramEnd"/>
      <w:r w:rsidRPr="008459EE">
        <w:t xml:space="preserve"> end-of-life care. Then initial notes are made about recurring issues like delayed referral, communication issues, lack of coordinated care, language barrier, cultural miscommunication, deprivation, geographical inequality, inadequate workforce and weak community support. These notes are then turned into codes; poor communication between the various services is then coded as 'fragmentation of services', while patients struggling to communicate with a particular service due to language barrier are coded as 'language and awareness barrier'. Next, the initial codes are sorted and brought together into initial themes. Lack of service coordination, planning failures, poor communication and absence of adequate support at out of hours’ time, were grouped into 'service fragmentation', while 'language', ' religion', 'culture and cultural preferences', and 'distrust in services' into 'cultural and minority ethnic barriers'. Deprivation, low service availability, poor recognition from professional's and poverty combined were linked into 'socioeconomic inequality and deprivation-area access', whereas 'non-cancer illness', 'dementia', 'frailty and unclear referral point' were related into 'delayed referral for older adults with non-cancer conditions'. Four of these initial themes were deemed to be the strongest, as these represent themes most related to the dissertation aims and objectives and provide a comprehensive representation of the barriers faced when trying to gain access to end-of-life care at home: The first theme reflects service provision, while the second focuses on ethnicity and culture; third is about society at large with the broader issues </w:t>
      </w:r>
      <w:r w:rsidRPr="008459EE">
        <w:lastRenderedPageBreak/>
        <w:t>of socioeconomic factors and deprivation, and fourth about the clinical perspective and referral delay in the case of older adults not experiencing cancer. Together they demonstrate that barriers are multiple and often interrelated.</w:t>
      </w:r>
    </w:p>
    <w:p w14:paraId="23AA3BA2" w14:textId="77777777" w:rsidR="00C4620B" w:rsidRPr="008459EE" w:rsidRDefault="00C4620B" w:rsidP="00C4620B">
      <w:pPr>
        <w:pStyle w:val="Heading3"/>
      </w:pPr>
      <w:bookmarkStart w:id="33" w:name="_Toc232206474"/>
      <w:r w:rsidRPr="008459EE">
        <w:t>4.3.1 Theme 1: Service Fragmentation and Communication Barriers</w:t>
      </w:r>
      <w:bookmarkEnd w:id="33"/>
    </w:p>
    <w:p w14:paraId="54BE782A" w14:textId="2A7D682B" w:rsidR="00C4620B" w:rsidRPr="008459EE" w:rsidRDefault="00C4620B" w:rsidP="00C4620B">
      <w:r w:rsidRPr="008459EE">
        <w:t xml:space="preserve">Service fragmentation is the biggest barrier to access for older people receiving community-based end-of-life care in the UK (Sleeman et al., 2021; Chambers et al., 2022). Community-based end-of-life care is contingent on coordination between a variety of different services: GPs, district nurses, community palliative care teams, hospices, care homes, social services, family carers, community pharmacists, and hospitals. The effective integration of these services supports coordinated care, timely symptom management, emotional support, and practical help for the older person. </w:t>
      </w:r>
      <w:proofErr w:type="gramStart"/>
      <w:r w:rsidRPr="008459EE">
        <w:t>However</w:t>
      </w:r>
      <w:proofErr w:type="gramEnd"/>
      <w:r w:rsidRPr="008459EE">
        <w:t xml:space="preserve"> lack of communication and clarity of responsibility can lead to delayed, inconsistent or reactive care. It has been identified by Hodge et al. (2025) that all patients/service users and professionals encountered barriers accessing palliative and end-of-life care, and it is crucial to acknowledge that fragmentation is not merely an administrative issue, but also a lived problem for individuals experiencing the end of life. Older people and families lack knowledge of whom to approach for advice, particularly during out-of-hours. Professionals also struggle to coordinate services during times of under-staffing, with unclear referral pathways, and where information cannot be shared between different services. This has the potential to lead to unnecessary admissions to hospital, family distress and delays in the community support. It is an important issue to recognise the potential problem to older people at the end of life because of the vulnerability they often have; deterioration can be rapid and families often need to seek immediate advice regarding pain, breathlessness, agitation, medication and personal care. Fragmented services mean that family members may be directed to services like the ambulance, because community care is inaccessible (Firth et al., 2025). This reflects findings from Sausman et al. (2023), who reported people with palliative care needs presenting at emergency departments where out-of-hours services were inaccessible, no clear care plan was in place and community care was proving difficult to co-ordinate. This means that accessibility problems in the community have implications on the service capacity within hospitals (Goodrich et al., 2022; Birtwistle et al., 2022).</w:t>
      </w:r>
    </w:p>
    <w:p w14:paraId="2A14B395" w14:textId="104C1B85" w:rsidR="00C4620B" w:rsidRPr="008459EE" w:rsidRDefault="00C4620B" w:rsidP="00C4620B">
      <w:r w:rsidRPr="008459EE">
        <w:t xml:space="preserve">It also affects advanced care planning. For community-based end-of-life care to succeed patients' wishes, care plan, medication and treatment issues and end-of-life decisions must be coordinated, recorded and communicated (Weetman et al., 2022; Birtwistle et al., 2022; Bradshaw et al., 2021). If services are unable to share records or communicate adequately, a patient's wishes may not be considered. This is a serious concern for elderly people who are </w:t>
      </w:r>
      <w:r w:rsidRPr="008459EE">
        <w:lastRenderedPageBreak/>
        <w:t>already vulnerable because of potential sensory impairment, frailty, confusion, multiple long-term conditions, and reduced communication capacity; this means that planning may not consider all factors. Workforce issues also present problems to coordinated care in the community: Skilled palliative care professionals are needed for assessment, advice about pain, and emotional support, and understaffing means that there may be delayed response times and limitations on their capacity to communicate. Care homes providing palliative and end-of-life care, were reported by Bradshaw et al. (2023) to rely heavily on staff confidence, service integration and external support from professionals to provide end-of-life care, where access to skilled staff would influence ability to care for residents without hospital admission (Bailey et al., 2023; Mitchell et al., 2021; Dunleavy et al., 2021). One key issue is also the boundary between health and social care services. Many aspects of end-of-life care are not clinical, such as bathing and dressing, moving and handling, eating and feeding, equipment provision (pressure relieving mattresses, hoist, special beds) transport, and the emotional care of the individual, as well as the needs of families and friends; lack of communication and integration between health and social care will result in delayed provision of care packages, domestic adaptations, and appropriate equipment to enable older people to remain in their own homes.</w:t>
      </w:r>
    </w:p>
    <w:p w14:paraId="773A2A2D" w14:textId="77777777" w:rsidR="00C4620B" w:rsidRPr="008459EE" w:rsidRDefault="00C4620B" w:rsidP="00C4620B">
      <w:r w:rsidRPr="008459EE">
        <w:t>The consequences of fragmentation of service are that dignity may be reduced, and hospital admissions increased, along with family stress, and erosion of trust in services; as well as the fact that there can be an inequality of service provision, where older people with supportive families, or who are more informed about health services will be able to access a service more efficiently than a lonely, isolated individual who has no knowledge of how to access it, thus increasing social isolation and deprivation. This means that it is crucial for theme 1 that community based end-of-life care does not just rely on having a service to draw from; but requires integration and coordination of that service so that care is consistent, comprehensive and holistic, and improved referral routes, information sharing and out-of-hours care are required in addition to integrated health and social care provision to make sure older people can access effective care for the end of their lives.</w:t>
      </w:r>
    </w:p>
    <w:p w14:paraId="0D70F264" w14:textId="77777777" w:rsidR="00C4620B" w:rsidRPr="008459EE" w:rsidRDefault="00C4620B" w:rsidP="00C4620B">
      <w:pPr>
        <w:pStyle w:val="Heading3"/>
      </w:pPr>
      <w:bookmarkStart w:id="34" w:name="_Toc232206475"/>
      <w:r w:rsidRPr="008459EE">
        <w:t>4.3.2 Theme 2: Cultural and Minority Ethnic Barriers</w:t>
      </w:r>
      <w:bookmarkEnd w:id="34"/>
    </w:p>
    <w:p w14:paraId="410FAB7D" w14:textId="5779FD27" w:rsidR="00C4620B" w:rsidRPr="008459EE" w:rsidRDefault="00C4620B" w:rsidP="00C4620B">
      <w:r w:rsidRPr="008459EE">
        <w:t xml:space="preserve">Ethnic and cultural barriers also emerged as a major theme in the field of community-based end-of-life care for older people in the UK. Given that the UK is becoming increasingly a culturally diverse and an aging country, older people belonging to minority ethnic groups may have diverse cultural, religious, language and family-specific beliefs and knowledge about death and dying, care giving and decision making. While not automatically posing a barrier, this diversity can become one where services are culturally insensitive and information is </w:t>
      </w:r>
      <w:r w:rsidRPr="008459EE">
        <w:lastRenderedPageBreak/>
        <w:t xml:space="preserve">inaccessible, or professionals do not understand individual values and needs. Aker et al., (2024) concluded that older adults from minority ethnic groups may experience difficulties accessing services for end-of-life care because of language barriers, lack of awareness of services, differing cultural values, trust-related issues, and institutional inequality. This is significant for the dissertation as access is not simply the presence of services but the ability to understand that they exist, are appropriate, and that they are treated with dignity and respect within them (Dixon et al., 2023; Rosa et al., 2023). If information is provided in English only and not clearly explained (particularly in terms of palliative care) some older adults and their family will not seek </w:t>
      </w:r>
      <w:proofErr w:type="gramStart"/>
      <w:r w:rsidRPr="008459EE">
        <w:t>community based</w:t>
      </w:r>
      <w:proofErr w:type="gramEnd"/>
      <w:r w:rsidRPr="008459EE">
        <w:t xml:space="preserve"> end-of-life care early. Every stage of access can be impacted by language; older people cannot access services as they are unable to understand diagnosis, prognosis, or referral process, or can have difficulties articulating needs or symptoms, and their needs cannot be met by professionals who have not been informed of their individual wishes. While family members can fulfil a role as unofficial translators for elderly people, there are also issues related to this – family members may not disclose all information to elderly people, may shield them from difficult realities, and can be reluctant to discuss death, making a professional interpreter necessary, though they are not always readily available and can also be hard to find, particularly in a crisis.</w:t>
      </w:r>
    </w:p>
    <w:p w14:paraId="1132A6FD" w14:textId="4618A2F7" w:rsidR="00C4620B" w:rsidRPr="008459EE" w:rsidRDefault="00C4620B" w:rsidP="00C4620B">
      <w:r w:rsidRPr="008459EE">
        <w:t xml:space="preserve">Cultural beliefs can shape many people's perceptions of the nature and scope of end-of-life care. Talking directly about death and dying may be thought to be distressing or even disrespectful within certain communities, and collective family decision making may be favoured over individualized advance care planning. Similarly, many groups will have spiritual or religious needs relating to prayer, diet, cleanliness, the gender of carers, rituals post death and a need to die at home with family (Rosa et al., 2023). Failure to inquire about these can mean that an individual feels that the service is intrusive or inappropriate, and therefore does not engage. Lack of trust in services is an equally prominent issue; older people from minority ethnic communities may have experienced discrimination within the past, or may feel that mainstream services lack understanding. Structural racism and disadvantage can erode their confidence in health services, meaning that they have lower trust in the medical and care system. Where a lack of trust exists, people delay accessing help, and the main carers for an older person are family, thereby increasing their burden of care, and decreasing the opportunity for excellent symptom management from professional careers. The topic is also highly relevant for its links with health literacy; the concept of palliative care, particularly its role as part of serious illness cares not just imminent death and the opportunities it offers for symptom control, pain management, psychological support and advance care planning, may not be well understood by some groups of families. It is important for this to be clearly explained so that people feel that they have the choice of a range of supports available for </w:t>
      </w:r>
      <w:proofErr w:type="gramStart"/>
      <w:r w:rsidRPr="008459EE">
        <w:lastRenderedPageBreak/>
        <w:t>end of life</w:t>
      </w:r>
      <w:proofErr w:type="gramEnd"/>
      <w:r w:rsidRPr="008459EE">
        <w:t xml:space="preserve"> care. The necessity of culturally appropriate information delivery using nontechnical language, relevant visual aid, information translated in relevant languages, and sensitive approach will therefore be integral.</w:t>
      </w:r>
    </w:p>
    <w:p w14:paraId="5F3D03D0" w14:textId="38F41771" w:rsidR="00C4620B" w:rsidRPr="008459EE" w:rsidRDefault="00C4620B" w:rsidP="00C4620B">
      <w:r w:rsidRPr="008459EE">
        <w:t xml:space="preserve">This has also led to issues in formal and informal care relationships. For many, care of a parent or elder is understood as a moral obligation or religious requirement. This can offer strong support but can also result in families refusing help from outside services and placing further burden on their own carers. It seems that some families may even perceive offering them help as an insult to their duties as carers. </w:t>
      </w:r>
      <w:proofErr w:type="gramStart"/>
      <w:r w:rsidRPr="008459EE">
        <w:t>However</w:t>
      </w:r>
      <w:proofErr w:type="gramEnd"/>
      <w:r w:rsidRPr="008459EE">
        <w:t xml:space="preserve"> without outside support, home carers can be overwhelmed and symptoms managed to a less optimum level (Silies et al., 2022). The response from services is to try to offer support without offense. There is a wide range of implications associated with cultural and minority ethnic barriers in end-of-life care. People who belong to minority ethnic communities may therefore experience earlier and therefore lower level symptom control, have fewer opportunities for discussion and choice about care wishes and lower access to hospice or community palliative care. If services do not account for cultural diversity, then we cannot claim to be providing high quality, person-cantered, dignified and equitable care. More than just translation may be required, including community engagement, culturally skilled staff and the development of community trust. Theme 2 in the dissertation seems to be about whether care at the end of life can be 'cultural' while also being a standard service, or if instead, end-of-life care should become itself a model for 'cultural' practice that enables respect for the client, the family and the community within that professional service delivery.</w:t>
      </w:r>
    </w:p>
    <w:p w14:paraId="42C81C7A" w14:textId="77777777" w:rsidR="00C4620B" w:rsidRPr="008459EE" w:rsidRDefault="00C4620B" w:rsidP="00C4620B">
      <w:pPr>
        <w:pStyle w:val="Heading3"/>
      </w:pPr>
      <w:bookmarkStart w:id="35" w:name="_Toc232206476"/>
      <w:r w:rsidRPr="008459EE">
        <w:t>4.3.3 Theme 3: Socioeconomic Inequality and Deprived-Area Access</w:t>
      </w:r>
      <w:bookmarkEnd w:id="35"/>
    </w:p>
    <w:p w14:paraId="11F94CF7" w14:textId="74074DE1" w:rsidR="00C4620B" w:rsidRPr="008459EE" w:rsidRDefault="00C4620B" w:rsidP="00C4620B">
      <w:r w:rsidRPr="008459EE">
        <w:t xml:space="preserve">Socioeconomic inequality represents a significant challenge in the access of elderly people in the UK to community based end of life care. The barriers to accessing care are defined by income, education, housing, access to community resources, transportation, support network and local services available (Leniz et al., 2023; Fantoni et al., 2024). Despite the universal health provision by the NHS, end of life care does not appear to reach every group equally. Older adults in deprived areas may have poorer access to the services, later recognition of need and less choice over where and how they receive care. As French et al. (2021) state socioeconomic inequities have impacts on access to palliative and end of life care across the UK. This is a central argument for the dissertation as it outlines that the barriers to access are not only clinical or organizational but also social. Individuals living in a deprived community may have higher degrees of co-morbidity, complex health needs and less support from informal resources. These individuals may also live in households that are not appropriate for </w:t>
      </w:r>
      <w:r w:rsidRPr="008459EE">
        <w:lastRenderedPageBreak/>
        <w:t>dying at home, as they may lack space for medical equipment, adequate heating and could be overcrowding or not be structurally sound.</w:t>
      </w:r>
    </w:p>
    <w:p w14:paraId="240A4EA3" w14:textId="5A5825C3" w:rsidR="00C4620B" w:rsidRPr="008459EE" w:rsidRDefault="00C4620B" w:rsidP="00C4620B">
      <w:r w:rsidRPr="008459EE">
        <w:t xml:space="preserve">The issue of deprivation also plays a part in the awareness of services and as French et al (2021) identified higher levels of education and a good social network coupled with a higher degree of confidence dealing with professional services would be able to seek end of life care more effectively and may be able to question their care providers regarding end of life care and the options that are available. Individuals with lower health literacy will have less ability to be aware of community based end of life care and may be able to access the services required or may need to seek help as a last resort in crisis. Crisis situations usually involve an ambulance service, not necessarily the </w:t>
      </w:r>
      <w:proofErr w:type="gramStart"/>
      <w:r w:rsidRPr="008459EE">
        <w:t>end of life</w:t>
      </w:r>
      <w:proofErr w:type="gramEnd"/>
      <w:r w:rsidRPr="008459EE">
        <w:t xml:space="preserve"> care service, therefore they are being provided with inappropriate services. Socioeconomic inequality may also effect the availability of informal care (Close et al., 2021; Silies et al., 2022). Community based end of life care relies heavily on family or friends being available to provide informal care. However not all older adults will have support from family or friends as they may live alone, be in low paid employment that will not be able to offer time off or be supported using informal carers that may themselves be aged or ill. If formal services are limited, individuals with less support will be put at a disadvantage.</w:t>
      </w:r>
    </w:p>
    <w:p w14:paraId="3A7791D1" w14:textId="58BDB80F" w:rsidR="00C4620B" w:rsidRPr="008459EE" w:rsidRDefault="00C4620B" w:rsidP="00C4620B">
      <w:r w:rsidRPr="008459EE">
        <w:t xml:space="preserve">Geographic inequality is also aspect of socio-economic access. Availability of hospice at home, community nursing, voluntary support services and specialized palliative care services vary between areas. As a result, the postcode lottery in end of life care provision dictates the range and amount of care individuals receive. Those who live in areas with poor service provision, particularly in rural and deprived urban areas may experience long waits for professional visitors, problems with access due to travel and may lack resources in their area and will have little support out of hours. These are areas where a universal service would be challenged. Symptoms can also be affected by socioeconomic inequalities; the access to palliative medicines at home can be problematic for a variety of reasons that affect deprived patients more directly according to Ogi et al (2021). Delays with the supply of medicines due to barriers with the postal system, poor access to pharmacies or not being able to see a professional to obtain a prescription will exacerbate symptoms such as pain or breathlessness to extreme levels and family members will be more likely to access a crisis response (Leniz et al., 2023; Bowers et al., 2023). Professional recognition of the dying phase may also be a challenge; as was observed by some practitioners (french et al., 2021), clients with more problems, non-cancer diagnoses, those who access services via crisis admission or due to other needs that lead them to be in contact with services may not have their dying needs assessed in time. This highlights that an older adult's access to </w:t>
      </w:r>
      <w:proofErr w:type="gramStart"/>
      <w:r w:rsidRPr="008459EE">
        <w:t>community based</w:t>
      </w:r>
      <w:proofErr w:type="gramEnd"/>
      <w:r w:rsidRPr="008459EE">
        <w:t xml:space="preserve"> end of life care depends heavily on their resources both social and physical and may not even reflect </w:t>
      </w:r>
      <w:r w:rsidRPr="008459EE">
        <w:lastRenderedPageBreak/>
        <w:t xml:space="preserve">their wishes regarding their </w:t>
      </w:r>
      <w:proofErr w:type="gramStart"/>
      <w:r w:rsidRPr="008459EE">
        <w:t>end of life</w:t>
      </w:r>
      <w:proofErr w:type="gramEnd"/>
      <w:r w:rsidRPr="008459EE">
        <w:t xml:space="preserve"> care which can be attributed to their socioeconomic position. The inequalities that can occur because of a person being deprived means that there is potential for inequality of death; individuals who have more money or support will have more chance of being able to receive care that may reflect the ideal outcome of dying at home with family support and planned professional interventions. Older people from deprived areas will therefore be left without such opportunities and die in hospitals which will not always be the best place for them to die or to have their care delivered. The social injustices within the lives of individuals that do not always permit adequate support should be addressed through tailored support to the deprived communities and targeted help in accessing appropriate services. The role of social prescribing, Welfare advice and formal carer support and assistance with provision of equipment could play significant roles. All communities must be provided with adequate support regardless of socioeconomic status or family network; there is not a universal method of providing informal care at the end of life.</w:t>
      </w:r>
    </w:p>
    <w:p w14:paraId="1821C729" w14:textId="77777777" w:rsidR="00C4620B" w:rsidRPr="008459EE" w:rsidRDefault="00C4620B" w:rsidP="00C4620B">
      <w:pPr>
        <w:pStyle w:val="Heading3"/>
      </w:pPr>
      <w:bookmarkStart w:id="36" w:name="_Toc232206477"/>
      <w:r w:rsidRPr="008459EE">
        <w:t>4.3.4 Theme 4: Delayed Referral for Older Adults with Non-Cancer Conditions</w:t>
      </w:r>
      <w:bookmarkEnd w:id="36"/>
    </w:p>
    <w:p w14:paraId="62E22744" w14:textId="6A4607E5" w:rsidR="00C4620B" w:rsidRPr="008459EE" w:rsidRDefault="00C4620B" w:rsidP="00C4620B">
      <w:r w:rsidRPr="008459EE">
        <w:t xml:space="preserve">One major barrier for non-cancer older people to receive timely palliative care is delayed referral. It is argued that traditionally end-of-life care has had greater association with cancer, rather than with long-term conditions, such as dementia, frailty, heart failure, chronic obstructive pulmonary disease, kidney disease and multimorbidity. Yet, many older people suffer progressive non-cancer life-limiting conditions. However, these conditions are sometimes of fluctuating nature and therefore the timing of referral to palliative care is complicated (Polak and Etkind, 2024; Rogers et al., 2023). A study conducted by Kawashima and Evans (2023) indicated needs-based triggers for timely referral of severely ill non-cancer older people to palliative care which emphasize needs, rather than merely diagnosis or prognosis, should dictate referral to palliative care; these may include breathlessness, pain, fatigue, distress, frequent hospital admission, carer distress, loss of function, poor ability to live independently etc. If referral is postponed to the end of the process, a person could have been supported for months (Evans et al., 2021; Remawi et al., 2023) (Kawashima &amp; Evans, 2023). This delay problem is inextricably linked to the uncertainty of the trajectory in non-cancer conditions. Cancer progression might be easier to predict in some circumstances, and referral process to palliative care can be better defined. However, a person with non-cancer conditions may have a fluctuating illness course, or gradual decline. An example could be that heart failure patient's condition may worsen and then improve again, a patient with dementia has a gradual decline over many years, or a frail older person has multiple falls and acute admissions with unclear diagnosis. The uncertainty can lead professional to delay conversations of end-of-life care, thus may affect quality of care in many different levels; namely advance care planning, symptom control, family preparation, practical resources </w:t>
      </w:r>
      <w:r w:rsidRPr="008459EE">
        <w:lastRenderedPageBreak/>
        <w:t>provision, and psychological support, that could all contribute to avoidable suffering of the patient, or a premature sense of losing of hope of both patient and families, or the undue burdens on the emergency service.</w:t>
      </w:r>
    </w:p>
    <w:p w14:paraId="19093E76" w14:textId="39668D52" w:rsidR="00C4620B" w:rsidRPr="008459EE" w:rsidRDefault="00C4620B" w:rsidP="00C4620B">
      <w:r w:rsidRPr="008459EE">
        <w:t>This theme is closely associated with 'age' and 'multimorbidity'. Nicholson et al. (2023) stated that elderly living with multimorbidity has various physical, psychological, social and practical palliative care needs. It could be argued that since multimorbidity is prevalent in the older population, health professionals may normalize the progressive decline of a patient and disregard them as signals for palliative support thus treat older people as 'just old', rather than patients with needs for specific end-of-life care. 'Delayed referral' might also relate to a phobia of talking about death which is felt by professionals for fearing of hurting patients or relatives, thus destroying their hopes and relationships with patients. Families are often concerned that accepting palliative care means giving up on the current care, so they would not readily agree, though a prompt and open discussion is important to afford a person choices about place of care, decision on people involved in care and the level of intervention preferred. This theme also related to care home environment; as a large percentage of care-home residents are frail older people suffering from dementia and/or multiple conditions, it could be benefited if timely palliative care planning can be initiated at the home setting which depends on the confidence and supportive network of the staff, and their accessibility to the external professionals services; as Bradshaw et al. (2023) noted, effective end-of-life care in care homes would require strong working relationships with the health services. Delay in referral also is concerned with service eligibility criteria in some cases. Many palliative care services would primarily consider the cancer patients and those in the very end of life stage to access services which can lead to a missed opportunity for palliative care access among non-cancer patients at the early or moderate stage and contradicts with a needs-based care approach. Fair system should be the one focusing on the individual suffering, functionality and care need rather than the disease itself. (Xie et al., 2023; Bourmorck et al., 2023; Piers et al., 2021).</w:t>
      </w:r>
    </w:p>
    <w:p w14:paraId="12ADF7C8" w14:textId="77777777" w:rsidR="00C4620B" w:rsidRPr="008459EE" w:rsidRDefault="00C4620B" w:rsidP="00C4620B">
      <w:r w:rsidRPr="008459EE">
        <w:t xml:space="preserve">This theme have great policy and practical implication for health professionals: needs based triggers for referral need to be clearer in non-cancer older people to identify the care need for palliative care, i.e. Increasing dependency, repeated hospital admissions, decline in functionality, symptom deterioration, carer burnout, weight loss or patient's own wish etc (Orlovic et al., 2023; Murray et al., 2024). Therefore, referral to palliative care earlier than the current trend can help to prevent the 'crises', ensure comprehensive care planning, interprofessional communication between GP, community nurses, care homes, hospital, and hospices and so on. In a nutshell, the Theme 4 is a critical factor impacting community-based end-of-life care as people with chronic life limiting conditions may suffer greater disadvantage in receiving end-of-life care compared with cancer patients, since their trajectories might be </w:t>
      </w:r>
      <w:r w:rsidRPr="008459EE">
        <w:lastRenderedPageBreak/>
        <w:t>unpredictable. Ideally, palliative care should be based on the level of suffering and frailty rather than on prognosis or specific diagnosis..</w:t>
      </w:r>
    </w:p>
    <w:p w14:paraId="37076F00" w14:textId="77777777" w:rsidR="00C4620B" w:rsidRPr="008459EE" w:rsidRDefault="00C4620B" w:rsidP="00C4620B">
      <w:pPr>
        <w:pStyle w:val="Heading2"/>
      </w:pPr>
      <w:bookmarkStart w:id="37" w:name="_Toc232206478"/>
      <w:r w:rsidRPr="008459EE">
        <w:t>4.4 Discussion</w:t>
      </w:r>
      <w:bookmarkEnd w:id="37"/>
    </w:p>
    <w:p w14:paraId="333A2772" w14:textId="48BE79DC" w:rsidR="00C4620B" w:rsidRPr="008459EE" w:rsidRDefault="00C4620B" w:rsidP="00C4620B">
      <w:r w:rsidRPr="008459EE">
        <w:t>The Results On analysis of the four themes, it can be concluded that barriers to community end of life care for the elderly in the UK are numerous, complex, interrelated and depend on the level of need. Lack of access is not an isolated issue, but depends on organisation of services, interprofessional communication, socio-economic status, culture, language, family support and the process of referral (Chambers et al., 2022; Borgstrom et al., 2023; Firth et al., 2025). Collectively, the themes can answer the dissertation aim of showing how older adults may be deprived of appropriate and respectful end-of-life care at home. One significant finding is the interdependence of care delivery in the community. Poor organisation of services delays support at home and in care homes, as well as across community services. It is also linked to delay in referral, and, because of dementia, frailty or multi-morbidity, it is possible for older people to be looked after by various professionals who cannot identify all palliative care needs and support the patient with that particular concern. That results in palliative care being reactive rather than planned, and can lead to greater likelihood of emergency admission and familial distress. Access can also be inequitable; through cultural, language and minority ethnic barriers the understanding and use of end-of-life services may be hampered and through Socioeconomic status barriers, the ability to navigate service pathways, the provision of family care and the suitability of home circumstances can be affected. These barriers suggest that access is not solely a clinical, but a social issue of fairness; it is not an adequate response to offer the service to some older people and not others. The care provided by family carers also adds to the information in the themes; they may provide all aspects of medication, care, communication and decision-making, yet become exhausted, confused and pressurised. Care at home will not be equitable or safe if it is assumed that they can cope without the input of professional services.</w:t>
      </w:r>
    </w:p>
    <w:p w14:paraId="59080F16" w14:textId="77777777" w:rsidR="00C4620B" w:rsidRPr="008459EE" w:rsidRDefault="00C4620B" w:rsidP="00C4620B">
      <w:r w:rsidRPr="008459EE">
        <w:t xml:space="preserve">The themes are also suggestive of the idea that care should be 'needs-driven' rather than 'disease-driven'. Older people who have other long-term conditions that are not cancer will need end-of-life care before the last few days and that need may include reduced functioning, re-admission to hospital or symptoms of concern, coupled with caring stress (Kawashima and Evans, 2023) (Evans et al., 2021; Remawi et al., 2023); early recognition and clear referral points along with planning in advance of end-of-life care will be essential. All four themes present the view that improving access will necessitate a 'whole system' response that enhances coordination of services, integrates record keeping, improves communication with a diverse population, focuses outreach upon deprived areas and better supports care homes </w:t>
      </w:r>
      <w:r w:rsidRPr="008459EE">
        <w:lastRenderedPageBreak/>
        <w:t>as well as family carers. The provision of respectful, comfortable and informed care for the older person can be achieved within community settings; it is a service to be delivered on the basis of need not diagnosis, at the right time, at the right place, for the older person concerned regardless of income, location, ethnicity, family support network, existing conditions or past medical history and across local health and social care pathways..</w:t>
      </w:r>
    </w:p>
    <w:p w14:paraId="65168533" w14:textId="065D25EE" w:rsidR="00C4620B" w:rsidRPr="00110FB5" w:rsidRDefault="00C4620B" w:rsidP="00110FB5">
      <w:pPr>
        <w:spacing w:line="278" w:lineRule="auto"/>
        <w:jc w:val="left"/>
        <w:rPr>
          <w:b/>
          <w:bCs/>
          <w:sz w:val="24"/>
        </w:rPr>
      </w:pPr>
      <w:bookmarkStart w:id="38" w:name="_Toc232206479"/>
      <w:r w:rsidRPr="00110FB5">
        <w:rPr>
          <w:b/>
          <w:bCs/>
          <w:sz w:val="24"/>
        </w:rPr>
        <w:t>CHAPTER 5: Recommendations and Conclusion</w:t>
      </w:r>
      <w:bookmarkEnd w:id="38"/>
    </w:p>
    <w:p w14:paraId="2C00D8A9" w14:textId="77777777" w:rsidR="00C4620B" w:rsidRPr="008459EE" w:rsidRDefault="00C4620B" w:rsidP="00C4620B">
      <w:pPr>
        <w:pStyle w:val="Heading2"/>
      </w:pPr>
      <w:bookmarkStart w:id="39" w:name="_Toc232206480"/>
      <w:r w:rsidRPr="008459EE">
        <w:t>5.1 Introduction</w:t>
      </w:r>
      <w:bookmarkEnd w:id="39"/>
    </w:p>
    <w:p w14:paraId="37848AC9" w14:textId="77777777" w:rsidR="00C4620B" w:rsidRPr="008459EE" w:rsidRDefault="00C4620B" w:rsidP="00C4620B">
      <w:r w:rsidRPr="008459EE">
        <w:t>This chapter summarises the key findings and conclusion from the dissertation. The research has used secondary literature to examine barriers in accessing community-based end-of-life care among elderly people in the UK, using thematic analysis to identify these barriers. Four key barriers were identified in Chapter 4: fragmentation of services and communication difficulties; cultural barriers and minority ethnic issues; social and economic inequality; and late referrals for non-cancer related conditions among older people. This highlights the fact that access issues related to organisational processes, professional practice, social deprivation, cultural awareness and diagnosis are all important factors in relation to access to services. Recommendations thus follow regarding coordination, equity, early identification, and practical support within community based end-of-life care.</w:t>
      </w:r>
    </w:p>
    <w:p w14:paraId="72CD0E1E" w14:textId="77777777" w:rsidR="00C4620B" w:rsidRPr="008459EE" w:rsidRDefault="00C4620B" w:rsidP="00C4620B">
      <w:pPr>
        <w:pStyle w:val="Heading2"/>
      </w:pPr>
      <w:bookmarkStart w:id="40" w:name="_Toc232206481"/>
      <w:r w:rsidRPr="008459EE">
        <w:t>5.2 Summary of Key Findings</w:t>
      </w:r>
      <w:bookmarkEnd w:id="40"/>
    </w:p>
    <w:p w14:paraId="3FA39194" w14:textId="29865D72" w:rsidR="00C4620B" w:rsidRPr="008459EE" w:rsidRDefault="00C4620B" w:rsidP="00C4620B">
      <w:r w:rsidRPr="008459EE">
        <w:t xml:space="preserve">It is evident that effective </w:t>
      </w:r>
      <w:proofErr w:type="gramStart"/>
      <w:r w:rsidRPr="008459EE">
        <w:t>community based</w:t>
      </w:r>
      <w:proofErr w:type="gramEnd"/>
      <w:r w:rsidRPr="008459EE">
        <w:t xml:space="preserve"> end-of-life care relies upon coordination between GPs, district nurses, hospices, care homes, social care, hospitals and family carers, otherwise service fragmentation leads to problems such as delayed care, duplicated assessments, poor information sharing and unnecessary admissions to hospital. that communication problems and lack of out-of-hours support can lead to families being uncertain where to seek care when their relative deteriorates. Secondly, that access is inequitable among older adults is demonstrated to highlight language and cultural barriers among minority ethnic groups, awareness of services, and mistrust. Socially deprived older people also have reduced access to care, due to difficulties navigating services, lack of personal resources, and limited support. These results emphasize that </w:t>
      </w:r>
      <w:proofErr w:type="gramStart"/>
      <w:r w:rsidRPr="008459EE">
        <w:t>community based</w:t>
      </w:r>
      <w:proofErr w:type="gramEnd"/>
      <w:r w:rsidRPr="008459EE">
        <w:t xml:space="preserve"> end-of-life care must be considered an issue of social equality, not simply clinical service delivery. Third, that non-cancer elderly people are susceptible to late referrals is highlighted, in arguing that palliative care needs to be provisioned based on individual need, not disease, because frailty, dementia, heart failure and multimorbidity all bring serious physical, emotional and practical challenges before the final days of a life cycle.</w:t>
      </w:r>
    </w:p>
    <w:p w14:paraId="0114BE33" w14:textId="77777777" w:rsidR="00C4620B" w:rsidRPr="008459EE" w:rsidRDefault="00C4620B" w:rsidP="00C4620B">
      <w:pPr>
        <w:pStyle w:val="Heading2"/>
      </w:pPr>
      <w:bookmarkStart w:id="41" w:name="_Toc232206482"/>
      <w:r w:rsidRPr="008459EE">
        <w:lastRenderedPageBreak/>
        <w:t>5.3 Recommendations</w:t>
      </w:r>
      <w:bookmarkEnd w:id="41"/>
    </w:p>
    <w:p w14:paraId="13D15F6E" w14:textId="1CBDA9B7" w:rsidR="00C4620B" w:rsidRPr="008459EE" w:rsidRDefault="00C4620B" w:rsidP="00C4620B">
      <w:r w:rsidRPr="008459EE">
        <w:t>First, coordinated working within the health and social care system should be promoted. Shared care plans, a united data system, unambiguous pathways for referral, and open communication lines between GPs, hospices, district nurses, hospitals and care homes would serve to reduce duplication and misunderstanding. It is proposed that in situations of end-of-life, older people who are most complex should be assigned a named care coordinator so there is always a point of contact for families in times of crisis. Second, a focus on extending out-of-hours care is critical as many families find support elusive in evenings and at weekends when symptoms may worsen. Urgent access to advice, appropriate medication, community nursing care and hospice support is needed to minimize avoidable emergency department visits and support care givers who are anxious about pain control, breathing difficulties or agitation at home. Third, needs based referral triggers should be developed for older people with non-cancer conditions. Such triggers could include a decline in function, recurrent hospitalisation, symptoms of suffering (e.g., uncontrolled pain or breathlessness), carer burnout, loss of appetite, increased dependency, and individual preference. The adoption of needs-based referral should precede palliative care introduction earlier in life.</w:t>
      </w:r>
    </w:p>
    <w:p w14:paraId="6246BB94" w14:textId="1CE0FCD1" w:rsidR="00C4620B" w:rsidRPr="008459EE" w:rsidRDefault="00C4620B" w:rsidP="00C4620B">
      <w:r w:rsidRPr="008459EE">
        <w:t>Fourth, culturally appropriate end-of-life care needs to be developed. Provision of translated information, access to interpreter services, training for staff on cultural humility, and discreet and sensitive discussion of issues such as faith, family responsibilities and care decision-making are important. Engagement with minority ethnic groups is necessary to raise awareness of the existence of palliative and end-of-life care services and build trust in services. Fifth, those living in social and economic deprived circumstances need to receive tailored outreach services. A more proactive approach including public awareness, assistance with service navigation, advice on social support, carer support, and practical issues such as equipment needs or transportation is required in these contexts. Monitoring of inequalities, by location, place of death, hospice service access and utilization of community services are important. Sixth, care homes should be better supported in their role as places of end-of-life care. Access to staff training, expert advice from specialists in palliative care, anticipation of the dying process and multidisciplinary review are all areas that need to be further developed to promote comfortable care at home for older people and prevent unnecessary transfers to hospital. It is essential that these recommendations are integrated within local care systems because the fragmented responsibility between organisations is a hindrance to well-developed policy, and regular evaluation through auditing and feedback from both the user and the carer is necessary to ensure improvement of access.</w:t>
      </w:r>
    </w:p>
    <w:p w14:paraId="4E970015" w14:textId="77777777" w:rsidR="00C4620B" w:rsidRPr="008459EE" w:rsidRDefault="00C4620B" w:rsidP="00C4620B">
      <w:pPr>
        <w:pStyle w:val="Heading2"/>
      </w:pPr>
      <w:bookmarkStart w:id="42" w:name="_Toc232206483"/>
      <w:r w:rsidRPr="008459EE">
        <w:lastRenderedPageBreak/>
        <w:t>5.4 Limitations of the Study</w:t>
      </w:r>
      <w:bookmarkEnd w:id="42"/>
    </w:p>
    <w:p w14:paraId="11EB0996" w14:textId="347981EF" w:rsidR="00C4620B" w:rsidRPr="008459EE" w:rsidRDefault="00C4620B" w:rsidP="00C4620B">
      <w:r w:rsidRPr="008459EE">
        <w:t>Since this dissertation is based on secondary research it lacks firsthand accounts from elderly patients, their families and professionals. Some of the studies included are region specific or focus on certain demographics or services and cannot thus be extrapolated to all contexts in the UK. The use of open access literature also meant that there might be studies behind paywalls that were relevant but not accessed. Nevertheless, studies used are current and reliable sources of literature and offer insight into service access issues. Future research using interviews from elderly people, family members, community nurses and hospice staff would offer a valuable perspective on accessing end of life care.</w:t>
      </w:r>
    </w:p>
    <w:p w14:paraId="00DB7ED0" w14:textId="77777777" w:rsidR="00C4620B" w:rsidRPr="008459EE" w:rsidRDefault="00C4620B" w:rsidP="00C4620B">
      <w:pPr>
        <w:pStyle w:val="Heading2"/>
      </w:pPr>
      <w:bookmarkStart w:id="43" w:name="_Toc232206484"/>
      <w:r w:rsidRPr="008459EE">
        <w:t>5.5 Conclusion</w:t>
      </w:r>
      <w:bookmarkEnd w:id="43"/>
    </w:p>
    <w:p w14:paraId="7F9C9154" w14:textId="4DCEEAFC" w:rsidR="00C4620B" w:rsidRPr="008459EE" w:rsidRDefault="00C4620B" w:rsidP="00C4620B">
      <w:r w:rsidRPr="008459EE">
        <w:t xml:space="preserve">It is argued within this dissertation that the barriers to accessing end-of-life care among elderly people in the UK are multifaceted. The principle barriers discussed revolve around fragmented care and communication, the diverse and complex barriers related to ethnic minority status, social and economic deprivation, and delayed referrals among non-cancer elderly people. If access is limited by these </w:t>
      </w:r>
      <w:proofErr w:type="gramStart"/>
      <w:r w:rsidRPr="008459EE">
        <w:t>barriers</w:t>
      </w:r>
      <w:proofErr w:type="gramEnd"/>
      <w:r w:rsidRPr="008459EE">
        <w:t xml:space="preserve"> dignity, individual choice and wellbeing are compromised and the care experienced by older adults at the end of life may not be what they want and deserve. The study suggests that end-of-life </w:t>
      </w:r>
      <w:proofErr w:type="gramStart"/>
      <w:r w:rsidRPr="008459EE">
        <w:t>community based</w:t>
      </w:r>
      <w:proofErr w:type="gramEnd"/>
      <w:r w:rsidRPr="008459EE">
        <w:t xml:space="preserve"> care should be accessible to everyone; it should be collaborative, culturally sensitive, and provisioned according to need so that older people can be identified earlier and support should be targeted to individual need to reduce unnecessary crisis situations and avoidable hospital transfers. A collective approach involving health services, social care, hospices, care homes, individuals and local commissioners are required to implement these changes so that older people can be supported to experience comfort, dignity and individualistic end-of-life care in a setting of their choice, while at the same time reducing pressure on acute hospitals.</w:t>
      </w:r>
    </w:p>
    <w:p w14:paraId="34804452" w14:textId="77777777" w:rsidR="00C4620B" w:rsidRPr="008459EE" w:rsidRDefault="00C4620B" w:rsidP="00C4620B"/>
    <w:p w14:paraId="37C9C618" w14:textId="77777777" w:rsidR="00C4620B" w:rsidRPr="008459EE" w:rsidRDefault="00C4620B" w:rsidP="00C4620B">
      <w:pPr>
        <w:spacing w:line="278" w:lineRule="auto"/>
        <w:jc w:val="left"/>
      </w:pPr>
      <w:r w:rsidRPr="008459EE">
        <w:br w:type="page"/>
      </w:r>
    </w:p>
    <w:p w14:paraId="52C16B6C" w14:textId="77777777" w:rsidR="00C4620B" w:rsidRPr="008459EE" w:rsidRDefault="00C4620B" w:rsidP="00C4620B">
      <w:pPr>
        <w:pStyle w:val="Heading1"/>
      </w:pPr>
      <w:bookmarkStart w:id="44" w:name="_Toc232206485"/>
      <w:r w:rsidRPr="008459EE">
        <w:lastRenderedPageBreak/>
        <w:t>References</w:t>
      </w:r>
      <w:bookmarkEnd w:id="44"/>
    </w:p>
    <w:p w14:paraId="3A52525E" w14:textId="77777777" w:rsidR="00C4620B" w:rsidRPr="008459EE" w:rsidRDefault="00C4620B" w:rsidP="00C4620B">
      <w:pPr>
        <w:ind w:left="720" w:hanging="720"/>
      </w:pPr>
      <w:r w:rsidRPr="008459EE">
        <w:t xml:space="preserve">Aker, N. et al. (2024) ‘Experiences and access of palliative and end of life care for older people from minority ethnic groups: a scoping review’, BMC Palliative Care, 23, article 228. Available at: </w:t>
      </w:r>
      <w:hyperlink r:id="rId14" w:history="1">
        <w:r w:rsidRPr="008459EE">
          <w:rPr>
            <w:rStyle w:val="Hyperlink"/>
          </w:rPr>
          <w:t>https://doi.org/10.1186/s12904-024-01555-8</w:t>
        </w:r>
      </w:hyperlink>
    </w:p>
    <w:p w14:paraId="032EB5A5" w14:textId="77777777" w:rsidR="00C4620B" w:rsidRPr="008459EE" w:rsidRDefault="00C4620B" w:rsidP="00C4620B">
      <w:pPr>
        <w:ind w:left="720" w:hanging="720"/>
      </w:pPr>
      <w:r w:rsidRPr="008459EE">
        <w:t xml:space="preserve">Bailey, C. et al. (2023) ‘“Palliative care is so much more than that”: a qualitative study of palliative care understanding among patients and carers’, Frontiers in Public Health, 11, article 1139313. Available at: </w:t>
      </w:r>
      <w:hyperlink r:id="rId15">
        <w:r w:rsidRPr="008459EE">
          <w:rPr>
            <w:color w:val="0563C1"/>
            <w:u w:val="single"/>
          </w:rPr>
          <w:t>https://doi.org/10.3389/fpubh.2023.1139313</w:t>
        </w:r>
      </w:hyperlink>
    </w:p>
    <w:p w14:paraId="31FB3816" w14:textId="77777777" w:rsidR="00C4620B" w:rsidRPr="008459EE" w:rsidRDefault="00C4620B" w:rsidP="00C4620B">
      <w:pPr>
        <w:ind w:left="720" w:hanging="720"/>
      </w:pPr>
      <w:r w:rsidRPr="008459EE">
        <w:t xml:space="preserve">Birtwistle, J. et al. (2022) ‘Electronic Palliative Care Coordination Systems (EPaCCS): a national survey of clinical commissioning groups’, PLOS ONE, 17(10), e0275991. Available at: </w:t>
      </w:r>
      <w:hyperlink r:id="rId16">
        <w:r w:rsidRPr="008459EE">
          <w:rPr>
            <w:color w:val="0563C1"/>
            <w:u w:val="single"/>
          </w:rPr>
          <w:t>https://doi.org/10.1371/journal.pone.0275991</w:t>
        </w:r>
      </w:hyperlink>
    </w:p>
    <w:p w14:paraId="0DA35FDE" w14:textId="77777777" w:rsidR="00C4620B" w:rsidRPr="008459EE" w:rsidRDefault="00C4620B" w:rsidP="00C4620B">
      <w:pPr>
        <w:ind w:left="720" w:hanging="720"/>
      </w:pPr>
      <w:r w:rsidRPr="008459EE">
        <w:t xml:space="preserve">Borgstrom, E., Jordan, J. and Henry, C. (2023) ‘Using the Ambitions for Palliative and End of Life Care framework: a qualitative study of service improvement and integration’, BMC Palliative Care, 22, article 83. Available at: </w:t>
      </w:r>
      <w:hyperlink r:id="rId17">
        <w:r w:rsidRPr="008459EE">
          <w:rPr>
            <w:color w:val="0563C1"/>
            <w:u w:val="single"/>
          </w:rPr>
          <w:t>https://doi.org/10.1186/s12904-023-01207-3</w:t>
        </w:r>
      </w:hyperlink>
    </w:p>
    <w:p w14:paraId="4FA170C9" w14:textId="77777777" w:rsidR="00C4620B" w:rsidRPr="008459EE" w:rsidRDefault="00C4620B" w:rsidP="00C4620B">
      <w:pPr>
        <w:ind w:left="720" w:hanging="720"/>
      </w:pPr>
      <w:r w:rsidRPr="008459EE">
        <w:t xml:space="preserve">Bourmorck, D. et al. (2023) ‘Supportive and Palliative Care Indicators Tool as a predictive tool for risk of one-year health degradation and death in older patients in the emergency department’, BMC Palliative Care, 22, article 79. Available at: </w:t>
      </w:r>
      <w:hyperlink r:id="rId18">
        <w:r w:rsidRPr="008459EE">
          <w:rPr>
            <w:color w:val="0563C1"/>
            <w:u w:val="single"/>
          </w:rPr>
          <w:t>https://doi.org/10.1186/s12904-023-01201-9</w:t>
        </w:r>
      </w:hyperlink>
    </w:p>
    <w:p w14:paraId="7F709E24" w14:textId="77777777" w:rsidR="00C4620B" w:rsidRPr="008459EE" w:rsidRDefault="00C4620B" w:rsidP="00C4620B">
      <w:pPr>
        <w:ind w:left="720" w:hanging="720"/>
      </w:pPr>
      <w:r w:rsidRPr="008459EE">
        <w:t xml:space="preserve">Bowers, B. et al. (2023) ‘Is end-of-life anticipatory prescribing always enough?’, BMJ, 381, p. 1106. Available at: </w:t>
      </w:r>
      <w:hyperlink r:id="rId19">
        <w:r w:rsidRPr="008459EE">
          <w:rPr>
            <w:color w:val="0563C1"/>
            <w:u w:val="single"/>
          </w:rPr>
          <w:t>https://doi.org/10.1136/bmj.p1106</w:t>
        </w:r>
      </w:hyperlink>
    </w:p>
    <w:p w14:paraId="1E6FC417" w14:textId="77777777" w:rsidR="00C4620B" w:rsidRPr="008459EE" w:rsidRDefault="00C4620B" w:rsidP="00C4620B">
      <w:pPr>
        <w:ind w:left="720" w:hanging="720"/>
      </w:pPr>
      <w:r w:rsidRPr="008459EE">
        <w:t xml:space="preserve">Bradshaw, A. et al. (2021) ‘Understanding and addressing challenges for advance care planning in the COVID-19 pandemic: an analysis of the UK CovPall survey data from specialist palliative care services’, Palliative Medicine, 35(7), pp. 1225–1237. Available at: </w:t>
      </w:r>
      <w:hyperlink r:id="rId20">
        <w:r w:rsidRPr="008459EE">
          <w:rPr>
            <w:color w:val="0563C1"/>
            <w:u w:val="single"/>
          </w:rPr>
          <w:t>https://doi.org/10.1177/02692163211017387</w:t>
        </w:r>
      </w:hyperlink>
    </w:p>
    <w:p w14:paraId="40C26752" w14:textId="77777777" w:rsidR="00C4620B" w:rsidRPr="008459EE" w:rsidRDefault="00C4620B" w:rsidP="00C4620B">
      <w:pPr>
        <w:ind w:left="720" w:hanging="720"/>
      </w:pPr>
      <w:r w:rsidRPr="008459EE">
        <w:t xml:space="preserve">Bradshaw, A. et al. (2023) ‘Provision of palliative and end-of-life care in UK care homes during the COVID-19 pandemic: a mixed methods observational study with implications for policy’, Frontiers in Public Health, 11, article 1058736. Available at: </w:t>
      </w:r>
      <w:hyperlink r:id="rId21" w:history="1">
        <w:r w:rsidRPr="008459EE">
          <w:rPr>
            <w:rStyle w:val="Hyperlink"/>
          </w:rPr>
          <w:t>https://doi.org/10.3389/fpubh.2023.1058736</w:t>
        </w:r>
      </w:hyperlink>
    </w:p>
    <w:p w14:paraId="7D027AC5" w14:textId="77777777" w:rsidR="00C4620B" w:rsidRPr="008459EE" w:rsidRDefault="00C4620B" w:rsidP="00C4620B">
      <w:pPr>
        <w:ind w:left="720" w:hanging="720"/>
      </w:pPr>
      <w:r w:rsidRPr="008459EE">
        <w:t xml:space="preserve">Braun, V. and Clarke, V. (2021) ‘Can I use TA? Should I use TA? Should I not use TA? Comparing reflexive thematic analysis and other pattern-based qualitative analytic approaches’, Counselling and Psychotherapy Research, 21(1), pp. 37–47. Available at: </w:t>
      </w:r>
      <w:hyperlink r:id="rId22" w:history="1">
        <w:r w:rsidRPr="008459EE">
          <w:rPr>
            <w:rStyle w:val="Hyperlink"/>
          </w:rPr>
          <w:t>https://doi.org/10.1002/capr.12360</w:t>
        </w:r>
      </w:hyperlink>
      <w:r w:rsidRPr="008459EE">
        <w:t xml:space="preserve"> </w:t>
      </w:r>
    </w:p>
    <w:p w14:paraId="632CCA6E" w14:textId="77777777" w:rsidR="00C4620B" w:rsidRPr="008459EE" w:rsidRDefault="00C4620B" w:rsidP="00C4620B">
      <w:pPr>
        <w:ind w:left="720" w:hanging="720"/>
      </w:pPr>
      <w:r w:rsidRPr="008459EE">
        <w:lastRenderedPageBreak/>
        <w:t xml:space="preserve">Braun, V. and Clarke, V. (2022) ‘Toward good practice in thematic analysis: Avoiding common problems and be(com)ing a knowing researcher’, International Journal of Transgender Health, 24(1), pp. 1–6. Available at: </w:t>
      </w:r>
      <w:hyperlink r:id="rId23" w:history="1">
        <w:r w:rsidRPr="008459EE">
          <w:rPr>
            <w:rStyle w:val="Hyperlink"/>
          </w:rPr>
          <w:t>https://doi.org/10.1080/26895269.2022.2129597</w:t>
        </w:r>
      </w:hyperlink>
      <w:r w:rsidRPr="008459EE">
        <w:t xml:space="preserve"> </w:t>
      </w:r>
    </w:p>
    <w:p w14:paraId="485EC955" w14:textId="77777777" w:rsidR="00C4620B" w:rsidRPr="008459EE" w:rsidRDefault="00C4620B" w:rsidP="00C4620B">
      <w:pPr>
        <w:ind w:left="720" w:hanging="720"/>
      </w:pPr>
      <w:r w:rsidRPr="008459EE">
        <w:t xml:space="preserve">Chambers, R.L. et al. (2022) ‘Inclusion of palliative and end of life care in health strategies aimed at integrated care: a document review’, Health Open Research, 4, article 19. Available at: </w:t>
      </w:r>
      <w:hyperlink r:id="rId24">
        <w:r w:rsidRPr="008459EE">
          <w:rPr>
            <w:color w:val="0563C1"/>
            <w:u w:val="single"/>
          </w:rPr>
          <w:t>https://doi.org/10.12688/amrcopenres.13079.2</w:t>
        </w:r>
      </w:hyperlink>
    </w:p>
    <w:p w14:paraId="775EA6E1" w14:textId="77777777" w:rsidR="00C4620B" w:rsidRPr="008459EE" w:rsidRDefault="00C4620B" w:rsidP="00C4620B">
      <w:pPr>
        <w:ind w:left="720" w:hanging="720"/>
      </w:pPr>
      <w:r w:rsidRPr="008459EE">
        <w:t xml:space="preserve">Close, H. et al. (2021) ‘Understanding everyday legal needs towards end of life: a nationwide survey of health and social care professionals’, BMC Palliative Care, 20, article 47. Available at: </w:t>
      </w:r>
      <w:hyperlink r:id="rId25">
        <w:r w:rsidRPr="008459EE">
          <w:rPr>
            <w:color w:val="0563C1"/>
            <w:u w:val="single"/>
          </w:rPr>
          <w:t>https://doi.org/10.1186/s12904-021-00739-w</w:t>
        </w:r>
      </w:hyperlink>
    </w:p>
    <w:p w14:paraId="05350040" w14:textId="77777777" w:rsidR="00C4620B" w:rsidRPr="008459EE" w:rsidRDefault="00C4620B" w:rsidP="00C4620B">
      <w:pPr>
        <w:ind w:left="720" w:hanging="720"/>
      </w:pPr>
      <w:r w:rsidRPr="008459EE">
        <w:t xml:space="preserve">de Nooijer, K. et al. (2022) ‘Palliative symptoms, concerns and well-being in older people with frailty and complex care needs upon hospital discharge: a cross-sectional study’, BMC Palliative Care, 21, article 173. Available at: </w:t>
      </w:r>
      <w:hyperlink r:id="rId26">
        <w:r w:rsidRPr="008459EE">
          <w:rPr>
            <w:color w:val="0563C1"/>
            <w:u w:val="single"/>
          </w:rPr>
          <w:t>https://doi.org/10.1186/s12904-022-01065-5</w:t>
        </w:r>
      </w:hyperlink>
    </w:p>
    <w:p w14:paraId="5D574A20" w14:textId="77777777" w:rsidR="00C4620B" w:rsidRPr="008459EE" w:rsidRDefault="00C4620B" w:rsidP="00C4620B">
      <w:pPr>
        <w:ind w:left="720" w:hanging="720"/>
      </w:pPr>
      <w:r w:rsidRPr="008459EE">
        <w:t xml:space="preserve">Dixon, K.C. et al. (2023) ‘Traveller end-of-life care experiences and needs: a thematic analysis of data from focus groups and interviews’, BMJ Supportive &amp; Palliative Care. Available at: </w:t>
      </w:r>
      <w:hyperlink r:id="rId27">
        <w:r w:rsidRPr="008459EE">
          <w:rPr>
            <w:color w:val="0563C1"/>
            <w:u w:val="single"/>
          </w:rPr>
          <w:t>https://doi.org/10.1136/spcare-2023-004284</w:t>
        </w:r>
      </w:hyperlink>
    </w:p>
    <w:p w14:paraId="78C39446" w14:textId="77777777" w:rsidR="00C4620B" w:rsidRPr="008459EE" w:rsidRDefault="00C4620B" w:rsidP="00C4620B">
      <w:pPr>
        <w:ind w:left="720" w:hanging="720"/>
      </w:pPr>
      <w:r w:rsidRPr="008459EE">
        <w:t xml:space="preserve">Dunleavy, L. et al. (2021) ‘“Necessity is the mother of invention”: specialist palliative care service innovation and practice change in response to COVID-19’, Palliative Medicine, 35(5), pp. 814–829. Available at: </w:t>
      </w:r>
      <w:hyperlink r:id="rId28">
        <w:r w:rsidRPr="008459EE">
          <w:rPr>
            <w:color w:val="0563C1"/>
            <w:u w:val="single"/>
          </w:rPr>
          <w:t>https://doi.org/10.1177/02692163211000660</w:t>
        </w:r>
      </w:hyperlink>
    </w:p>
    <w:p w14:paraId="021C3BCB" w14:textId="77777777" w:rsidR="00C4620B" w:rsidRPr="008459EE" w:rsidRDefault="00C4620B" w:rsidP="00C4620B">
      <w:pPr>
        <w:ind w:left="720" w:hanging="720"/>
      </w:pPr>
      <w:r w:rsidRPr="008459EE">
        <w:t xml:space="preserve">Effendy, C. et al. (2022) ‘Identifying palliative care needs of patients with non-communicable diseases in Indonesia using the SPICT tool: a descriptive cross-sectional study’, BMC Palliative Care, 21, article 13. Available at: </w:t>
      </w:r>
      <w:hyperlink r:id="rId29">
        <w:r w:rsidRPr="008459EE">
          <w:rPr>
            <w:color w:val="0563C1"/>
            <w:u w:val="single"/>
          </w:rPr>
          <w:t>https://doi.org/10.1186/s12904-021-00881-5</w:t>
        </w:r>
      </w:hyperlink>
    </w:p>
    <w:p w14:paraId="102E7FB0" w14:textId="77777777" w:rsidR="00C4620B" w:rsidRPr="008459EE" w:rsidRDefault="00C4620B" w:rsidP="00C4620B">
      <w:pPr>
        <w:ind w:left="720" w:hanging="720"/>
      </w:pPr>
      <w:r w:rsidRPr="008459EE">
        <w:t xml:space="preserve">ElMokhallalati, Y. et al. (2023) ‘Characteristics of good home-based end-of-life care: analysis of 5-year data from a nationwide mortality follow-back survey in England’, </w:t>
      </w:r>
      <w:r w:rsidRPr="008459EE">
        <w:rPr>
          <w:i/>
          <w:iCs/>
        </w:rPr>
        <w:t>British Journal of General Practice</w:t>
      </w:r>
      <w:r w:rsidRPr="008459EE">
        <w:t xml:space="preserve">, 73(731), pp. e443–e452. Available at: </w:t>
      </w:r>
      <w:hyperlink r:id="rId30" w:history="1">
        <w:r w:rsidRPr="008459EE">
          <w:rPr>
            <w:rStyle w:val="Hyperlink"/>
          </w:rPr>
          <w:t>https://doi.org/10.3399/BJGP.2022.0315</w:t>
        </w:r>
      </w:hyperlink>
    </w:p>
    <w:p w14:paraId="62E54B78" w14:textId="77777777" w:rsidR="00C4620B" w:rsidRPr="008459EE" w:rsidRDefault="00C4620B" w:rsidP="00C4620B">
      <w:pPr>
        <w:ind w:left="720" w:hanging="720"/>
      </w:pPr>
      <w:r w:rsidRPr="008459EE">
        <w:t xml:space="preserve">Evans, C.J. et al. (2021) ‘Community-based short-term integrated palliative and supportive care reduces symptom distress for older people with chronic noncancer conditions and their families: a mixed methods evaluation’, International Journal of Nursing Studies, 120, article 103978. Available at: </w:t>
      </w:r>
      <w:hyperlink r:id="rId31">
        <w:r w:rsidRPr="008459EE">
          <w:rPr>
            <w:color w:val="0563C1"/>
            <w:u w:val="single"/>
          </w:rPr>
          <w:t>https://doi.org/10.1016/j.ijnurstu.2021.103978</w:t>
        </w:r>
      </w:hyperlink>
    </w:p>
    <w:p w14:paraId="118D24D8" w14:textId="77777777" w:rsidR="00C4620B" w:rsidRPr="008459EE" w:rsidRDefault="00C4620B" w:rsidP="00C4620B">
      <w:pPr>
        <w:ind w:left="720" w:hanging="720"/>
      </w:pPr>
      <w:r w:rsidRPr="008459EE">
        <w:lastRenderedPageBreak/>
        <w:t xml:space="preserve">Fantoni, E.R., Wynne, N. and Finucane, A.M. (2024) ‘Estimates of population-level palliative care need in the UK: a descriptive analysis of mortality data’, BMC Palliative Care, 23, article 271. Available at: </w:t>
      </w:r>
      <w:hyperlink r:id="rId32">
        <w:r w:rsidRPr="008459EE">
          <w:rPr>
            <w:color w:val="0563C1"/>
            <w:u w:val="single"/>
          </w:rPr>
          <w:t>https://doi.org/10.1186/s12904-024-01574-5</w:t>
        </w:r>
      </w:hyperlink>
    </w:p>
    <w:p w14:paraId="6ECB3BAC" w14:textId="77777777" w:rsidR="00C4620B" w:rsidRPr="008459EE" w:rsidRDefault="00C4620B" w:rsidP="00C4620B">
      <w:pPr>
        <w:ind w:left="720" w:hanging="720"/>
      </w:pPr>
      <w:r w:rsidRPr="008459EE">
        <w:t xml:space="preserve">Firth, A.M. et al. (2025) ‘Out-of-hours care for palliative care patients: a qualitative study of service provision across the United Kingdom’, Palliative Medicine, 39(2), pp. 245–255. Available at: </w:t>
      </w:r>
      <w:hyperlink r:id="rId33">
        <w:r w:rsidRPr="008459EE">
          <w:rPr>
            <w:color w:val="0563C1"/>
            <w:u w:val="single"/>
          </w:rPr>
          <w:t>https://doi.org/10.1177/02692163241302671</w:t>
        </w:r>
      </w:hyperlink>
    </w:p>
    <w:p w14:paraId="05BD2116" w14:textId="77777777" w:rsidR="00C4620B" w:rsidRPr="008459EE" w:rsidRDefault="00C4620B" w:rsidP="00C4620B">
      <w:pPr>
        <w:ind w:left="720" w:hanging="720"/>
      </w:pPr>
      <w:r w:rsidRPr="008459EE">
        <w:t xml:space="preserve">French, M. et al. (2021) ‘Exploring socioeconomic inequities in access to palliative and end-of-life care in the UK: a narrative synthesis’, BMC Palliative Care, 20, article 179. Available at: </w:t>
      </w:r>
      <w:hyperlink r:id="rId34" w:history="1">
        <w:r w:rsidRPr="008459EE">
          <w:rPr>
            <w:rStyle w:val="Hyperlink"/>
          </w:rPr>
          <w:t>https://doi.org/10.1186/s12904-021-00878-0</w:t>
        </w:r>
      </w:hyperlink>
    </w:p>
    <w:p w14:paraId="43AAF62D" w14:textId="77777777" w:rsidR="00C4620B" w:rsidRPr="008459EE" w:rsidRDefault="00C4620B" w:rsidP="00C4620B">
      <w:pPr>
        <w:ind w:left="720" w:hanging="720"/>
      </w:pPr>
      <w:r w:rsidRPr="008459EE">
        <w:t xml:space="preserve">Goodrich, J. et al. (2022) ‘Essential components of models of out-of-hours community care for patients at the end of life: a systematic review’, Palliative Medicine, 36(9), pp. 1296–1304. Available at: </w:t>
      </w:r>
      <w:hyperlink r:id="rId35">
        <w:r w:rsidRPr="008459EE">
          <w:rPr>
            <w:color w:val="0563C1"/>
            <w:u w:val="single"/>
          </w:rPr>
          <w:t>https://doi.org/10.1177/02692163221106284</w:t>
        </w:r>
      </w:hyperlink>
    </w:p>
    <w:p w14:paraId="10B2E422" w14:textId="77777777" w:rsidR="00C4620B" w:rsidRPr="008459EE" w:rsidRDefault="00C4620B" w:rsidP="00C4620B">
      <w:pPr>
        <w:ind w:left="720" w:hanging="720"/>
      </w:pPr>
      <w:r w:rsidRPr="008459EE">
        <w:t xml:space="preserve">Gupta, M. et al. (2024) ‘Community-based palliative care needs and barriers to access among cancer patients in rural north India: a mixed methods study’, BMC Palliative Care, 23, article 240. Available at: </w:t>
      </w:r>
      <w:hyperlink r:id="rId36">
        <w:r w:rsidRPr="008459EE">
          <w:rPr>
            <w:color w:val="0563C1"/>
            <w:u w:val="single"/>
          </w:rPr>
          <w:t>https://doi.org/10.1186/s12904-024-01572-7</w:t>
        </w:r>
      </w:hyperlink>
    </w:p>
    <w:p w14:paraId="39E6A047" w14:textId="77777777" w:rsidR="00C4620B" w:rsidRPr="008459EE" w:rsidRDefault="00C4620B" w:rsidP="00C4620B">
      <w:pPr>
        <w:ind w:left="720" w:hanging="720"/>
      </w:pPr>
      <w:r w:rsidRPr="008459EE">
        <w:t xml:space="preserve">Hodge, G. et al. (2025) ‘Exploring perceived barriers to palliative and end of life care provision in South-West England: bringing together the perspectives of professionals, patients, and families’, </w:t>
      </w:r>
      <w:r w:rsidRPr="008459EE">
        <w:rPr>
          <w:i/>
          <w:iCs/>
        </w:rPr>
        <w:t>Frontiers in Sociology</w:t>
      </w:r>
      <w:r w:rsidRPr="008459EE">
        <w:t xml:space="preserve">, 9, 1488688. Available at: </w:t>
      </w:r>
      <w:hyperlink r:id="rId37" w:history="1">
        <w:r w:rsidRPr="008459EE">
          <w:rPr>
            <w:rStyle w:val="Hyperlink"/>
          </w:rPr>
          <w:t>https://doi.org/10.3389/fsoc.2024.1488688</w:t>
        </w:r>
      </w:hyperlink>
    </w:p>
    <w:p w14:paraId="5F9F98E9" w14:textId="77777777" w:rsidR="00C4620B" w:rsidRPr="008459EE" w:rsidRDefault="00C4620B" w:rsidP="00C4620B">
      <w:pPr>
        <w:ind w:left="720" w:hanging="720"/>
      </w:pPr>
      <w:r w:rsidRPr="008459EE">
        <w:t xml:space="preserve">Hughes, M.C. et al. (2023) ‘The effectiveness of community-based palliative care programme components: A systematic review’, </w:t>
      </w:r>
      <w:r w:rsidRPr="008459EE">
        <w:rPr>
          <w:i/>
          <w:iCs/>
        </w:rPr>
        <w:t>Age and Ageing</w:t>
      </w:r>
      <w:r w:rsidRPr="008459EE">
        <w:t xml:space="preserve">, 52(9), afad175. Available at: </w:t>
      </w:r>
      <w:hyperlink r:id="rId38" w:history="1">
        <w:r w:rsidRPr="008459EE">
          <w:rPr>
            <w:rStyle w:val="Hyperlink"/>
          </w:rPr>
          <w:t>https://doi.org/10.1093/ageing/afad175</w:t>
        </w:r>
      </w:hyperlink>
    </w:p>
    <w:p w14:paraId="08BA09AD" w14:textId="77777777" w:rsidR="00C4620B" w:rsidRPr="008459EE" w:rsidRDefault="00C4620B" w:rsidP="00C4620B">
      <w:pPr>
        <w:ind w:left="720" w:hanging="720"/>
      </w:pPr>
      <w:r w:rsidRPr="008459EE">
        <w:t xml:space="preserve">Immanuel, T. et al. (2024) ‘Supportive and palliative care needs among older adults in India: a national cross-sectional survey’, BMC Palliative Care, 23, article 274. Available at: </w:t>
      </w:r>
      <w:hyperlink r:id="rId39">
        <w:r w:rsidRPr="008459EE">
          <w:rPr>
            <w:color w:val="0563C1"/>
            <w:u w:val="single"/>
          </w:rPr>
          <w:t>https://doi.org/10.1186/s12904-024-01604-2</w:t>
        </w:r>
      </w:hyperlink>
    </w:p>
    <w:p w14:paraId="6411DBF5" w14:textId="77777777" w:rsidR="00C4620B" w:rsidRPr="008459EE" w:rsidRDefault="00C4620B" w:rsidP="00C4620B">
      <w:pPr>
        <w:ind w:left="720" w:hanging="720"/>
      </w:pPr>
      <w:r w:rsidRPr="008459EE">
        <w:t xml:space="preserve">Kawashima, A. and Evans, C.J. (2023) ‘Needs-based triggers for timely referral to palliative care for older adults severely affected by noncancer conditions: a systematic review and narrative synthesis’, </w:t>
      </w:r>
      <w:r w:rsidRPr="008459EE">
        <w:rPr>
          <w:i/>
          <w:iCs/>
        </w:rPr>
        <w:t>BMC Palliative Care</w:t>
      </w:r>
      <w:r w:rsidRPr="008459EE">
        <w:t xml:space="preserve">, 22, 20. Available at: </w:t>
      </w:r>
      <w:hyperlink r:id="rId40" w:history="1">
        <w:r w:rsidRPr="008459EE">
          <w:rPr>
            <w:rStyle w:val="Hyperlink"/>
          </w:rPr>
          <w:t>https://doi.org/10.1186/s12904-023-01131-6</w:t>
        </w:r>
      </w:hyperlink>
    </w:p>
    <w:p w14:paraId="1C3022FE" w14:textId="77777777" w:rsidR="00C4620B" w:rsidRPr="008459EE" w:rsidRDefault="00C4620B" w:rsidP="00C4620B">
      <w:pPr>
        <w:ind w:left="720" w:hanging="720"/>
      </w:pPr>
      <w:r w:rsidRPr="008459EE">
        <w:t xml:space="preserve">Leniz, J. et al. (2023) ‘Deaths at home, area-based deprivation and the effect of the COVID-19 pandemic: a population-based study’, Palliative Medicine, 37(7), pp. 1034–1039. Available at: </w:t>
      </w:r>
      <w:hyperlink r:id="rId41">
        <w:r w:rsidRPr="008459EE">
          <w:rPr>
            <w:color w:val="0563C1"/>
            <w:u w:val="single"/>
          </w:rPr>
          <w:t>https://doi.org/10.1177/02692163231167212</w:t>
        </w:r>
      </w:hyperlink>
    </w:p>
    <w:p w14:paraId="7DBB2DB5" w14:textId="77777777" w:rsidR="00C4620B" w:rsidRPr="008459EE" w:rsidRDefault="00C4620B" w:rsidP="00C4620B">
      <w:pPr>
        <w:ind w:left="720" w:hanging="720"/>
      </w:pPr>
      <w:r w:rsidRPr="008459EE">
        <w:lastRenderedPageBreak/>
        <w:t xml:space="preserve">Lin, C.P. and Chu, W.M. (2025) ‘Home-Based Palliative Care: Benefits, Challenges, Opportunities and Future Directions in a Super-Aged Society’, </w:t>
      </w:r>
      <w:r w:rsidRPr="008459EE">
        <w:rPr>
          <w:i/>
          <w:iCs/>
        </w:rPr>
        <w:t>Journal of Hospice and Palliative Care</w:t>
      </w:r>
      <w:r w:rsidRPr="008459EE">
        <w:t xml:space="preserve">, 28(3), pp. 81–88. Available at: </w:t>
      </w:r>
      <w:hyperlink r:id="rId42" w:history="1">
        <w:r w:rsidRPr="008459EE">
          <w:rPr>
            <w:rStyle w:val="Hyperlink"/>
          </w:rPr>
          <w:t>https://doi.org/10.14475/jhpc.2025.28.3.81</w:t>
        </w:r>
      </w:hyperlink>
    </w:p>
    <w:p w14:paraId="10D564E1" w14:textId="77777777" w:rsidR="00C4620B" w:rsidRPr="008459EE" w:rsidRDefault="00C4620B" w:rsidP="00C4620B">
      <w:pPr>
        <w:ind w:left="720" w:hanging="720"/>
      </w:pPr>
      <w:r w:rsidRPr="008459EE">
        <w:t xml:space="preserve">Macgregor, A. et al. (2023) ‘Supporting care home residents in the last year of life through “Needs Rounds”: development of a pre-implementation programme theory through a rapid collaborative online approach’, Frontiers in Health Services, 2, article 1019602. Available at: </w:t>
      </w:r>
      <w:hyperlink r:id="rId43" w:history="1">
        <w:r w:rsidRPr="008459EE">
          <w:rPr>
            <w:rStyle w:val="Hyperlink"/>
          </w:rPr>
          <w:t>https://doi.org/10.3389/frhs.2022.1019602</w:t>
        </w:r>
      </w:hyperlink>
    </w:p>
    <w:p w14:paraId="658BC368" w14:textId="77777777" w:rsidR="00C4620B" w:rsidRPr="008459EE" w:rsidRDefault="00C4620B" w:rsidP="00C4620B">
      <w:pPr>
        <w:ind w:left="720" w:hanging="720"/>
      </w:pPr>
      <w:r w:rsidRPr="008459EE">
        <w:t xml:space="preserve">Mitchell, S. et al. (2021) ‘Community end-of-life care during the COVID-19 pandemic: findings from a UK primary care survey’, BJGP Open, 5(4), BJGPO.2021.0095. Available at: </w:t>
      </w:r>
      <w:hyperlink r:id="rId44">
        <w:r w:rsidRPr="008459EE">
          <w:rPr>
            <w:color w:val="0563C1"/>
            <w:u w:val="single"/>
          </w:rPr>
          <w:t>https://doi.org/10.3399/BJGPO.2021.0095</w:t>
        </w:r>
      </w:hyperlink>
    </w:p>
    <w:p w14:paraId="3DD46B69" w14:textId="77777777" w:rsidR="00C4620B" w:rsidRPr="008459EE" w:rsidRDefault="00C4620B" w:rsidP="00C4620B">
      <w:pPr>
        <w:ind w:left="720" w:hanging="720"/>
      </w:pPr>
      <w:r w:rsidRPr="008459EE">
        <w:t xml:space="preserve">Murray, S.A. et al. (2024) ‘Using illness trajectories to inform person-centred advance care planning’, BMJ, 384, e067896. Available at: </w:t>
      </w:r>
      <w:hyperlink r:id="rId45">
        <w:r w:rsidRPr="008459EE">
          <w:rPr>
            <w:color w:val="0563C1"/>
            <w:u w:val="single"/>
          </w:rPr>
          <w:t>https://doi.org/10.1136/bmj-2021-067896</w:t>
        </w:r>
      </w:hyperlink>
    </w:p>
    <w:p w14:paraId="192973F0" w14:textId="77777777" w:rsidR="00C4620B" w:rsidRPr="008459EE" w:rsidRDefault="00C4620B" w:rsidP="00C4620B">
      <w:pPr>
        <w:ind w:left="720" w:hanging="720"/>
      </w:pPr>
      <w:r w:rsidRPr="008459EE">
        <w:t xml:space="preserve">Nicholson, C.J. et al. (2023) ‘Addressing inequity in palliative care provision for older people living with multimorbidity. Perspectives of community-dwelling older people on their palliative care needs: A scoping review’, </w:t>
      </w:r>
      <w:r w:rsidRPr="008459EE">
        <w:rPr>
          <w:i/>
          <w:iCs/>
        </w:rPr>
        <w:t>Palliative Medicine</w:t>
      </w:r>
      <w:r w:rsidRPr="008459EE">
        <w:t xml:space="preserve">, 37(4), pp. 449–466. Available at: </w:t>
      </w:r>
      <w:hyperlink r:id="rId46" w:history="1">
        <w:r w:rsidRPr="008459EE">
          <w:rPr>
            <w:rStyle w:val="Hyperlink"/>
          </w:rPr>
          <w:t>https://doi.org/10.1177/02692163221118230</w:t>
        </w:r>
      </w:hyperlink>
    </w:p>
    <w:p w14:paraId="66517B07" w14:textId="77777777" w:rsidR="00C4620B" w:rsidRPr="008459EE" w:rsidRDefault="00C4620B" w:rsidP="00C4620B">
      <w:pPr>
        <w:ind w:left="720" w:hanging="720"/>
      </w:pPr>
      <w:r w:rsidRPr="008459EE">
        <w:t xml:space="preserve">Ogi, M. et al. (2021) ‘Community access to palliative care medicines: patient and professional experience: systematic review and narrative synthesis’, BMJ Supportive &amp; Palliative Care, 14(e2), pp. e1565–e1575. Available at: </w:t>
      </w:r>
      <w:hyperlink r:id="rId47" w:history="1">
        <w:r w:rsidRPr="008459EE">
          <w:rPr>
            <w:rStyle w:val="Hyperlink"/>
          </w:rPr>
          <w:t>https://doi.org/10.1136/bmjspcare-2020-002761</w:t>
        </w:r>
      </w:hyperlink>
    </w:p>
    <w:p w14:paraId="5EE9A843" w14:textId="77777777" w:rsidR="00C4620B" w:rsidRPr="008459EE" w:rsidRDefault="00C4620B" w:rsidP="00C4620B">
      <w:pPr>
        <w:ind w:left="720" w:hanging="720"/>
      </w:pPr>
      <w:r w:rsidRPr="008459EE">
        <w:t xml:space="preserve">Orlovic, M., Droney, J. and Vickerstaff, V. (2023) ‘The accuracy of clinical predictions of survival in people with palliative care needs at the end of life: a cohort study from urgent care records’, BMC Palliative Care, 22, article 51. Available at: </w:t>
      </w:r>
      <w:hyperlink r:id="rId48">
        <w:r w:rsidRPr="008459EE">
          <w:rPr>
            <w:color w:val="0563C1"/>
            <w:u w:val="single"/>
          </w:rPr>
          <w:t>https://doi.org/10.1186/s12904-023-01155-y</w:t>
        </w:r>
      </w:hyperlink>
    </w:p>
    <w:p w14:paraId="44E901AF" w14:textId="77777777" w:rsidR="00C4620B" w:rsidRPr="008459EE" w:rsidRDefault="00C4620B" w:rsidP="00C4620B">
      <w:pPr>
        <w:ind w:left="720" w:hanging="720"/>
      </w:pPr>
      <w:r w:rsidRPr="008459EE">
        <w:t xml:space="preserve">Pairojkul, S. et al. (2021) ‘Integration of specialist palliative care into tertiary hospitals: a multicentre survey of palliative care development’, Palliative Medicine Reports, 2(1), pp. 272–279. Available at: </w:t>
      </w:r>
      <w:hyperlink r:id="rId49">
        <w:r w:rsidRPr="008459EE">
          <w:rPr>
            <w:color w:val="0563C1"/>
            <w:u w:val="single"/>
          </w:rPr>
          <w:t>https://doi.org/10.1089/pmr.2021.0003</w:t>
        </w:r>
      </w:hyperlink>
    </w:p>
    <w:p w14:paraId="39F26D44" w14:textId="77777777" w:rsidR="00C4620B" w:rsidRPr="008459EE" w:rsidRDefault="00C4620B" w:rsidP="00C4620B">
      <w:pPr>
        <w:ind w:left="720" w:hanging="720"/>
      </w:pPr>
      <w:r w:rsidRPr="008459EE">
        <w:t xml:space="preserve">Pask, S. et al. (2025) ‘Models, components and outcomes of palliative and end-of-life care provided to adults living at home: A systematic umbrella review of reviews’, </w:t>
      </w:r>
      <w:r w:rsidRPr="008459EE">
        <w:rPr>
          <w:i/>
          <w:iCs/>
        </w:rPr>
        <w:t>Palliative Medicine</w:t>
      </w:r>
      <w:r w:rsidRPr="008459EE">
        <w:t xml:space="preserve">. Available at: </w:t>
      </w:r>
      <w:hyperlink r:id="rId50" w:history="1">
        <w:r w:rsidRPr="008459EE">
          <w:rPr>
            <w:rStyle w:val="Hyperlink"/>
          </w:rPr>
          <w:t>https://doi.org/10.1177/02692163251362567</w:t>
        </w:r>
      </w:hyperlink>
    </w:p>
    <w:p w14:paraId="2456A99D" w14:textId="77777777" w:rsidR="00C4620B" w:rsidRPr="008459EE" w:rsidRDefault="00C4620B" w:rsidP="00C4620B">
      <w:pPr>
        <w:ind w:left="720" w:hanging="720"/>
      </w:pPr>
      <w:r w:rsidRPr="008459EE">
        <w:lastRenderedPageBreak/>
        <w:t xml:space="preserve">Petrova, M. et al. (2021) ‘Timely community palliative and end-of-life care: a realist synthesis’, BMJ Supportive &amp; Palliative Care. Available at: </w:t>
      </w:r>
      <w:hyperlink r:id="rId51">
        <w:r w:rsidRPr="008459EE">
          <w:rPr>
            <w:color w:val="0563C1"/>
            <w:u w:val="single"/>
          </w:rPr>
          <w:t>https://doi.org/10.1136/bmjspcare-2021-003066</w:t>
        </w:r>
      </w:hyperlink>
    </w:p>
    <w:p w14:paraId="2BB5B2B2" w14:textId="77777777" w:rsidR="00C4620B" w:rsidRPr="008459EE" w:rsidRDefault="00C4620B" w:rsidP="00C4620B">
      <w:pPr>
        <w:ind w:left="720" w:hanging="720"/>
      </w:pPr>
      <w:r w:rsidRPr="008459EE">
        <w:t xml:space="preserve">Piers, R. et al. (2021) ‘Supportive and Palliative Care Indicators Tool prognostic value in older hospitalised patients: a prospective multicentre study’, BMJ Supportive &amp; Palliative Care. Available at: </w:t>
      </w:r>
      <w:hyperlink r:id="rId52">
        <w:r w:rsidRPr="008459EE">
          <w:rPr>
            <w:color w:val="0563C1"/>
            <w:u w:val="single"/>
          </w:rPr>
          <w:t>https://doi.org/10.1136/bmjspcare-2021-003042</w:t>
        </w:r>
      </w:hyperlink>
    </w:p>
    <w:p w14:paraId="74951527" w14:textId="77777777" w:rsidR="00C4620B" w:rsidRPr="008459EE" w:rsidRDefault="00C4620B" w:rsidP="00C4620B">
      <w:pPr>
        <w:ind w:left="720" w:hanging="720"/>
      </w:pPr>
      <w:r w:rsidRPr="008459EE">
        <w:t xml:space="preserve">Polak, L. and Etkind, S. (2024) ‘Who “needs” community palliative care? Prognosis-centred registers disadvantage frail older people’, British Journal of General Practice, 74(739), pp. 56–57. Available at: </w:t>
      </w:r>
      <w:hyperlink r:id="rId53">
        <w:r w:rsidRPr="008459EE">
          <w:rPr>
            <w:color w:val="0563C1"/>
            <w:u w:val="single"/>
          </w:rPr>
          <w:t>https://doi.org/10.3399/bjgp24X736161</w:t>
        </w:r>
      </w:hyperlink>
    </w:p>
    <w:p w14:paraId="165965BE" w14:textId="77777777" w:rsidR="00C4620B" w:rsidRPr="008459EE" w:rsidRDefault="00C4620B" w:rsidP="00C4620B">
      <w:pPr>
        <w:ind w:left="720" w:hanging="720"/>
      </w:pPr>
      <w:r w:rsidRPr="008459EE">
        <w:t xml:space="preserve">Remawi, B.N., Gadoud, A. and Preston, N. (2023) ‘Management of patients with advanced heart failure in palliative care: a qualitative study of current service provision’, BMC Palliative Care, 22, article 115. Available at: </w:t>
      </w:r>
      <w:hyperlink r:id="rId54">
        <w:r w:rsidRPr="008459EE">
          <w:rPr>
            <w:color w:val="0563C1"/>
            <w:u w:val="single"/>
          </w:rPr>
          <w:t>https://doi.org/10.1186/s12904-023-01241-1</w:t>
        </w:r>
      </w:hyperlink>
    </w:p>
    <w:p w14:paraId="7EA0E523" w14:textId="77777777" w:rsidR="00C4620B" w:rsidRPr="008459EE" w:rsidRDefault="00C4620B" w:rsidP="00C4620B">
      <w:pPr>
        <w:ind w:left="720" w:hanging="720"/>
      </w:pPr>
      <w:r w:rsidRPr="008459EE">
        <w:t xml:space="preserve">Rethlefsen, M.L. et al. (2021) ‘PRISMA-S: an extension to the PRISMA Statement for Reporting Literature Searches in Systematic Reviews’, Systematic Reviews, 10, 39. Available at: </w:t>
      </w:r>
      <w:hyperlink r:id="rId55" w:history="1">
        <w:r w:rsidRPr="008459EE">
          <w:rPr>
            <w:rStyle w:val="Hyperlink"/>
          </w:rPr>
          <w:t>https://doi.org/10.1186/s13643-020-01542-z</w:t>
        </w:r>
      </w:hyperlink>
      <w:r w:rsidRPr="008459EE">
        <w:t xml:space="preserve"> </w:t>
      </w:r>
    </w:p>
    <w:p w14:paraId="7D837BFA" w14:textId="77777777" w:rsidR="00C4620B" w:rsidRPr="008459EE" w:rsidRDefault="00C4620B" w:rsidP="00C4620B">
      <w:pPr>
        <w:ind w:left="720" w:hanging="720"/>
      </w:pPr>
      <w:r w:rsidRPr="008459EE">
        <w:t xml:space="preserve">Robinson, L. et al. (2025) ‘Exploring older people’s end-of-life care preferences over time: a scoping review’, Palliative Medicine, 39(6), pp. 665–677. Available at: </w:t>
      </w:r>
      <w:hyperlink r:id="rId56" w:history="1">
        <w:r w:rsidRPr="008459EE">
          <w:rPr>
            <w:rStyle w:val="Hyperlink"/>
          </w:rPr>
          <w:t>https://doi.org/10.1177/02692163251331161</w:t>
        </w:r>
      </w:hyperlink>
    </w:p>
    <w:p w14:paraId="38382739" w14:textId="77777777" w:rsidR="00C4620B" w:rsidRPr="008459EE" w:rsidRDefault="00C4620B" w:rsidP="00C4620B">
      <w:pPr>
        <w:ind w:left="720" w:hanging="720"/>
      </w:pPr>
      <w:r w:rsidRPr="008459EE">
        <w:t xml:space="preserve">Rogers, A. et al. (2023) ‘Palliative care and Parkinson’s disease: a Delphi study of clinical indicators and service priorities’, BMJ Supportive &amp; Palliative Care, 13(2), pp. 255–262. Available at: </w:t>
      </w:r>
      <w:hyperlink r:id="rId57">
        <w:r w:rsidRPr="008459EE">
          <w:rPr>
            <w:color w:val="0563C1"/>
            <w:u w:val="single"/>
          </w:rPr>
          <w:t>https://doi.org/10.1136/spcare-2022-003904</w:t>
        </w:r>
      </w:hyperlink>
    </w:p>
    <w:p w14:paraId="5D4583DB" w14:textId="77777777" w:rsidR="00C4620B" w:rsidRPr="008459EE" w:rsidRDefault="00C4620B" w:rsidP="00C4620B">
      <w:pPr>
        <w:ind w:left="720" w:hanging="720"/>
      </w:pPr>
      <w:r w:rsidRPr="008459EE">
        <w:t xml:space="preserve">Rosa, W.E. et al. (2023) ‘Palliative and end-of-life care needs, experiences, and preferences of LGBTQ+ people with serious illness: a systematic review’, Palliative Medicine, 37(4), pp. 460–474. Available at: </w:t>
      </w:r>
      <w:hyperlink r:id="rId58">
        <w:r w:rsidRPr="008459EE">
          <w:rPr>
            <w:color w:val="0563C1"/>
            <w:u w:val="single"/>
          </w:rPr>
          <w:t>https://doi.org/10.1177/02692163221124426</w:t>
        </w:r>
      </w:hyperlink>
    </w:p>
    <w:p w14:paraId="4EE053B5" w14:textId="77777777" w:rsidR="00C4620B" w:rsidRPr="008459EE" w:rsidRDefault="00C4620B" w:rsidP="00C4620B">
      <w:pPr>
        <w:ind w:left="720" w:hanging="720"/>
      </w:pPr>
      <w:r w:rsidRPr="008459EE">
        <w:t xml:space="preserve">Sausman, J. et al. (2023) ‘Healthcare professionals’ perspectives of the management of people with palliative care needs in the emergency department of a UK hospital’, BMC Palliative Care, 22, article 129. Available at: </w:t>
      </w:r>
      <w:hyperlink r:id="rId59" w:history="1">
        <w:r w:rsidRPr="008459EE">
          <w:rPr>
            <w:rStyle w:val="Hyperlink"/>
          </w:rPr>
          <w:t>https://doi.org/10.1186/s12904-023-01248-8</w:t>
        </w:r>
      </w:hyperlink>
    </w:p>
    <w:p w14:paraId="0EF816DB" w14:textId="77777777" w:rsidR="00C4620B" w:rsidRPr="008459EE" w:rsidRDefault="00C4620B" w:rsidP="00C4620B">
      <w:pPr>
        <w:ind w:left="720" w:hanging="720"/>
      </w:pPr>
      <w:r w:rsidRPr="008459EE">
        <w:t xml:space="preserve">Silies, K.T., Köpke, S. and Schnakenberg, R. (2022) ‘Informal caregivers and advance care planning: a systematic review of their experiences, roles and needs’, BMJ Supportive &amp; Palliative Care, 12(e3), pp. e472–e483. Available at: </w:t>
      </w:r>
      <w:hyperlink r:id="rId60">
        <w:r w:rsidRPr="008459EE">
          <w:rPr>
            <w:color w:val="0563C1"/>
            <w:u w:val="single"/>
          </w:rPr>
          <w:t>https://doi.org/10.1136/bmjspcare-2021-003095</w:t>
        </w:r>
      </w:hyperlink>
    </w:p>
    <w:p w14:paraId="5E9189B4" w14:textId="77777777" w:rsidR="00C4620B" w:rsidRPr="008459EE" w:rsidRDefault="00C4620B" w:rsidP="00C4620B">
      <w:pPr>
        <w:ind w:left="720" w:hanging="720"/>
      </w:pPr>
      <w:r w:rsidRPr="008459EE">
        <w:lastRenderedPageBreak/>
        <w:t xml:space="preserve">Sítima, G., Galhardo-Branco, C. and Reis-Pina, P. (2024) ‘Equity of access to palliative care: a scoping review’, </w:t>
      </w:r>
      <w:r w:rsidRPr="008459EE">
        <w:rPr>
          <w:i/>
          <w:iCs/>
        </w:rPr>
        <w:t>International Journal for Equity in Health</w:t>
      </w:r>
      <w:r w:rsidRPr="008459EE">
        <w:t xml:space="preserve">, 23, 248. Available at: </w:t>
      </w:r>
      <w:hyperlink r:id="rId61" w:history="1">
        <w:r w:rsidRPr="008459EE">
          <w:rPr>
            <w:rStyle w:val="Hyperlink"/>
          </w:rPr>
          <w:t>https://doi.org/10.1186/s12939-024-02321-1</w:t>
        </w:r>
      </w:hyperlink>
    </w:p>
    <w:p w14:paraId="105C966F" w14:textId="77777777" w:rsidR="00C4620B" w:rsidRPr="008459EE" w:rsidRDefault="00C4620B" w:rsidP="00C4620B">
      <w:pPr>
        <w:ind w:left="720" w:hanging="720"/>
      </w:pPr>
      <w:r w:rsidRPr="008459EE">
        <w:t xml:space="preserve">Sleeman, K.E. et al. (2021) ‘Palliative and end of life care research in the UK: a review of the policy landscape’, BMC Palliative Care, 20, article 30. Available at: </w:t>
      </w:r>
      <w:hyperlink r:id="rId62">
        <w:r w:rsidRPr="008459EE">
          <w:rPr>
            <w:color w:val="0563C1"/>
            <w:u w:val="single"/>
          </w:rPr>
          <w:t>https://doi.org/10.1186/s12904-021-00802-6</w:t>
        </w:r>
      </w:hyperlink>
    </w:p>
    <w:p w14:paraId="4B03E435" w14:textId="77777777" w:rsidR="00C4620B" w:rsidRPr="008459EE" w:rsidRDefault="00C4620B" w:rsidP="00C4620B">
      <w:pPr>
        <w:ind w:left="720" w:hanging="720"/>
      </w:pPr>
      <w:r w:rsidRPr="008459EE">
        <w:t xml:space="preserve">Tobin, J. et al. (2022) ‘Hospice care access inequalities: a systematic review and narrative synthesis’, </w:t>
      </w:r>
      <w:r w:rsidRPr="008459EE">
        <w:rPr>
          <w:i/>
          <w:iCs/>
        </w:rPr>
        <w:t>BMJ Supportive &amp; Palliative Care</w:t>
      </w:r>
      <w:r w:rsidRPr="008459EE">
        <w:t xml:space="preserve">, 12(2), pp. 142–151. Available at: </w:t>
      </w:r>
      <w:hyperlink r:id="rId63" w:history="1">
        <w:r w:rsidRPr="008459EE">
          <w:rPr>
            <w:rStyle w:val="Hyperlink"/>
          </w:rPr>
          <w:t>https://doi.org/10.1136/bmjspcare-2020-002719</w:t>
        </w:r>
      </w:hyperlink>
    </w:p>
    <w:p w14:paraId="6F56B4D2" w14:textId="77777777" w:rsidR="00C4620B" w:rsidRPr="008459EE" w:rsidRDefault="00C4620B" w:rsidP="00C4620B">
      <w:pPr>
        <w:ind w:left="720" w:hanging="720"/>
      </w:pPr>
      <w:r w:rsidRPr="008459EE">
        <w:t xml:space="preserve">Weetman, K. et al. (2022) ‘Communication of palliative care needs in discharge letters from hospice providers to primary care: a qualitative study’, BMC Palliative Care, 21, article 155. Available at: </w:t>
      </w:r>
      <w:hyperlink r:id="rId64">
        <w:r w:rsidRPr="008459EE">
          <w:rPr>
            <w:color w:val="0563C1"/>
            <w:u w:val="single"/>
          </w:rPr>
          <w:t>https://doi.org/10.1186/s12904-022-01038-8</w:t>
        </w:r>
      </w:hyperlink>
    </w:p>
    <w:p w14:paraId="6C63C7E2" w14:textId="77777777" w:rsidR="00C4620B" w:rsidRPr="008459EE" w:rsidRDefault="00C4620B" w:rsidP="00C4620B">
      <w:pPr>
        <w:ind w:left="720" w:hanging="720"/>
      </w:pPr>
      <w:r w:rsidRPr="008459EE">
        <w:t xml:space="preserve">Wilkin, K., Fang, M.L. and Sixsmith, J. (2024) ‘Implementing advance care planning in palliative and end of life care: a scoping review of community nursing perspectives’, </w:t>
      </w:r>
      <w:r w:rsidRPr="008459EE">
        <w:rPr>
          <w:i/>
          <w:iCs/>
        </w:rPr>
        <w:t>BMC Geriatrics</w:t>
      </w:r>
      <w:r w:rsidRPr="008459EE">
        <w:t xml:space="preserve">, 24, 294. Available at: </w:t>
      </w:r>
      <w:hyperlink r:id="rId65" w:history="1">
        <w:r w:rsidRPr="008459EE">
          <w:rPr>
            <w:rStyle w:val="Hyperlink"/>
          </w:rPr>
          <w:t>https://doi.org/10.1186/s12877-024-04888-4</w:t>
        </w:r>
      </w:hyperlink>
    </w:p>
    <w:p w14:paraId="54D67B52" w14:textId="59FC525B" w:rsidR="00631AEF" w:rsidRDefault="00C4620B" w:rsidP="003C4A0A">
      <w:pPr>
        <w:ind w:left="720" w:hanging="720"/>
      </w:pPr>
      <w:r w:rsidRPr="008459EE">
        <w:t xml:space="preserve">Xie, Z. et al. (2023) ‘Screening instruments for early identification of unmet palliative care needs: a systematic review’, BMJ Supportive &amp; Palliative Care. Available at: </w:t>
      </w:r>
      <w:hyperlink r:id="rId66">
        <w:r w:rsidRPr="008459EE">
          <w:rPr>
            <w:color w:val="0563C1"/>
            <w:u w:val="single"/>
          </w:rPr>
          <w:t>https://doi.org/10.1136/spcare-2023-004465</w:t>
        </w:r>
      </w:hyperlink>
    </w:p>
    <w:p w14:paraId="4F0169E8" w14:textId="77777777" w:rsidR="00631AEF" w:rsidRDefault="00631AEF" w:rsidP="00C4620B">
      <w:pPr>
        <w:ind w:left="720" w:hanging="720"/>
      </w:pPr>
    </w:p>
    <w:p w14:paraId="76B13D17" w14:textId="77777777" w:rsidR="005F5EA4" w:rsidRDefault="005F5EA4" w:rsidP="00C4620B">
      <w:pPr>
        <w:ind w:left="720" w:hanging="720"/>
      </w:pPr>
    </w:p>
    <w:p w14:paraId="7DBC8886" w14:textId="77777777" w:rsidR="005F5EA4" w:rsidRDefault="005F5EA4" w:rsidP="00C4620B">
      <w:pPr>
        <w:ind w:left="720" w:hanging="720"/>
      </w:pPr>
    </w:p>
    <w:p w14:paraId="4CC6E5BE" w14:textId="77777777" w:rsidR="005F5EA4" w:rsidRDefault="005F5EA4" w:rsidP="005F5EA4">
      <w:pPr>
        <w:ind w:left="720" w:hanging="720"/>
      </w:pPr>
    </w:p>
    <w:p w14:paraId="191B3E7B" w14:textId="77777777" w:rsidR="005F5EA4" w:rsidRDefault="005F5EA4" w:rsidP="005F5EA4">
      <w:pPr>
        <w:ind w:left="720" w:hanging="720"/>
      </w:pPr>
    </w:p>
    <w:p w14:paraId="2BB18662" w14:textId="77777777" w:rsidR="005F5EA4" w:rsidRDefault="005F5EA4" w:rsidP="005F5EA4">
      <w:pPr>
        <w:ind w:left="720" w:hanging="720"/>
      </w:pPr>
    </w:p>
    <w:p w14:paraId="62322251" w14:textId="77777777" w:rsidR="005F5EA4" w:rsidRDefault="005F5EA4" w:rsidP="005F5EA4">
      <w:pPr>
        <w:ind w:left="720" w:hanging="720"/>
      </w:pPr>
    </w:p>
    <w:p w14:paraId="25DE9E78" w14:textId="77777777" w:rsidR="005F5EA4" w:rsidRDefault="005F5EA4" w:rsidP="005F5EA4">
      <w:pPr>
        <w:ind w:left="720" w:hanging="720"/>
      </w:pPr>
    </w:p>
    <w:p w14:paraId="7D6DF063" w14:textId="77777777" w:rsidR="005F5EA4" w:rsidRDefault="005F5EA4" w:rsidP="005F5EA4">
      <w:pPr>
        <w:ind w:left="720" w:hanging="720"/>
      </w:pPr>
    </w:p>
    <w:p w14:paraId="49B225BF" w14:textId="77777777" w:rsidR="005F5EA4" w:rsidRDefault="005F5EA4" w:rsidP="005F5EA4">
      <w:pPr>
        <w:ind w:left="720" w:hanging="720"/>
      </w:pPr>
    </w:p>
    <w:p w14:paraId="1F8E7643" w14:textId="77777777" w:rsidR="005F5EA4" w:rsidRDefault="005F5EA4" w:rsidP="005F5EA4">
      <w:pPr>
        <w:ind w:left="720" w:hanging="720"/>
      </w:pPr>
    </w:p>
    <w:p w14:paraId="0342A168" w14:textId="375B9A2B" w:rsidR="005F5EA4" w:rsidRDefault="005F5EA4" w:rsidP="005F5EA4">
      <w:pPr>
        <w:ind w:left="720" w:hanging="720"/>
      </w:pPr>
      <w:r>
        <w:lastRenderedPageBreak/>
        <w:t xml:space="preserve">6.2 </w:t>
      </w:r>
      <w:r w:rsidRPr="005F5EA4">
        <w:rPr>
          <w:b/>
          <w:bCs/>
        </w:rPr>
        <w:t>– Appendices</w:t>
      </w:r>
      <w:r>
        <w:t xml:space="preserve"> </w:t>
      </w:r>
    </w:p>
    <w:p w14:paraId="4607DC99" w14:textId="6527B1F6" w:rsidR="005F5EA4" w:rsidRDefault="005F5EA4" w:rsidP="005F5EA4">
      <w:pPr>
        <w:ind w:left="720" w:hanging="720"/>
      </w:pPr>
      <w:r w:rsidRPr="005F5EA4">
        <w:t>BMHP6020 Independent Project Source Tracking Table</w:t>
      </w:r>
    </w:p>
    <w:p w14:paraId="082FE5D3" w14:textId="47AE30C6" w:rsidR="00872ECB" w:rsidRDefault="00872ECB" w:rsidP="005F5EA4">
      <w:pPr>
        <w:ind w:left="720" w:hanging="720"/>
      </w:pPr>
      <w:r>
        <w:t xml:space="preserve">CRAAP </w:t>
      </w:r>
    </w:p>
    <w:tbl>
      <w:tblPr>
        <w:tblStyle w:val="TableGrid1"/>
        <w:tblpPr w:leftFromText="180" w:rightFromText="180" w:vertAnchor="text" w:horzAnchor="margin" w:tblpXSpec="center" w:tblpY="284"/>
        <w:tblW w:w="6649" w:type="pct"/>
        <w:tblLook w:val="04A0" w:firstRow="1" w:lastRow="0" w:firstColumn="1" w:lastColumn="0" w:noHBand="0" w:noVBand="1"/>
      </w:tblPr>
      <w:tblGrid>
        <w:gridCol w:w="1927"/>
        <w:gridCol w:w="1165"/>
        <w:gridCol w:w="3047"/>
        <w:gridCol w:w="4083"/>
        <w:gridCol w:w="1767"/>
      </w:tblGrid>
      <w:tr w:rsidR="005F5EA4" w:rsidRPr="005F5EA4" w14:paraId="68619046" w14:textId="77777777" w:rsidTr="005F5EA4">
        <w:trPr>
          <w:trHeight w:val="873"/>
        </w:trPr>
        <w:tc>
          <w:tcPr>
            <w:tcW w:w="826" w:type="pct"/>
          </w:tcPr>
          <w:p w14:paraId="6A9077F8" w14:textId="77777777" w:rsidR="005F5EA4" w:rsidRPr="005F5EA4" w:rsidRDefault="005F5EA4" w:rsidP="005F5EA4">
            <w:pPr>
              <w:spacing w:after="200" w:line="276" w:lineRule="auto"/>
              <w:jc w:val="center"/>
              <w:rPr>
                <w:rFonts w:ascii="Aptos" w:hAnsi="Aptos" w:cs="Arial"/>
                <w:b/>
                <w:bCs/>
                <w:color w:val="000000"/>
                <w:sz w:val="24"/>
                <w:lang w:val="en-US"/>
              </w:rPr>
            </w:pPr>
          </w:p>
        </w:tc>
        <w:tc>
          <w:tcPr>
            <w:tcW w:w="397" w:type="pct"/>
            <w:vAlign w:val="center"/>
          </w:tcPr>
          <w:p w14:paraId="43574A66"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Author &amp; Year</w:t>
            </w:r>
          </w:p>
        </w:tc>
        <w:tc>
          <w:tcPr>
            <w:tcW w:w="1293" w:type="pct"/>
            <w:vAlign w:val="center"/>
          </w:tcPr>
          <w:p w14:paraId="06CDF4B7"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Title</w:t>
            </w:r>
          </w:p>
        </w:tc>
        <w:tc>
          <w:tcPr>
            <w:tcW w:w="1725" w:type="pct"/>
            <w:vAlign w:val="center"/>
          </w:tcPr>
          <w:p w14:paraId="2631B2CD"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Summary</w:t>
            </w:r>
          </w:p>
        </w:tc>
        <w:tc>
          <w:tcPr>
            <w:tcW w:w="759" w:type="pct"/>
            <w:vAlign w:val="center"/>
          </w:tcPr>
          <w:p w14:paraId="5BA51D4A"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Keywords / Codes</w:t>
            </w:r>
          </w:p>
        </w:tc>
      </w:tr>
      <w:tr w:rsidR="005F5EA4" w:rsidRPr="005F5EA4" w14:paraId="2F32263D" w14:textId="77777777" w:rsidTr="005F5EA4">
        <w:trPr>
          <w:trHeight w:val="873"/>
        </w:trPr>
        <w:tc>
          <w:tcPr>
            <w:tcW w:w="826" w:type="pct"/>
            <w:vAlign w:val="center"/>
          </w:tcPr>
          <w:p w14:paraId="01E8B8F5"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1</w:t>
            </w:r>
          </w:p>
        </w:tc>
        <w:tc>
          <w:tcPr>
            <w:tcW w:w="397" w:type="pct"/>
            <w:vAlign w:val="center"/>
          </w:tcPr>
          <w:p w14:paraId="580C3537"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NHS England (2022)</w:t>
            </w:r>
          </w:p>
        </w:tc>
        <w:tc>
          <w:tcPr>
            <w:tcW w:w="1293" w:type="pct"/>
            <w:vAlign w:val="center"/>
          </w:tcPr>
          <w:p w14:paraId="6762713F"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Ambitions for Palliative and End of Life Care: A national framework for local action 2021-2026</w:t>
            </w:r>
          </w:p>
        </w:tc>
        <w:tc>
          <w:tcPr>
            <w:tcW w:w="1725" w:type="pct"/>
            <w:vAlign w:val="center"/>
          </w:tcPr>
          <w:p w14:paraId="469F6ECE"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National framework outlining six ambitions for palliative and end-of-life care in England: </w:t>
            </w:r>
            <w:proofErr w:type="spellStart"/>
            <w:r w:rsidRPr="005F5EA4">
              <w:rPr>
                <w:rFonts w:ascii="Cambria" w:hAnsi="Cambria" w:cs="Arial"/>
                <w:color w:val="000000"/>
                <w:lang w:val="en-US"/>
              </w:rPr>
              <w:t>individualised</w:t>
            </w:r>
            <w:proofErr w:type="spellEnd"/>
            <w:r w:rsidRPr="005F5EA4">
              <w:rPr>
                <w:rFonts w:ascii="Cambria" w:hAnsi="Cambria" w:cs="Arial"/>
                <w:color w:val="000000"/>
                <w:lang w:val="en-US"/>
              </w:rPr>
              <w:t xml:space="preserve"> care, fair access, comfort, coordination, prepared staff and compassionate communities.</w:t>
            </w:r>
          </w:p>
        </w:tc>
        <w:tc>
          <w:tcPr>
            <w:tcW w:w="759" w:type="pct"/>
            <w:vAlign w:val="center"/>
          </w:tcPr>
          <w:p w14:paraId="6D6AA468"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Palliative care; end-of-life care; person-</w:t>
            </w:r>
            <w:proofErr w:type="spellStart"/>
            <w:r w:rsidRPr="005F5EA4">
              <w:rPr>
                <w:rFonts w:ascii="Cambria" w:hAnsi="Cambria" w:cs="Arial"/>
                <w:color w:val="000000"/>
                <w:lang w:val="en-US"/>
              </w:rPr>
              <w:t>centrex</w:t>
            </w:r>
            <w:proofErr w:type="spellEnd"/>
            <w:r w:rsidRPr="005F5EA4">
              <w:rPr>
                <w:rFonts w:ascii="Cambria" w:hAnsi="Cambria" w:cs="Arial"/>
                <w:color w:val="000000"/>
                <w:lang w:val="en-US"/>
              </w:rPr>
              <w:t xml:space="preserve"> care; fair access; coordinated care; workforce; compassionate communities</w:t>
            </w:r>
          </w:p>
        </w:tc>
      </w:tr>
      <w:tr w:rsidR="005F5EA4" w:rsidRPr="005F5EA4" w14:paraId="4D91A959" w14:textId="77777777" w:rsidTr="005F5EA4">
        <w:trPr>
          <w:trHeight w:val="873"/>
        </w:trPr>
        <w:tc>
          <w:tcPr>
            <w:tcW w:w="826" w:type="pct"/>
            <w:vAlign w:val="center"/>
          </w:tcPr>
          <w:p w14:paraId="31F1C0C3"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227CC113"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2022 update within the 2021-2026 framework.</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sets national palliative and end-of-life care priorities.</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NHS England and the Ambitions Partnership.</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Official guidance developed with national health and care </w:t>
            </w:r>
            <w:proofErr w:type="spellStart"/>
            <w:r w:rsidRPr="005F5EA4">
              <w:rPr>
                <w:rFonts w:ascii="Cambria" w:hAnsi="Cambria" w:cs="Arial"/>
                <w:color w:val="000000"/>
                <w:lang w:val="en-US"/>
              </w:rPr>
              <w:t>organisations</w:t>
            </w:r>
            <w:proofErr w:type="spellEnd"/>
            <w:r w:rsidRPr="005F5EA4">
              <w:rPr>
                <w:rFonts w:ascii="Cambria" w:hAnsi="Cambria" w:cs="Arial"/>
                <w:color w:val="000000"/>
                <w:lang w:val="en-US"/>
              </w:rPr>
              <w:t>.</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Guide local service improvement and care quality.</w:t>
            </w:r>
          </w:p>
        </w:tc>
        <w:tc>
          <w:tcPr>
            <w:tcW w:w="759" w:type="pct"/>
            <w:vAlign w:val="center"/>
          </w:tcPr>
          <w:p w14:paraId="2707AD47"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6C8F392F"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600A3CF2" w14:textId="77777777" w:rsidTr="00823B6A">
        <w:trPr>
          <w:trHeight w:val="873"/>
        </w:trPr>
        <w:tc>
          <w:tcPr>
            <w:tcW w:w="5000" w:type="pct"/>
            <w:gridSpan w:val="5"/>
            <w:tcBorders>
              <w:left w:val="nil"/>
              <w:right w:val="nil"/>
            </w:tcBorders>
            <w:vAlign w:val="center"/>
          </w:tcPr>
          <w:p w14:paraId="681A9D1D"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4EA497DD" w14:textId="77777777" w:rsidTr="005F5EA4">
        <w:trPr>
          <w:trHeight w:val="873"/>
        </w:trPr>
        <w:tc>
          <w:tcPr>
            <w:tcW w:w="826" w:type="pct"/>
            <w:vAlign w:val="center"/>
          </w:tcPr>
          <w:p w14:paraId="03D100D6"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2</w:t>
            </w:r>
          </w:p>
        </w:tc>
        <w:tc>
          <w:tcPr>
            <w:tcW w:w="397" w:type="pct"/>
            <w:vAlign w:val="center"/>
          </w:tcPr>
          <w:p w14:paraId="0419BAF5"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Age UK (2019)</w:t>
            </w:r>
          </w:p>
        </w:tc>
        <w:tc>
          <w:tcPr>
            <w:tcW w:w="1293" w:type="pct"/>
            <w:vAlign w:val="center"/>
          </w:tcPr>
          <w:p w14:paraId="6A25F8BB"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Later Life in the United Kingdom 2019</w:t>
            </w:r>
          </w:p>
        </w:tc>
        <w:tc>
          <w:tcPr>
            <w:tcW w:w="1725" w:type="pct"/>
            <w:vAlign w:val="center"/>
          </w:tcPr>
          <w:p w14:paraId="4DC412D2"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Age UK factsheet </w:t>
            </w:r>
            <w:proofErr w:type="spellStart"/>
            <w:r w:rsidRPr="005F5EA4">
              <w:rPr>
                <w:rFonts w:ascii="Cambria" w:hAnsi="Cambria" w:cs="Arial"/>
                <w:color w:val="000000"/>
                <w:lang w:val="en-US"/>
              </w:rPr>
              <w:t>summarising</w:t>
            </w:r>
            <w:proofErr w:type="spellEnd"/>
            <w:r w:rsidRPr="005F5EA4">
              <w:rPr>
                <w:rFonts w:ascii="Cambria" w:hAnsi="Cambria" w:cs="Arial"/>
                <w:color w:val="000000"/>
                <w:lang w:val="en-US"/>
              </w:rPr>
              <w:t xml:space="preserve"> UK evidence on ageing, health, wellbeing, loneliness, social care and support needs in later life.</w:t>
            </w:r>
          </w:p>
        </w:tc>
        <w:tc>
          <w:tcPr>
            <w:tcW w:w="759" w:type="pct"/>
            <w:vAlign w:val="center"/>
          </w:tcPr>
          <w:p w14:paraId="7612E9E9"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Older adults; later life; ageing; health and wellbeing; loneliness; social care; support needs</w:t>
            </w:r>
          </w:p>
        </w:tc>
      </w:tr>
      <w:tr w:rsidR="005F5EA4" w:rsidRPr="005F5EA4" w14:paraId="33D622A1" w14:textId="77777777" w:rsidTr="005F5EA4">
        <w:trPr>
          <w:trHeight w:val="873"/>
        </w:trPr>
        <w:tc>
          <w:tcPr>
            <w:tcW w:w="826" w:type="pct"/>
            <w:vAlign w:val="center"/>
          </w:tcPr>
          <w:p w14:paraId="1B62DBD2"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3A97B54C"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2019; older than most sources but useful as background.</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Provides UK context on older adults and support needs.</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Published by Age UK.</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Draws on publicly available research and official statistics.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w:t>
            </w:r>
            <w:proofErr w:type="spellStart"/>
            <w:r w:rsidRPr="005F5EA4">
              <w:rPr>
                <w:rFonts w:ascii="Cambria" w:hAnsi="Cambria" w:cs="Arial"/>
                <w:color w:val="000000"/>
                <w:lang w:val="en-US"/>
              </w:rPr>
              <w:t>Summarise</w:t>
            </w:r>
            <w:proofErr w:type="spellEnd"/>
            <w:r w:rsidRPr="005F5EA4">
              <w:rPr>
                <w:rFonts w:ascii="Cambria" w:hAnsi="Cambria" w:cs="Arial"/>
                <w:color w:val="000000"/>
                <w:lang w:val="en-US"/>
              </w:rPr>
              <w:t xml:space="preserve"> key facts about ageing and later life.</w:t>
            </w:r>
          </w:p>
        </w:tc>
        <w:tc>
          <w:tcPr>
            <w:tcW w:w="759" w:type="pct"/>
            <w:vAlign w:val="center"/>
          </w:tcPr>
          <w:p w14:paraId="6912EC50"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1600B2C0"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4/5</w:t>
            </w:r>
          </w:p>
        </w:tc>
      </w:tr>
      <w:tr w:rsidR="005F5EA4" w:rsidRPr="005F5EA4" w14:paraId="190AB84A" w14:textId="77777777" w:rsidTr="00823B6A">
        <w:trPr>
          <w:trHeight w:val="873"/>
        </w:trPr>
        <w:tc>
          <w:tcPr>
            <w:tcW w:w="5000" w:type="pct"/>
            <w:gridSpan w:val="5"/>
            <w:tcBorders>
              <w:left w:val="nil"/>
              <w:right w:val="nil"/>
            </w:tcBorders>
            <w:vAlign w:val="center"/>
          </w:tcPr>
          <w:p w14:paraId="38FB3AC7"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37B2AD85" w14:textId="77777777" w:rsidTr="005F5EA4">
        <w:trPr>
          <w:trHeight w:val="873"/>
        </w:trPr>
        <w:tc>
          <w:tcPr>
            <w:tcW w:w="826" w:type="pct"/>
            <w:vAlign w:val="center"/>
          </w:tcPr>
          <w:p w14:paraId="4B4CBA1C"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3</w:t>
            </w:r>
          </w:p>
        </w:tc>
        <w:tc>
          <w:tcPr>
            <w:tcW w:w="397" w:type="pct"/>
            <w:vAlign w:val="center"/>
          </w:tcPr>
          <w:p w14:paraId="598CAC19"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Hodge et al. (2025)</w:t>
            </w:r>
          </w:p>
        </w:tc>
        <w:tc>
          <w:tcPr>
            <w:tcW w:w="1293" w:type="pct"/>
            <w:vAlign w:val="center"/>
          </w:tcPr>
          <w:p w14:paraId="04B31274"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Exploring perceived barriers to palliative and end of life care provision in South-West </w:t>
            </w:r>
            <w:r w:rsidRPr="005F5EA4">
              <w:rPr>
                <w:rFonts w:ascii="Cambria" w:hAnsi="Cambria" w:cs="Arial"/>
                <w:color w:val="000000"/>
                <w:lang w:val="en-US"/>
              </w:rPr>
              <w:lastRenderedPageBreak/>
              <w:t>England: bringing together the perspectives of professionals, patients, and families</w:t>
            </w:r>
          </w:p>
        </w:tc>
        <w:tc>
          <w:tcPr>
            <w:tcW w:w="1725" w:type="pct"/>
            <w:vAlign w:val="center"/>
          </w:tcPr>
          <w:p w14:paraId="64D797AC"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lastRenderedPageBreak/>
              <w:t xml:space="preserve">Qualitative study of 63 participants in South-West England. Barriers included limited resources, poor coordination, </w:t>
            </w:r>
            <w:r w:rsidRPr="005F5EA4">
              <w:rPr>
                <w:rFonts w:ascii="Cambria" w:hAnsi="Cambria" w:cs="Arial"/>
                <w:color w:val="000000"/>
                <w:lang w:val="en-US"/>
              </w:rPr>
              <w:lastRenderedPageBreak/>
              <w:t>unequal access, COVID-19 effects and reluctance to discuss death and dying.</w:t>
            </w:r>
          </w:p>
        </w:tc>
        <w:tc>
          <w:tcPr>
            <w:tcW w:w="759" w:type="pct"/>
            <w:vAlign w:val="center"/>
          </w:tcPr>
          <w:p w14:paraId="3DE28FC7"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lastRenderedPageBreak/>
              <w:t xml:space="preserve">Palliative care; end-of-life care; barriers; </w:t>
            </w:r>
            <w:r w:rsidRPr="005F5EA4">
              <w:rPr>
                <w:rFonts w:ascii="Cambria" w:hAnsi="Cambria" w:cs="Arial"/>
                <w:color w:val="000000"/>
                <w:lang w:val="en-US"/>
              </w:rPr>
              <w:lastRenderedPageBreak/>
              <w:t>communication; coordination; inequalities; resources; patients; families; professionals</w:t>
            </w:r>
          </w:p>
        </w:tc>
      </w:tr>
      <w:tr w:rsidR="005F5EA4" w:rsidRPr="005F5EA4" w14:paraId="32646D85" w14:textId="77777777" w:rsidTr="005F5EA4">
        <w:trPr>
          <w:trHeight w:val="873"/>
        </w:trPr>
        <w:tc>
          <w:tcPr>
            <w:tcW w:w="826" w:type="pct"/>
            <w:vAlign w:val="center"/>
          </w:tcPr>
          <w:p w14:paraId="5CB79431"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lastRenderedPageBreak/>
              <w:t>CRAAP Notes</w:t>
            </w:r>
          </w:p>
        </w:tc>
        <w:tc>
          <w:tcPr>
            <w:tcW w:w="3415" w:type="pct"/>
            <w:gridSpan w:val="3"/>
            <w:vAlign w:val="center"/>
          </w:tcPr>
          <w:p w14:paraId="09BD0395"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2025.</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examines barriers to palliative and end-of-life care.</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University of Plymouth researchers; peer-reviewed journal.</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13 focus groups/interviews with 63 participants and thematic analysis.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Identify barriers and priorities for service improvement.</w:t>
            </w:r>
          </w:p>
        </w:tc>
        <w:tc>
          <w:tcPr>
            <w:tcW w:w="759" w:type="pct"/>
            <w:vAlign w:val="center"/>
          </w:tcPr>
          <w:p w14:paraId="333F0E32"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15106E4E"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59746A6E" w14:textId="77777777" w:rsidTr="00823B6A">
        <w:trPr>
          <w:trHeight w:val="873"/>
        </w:trPr>
        <w:tc>
          <w:tcPr>
            <w:tcW w:w="5000" w:type="pct"/>
            <w:gridSpan w:val="5"/>
            <w:tcBorders>
              <w:left w:val="nil"/>
              <w:right w:val="nil"/>
            </w:tcBorders>
            <w:vAlign w:val="center"/>
          </w:tcPr>
          <w:p w14:paraId="51CA5039"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00936BA9" w14:textId="77777777" w:rsidTr="005F5EA4">
        <w:trPr>
          <w:trHeight w:val="873"/>
        </w:trPr>
        <w:tc>
          <w:tcPr>
            <w:tcW w:w="826" w:type="pct"/>
            <w:vAlign w:val="center"/>
          </w:tcPr>
          <w:p w14:paraId="6223E1FD" w14:textId="77777777" w:rsidR="005F5EA4" w:rsidRPr="005F5EA4" w:rsidRDefault="005F5EA4" w:rsidP="005F5EA4">
            <w:pPr>
              <w:spacing w:after="200" w:line="276" w:lineRule="auto"/>
              <w:jc w:val="center"/>
              <w:rPr>
                <w:rFonts w:ascii="Aptos" w:hAnsi="Aptos" w:cs="Arial"/>
                <w:b/>
                <w:bCs/>
                <w:color w:val="000000"/>
                <w:sz w:val="24"/>
                <w:lang w:val="en-US"/>
              </w:rPr>
            </w:pPr>
          </w:p>
          <w:p w14:paraId="15A1938F"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4</w:t>
            </w:r>
          </w:p>
          <w:p w14:paraId="72A696F5" w14:textId="77777777" w:rsidR="005F5EA4" w:rsidRPr="005F5EA4" w:rsidRDefault="005F5EA4" w:rsidP="005F5EA4">
            <w:pPr>
              <w:spacing w:after="200" w:line="276" w:lineRule="auto"/>
              <w:jc w:val="center"/>
              <w:rPr>
                <w:rFonts w:ascii="Aptos" w:hAnsi="Aptos" w:cs="Arial"/>
                <w:b/>
                <w:bCs/>
                <w:color w:val="000000"/>
                <w:sz w:val="24"/>
                <w:lang w:val="en-US"/>
              </w:rPr>
            </w:pPr>
          </w:p>
        </w:tc>
        <w:tc>
          <w:tcPr>
            <w:tcW w:w="397" w:type="pct"/>
            <w:vAlign w:val="center"/>
          </w:tcPr>
          <w:p w14:paraId="7BFA362D"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Dixon et al. (2023)</w:t>
            </w:r>
          </w:p>
        </w:tc>
        <w:tc>
          <w:tcPr>
            <w:tcW w:w="1293" w:type="pct"/>
            <w:vAlign w:val="center"/>
          </w:tcPr>
          <w:p w14:paraId="48FD623F" w14:textId="77777777" w:rsidR="005F5EA4" w:rsidRPr="005F5EA4" w:rsidRDefault="005F5EA4" w:rsidP="005F5EA4">
            <w:pPr>
              <w:spacing w:after="200" w:line="276" w:lineRule="auto"/>
              <w:jc w:val="left"/>
              <w:rPr>
                <w:rFonts w:ascii="Aptos" w:hAnsi="Aptos" w:cs="Arial"/>
                <w:color w:val="000000"/>
                <w:sz w:val="24"/>
                <w:lang w:val="en-US"/>
              </w:rPr>
            </w:pPr>
            <w:proofErr w:type="spellStart"/>
            <w:r w:rsidRPr="005F5EA4">
              <w:rPr>
                <w:rFonts w:ascii="Cambria" w:hAnsi="Cambria" w:cs="Arial"/>
                <w:color w:val="000000"/>
                <w:lang w:val="en-US"/>
              </w:rPr>
              <w:t>Traveller</w:t>
            </w:r>
            <w:proofErr w:type="spellEnd"/>
            <w:r w:rsidRPr="005F5EA4">
              <w:rPr>
                <w:rFonts w:ascii="Cambria" w:hAnsi="Cambria" w:cs="Arial"/>
                <w:color w:val="000000"/>
                <w:lang w:val="en-US"/>
              </w:rPr>
              <w:t xml:space="preserve"> end of life care experiences and needs: thematic analysis</w:t>
            </w:r>
          </w:p>
        </w:tc>
        <w:tc>
          <w:tcPr>
            <w:tcW w:w="1725" w:type="pct"/>
            <w:vAlign w:val="center"/>
          </w:tcPr>
          <w:p w14:paraId="3BAED524"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Secondary thematic analysis of </w:t>
            </w:r>
            <w:proofErr w:type="spellStart"/>
            <w:r w:rsidRPr="005F5EA4">
              <w:rPr>
                <w:rFonts w:ascii="Cambria" w:hAnsi="Cambria" w:cs="Arial"/>
                <w:color w:val="000000"/>
                <w:lang w:val="en-US"/>
              </w:rPr>
              <w:t>Traveller</w:t>
            </w:r>
            <w:proofErr w:type="spellEnd"/>
            <w:r w:rsidRPr="005F5EA4">
              <w:rPr>
                <w:rFonts w:ascii="Cambria" w:hAnsi="Cambria" w:cs="Arial"/>
                <w:color w:val="000000"/>
                <w:lang w:val="en-US"/>
              </w:rPr>
              <w:t xml:space="preserve"> and professional perspectives. Cultural misunderstanding, mistrust and communication barriers affected care; liaison roles and cultural competence were suggested.</w:t>
            </w:r>
          </w:p>
        </w:tc>
        <w:tc>
          <w:tcPr>
            <w:tcW w:w="759" w:type="pct"/>
            <w:vAlign w:val="center"/>
          </w:tcPr>
          <w:p w14:paraId="3D33A024" w14:textId="77777777" w:rsidR="005F5EA4" w:rsidRPr="005F5EA4" w:rsidRDefault="005F5EA4" w:rsidP="005F5EA4">
            <w:pPr>
              <w:spacing w:after="200" w:line="276" w:lineRule="auto"/>
              <w:jc w:val="left"/>
              <w:rPr>
                <w:rFonts w:ascii="Aptos" w:hAnsi="Aptos" w:cs="Arial"/>
                <w:b/>
                <w:bCs/>
                <w:color w:val="000000"/>
                <w:sz w:val="24"/>
                <w:lang w:val="en-US"/>
              </w:rPr>
            </w:pPr>
            <w:proofErr w:type="spellStart"/>
            <w:r w:rsidRPr="005F5EA4">
              <w:rPr>
                <w:rFonts w:ascii="Cambria" w:hAnsi="Cambria" w:cs="Arial"/>
                <w:color w:val="000000"/>
                <w:lang w:val="en-US"/>
              </w:rPr>
              <w:t>Traveller</w:t>
            </w:r>
            <w:proofErr w:type="spellEnd"/>
            <w:r w:rsidRPr="005F5EA4">
              <w:rPr>
                <w:rFonts w:ascii="Cambria" w:hAnsi="Cambria" w:cs="Arial"/>
                <w:color w:val="000000"/>
                <w:lang w:val="en-US"/>
              </w:rPr>
              <w:t xml:space="preserve"> communities; palliative care; end-of-life care; cultural needs; communication; inequalities; trust; family support</w:t>
            </w:r>
          </w:p>
        </w:tc>
      </w:tr>
      <w:tr w:rsidR="005F5EA4" w:rsidRPr="005F5EA4" w14:paraId="0158E4F2" w14:textId="77777777" w:rsidTr="005F5EA4">
        <w:trPr>
          <w:trHeight w:val="873"/>
        </w:trPr>
        <w:tc>
          <w:tcPr>
            <w:tcW w:w="826" w:type="pct"/>
            <w:vAlign w:val="center"/>
          </w:tcPr>
          <w:p w14:paraId="3295D90F"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39B4E3CD"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online in 2023.</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Examines cultural and access barriers in end-of-life care.</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University of Cambridge researchers; peer-reviewed BMJ journal.</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Two focus groups and 16 interviews </w:t>
            </w:r>
            <w:proofErr w:type="spellStart"/>
            <w:r w:rsidRPr="005F5EA4">
              <w:rPr>
                <w:rFonts w:ascii="Cambria" w:hAnsi="Cambria" w:cs="Arial"/>
                <w:color w:val="000000"/>
                <w:lang w:val="en-US"/>
              </w:rPr>
              <w:t>analysed</w:t>
            </w:r>
            <w:proofErr w:type="spellEnd"/>
            <w:r w:rsidRPr="005F5EA4">
              <w:rPr>
                <w:rFonts w:ascii="Cambria" w:hAnsi="Cambria" w:cs="Arial"/>
                <w:color w:val="000000"/>
                <w:lang w:val="en-US"/>
              </w:rPr>
              <w:t xml:space="preserve"> thematically.</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Improve culturally appropriate care for </w:t>
            </w:r>
            <w:proofErr w:type="spellStart"/>
            <w:r w:rsidRPr="005F5EA4">
              <w:rPr>
                <w:rFonts w:ascii="Cambria" w:hAnsi="Cambria" w:cs="Arial"/>
                <w:color w:val="000000"/>
                <w:lang w:val="en-US"/>
              </w:rPr>
              <w:t>Traveller</w:t>
            </w:r>
            <w:proofErr w:type="spellEnd"/>
            <w:r w:rsidRPr="005F5EA4">
              <w:rPr>
                <w:rFonts w:ascii="Cambria" w:hAnsi="Cambria" w:cs="Arial"/>
                <w:color w:val="000000"/>
                <w:lang w:val="en-US"/>
              </w:rPr>
              <w:t xml:space="preserve"> communities.</w:t>
            </w:r>
          </w:p>
        </w:tc>
        <w:tc>
          <w:tcPr>
            <w:tcW w:w="759" w:type="pct"/>
            <w:vAlign w:val="center"/>
          </w:tcPr>
          <w:p w14:paraId="6B93FC29"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273D9A65"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4A34AEC7" w14:textId="77777777" w:rsidTr="005F5EA4">
        <w:trPr>
          <w:trHeight w:val="873"/>
        </w:trPr>
        <w:tc>
          <w:tcPr>
            <w:tcW w:w="826" w:type="pct"/>
            <w:vAlign w:val="center"/>
          </w:tcPr>
          <w:p w14:paraId="4A53B9A2"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Article 5</w:t>
            </w:r>
          </w:p>
        </w:tc>
        <w:tc>
          <w:tcPr>
            <w:tcW w:w="397" w:type="pct"/>
            <w:vAlign w:val="center"/>
          </w:tcPr>
          <w:p w14:paraId="09054BA8"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Bradshaw et al. (2023)</w:t>
            </w:r>
          </w:p>
        </w:tc>
        <w:tc>
          <w:tcPr>
            <w:tcW w:w="1293" w:type="pct"/>
            <w:vAlign w:val="center"/>
          </w:tcPr>
          <w:p w14:paraId="2B3415C5"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Provision of palliative and end-of-life care in UK care homes during the COVID-19 pandemic: A mixed methods observational study with implications for policy</w:t>
            </w:r>
          </w:p>
        </w:tc>
        <w:tc>
          <w:tcPr>
            <w:tcW w:w="1725" w:type="pct"/>
            <w:vAlign w:val="center"/>
          </w:tcPr>
          <w:p w14:paraId="0833E0B7"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UK mixed-methods care-home study using 107 survey responses and 27 interviews. Relationship-</w:t>
            </w:r>
            <w:proofErr w:type="spellStart"/>
            <w:r w:rsidRPr="005F5EA4">
              <w:rPr>
                <w:rFonts w:ascii="Cambria" w:hAnsi="Cambria" w:cs="Arial"/>
                <w:color w:val="000000"/>
                <w:lang w:val="en-US"/>
              </w:rPr>
              <w:t>centred</w:t>
            </w:r>
            <w:proofErr w:type="spellEnd"/>
            <w:r w:rsidRPr="005F5EA4">
              <w:rPr>
                <w:rFonts w:ascii="Cambria" w:hAnsi="Cambria" w:cs="Arial"/>
                <w:color w:val="000000"/>
                <w:lang w:val="en-US"/>
              </w:rPr>
              <w:t xml:space="preserve"> care was disrupted by COVID-19; integration, digital inclusion and workforce support were essential.</w:t>
            </w:r>
          </w:p>
        </w:tc>
        <w:tc>
          <w:tcPr>
            <w:tcW w:w="759" w:type="pct"/>
            <w:vAlign w:val="center"/>
          </w:tcPr>
          <w:p w14:paraId="49407E28"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Care homes; palliative care; end-of-life care; COVID-19; relationship-</w:t>
            </w:r>
            <w:proofErr w:type="spellStart"/>
            <w:r w:rsidRPr="005F5EA4">
              <w:rPr>
                <w:rFonts w:ascii="Cambria" w:hAnsi="Cambria" w:cs="Arial"/>
                <w:color w:val="000000"/>
                <w:lang w:val="en-US"/>
              </w:rPr>
              <w:t>centred</w:t>
            </w:r>
            <w:proofErr w:type="spellEnd"/>
            <w:r w:rsidRPr="005F5EA4">
              <w:rPr>
                <w:rFonts w:ascii="Cambria" w:hAnsi="Cambria" w:cs="Arial"/>
                <w:color w:val="000000"/>
                <w:lang w:val="en-US"/>
              </w:rPr>
              <w:t xml:space="preserve"> care; workforce; digital inclusion; integration</w:t>
            </w:r>
          </w:p>
        </w:tc>
      </w:tr>
      <w:tr w:rsidR="005F5EA4" w:rsidRPr="005F5EA4" w14:paraId="676D9376" w14:textId="77777777" w:rsidTr="005F5EA4">
        <w:trPr>
          <w:trHeight w:val="873"/>
        </w:trPr>
        <w:tc>
          <w:tcPr>
            <w:tcW w:w="826" w:type="pct"/>
          </w:tcPr>
          <w:p w14:paraId="6221F7DC"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4C2E9E85"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2023.</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examines UK care-home palliative and end-of-life care.</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Multi-institution research team; peer-reviewed journal.</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Mixed methods with descriptive analysis, thematic analysis and </w:t>
            </w:r>
            <w:r w:rsidRPr="005F5EA4">
              <w:rPr>
                <w:rFonts w:ascii="Cambria" w:hAnsi="Cambria" w:cs="Arial"/>
                <w:color w:val="000000"/>
                <w:lang w:val="en-US"/>
              </w:rPr>
              <w:lastRenderedPageBreak/>
              <w:t>triangulation.</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Inform stronger care-home practice and policy.</w:t>
            </w:r>
          </w:p>
        </w:tc>
        <w:tc>
          <w:tcPr>
            <w:tcW w:w="759" w:type="pct"/>
            <w:vAlign w:val="center"/>
          </w:tcPr>
          <w:p w14:paraId="338427DD"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lastRenderedPageBreak/>
              <w:t>CRAAP Score</w:t>
            </w:r>
          </w:p>
          <w:p w14:paraId="6FFA1110"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08F06779" w14:textId="77777777" w:rsidTr="005F5EA4">
        <w:trPr>
          <w:trHeight w:val="873"/>
        </w:trPr>
        <w:tc>
          <w:tcPr>
            <w:tcW w:w="826" w:type="pct"/>
            <w:vAlign w:val="center"/>
          </w:tcPr>
          <w:p w14:paraId="71BF116C"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6</w:t>
            </w:r>
          </w:p>
        </w:tc>
        <w:tc>
          <w:tcPr>
            <w:tcW w:w="397" w:type="pct"/>
            <w:vAlign w:val="center"/>
          </w:tcPr>
          <w:p w14:paraId="4A0C4A3B"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Hanna et al. (2022)</w:t>
            </w:r>
          </w:p>
        </w:tc>
        <w:tc>
          <w:tcPr>
            <w:tcW w:w="1293" w:type="pct"/>
            <w:vAlign w:val="center"/>
          </w:tcPr>
          <w:p w14:paraId="548885C9"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End of life care in UK care homes during the COVID-19 pandemic: a qualitative study</w:t>
            </w:r>
          </w:p>
        </w:tc>
        <w:tc>
          <w:tcPr>
            <w:tcW w:w="1725" w:type="pct"/>
            <w:vAlign w:val="center"/>
          </w:tcPr>
          <w:p w14:paraId="14814D62"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Qualitative interviews with 42 family carers and care-home staff. Themes were lost time, maintaining control and routines, and coping with loss and lack of support during COVID-19.</w:t>
            </w:r>
          </w:p>
        </w:tc>
        <w:tc>
          <w:tcPr>
            <w:tcW w:w="759" w:type="pct"/>
            <w:vAlign w:val="center"/>
          </w:tcPr>
          <w:p w14:paraId="3F826884"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Care homes; end-of-life care; dementia; COVID-19; family carers; care-home staff; visiting; bereavement; emotional wellbeing</w:t>
            </w:r>
          </w:p>
        </w:tc>
      </w:tr>
      <w:tr w:rsidR="005F5EA4" w:rsidRPr="005F5EA4" w14:paraId="6036DFD6" w14:textId="77777777" w:rsidTr="005F5EA4">
        <w:trPr>
          <w:trHeight w:val="873"/>
        </w:trPr>
        <w:tc>
          <w:tcPr>
            <w:tcW w:w="826" w:type="pct"/>
            <w:vAlign w:val="center"/>
          </w:tcPr>
          <w:p w14:paraId="09BE466E"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63A0A9A6"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2022.</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examines end-of-life care experiences in UK care homes.</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Published in peer-reviewed BMC Palliative Care.</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Semi-structured interviews with 42 participants and thematic analysis.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Identify lessons for family contact, support and care quality.</w:t>
            </w:r>
          </w:p>
        </w:tc>
        <w:tc>
          <w:tcPr>
            <w:tcW w:w="759" w:type="pct"/>
            <w:vAlign w:val="center"/>
          </w:tcPr>
          <w:p w14:paraId="25992E48"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009145FE"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17E89AE9" w14:textId="77777777" w:rsidTr="00823B6A">
        <w:trPr>
          <w:trHeight w:val="873"/>
        </w:trPr>
        <w:tc>
          <w:tcPr>
            <w:tcW w:w="5000" w:type="pct"/>
            <w:gridSpan w:val="5"/>
            <w:tcBorders>
              <w:left w:val="nil"/>
              <w:right w:val="nil"/>
            </w:tcBorders>
            <w:vAlign w:val="center"/>
          </w:tcPr>
          <w:p w14:paraId="34360849"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7E2AACC6" w14:textId="77777777" w:rsidTr="005F5EA4">
        <w:trPr>
          <w:trHeight w:val="873"/>
        </w:trPr>
        <w:tc>
          <w:tcPr>
            <w:tcW w:w="826" w:type="pct"/>
            <w:vAlign w:val="center"/>
          </w:tcPr>
          <w:p w14:paraId="518B8D92"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7</w:t>
            </w:r>
          </w:p>
        </w:tc>
        <w:tc>
          <w:tcPr>
            <w:tcW w:w="397" w:type="pct"/>
            <w:vAlign w:val="center"/>
          </w:tcPr>
          <w:p w14:paraId="71C30B54"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Wilkin, Fang &amp; Sixsmith (2024)</w:t>
            </w:r>
          </w:p>
        </w:tc>
        <w:tc>
          <w:tcPr>
            <w:tcW w:w="1293" w:type="pct"/>
            <w:vAlign w:val="center"/>
          </w:tcPr>
          <w:p w14:paraId="629687EE"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Implementing </w:t>
            </w:r>
            <w:proofErr w:type="gramStart"/>
            <w:r w:rsidRPr="005F5EA4">
              <w:rPr>
                <w:rFonts w:ascii="Cambria" w:hAnsi="Cambria" w:cs="Arial"/>
                <w:color w:val="000000"/>
                <w:lang w:val="en-US"/>
              </w:rPr>
              <w:t>advance</w:t>
            </w:r>
            <w:proofErr w:type="gramEnd"/>
            <w:r w:rsidRPr="005F5EA4">
              <w:rPr>
                <w:rFonts w:ascii="Cambria" w:hAnsi="Cambria" w:cs="Arial"/>
                <w:color w:val="000000"/>
                <w:lang w:val="en-US"/>
              </w:rPr>
              <w:t xml:space="preserve"> care planning in palliative and end of life care: a scoping review of community nursing perspectives</w:t>
            </w:r>
          </w:p>
        </w:tc>
        <w:tc>
          <w:tcPr>
            <w:tcW w:w="1725" w:type="pct"/>
            <w:vAlign w:val="center"/>
          </w:tcPr>
          <w:p w14:paraId="43E99D63"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Scoping review of 15 studies involving 229 community nurses. Advance care planning barriers included low confidence, role ambiguity, limited competence and prognostic uncertainty; relationships and training facilitated practice.</w:t>
            </w:r>
          </w:p>
        </w:tc>
        <w:tc>
          <w:tcPr>
            <w:tcW w:w="759" w:type="pct"/>
            <w:vAlign w:val="center"/>
          </w:tcPr>
          <w:p w14:paraId="7447B654"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Advance care planning; community nursing; palliative care; end-of-life care; communication; confidence; training; professional role</w:t>
            </w:r>
          </w:p>
        </w:tc>
      </w:tr>
      <w:tr w:rsidR="005F5EA4" w:rsidRPr="005F5EA4" w14:paraId="2441D6D7" w14:textId="77777777" w:rsidTr="005F5EA4">
        <w:trPr>
          <w:trHeight w:val="873"/>
        </w:trPr>
        <w:tc>
          <w:tcPr>
            <w:tcW w:w="826" w:type="pct"/>
            <w:vAlign w:val="center"/>
          </w:tcPr>
          <w:p w14:paraId="4633164D"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 xml:space="preserve">CRAAP Notes </w:t>
            </w:r>
          </w:p>
        </w:tc>
        <w:tc>
          <w:tcPr>
            <w:tcW w:w="3415" w:type="pct"/>
            <w:gridSpan w:val="3"/>
            <w:vAlign w:val="center"/>
          </w:tcPr>
          <w:p w14:paraId="30EB50E1"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2024.</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Addresses communication and advance care planning in palliative care.</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Nursing and health-science researchers; peer-reviewed BMC Geriatrics.</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Structured multi-database scoping review with thematic synthesis.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Identify barriers and facilitators to nurse-led advance care planning.</w:t>
            </w:r>
          </w:p>
        </w:tc>
        <w:tc>
          <w:tcPr>
            <w:tcW w:w="759" w:type="pct"/>
            <w:vAlign w:val="center"/>
          </w:tcPr>
          <w:p w14:paraId="4E8A9776"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35E16DE6"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643331B6" w14:textId="77777777" w:rsidTr="00823B6A">
        <w:trPr>
          <w:trHeight w:val="873"/>
        </w:trPr>
        <w:tc>
          <w:tcPr>
            <w:tcW w:w="5000" w:type="pct"/>
            <w:gridSpan w:val="5"/>
            <w:tcBorders>
              <w:left w:val="nil"/>
              <w:right w:val="nil"/>
            </w:tcBorders>
            <w:vAlign w:val="center"/>
          </w:tcPr>
          <w:p w14:paraId="0CDBB81F"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28F46679" w14:textId="77777777" w:rsidTr="005F5EA4">
        <w:trPr>
          <w:trHeight w:val="873"/>
        </w:trPr>
        <w:tc>
          <w:tcPr>
            <w:tcW w:w="826" w:type="pct"/>
            <w:vAlign w:val="center"/>
          </w:tcPr>
          <w:p w14:paraId="1B06F2A7"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Article 8</w:t>
            </w:r>
          </w:p>
        </w:tc>
        <w:tc>
          <w:tcPr>
            <w:tcW w:w="397" w:type="pct"/>
            <w:vAlign w:val="center"/>
          </w:tcPr>
          <w:p w14:paraId="7497BAD8"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Tobin et al. (2022)</w:t>
            </w:r>
          </w:p>
        </w:tc>
        <w:tc>
          <w:tcPr>
            <w:tcW w:w="1293" w:type="pct"/>
            <w:vAlign w:val="center"/>
          </w:tcPr>
          <w:p w14:paraId="7BE7E9ED"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Hospice care access inequalities: a systematic </w:t>
            </w:r>
            <w:r w:rsidRPr="005F5EA4">
              <w:rPr>
                <w:rFonts w:ascii="Cambria" w:hAnsi="Cambria" w:cs="Arial"/>
                <w:color w:val="000000"/>
                <w:lang w:val="en-US"/>
              </w:rPr>
              <w:lastRenderedPageBreak/>
              <w:t>review and narrative synthesis</w:t>
            </w:r>
          </w:p>
        </w:tc>
        <w:tc>
          <w:tcPr>
            <w:tcW w:w="1725" w:type="pct"/>
            <w:vAlign w:val="center"/>
          </w:tcPr>
          <w:p w14:paraId="0B0613E0"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lastRenderedPageBreak/>
              <w:t xml:space="preserve">Systematic review of 130 studies. Older people, ethnic minorities, non-cancer patients and people in rural or deprived </w:t>
            </w:r>
            <w:r w:rsidRPr="005F5EA4">
              <w:rPr>
                <w:rFonts w:ascii="Cambria" w:hAnsi="Cambria" w:cs="Arial"/>
                <w:color w:val="000000"/>
                <w:lang w:val="en-US"/>
              </w:rPr>
              <w:lastRenderedPageBreak/>
              <w:t>areas were consistently under-represented in hospice access.</w:t>
            </w:r>
          </w:p>
        </w:tc>
        <w:tc>
          <w:tcPr>
            <w:tcW w:w="759" w:type="pct"/>
            <w:vAlign w:val="center"/>
          </w:tcPr>
          <w:p w14:paraId="033525B6"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lastRenderedPageBreak/>
              <w:t xml:space="preserve">Hospice care; access inequalities; older people; </w:t>
            </w:r>
            <w:r w:rsidRPr="005F5EA4">
              <w:rPr>
                <w:rFonts w:ascii="Cambria" w:hAnsi="Cambria" w:cs="Arial"/>
                <w:color w:val="000000"/>
                <w:lang w:val="en-US"/>
              </w:rPr>
              <w:lastRenderedPageBreak/>
              <w:t>ethnicity; deprivation; rurality; non-cancer; equitable access</w:t>
            </w:r>
          </w:p>
        </w:tc>
      </w:tr>
      <w:tr w:rsidR="005F5EA4" w:rsidRPr="005F5EA4" w14:paraId="37C6121F" w14:textId="77777777" w:rsidTr="005F5EA4">
        <w:trPr>
          <w:trHeight w:val="873"/>
        </w:trPr>
        <w:tc>
          <w:tcPr>
            <w:tcW w:w="826" w:type="pct"/>
            <w:vAlign w:val="center"/>
          </w:tcPr>
          <w:p w14:paraId="430C0202"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lastRenderedPageBreak/>
              <w:t xml:space="preserve">CRAAP Notes </w:t>
            </w:r>
          </w:p>
        </w:tc>
        <w:tc>
          <w:tcPr>
            <w:tcW w:w="3415" w:type="pct"/>
            <w:gridSpan w:val="3"/>
            <w:vAlign w:val="center"/>
          </w:tcPr>
          <w:p w14:paraId="3EB5CD3C"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2022.</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addresses inequalities in hospice access.</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University of Cambridge authors; peer-reviewed BMJ journal.</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Six-database systematic review with 130 included studies.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Identify demographic inequalities and barriers to hospice access.</w:t>
            </w:r>
          </w:p>
        </w:tc>
        <w:tc>
          <w:tcPr>
            <w:tcW w:w="759" w:type="pct"/>
            <w:vAlign w:val="center"/>
          </w:tcPr>
          <w:p w14:paraId="5F8F4DB6"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17A533EF"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7925E961" w14:textId="77777777" w:rsidTr="00823B6A">
        <w:trPr>
          <w:trHeight w:val="873"/>
        </w:trPr>
        <w:tc>
          <w:tcPr>
            <w:tcW w:w="5000" w:type="pct"/>
            <w:gridSpan w:val="5"/>
            <w:tcBorders>
              <w:left w:val="nil"/>
              <w:right w:val="nil"/>
            </w:tcBorders>
            <w:vAlign w:val="center"/>
          </w:tcPr>
          <w:p w14:paraId="44B1EEE0"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681932C0" w14:textId="77777777" w:rsidTr="005F5EA4">
        <w:trPr>
          <w:trHeight w:val="873"/>
        </w:trPr>
        <w:tc>
          <w:tcPr>
            <w:tcW w:w="826" w:type="pct"/>
            <w:vAlign w:val="center"/>
          </w:tcPr>
          <w:p w14:paraId="3E771E8E"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 xml:space="preserve">Article 9 </w:t>
            </w:r>
          </w:p>
        </w:tc>
        <w:tc>
          <w:tcPr>
            <w:tcW w:w="397" w:type="pct"/>
            <w:vAlign w:val="center"/>
          </w:tcPr>
          <w:p w14:paraId="7ADC1236"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NHS England (2022)</w:t>
            </w:r>
          </w:p>
        </w:tc>
        <w:tc>
          <w:tcPr>
            <w:tcW w:w="1293" w:type="pct"/>
            <w:vAlign w:val="center"/>
          </w:tcPr>
          <w:p w14:paraId="67B39FA5"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Palliative and end of life care: Statutory guidance for integrated care boards (ICBs)</w:t>
            </w:r>
          </w:p>
        </w:tc>
        <w:tc>
          <w:tcPr>
            <w:tcW w:w="1725" w:type="pct"/>
            <w:vAlign w:val="center"/>
          </w:tcPr>
          <w:p w14:paraId="71006ADC"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 xml:space="preserve">Statutory guidance for Integrated Care Boards on commissioning palliative and end-of-life care, </w:t>
            </w:r>
            <w:proofErr w:type="spellStart"/>
            <w:r w:rsidRPr="005F5EA4">
              <w:rPr>
                <w:rFonts w:ascii="Cambria" w:hAnsi="Cambria" w:cs="Arial"/>
                <w:color w:val="000000"/>
                <w:lang w:val="en-US"/>
              </w:rPr>
              <w:t>emphasising</w:t>
            </w:r>
            <w:proofErr w:type="spellEnd"/>
            <w:r w:rsidRPr="005F5EA4">
              <w:rPr>
                <w:rFonts w:ascii="Cambria" w:hAnsi="Cambria" w:cs="Arial"/>
                <w:color w:val="000000"/>
                <w:lang w:val="en-US"/>
              </w:rPr>
              <w:t xml:space="preserve"> </w:t>
            </w:r>
            <w:proofErr w:type="spellStart"/>
            <w:r w:rsidRPr="005F5EA4">
              <w:rPr>
                <w:rFonts w:ascii="Cambria" w:hAnsi="Cambria" w:cs="Arial"/>
                <w:color w:val="000000"/>
                <w:lang w:val="en-US"/>
              </w:rPr>
              <w:t>personalised</w:t>
            </w:r>
            <w:proofErr w:type="spellEnd"/>
            <w:r w:rsidRPr="005F5EA4">
              <w:rPr>
                <w:rFonts w:ascii="Cambria" w:hAnsi="Cambria" w:cs="Arial"/>
                <w:color w:val="000000"/>
                <w:lang w:val="en-US"/>
              </w:rPr>
              <w:t xml:space="preserve"> care, equity, coordination, workforce capability and population need.</w:t>
            </w:r>
          </w:p>
        </w:tc>
        <w:tc>
          <w:tcPr>
            <w:tcW w:w="759" w:type="pct"/>
            <w:vAlign w:val="center"/>
          </w:tcPr>
          <w:p w14:paraId="381065AB"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NHS England; statutory guidance; ICBs; commissioning; palliative care; end-of-life care; inequalities; service coordination</w:t>
            </w:r>
          </w:p>
        </w:tc>
      </w:tr>
      <w:tr w:rsidR="005F5EA4" w:rsidRPr="005F5EA4" w14:paraId="4AF49104" w14:textId="77777777" w:rsidTr="005F5EA4">
        <w:trPr>
          <w:trHeight w:val="873"/>
        </w:trPr>
        <w:tc>
          <w:tcPr>
            <w:tcW w:w="826" w:type="pct"/>
            <w:vAlign w:val="center"/>
          </w:tcPr>
          <w:p w14:paraId="29BCE397"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Notes</w:t>
            </w:r>
          </w:p>
        </w:tc>
        <w:tc>
          <w:tcPr>
            <w:tcW w:w="3415" w:type="pct"/>
            <w:gridSpan w:val="3"/>
            <w:vAlign w:val="center"/>
          </w:tcPr>
          <w:p w14:paraId="4E73EAA7"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and updated in 2022.</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guides </w:t>
            </w:r>
            <w:proofErr w:type="spellStart"/>
            <w:r w:rsidRPr="005F5EA4">
              <w:rPr>
                <w:rFonts w:ascii="Cambria" w:hAnsi="Cambria" w:cs="Arial"/>
                <w:color w:val="000000"/>
                <w:lang w:val="en-US"/>
              </w:rPr>
              <w:t>organisation</w:t>
            </w:r>
            <w:proofErr w:type="spellEnd"/>
            <w:r w:rsidRPr="005F5EA4">
              <w:rPr>
                <w:rFonts w:ascii="Cambria" w:hAnsi="Cambria" w:cs="Arial"/>
                <w:color w:val="000000"/>
                <w:lang w:val="en-US"/>
              </w:rPr>
              <w:t xml:space="preserve"> and commissioning of care in England.</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Official NHS England statutory guidance.</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Based on national legal duties, policy and service standards.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Support ICBs to commission high-quality, equitable care.</w:t>
            </w:r>
          </w:p>
        </w:tc>
        <w:tc>
          <w:tcPr>
            <w:tcW w:w="759" w:type="pct"/>
            <w:vAlign w:val="center"/>
          </w:tcPr>
          <w:p w14:paraId="4FFDD77E"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CRAAP Score</w:t>
            </w:r>
          </w:p>
          <w:p w14:paraId="5840D9E8"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r w:rsidR="005F5EA4" w:rsidRPr="005F5EA4" w14:paraId="07A0DD98" w14:textId="77777777" w:rsidTr="00823B6A">
        <w:trPr>
          <w:trHeight w:val="873"/>
        </w:trPr>
        <w:tc>
          <w:tcPr>
            <w:tcW w:w="5000" w:type="pct"/>
            <w:gridSpan w:val="5"/>
            <w:tcBorders>
              <w:left w:val="nil"/>
              <w:right w:val="nil"/>
            </w:tcBorders>
            <w:vAlign w:val="center"/>
          </w:tcPr>
          <w:p w14:paraId="236C2A56" w14:textId="77777777" w:rsidR="005F5EA4" w:rsidRPr="005F5EA4" w:rsidRDefault="005F5EA4" w:rsidP="005F5EA4">
            <w:pPr>
              <w:spacing w:after="200" w:line="276" w:lineRule="auto"/>
              <w:jc w:val="center"/>
              <w:rPr>
                <w:rFonts w:ascii="Aptos" w:hAnsi="Aptos" w:cs="Arial"/>
                <w:b/>
                <w:bCs/>
                <w:color w:val="000000"/>
                <w:sz w:val="24"/>
                <w:lang w:val="en-US"/>
              </w:rPr>
            </w:pPr>
          </w:p>
        </w:tc>
      </w:tr>
      <w:tr w:rsidR="005F5EA4" w:rsidRPr="005F5EA4" w14:paraId="127A7C55" w14:textId="77777777" w:rsidTr="005F5EA4">
        <w:trPr>
          <w:trHeight w:val="873"/>
        </w:trPr>
        <w:tc>
          <w:tcPr>
            <w:tcW w:w="826" w:type="pct"/>
            <w:vAlign w:val="center"/>
          </w:tcPr>
          <w:p w14:paraId="4161B41C"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 xml:space="preserve">Article 10 </w:t>
            </w:r>
          </w:p>
        </w:tc>
        <w:tc>
          <w:tcPr>
            <w:tcW w:w="397" w:type="pct"/>
            <w:vAlign w:val="center"/>
          </w:tcPr>
          <w:p w14:paraId="5C47703C"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Aker et al. (2024)</w:t>
            </w:r>
          </w:p>
        </w:tc>
        <w:tc>
          <w:tcPr>
            <w:tcW w:w="1293" w:type="pct"/>
            <w:vAlign w:val="center"/>
          </w:tcPr>
          <w:p w14:paraId="3BA99460"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Experiences and access of palliative and end of life care for older people from minority ethnic groups: a scoping review</w:t>
            </w:r>
          </w:p>
        </w:tc>
        <w:tc>
          <w:tcPr>
            <w:tcW w:w="1725" w:type="pct"/>
            <w:vAlign w:val="center"/>
          </w:tcPr>
          <w:p w14:paraId="73ADF3E6"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color w:val="000000"/>
                <w:lang w:val="en-US"/>
              </w:rPr>
              <w:t>Scoping review of 23 sources representing 20 studies. Barriers for older minority ethnic groups involved knowledge, structural issues, language, migration, trust, religion and cultural values.</w:t>
            </w:r>
          </w:p>
        </w:tc>
        <w:tc>
          <w:tcPr>
            <w:tcW w:w="759" w:type="pct"/>
            <w:vAlign w:val="center"/>
          </w:tcPr>
          <w:p w14:paraId="7372B444" w14:textId="77777777" w:rsidR="005F5EA4" w:rsidRPr="005F5EA4" w:rsidRDefault="005F5EA4" w:rsidP="005F5EA4">
            <w:pPr>
              <w:spacing w:after="200" w:line="276" w:lineRule="auto"/>
              <w:jc w:val="left"/>
              <w:rPr>
                <w:rFonts w:ascii="Aptos" w:hAnsi="Aptos" w:cs="Arial"/>
                <w:b/>
                <w:bCs/>
                <w:color w:val="000000"/>
                <w:sz w:val="24"/>
                <w:lang w:val="en-US"/>
              </w:rPr>
            </w:pPr>
            <w:r w:rsidRPr="005F5EA4">
              <w:rPr>
                <w:rFonts w:ascii="Cambria" w:hAnsi="Cambria" w:cs="Arial"/>
                <w:color w:val="000000"/>
                <w:lang w:val="en-US"/>
              </w:rPr>
              <w:t>Older people; minority ethnic groups; palliative care; end-of-life care; access; inequalities; language; trust; culture</w:t>
            </w:r>
          </w:p>
        </w:tc>
      </w:tr>
      <w:tr w:rsidR="005F5EA4" w:rsidRPr="005F5EA4" w14:paraId="618E360B" w14:textId="77777777" w:rsidTr="005F5EA4">
        <w:trPr>
          <w:trHeight w:val="873"/>
        </w:trPr>
        <w:tc>
          <w:tcPr>
            <w:tcW w:w="826" w:type="pct"/>
            <w:vAlign w:val="center"/>
          </w:tcPr>
          <w:p w14:paraId="00008473"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t xml:space="preserve">CRAAP Notes </w:t>
            </w:r>
          </w:p>
        </w:tc>
        <w:tc>
          <w:tcPr>
            <w:tcW w:w="3415" w:type="pct"/>
            <w:gridSpan w:val="3"/>
            <w:vAlign w:val="center"/>
          </w:tcPr>
          <w:p w14:paraId="2EE5F2C4" w14:textId="77777777" w:rsidR="005F5EA4" w:rsidRPr="005F5EA4" w:rsidRDefault="005F5EA4" w:rsidP="005F5EA4">
            <w:pPr>
              <w:spacing w:after="200" w:line="276" w:lineRule="auto"/>
              <w:jc w:val="left"/>
              <w:rPr>
                <w:rFonts w:ascii="Aptos" w:hAnsi="Aptos" w:cs="Arial"/>
                <w:color w:val="000000"/>
                <w:sz w:val="24"/>
                <w:lang w:val="en-US"/>
              </w:rPr>
            </w:pPr>
            <w:r w:rsidRPr="005F5EA4">
              <w:rPr>
                <w:rFonts w:ascii="Cambria" w:hAnsi="Cambria" w:cs="Arial"/>
                <w:b/>
                <w:color w:val="000000"/>
                <w:lang w:val="en-US"/>
              </w:rPr>
              <w:t>Current:</w:t>
            </w:r>
            <w:r w:rsidRPr="005F5EA4">
              <w:rPr>
                <w:rFonts w:ascii="Cambria" w:hAnsi="Cambria" w:cs="Arial"/>
                <w:color w:val="000000"/>
                <w:lang w:val="en-US"/>
              </w:rPr>
              <w:t xml:space="preserve"> Published in 2024.</w:t>
            </w:r>
            <w:r w:rsidRPr="005F5EA4">
              <w:rPr>
                <w:rFonts w:ascii="Cambria" w:hAnsi="Cambria" w:cs="Arial"/>
                <w:color w:val="000000"/>
                <w:lang w:val="en-US"/>
              </w:rPr>
              <w:br/>
            </w:r>
            <w:r w:rsidRPr="005F5EA4">
              <w:rPr>
                <w:rFonts w:ascii="Cambria" w:hAnsi="Cambria" w:cs="Arial"/>
                <w:b/>
                <w:color w:val="000000"/>
                <w:lang w:val="en-US"/>
              </w:rPr>
              <w:t>Relevant:</w:t>
            </w:r>
            <w:r w:rsidRPr="005F5EA4">
              <w:rPr>
                <w:rFonts w:ascii="Cambria" w:hAnsi="Cambria" w:cs="Arial"/>
                <w:color w:val="000000"/>
                <w:lang w:val="en-US"/>
              </w:rPr>
              <w:t xml:space="preserve"> Directly examines older people, inequalities and access to care.</w:t>
            </w:r>
            <w:r w:rsidRPr="005F5EA4">
              <w:rPr>
                <w:rFonts w:ascii="Cambria" w:hAnsi="Cambria" w:cs="Arial"/>
                <w:color w:val="000000"/>
                <w:lang w:val="en-US"/>
              </w:rPr>
              <w:br/>
            </w:r>
            <w:r w:rsidRPr="005F5EA4">
              <w:rPr>
                <w:rFonts w:ascii="Cambria" w:hAnsi="Cambria" w:cs="Arial"/>
                <w:b/>
                <w:color w:val="000000"/>
                <w:lang w:val="en-US"/>
              </w:rPr>
              <w:t>Authority:</w:t>
            </w:r>
            <w:r w:rsidRPr="005F5EA4">
              <w:rPr>
                <w:rFonts w:ascii="Cambria" w:hAnsi="Cambria" w:cs="Arial"/>
                <w:color w:val="000000"/>
                <w:lang w:val="en-US"/>
              </w:rPr>
              <w:t xml:space="preserve"> UCL-led research team; peer-reviewed BMC Palliative Care.</w:t>
            </w:r>
            <w:r w:rsidRPr="005F5EA4">
              <w:rPr>
                <w:rFonts w:ascii="Cambria" w:hAnsi="Cambria" w:cs="Arial"/>
                <w:color w:val="000000"/>
                <w:lang w:val="en-US"/>
              </w:rPr>
              <w:br/>
            </w:r>
            <w:r w:rsidRPr="005F5EA4">
              <w:rPr>
                <w:rFonts w:ascii="Cambria" w:hAnsi="Cambria" w:cs="Arial"/>
                <w:b/>
                <w:color w:val="000000"/>
                <w:lang w:val="en-US"/>
              </w:rPr>
              <w:t>Accuracy:</w:t>
            </w:r>
            <w:r w:rsidRPr="005F5EA4">
              <w:rPr>
                <w:rFonts w:ascii="Cambria" w:hAnsi="Cambria" w:cs="Arial"/>
                <w:color w:val="000000"/>
                <w:lang w:val="en-US"/>
              </w:rPr>
              <w:t xml:space="preserve"> JBI/PRISMA-</w:t>
            </w:r>
            <w:proofErr w:type="spellStart"/>
            <w:r w:rsidRPr="005F5EA4">
              <w:rPr>
                <w:rFonts w:ascii="Cambria" w:hAnsi="Cambria" w:cs="Arial"/>
                <w:color w:val="000000"/>
                <w:lang w:val="en-US"/>
              </w:rPr>
              <w:t>ScR</w:t>
            </w:r>
            <w:proofErr w:type="spellEnd"/>
            <w:r w:rsidRPr="005F5EA4">
              <w:rPr>
                <w:rFonts w:ascii="Cambria" w:hAnsi="Cambria" w:cs="Arial"/>
                <w:color w:val="000000"/>
                <w:lang w:val="en-US"/>
              </w:rPr>
              <w:t xml:space="preserve"> approach with </w:t>
            </w:r>
            <w:proofErr w:type="gramStart"/>
            <w:r w:rsidRPr="005F5EA4">
              <w:rPr>
                <w:rFonts w:ascii="Cambria" w:hAnsi="Cambria" w:cs="Arial"/>
                <w:color w:val="000000"/>
                <w:lang w:val="en-US"/>
              </w:rPr>
              <w:t>eight-database</w:t>
            </w:r>
            <w:proofErr w:type="gramEnd"/>
            <w:r w:rsidRPr="005F5EA4">
              <w:rPr>
                <w:rFonts w:ascii="Cambria" w:hAnsi="Cambria" w:cs="Arial"/>
                <w:color w:val="000000"/>
                <w:lang w:val="en-US"/>
              </w:rPr>
              <w:t xml:space="preserve"> search and qualitative </w:t>
            </w:r>
            <w:r w:rsidRPr="005F5EA4">
              <w:rPr>
                <w:rFonts w:ascii="Cambria" w:hAnsi="Cambria" w:cs="Arial"/>
                <w:color w:val="000000"/>
                <w:lang w:val="en-US"/>
              </w:rPr>
              <w:lastRenderedPageBreak/>
              <w:t>synthesis.</w:t>
            </w:r>
            <w:r w:rsidRPr="005F5EA4">
              <w:rPr>
                <w:rFonts w:ascii="Cambria" w:hAnsi="Cambria" w:cs="Arial"/>
                <w:color w:val="000000"/>
                <w:lang w:val="en-US"/>
              </w:rPr>
              <w:br/>
            </w:r>
            <w:r w:rsidRPr="005F5EA4">
              <w:rPr>
                <w:rFonts w:ascii="Cambria" w:hAnsi="Cambria" w:cs="Arial"/>
                <w:b/>
                <w:color w:val="000000"/>
                <w:lang w:val="en-US"/>
              </w:rPr>
              <w:t>Purpose:</w:t>
            </w:r>
            <w:r w:rsidRPr="005F5EA4">
              <w:rPr>
                <w:rFonts w:ascii="Cambria" w:hAnsi="Cambria" w:cs="Arial"/>
                <w:color w:val="000000"/>
                <w:lang w:val="en-US"/>
              </w:rPr>
              <w:t xml:space="preserve"> Identify access barriers and culturally appropriate improvements.</w:t>
            </w:r>
          </w:p>
        </w:tc>
        <w:tc>
          <w:tcPr>
            <w:tcW w:w="759" w:type="pct"/>
            <w:vAlign w:val="center"/>
          </w:tcPr>
          <w:p w14:paraId="469F0B84"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Aptos" w:hAnsi="Aptos" w:cs="Arial"/>
                <w:b/>
                <w:bCs/>
                <w:color w:val="000000"/>
                <w:sz w:val="24"/>
                <w:lang w:val="en-US"/>
              </w:rPr>
              <w:lastRenderedPageBreak/>
              <w:t>CRAAP Score</w:t>
            </w:r>
          </w:p>
          <w:p w14:paraId="5E89A510" w14:textId="77777777" w:rsidR="005F5EA4" w:rsidRPr="005F5EA4" w:rsidRDefault="005F5EA4" w:rsidP="005F5EA4">
            <w:pPr>
              <w:spacing w:after="200" w:line="276" w:lineRule="auto"/>
              <w:jc w:val="center"/>
              <w:rPr>
                <w:rFonts w:ascii="Aptos" w:hAnsi="Aptos" w:cs="Arial"/>
                <w:b/>
                <w:bCs/>
                <w:color w:val="000000"/>
                <w:sz w:val="24"/>
                <w:lang w:val="en-US"/>
              </w:rPr>
            </w:pPr>
            <w:r w:rsidRPr="005F5EA4">
              <w:rPr>
                <w:rFonts w:ascii="Cambria" w:hAnsi="Cambria" w:cs="Arial"/>
                <w:b/>
                <w:color w:val="000000"/>
                <w:lang w:val="en-US"/>
              </w:rPr>
              <w:t>5/5</w:t>
            </w:r>
          </w:p>
        </w:tc>
      </w:tr>
    </w:tbl>
    <w:p w14:paraId="3F2F8C25" w14:textId="51034514" w:rsidR="005F5EA4" w:rsidRDefault="005F5EA4" w:rsidP="005F5EA4"/>
    <w:p w14:paraId="2630B669" w14:textId="2D816F4D" w:rsidR="005F5EA4" w:rsidRPr="005F5EA4" w:rsidRDefault="005F5EA4" w:rsidP="005F5EA4">
      <w:pPr>
        <w:rPr>
          <w:b/>
          <w:bCs/>
        </w:rPr>
      </w:pPr>
      <w:r w:rsidRPr="005F5EA4">
        <w:rPr>
          <w:b/>
          <w:bCs/>
        </w:rPr>
        <w:t>Independent Project Results Summary Table</w:t>
      </w:r>
    </w:p>
    <w:tbl>
      <w:tblPr>
        <w:tblStyle w:val="TableGrid2"/>
        <w:tblpPr w:leftFromText="180" w:rightFromText="180" w:vertAnchor="text" w:horzAnchor="margin" w:tblpXSpec="center" w:tblpY="252"/>
        <w:tblW w:w="15912" w:type="dxa"/>
        <w:jc w:val="center"/>
        <w:tblLayout w:type="fixed"/>
        <w:tblCellMar>
          <w:top w:w="55" w:type="dxa"/>
          <w:left w:w="55" w:type="dxa"/>
          <w:bottom w:w="55" w:type="dxa"/>
          <w:right w:w="55" w:type="dxa"/>
        </w:tblCellMar>
        <w:tblLook w:val="04A0" w:firstRow="1" w:lastRow="0" w:firstColumn="1" w:lastColumn="0" w:noHBand="0" w:noVBand="1"/>
      </w:tblPr>
      <w:tblGrid>
        <w:gridCol w:w="1268"/>
        <w:gridCol w:w="2593"/>
        <w:gridCol w:w="1612"/>
        <w:gridCol w:w="2232"/>
        <w:gridCol w:w="2232"/>
        <w:gridCol w:w="2304"/>
        <w:gridCol w:w="1843"/>
        <w:gridCol w:w="1828"/>
      </w:tblGrid>
      <w:tr w:rsidR="005F5EA4" w:rsidRPr="005F5EA4" w14:paraId="10947243" w14:textId="77777777" w:rsidTr="00823B6A">
        <w:trPr>
          <w:trHeight w:val="1495"/>
          <w:tblHeader/>
          <w:jc w:val="center"/>
        </w:trPr>
        <w:tc>
          <w:tcPr>
            <w:tcW w:w="1267" w:type="dxa"/>
            <w:vAlign w:val="center"/>
          </w:tcPr>
          <w:p w14:paraId="4292D488"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Author &amp; Year</w:t>
            </w:r>
          </w:p>
        </w:tc>
        <w:tc>
          <w:tcPr>
            <w:tcW w:w="2592" w:type="dxa"/>
            <w:vAlign w:val="center"/>
          </w:tcPr>
          <w:p w14:paraId="15F02E04"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Article Title</w:t>
            </w:r>
          </w:p>
        </w:tc>
        <w:tc>
          <w:tcPr>
            <w:tcW w:w="1612" w:type="dxa"/>
            <w:vAlign w:val="center"/>
          </w:tcPr>
          <w:p w14:paraId="3A22034E"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Type of Study</w:t>
            </w:r>
          </w:p>
        </w:tc>
        <w:tc>
          <w:tcPr>
            <w:tcW w:w="2232" w:type="dxa"/>
            <w:vAlign w:val="center"/>
          </w:tcPr>
          <w:p w14:paraId="45E5957C"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Research Method &amp; Sample Size</w:t>
            </w:r>
          </w:p>
        </w:tc>
        <w:tc>
          <w:tcPr>
            <w:tcW w:w="2232" w:type="dxa"/>
            <w:vAlign w:val="center"/>
          </w:tcPr>
          <w:p w14:paraId="13A4A133"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Strengths &amp; Limitations</w:t>
            </w:r>
          </w:p>
        </w:tc>
        <w:tc>
          <w:tcPr>
            <w:tcW w:w="2304" w:type="dxa"/>
            <w:vAlign w:val="center"/>
          </w:tcPr>
          <w:p w14:paraId="2DC8CB44"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Main Findings</w:t>
            </w:r>
          </w:p>
        </w:tc>
        <w:tc>
          <w:tcPr>
            <w:tcW w:w="1843" w:type="dxa"/>
            <w:vAlign w:val="center"/>
          </w:tcPr>
          <w:p w14:paraId="0B2AA9DA"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Keywords &amp; Codes</w:t>
            </w:r>
          </w:p>
        </w:tc>
        <w:tc>
          <w:tcPr>
            <w:tcW w:w="1828" w:type="dxa"/>
            <w:vAlign w:val="center"/>
          </w:tcPr>
          <w:p w14:paraId="7EC2C1DF" w14:textId="77777777" w:rsidR="005F5EA4" w:rsidRPr="005F5EA4" w:rsidRDefault="005F5EA4" w:rsidP="005F5EA4">
            <w:pPr>
              <w:spacing w:line="278" w:lineRule="auto"/>
              <w:jc w:val="center"/>
              <w:rPr>
                <w:rFonts w:asciiTheme="minorHAnsi" w:hAnsiTheme="minorHAnsi"/>
                <w:b/>
                <w:bCs/>
                <w:color w:val="auto"/>
                <w:szCs w:val="22"/>
              </w:rPr>
            </w:pPr>
            <w:r w:rsidRPr="005F5EA4">
              <w:rPr>
                <w:b/>
                <w:bCs/>
                <w:color w:val="auto"/>
                <w:sz w:val="18"/>
                <w:szCs w:val="22"/>
              </w:rPr>
              <w:t>Notes and Comments</w:t>
            </w:r>
          </w:p>
        </w:tc>
      </w:tr>
      <w:tr w:rsidR="005F5EA4" w:rsidRPr="005F5EA4" w14:paraId="59BDD6E8" w14:textId="77777777" w:rsidTr="00823B6A">
        <w:trPr>
          <w:trHeight w:val="642"/>
          <w:jc w:val="center"/>
        </w:trPr>
        <w:tc>
          <w:tcPr>
            <w:tcW w:w="1267" w:type="dxa"/>
          </w:tcPr>
          <w:p w14:paraId="29F03DB2" w14:textId="77777777" w:rsidR="005F5EA4" w:rsidRPr="005F5EA4" w:rsidRDefault="005F5EA4" w:rsidP="005F5EA4">
            <w:pPr>
              <w:spacing w:line="278" w:lineRule="auto"/>
              <w:jc w:val="left"/>
              <w:rPr>
                <w:rFonts w:cs="Arial"/>
                <w:color w:val="auto"/>
                <w:szCs w:val="22"/>
              </w:rPr>
            </w:pPr>
            <w:r w:rsidRPr="005F5EA4">
              <w:rPr>
                <w:rFonts w:cs="Arial"/>
                <w:color w:val="auto"/>
                <w:szCs w:val="22"/>
              </w:rPr>
              <w:t>Hodge et al. (2025)</w:t>
            </w:r>
          </w:p>
        </w:tc>
        <w:tc>
          <w:tcPr>
            <w:tcW w:w="2592" w:type="dxa"/>
          </w:tcPr>
          <w:p w14:paraId="007BA8D7" w14:textId="77777777" w:rsidR="005F5EA4" w:rsidRPr="005F5EA4" w:rsidRDefault="005F5EA4" w:rsidP="005F5EA4">
            <w:pPr>
              <w:spacing w:line="278" w:lineRule="auto"/>
              <w:jc w:val="left"/>
              <w:rPr>
                <w:rFonts w:cs="Arial"/>
                <w:color w:val="auto"/>
                <w:szCs w:val="22"/>
              </w:rPr>
            </w:pPr>
            <w:r w:rsidRPr="005F5EA4">
              <w:rPr>
                <w:rFonts w:cs="Arial"/>
                <w:color w:val="auto"/>
                <w:szCs w:val="22"/>
              </w:rPr>
              <w:t>Exploring perceived barriers to palliative and end of life care provision in South-West England: bringing together the perspectives of professionals, patients, and families</w:t>
            </w:r>
          </w:p>
        </w:tc>
        <w:tc>
          <w:tcPr>
            <w:tcW w:w="1612" w:type="dxa"/>
          </w:tcPr>
          <w:p w14:paraId="2308E50C" w14:textId="77777777" w:rsidR="005F5EA4" w:rsidRPr="005F5EA4" w:rsidRDefault="005F5EA4" w:rsidP="005F5EA4">
            <w:pPr>
              <w:spacing w:line="278" w:lineRule="auto"/>
              <w:jc w:val="left"/>
              <w:rPr>
                <w:rFonts w:cs="Arial"/>
                <w:color w:val="auto"/>
                <w:szCs w:val="22"/>
              </w:rPr>
            </w:pPr>
            <w:r w:rsidRPr="005F5EA4">
              <w:rPr>
                <w:rFonts w:cs="Arial"/>
                <w:color w:val="auto"/>
                <w:szCs w:val="22"/>
              </w:rPr>
              <w:t>Qualitative exploratory study</w:t>
            </w:r>
          </w:p>
        </w:tc>
        <w:tc>
          <w:tcPr>
            <w:tcW w:w="2232" w:type="dxa"/>
          </w:tcPr>
          <w:p w14:paraId="2747C5E5" w14:textId="77777777" w:rsidR="005F5EA4" w:rsidRPr="005F5EA4" w:rsidRDefault="005F5EA4" w:rsidP="005F5EA4">
            <w:pPr>
              <w:spacing w:line="278" w:lineRule="auto"/>
              <w:jc w:val="left"/>
              <w:rPr>
                <w:rFonts w:cs="Arial"/>
                <w:color w:val="auto"/>
                <w:szCs w:val="22"/>
              </w:rPr>
            </w:pPr>
            <w:r w:rsidRPr="005F5EA4">
              <w:rPr>
                <w:rFonts w:cs="Arial"/>
                <w:color w:val="auto"/>
                <w:szCs w:val="22"/>
              </w:rPr>
              <w:t>13 focus groups/interviews; n=63 (45 professionals; 18 patients/family/carers/bereaved); reflexive thematic analysis.</w:t>
            </w:r>
          </w:p>
        </w:tc>
        <w:tc>
          <w:tcPr>
            <w:tcW w:w="2232" w:type="dxa"/>
          </w:tcPr>
          <w:p w14:paraId="077F9A94" w14:textId="77777777" w:rsidR="005F5EA4" w:rsidRPr="005F5EA4" w:rsidRDefault="005F5EA4" w:rsidP="005F5EA4">
            <w:pPr>
              <w:spacing w:line="278" w:lineRule="auto"/>
              <w:jc w:val="left"/>
              <w:rPr>
                <w:rFonts w:cs="Arial"/>
                <w:color w:val="auto"/>
                <w:szCs w:val="22"/>
              </w:rPr>
            </w:pPr>
            <w:r w:rsidRPr="005F5EA4">
              <w:rPr>
                <w:rFonts w:cs="Arial"/>
                <w:color w:val="auto"/>
                <w:szCs w:val="22"/>
              </w:rPr>
              <w:t>Strength: Multiple stakeholder voices. Limitation: One region and self-selection limit transferability.</w:t>
            </w:r>
          </w:p>
        </w:tc>
        <w:tc>
          <w:tcPr>
            <w:tcW w:w="2304" w:type="dxa"/>
          </w:tcPr>
          <w:p w14:paraId="4559DA52" w14:textId="77777777" w:rsidR="005F5EA4" w:rsidRPr="005F5EA4" w:rsidRDefault="005F5EA4" w:rsidP="005F5EA4">
            <w:pPr>
              <w:spacing w:line="278" w:lineRule="auto"/>
              <w:jc w:val="left"/>
              <w:rPr>
                <w:rFonts w:cs="Arial"/>
                <w:color w:val="auto"/>
                <w:szCs w:val="22"/>
              </w:rPr>
            </w:pPr>
            <w:r w:rsidRPr="005F5EA4">
              <w:rPr>
                <w:rFonts w:cs="Arial"/>
                <w:color w:val="auto"/>
                <w:szCs w:val="22"/>
              </w:rPr>
              <w:t>Barriers: limited resources; poor coordination; unequal access; COVID-19 effects; reluctance to discuss dying.</w:t>
            </w:r>
          </w:p>
        </w:tc>
        <w:tc>
          <w:tcPr>
            <w:tcW w:w="1843" w:type="dxa"/>
          </w:tcPr>
          <w:p w14:paraId="231966FA" w14:textId="77777777" w:rsidR="005F5EA4" w:rsidRPr="005F5EA4" w:rsidRDefault="005F5EA4" w:rsidP="005F5EA4">
            <w:pPr>
              <w:spacing w:line="278" w:lineRule="auto"/>
              <w:jc w:val="left"/>
              <w:rPr>
                <w:rFonts w:cs="Arial"/>
                <w:color w:val="auto"/>
                <w:szCs w:val="22"/>
              </w:rPr>
            </w:pPr>
            <w:r w:rsidRPr="005F5EA4">
              <w:rPr>
                <w:rFonts w:cs="Arial"/>
                <w:color w:val="auto"/>
                <w:szCs w:val="22"/>
              </w:rPr>
              <w:t>resources; coordination; inequalities; communication; dying</w:t>
            </w:r>
          </w:p>
        </w:tc>
        <w:tc>
          <w:tcPr>
            <w:tcW w:w="1828" w:type="dxa"/>
          </w:tcPr>
          <w:p w14:paraId="20904543"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 Service access and coordination.</w:t>
            </w:r>
          </w:p>
        </w:tc>
      </w:tr>
      <w:tr w:rsidR="005F5EA4" w:rsidRPr="005F5EA4" w14:paraId="5C0DAC12" w14:textId="77777777" w:rsidTr="00823B6A">
        <w:trPr>
          <w:trHeight w:val="610"/>
          <w:jc w:val="center"/>
        </w:trPr>
        <w:tc>
          <w:tcPr>
            <w:tcW w:w="1267" w:type="dxa"/>
          </w:tcPr>
          <w:p w14:paraId="62EA6BA1" w14:textId="77777777" w:rsidR="005F5EA4" w:rsidRPr="005F5EA4" w:rsidRDefault="005F5EA4" w:rsidP="005F5EA4">
            <w:pPr>
              <w:spacing w:line="278" w:lineRule="auto"/>
              <w:jc w:val="left"/>
              <w:rPr>
                <w:rFonts w:cs="Arial"/>
                <w:color w:val="auto"/>
                <w:szCs w:val="22"/>
              </w:rPr>
            </w:pPr>
            <w:r w:rsidRPr="005F5EA4">
              <w:rPr>
                <w:rFonts w:cs="Arial"/>
                <w:color w:val="auto"/>
                <w:szCs w:val="22"/>
              </w:rPr>
              <w:t>Dixon et al. (2023)</w:t>
            </w:r>
          </w:p>
        </w:tc>
        <w:tc>
          <w:tcPr>
            <w:tcW w:w="2592" w:type="dxa"/>
          </w:tcPr>
          <w:p w14:paraId="562FE829" w14:textId="77777777" w:rsidR="005F5EA4" w:rsidRPr="005F5EA4" w:rsidRDefault="005F5EA4" w:rsidP="005F5EA4">
            <w:pPr>
              <w:spacing w:line="278" w:lineRule="auto"/>
              <w:jc w:val="left"/>
              <w:rPr>
                <w:rFonts w:cs="Arial"/>
                <w:color w:val="auto"/>
                <w:szCs w:val="22"/>
              </w:rPr>
            </w:pPr>
            <w:r w:rsidRPr="005F5EA4">
              <w:rPr>
                <w:rFonts w:cs="Arial"/>
                <w:color w:val="auto"/>
                <w:szCs w:val="22"/>
              </w:rPr>
              <w:t>Traveller end of life care experiences and needs: thematic analysis</w:t>
            </w:r>
          </w:p>
        </w:tc>
        <w:tc>
          <w:tcPr>
            <w:tcW w:w="1612" w:type="dxa"/>
          </w:tcPr>
          <w:p w14:paraId="06EA6396" w14:textId="77777777" w:rsidR="005F5EA4" w:rsidRPr="005F5EA4" w:rsidRDefault="005F5EA4" w:rsidP="005F5EA4">
            <w:pPr>
              <w:spacing w:line="278" w:lineRule="auto"/>
              <w:jc w:val="left"/>
              <w:rPr>
                <w:rFonts w:cs="Arial"/>
                <w:color w:val="auto"/>
                <w:szCs w:val="22"/>
              </w:rPr>
            </w:pPr>
            <w:r w:rsidRPr="005F5EA4">
              <w:rPr>
                <w:rFonts w:cs="Arial"/>
                <w:color w:val="auto"/>
                <w:szCs w:val="22"/>
              </w:rPr>
              <w:t>Qualitative secondary thematic analysis</w:t>
            </w:r>
          </w:p>
        </w:tc>
        <w:tc>
          <w:tcPr>
            <w:tcW w:w="2232" w:type="dxa"/>
          </w:tcPr>
          <w:p w14:paraId="68FB1A2D" w14:textId="77777777" w:rsidR="005F5EA4" w:rsidRPr="005F5EA4" w:rsidRDefault="005F5EA4" w:rsidP="005F5EA4">
            <w:pPr>
              <w:spacing w:line="278" w:lineRule="auto"/>
              <w:jc w:val="left"/>
              <w:rPr>
                <w:rFonts w:cs="Arial"/>
                <w:color w:val="auto"/>
                <w:szCs w:val="22"/>
              </w:rPr>
            </w:pPr>
            <w:r w:rsidRPr="005F5EA4">
              <w:rPr>
                <w:rFonts w:cs="Arial"/>
                <w:color w:val="auto"/>
                <w:szCs w:val="22"/>
              </w:rPr>
              <w:t>2 focus groups + 16 interviews; n=37; secondary thematic analysis.</w:t>
            </w:r>
          </w:p>
        </w:tc>
        <w:tc>
          <w:tcPr>
            <w:tcW w:w="2232" w:type="dxa"/>
          </w:tcPr>
          <w:p w14:paraId="04282264" w14:textId="77777777" w:rsidR="005F5EA4" w:rsidRPr="005F5EA4" w:rsidRDefault="005F5EA4" w:rsidP="005F5EA4">
            <w:pPr>
              <w:spacing w:line="278" w:lineRule="auto"/>
              <w:jc w:val="left"/>
              <w:rPr>
                <w:rFonts w:cs="Arial"/>
                <w:color w:val="auto"/>
                <w:szCs w:val="22"/>
              </w:rPr>
            </w:pPr>
            <w:r w:rsidRPr="005F5EA4">
              <w:rPr>
                <w:rFonts w:cs="Arial"/>
                <w:color w:val="auto"/>
                <w:szCs w:val="22"/>
              </w:rPr>
              <w:t>Strength: Focuses on an underserved group. Limitation: Small sample and secondary data collected in 2018.</w:t>
            </w:r>
          </w:p>
        </w:tc>
        <w:tc>
          <w:tcPr>
            <w:tcW w:w="2304" w:type="dxa"/>
          </w:tcPr>
          <w:p w14:paraId="12BC1B57" w14:textId="77777777" w:rsidR="005F5EA4" w:rsidRPr="005F5EA4" w:rsidRDefault="005F5EA4" w:rsidP="005F5EA4">
            <w:pPr>
              <w:spacing w:line="278" w:lineRule="auto"/>
              <w:jc w:val="left"/>
              <w:rPr>
                <w:rFonts w:cs="Arial"/>
                <w:color w:val="auto"/>
                <w:szCs w:val="22"/>
              </w:rPr>
            </w:pPr>
            <w:r w:rsidRPr="005F5EA4">
              <w:rPr>
                <w:rFonts w:cs="Arial"/>
                <w:color w:val="auto"/>
                <w:szCs w:val="22"/>
              </w:rPr>
              <w:t>Cultural misunderstanding, mistrust and communication problems reduced care acceptability; liaison roles and cultural competence were recommended.</w:t>
            </w:r>
          </w:p>
        </w:tc>
        <w:tc>
          <w:tcPr>
            <w:tcW w:w="1843" w:type="dxa"/>
          </w:tcPr>
          <w:p w14:paraId="5571973F" w14:textId="77777777" w:rsidR="005F5EA4" w:rsidRPr="005F5EA4" w:rsidRDefault="005F5EA4" w:rsidP="005F5EA4">
            <w:pPr>
              <w:spacing w:line="278" w:lineRule="auto"/>
              <w:jc w:val="left"/>
              <w:rPr>
                <w:rFonts w:cs="Arial"/>
                <w:color w:val="auto"/>
                <w:szCs w:val="22"/>
              </w:rPr>
            </w:pPr>
            <w:r w:rsidRPr="005F5EA4">
              <w:rPr>
                <w:rFonts w:cs="Arial"/>
                <w:color w:val="auto"/>
                <w:szCs w:val="22"/>
              </w:rPr>
              <w:t>Traveller communities; culture; communication; mistrust; inequalities</w:t>
            </w:r>
          </w:p>
        </w:tc>
        <w:tc>
          <w:tcPr>
            <w:tcW w:w="1828" w:type="dxa"/>
          </w:tcPr>
          <w:p w14:paraId="01C42009"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 Culturally appropriate and person-centred care.</w:t>
            </w:r>
          </w:p>
        </w:tc>
      </w:tr>
      <w:tr w:rsidR="005F5EA4" w:rsidRPr="005F5EA4" w14:paraId="01F734C2" w14:textId="77777777" w:rsidTr="00823B6A">
        <w:trPr>
          <w:trHeight w:val="610"/>
          <w:jc w:val="center"/>
        </w:trPr>
        <w:tc>
          <w:tcPr>
            <w:tcW w:w="1267" w:type="dxa"/>
          </w:tcPr>
          <w:p w14:paraId="138F0E3A" w14:textId="77777777" w:rsidR="005F5EA4" w:rsidRPr="005F5EA4" w:rsidRDefault="005F5EA4" w:rsidP="005F5EA4">
            <w:pPr>
              <w:spacing w:line="278" w:lineRule="auto"/>
              <w:jc w:val="left"/>
              <w:rPr>
                <w:rFonts w:cs="Arial"/>
                <w:color w:val="auto"/>
                <w:szCs w:val="22"/>
              </w:rPr>
            </w:pPr>
            <w:r w:rsidRPr="005F5EA4">
              <w:rPr>
                <w:rFonts w:cs="Arial"/>
                <w:color w:val="auto"/>
                <w:szCs w:val="22"/>
              </w:rPr>
              <w:t>Bradshaw et al. (2023)</w:t>
            </w:r>
          </w:p>
        </w:tc>
        <w:tc>
          <w:tcPr>
            <w:tcW w:w="2592" w:type="dxa"/>
          </w:tcPr>
          <w:p w14:paraId="72218FD3" w14:textId="77777777" w:rsidR="005F5EA4" w:rsidRPr="005F5EA4" w:rsidRDefault="005F5EA4" w:rsidP="005F5EA4">
            <w:pPr>
              <w:spacing w:line="278" w:lineRule="auto"/>
              <w:jc w:val="left"/>
              <w:rPr>
                <w:rFonts w:cs="Arial"/>
                <w:color w:val="auto"/>
                <w:szCs w:val="22"/>
              </w:rPr>
            </w:pPr>
            <w:r w:rsidRPr="005F5EA4">
              <w:rPr>
                <w:rFonts w:cs="Arial"/>
                <w:color w:val="auto"/>
                <w:szCs w:val="22"/>
              </w:rPr>
              <w:t>Provision of palliative and end-of-life care in UK care homes during the COVID-19 pandemic: A mixed methods observational study with implications for policy</w:t>
            </w:r>
          </w:p>
        </w:tc>
        <w:tc>
          <w:tcPr>
            <w:tcW w:w="1612" w:type="dxa"/>
          </w:tcPr>
          <w:p w14:paraId="0C9779CE" w14:textId="77777777" w:rsidR="005F5EA4" w:rsidRPr="005F5EA4" w:rsidRDefault="005F5EA4" w:rsidP="005F5EA4">
            <w:pPr>
              <w:spacing w:line="278" w:lineRule="auto"/>
              <w:jc w:val="left"/>
              <w:rPr>
                <w:rFonts w:cs="Arial"/>
                <w:color w:val="auto"/>
                <w:szCs w:val="22"/>
              </w:rPr>
            </w:pPr>
            <w:r w:rsidRPr="005F5EA4">
              <w:rPr>
                <w:rFonts w:cs="Arial"/>
                <w:color w:val="auto"/>
                <w:szCs w:val="22"/>
              </w:rPr>
              <w:t>Mixed-methods observational study</w:t>
            </w:r>
          </w:p>
        </w:tc>
        <w:tc>
          <w:tcPr>
            <w:tcW w:w="2232" w:type="dxa"/>
          </w:tcPr>
          <w:p w14:paraId="2A2899E5" w14:textId="77777777" w:rsidR="005F5EA4" w:rsidRPr="005F5EA4" w:rsidRDefault="005F5EA4" w:rsidP="005F5EA4">
            <w:pPr>
              <w:spacing w:line="278" w:lineRule="auto"/>
              <w:jc w:val="left"/>
              <w:rPr>
                <w:rFonts w:cs="Arial"/>
                <w:color w:val="auto"/>
                <w:szCs w:val="22"/>
              </w:rPr>
            </w:pPr>
            <w:r w:rsidRPr="005F5EA4">
              <w:rPr>
                <w:rFonts w:cs="Arial"/>
                <w:color w:val="auto"/>
                <w:szCs w:val="22"/>
              </w:rPr>
              <w:t>Survey n=107 + interviews n=27; descriptive analysis, reflexive thematic analysis and triangulation.</w:t>
            </w:r>
          </w:p>
        </w:tc>
        <w:tc>
          <w:tcPr>
            <w:tcW w:w="2232" w:type="dxa"/>
          </w:tcPr>
          <w:p w14:paraId="72A4B9A9" w14:textId="77777777" w:rsidR="005F5EA4" w:rsidRPr="005F5EA4" w:rsidRDefault="005F5EA4" w:rsidP="005F5EA4">
            <w:pPr>
              <w:spacing w:line="278" w:lineRule="auto"/>
              <w:jc w:val="left"/>
              <w:rPr>
                <w:rFonts w:cs="Arial"/>
                <w:color w:val="auto"/>
                <w:szCs w:val="22"/>
              </w:rPr>
            </w:pPr>
            <w:r w:rsidRPr="005F5EA4">
              <w:rPr>
                <w:rFonts w:cs="Arial"/>
                <w:color w:val="auto"/>
                <w:szCs w:val="22"/>
              </w:rPr>
              <w:t>Strength: UK quantitative and qualitative evidence. Limitation: Self-selection and pandemic context limit generalisability.</w:t>
            </w:r>
          </w:p>
        </w:tc>
        <w:tc>
          <w:tcPr>
            <w:tcW w:w="2304" w:type="dxa"/>
          </w:tcPr>
          <w:p w14:paraId="34736F92" w14:textId="77777777" w:rsidR="005F5EA4" w:rsidRPr="005F5EA4" w:rsidRDefault="005F5EA4" w:rsidP="005F5EA4">
            <w:pPr>
              <w:spacing w:line="278" w:lineRule="auto"/>
              <w:jc w:val="left"/>
              <w:rPr>
                <w:rFonts w:cs="Arial"/>
                <w:color w:val="auto"/>
                <w:szCs w:val="22"/>
              </w:rPr>
            </w:pPr>
            <w:r w:rsidRPr="005F5EA4">
              <w:rPr>
                <w:rFonts w:cs="Arial"/>
                <w:color w:val="auto"/>
                <w:szCs w:val="22"/>
              </w:rPr>
              <w:t>Relationship-centred care was disrupted by restrictions; integration, digital inclusion and workforce support enabled quality care.</w:t>
            </w:r>
          </w:p>
        </w:tc>
        <w:tc>
          <w:tcPr>
            <w:tcW w:w="1843" w:type="dxa"/>
          </w:tcPr>
          <w:p w14:paraId="4B8C1286" w14:textId="77777777" w:rsidR="005F5EA4" w:rsidRPr="005F5EA4" w:rsidRDefault="005F5EA4" w:rsidP="005F5EA4">
            <w:pPr>
              <w:spacing w:line="278" w:lineRule="auto"/>
              <w:jc w:val="left"/>
              <w:rPr>
                <w:rFonts w:cs="Arial"/>
                <w:color w:val="auto"/>
                <w:szCs w:val="22"/>
              </w:rPr>
            </w:pPr>
            <w:r w:rsidRPr="005F5EA4">
              <w:rPr>
                <w:rFonts w:cs="Arial"/>
                <w:color w:val="auto"/>
                <w:szCs w:val="22"/>
              </w:rPr>
              <w:t>care homes; relationship-centred care; workforce; integration; digital inclusion</w:t>
            </w:r>
          </w:p>
        </w:tc>
        <w:tc>
          <w:tcPr>
            <w:tcW w:w="1828" w:type="dxa"/>
          </w:tcPr>
          <w:p w14:paraId="57AF7A64"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 Relationship-centred care and system resilience.</w:t>
            </w:r>
          </w:p>
        </w:tc>
      </w:tr>
      <w:tr w:rsidR="005F5EA4" w:rsidRPr="005F5EA4" w14:paraId="04519BDD" w14:textId="77777777" w:rsidTr="00823B6A">
        <w:trPr>
          <w:trHeight w:val="610"/>
          <w:jc w:val="center"/>
        </w:trPr>
        <w:tc>
          <w:tcPr>
            <w:tcW w:w="1267" w:type="dxa"/>
          </w:tcPr>
          <w:p w14:paraId="03AFB592" w14:textId="77777777" w:rsidR="005F5EA4" w:rsidRPr="005F5EA4" w:rsidRDefault="005F5EA4" w:rsidP="005F5EA4">
            <w:pPr>
              <w:spacing w:line="278" w:lineRule="auto"/>
              <w:jc w:val="left"/>
              <w:rPr>
                <w:rFonts w:cs="Arial"/>
                <w:color w:val="auto"/>
                <w:szCs w:val="22"/>
              </w:rPr>
            </w:pPr>
            <w:r w:rsidRPr="005F5EA4">
              <w:rPr>
                <w:rFonts w:cs="Arial"/>
                <w:color w:val="auto"/>
                <w:szCs w:val="22"/>
              </w:rPr>
              <w:t>Hanna et al. (2022)</w:t>
            </w:r>
          </w:p>
        </w:tc>
        <w:tc>
          <w:tcPr>
            <w:tcW w:w="2592" w:type="dxa"/>
          </w:tcPr>
          <w:p w14:paraId="06D55346" w14:textId="77777777" w:rsidR="005F5EA4" w:rsidRPr="005F5EA4" w:rsidRDefault="005F5EA4" w:rsidP="005F5EA4">
            <w:pPr>
              <w:spacing w:line="278" w:lineRule="auto"/>
              <w:jc w:val="left"/>
              <w:rPr>
                <w:rFonts w:cs="Arial"/>
                <w:color w:val="auto"/>
                <w:szCs w:val="22"/>
              </w:rPr>
            </w:pPr>
            <w:r w:rsidRPr="005F5EA4">
              <w:rPr>
                <w:rFonts w:cs="Arial"/>
                <w:color w:val="auto"/>
                <w:szCs w:val="22"/>
              </w:rPr>
              <w:t>End of life care in UK care homes during the COVID-19 pandemic: a qualitative study</w:t>
            </w:r>
          </w:p>
        </w:tc>
        <w:tc>
          <w:tcPr>
            <w:tcW w:w="1612" w:type="dxa"/>
          </w:tcPr>
          <w:p w14:paraId="40E85580" w14:textId="77777777" w:rsidR="005F5EA4" w:rsidRPr="005F5EA4" w:rsidRDefault="005F5EA4" w:rsidP="005F5EA4">
            <w:pPr>
              <w:spacing w:line="278" w:lineRule="auto"/>
              <w:jc w:val="left"/>
              <w:rPr>
                <w:rFonts w:cs="Arial"/>
                <w:color w:val="auto"/>
                <w:szCs w:val="22"/>
              </w:rPr>
            </w:pPr>
            <w:r w:rsidRPr="005F5EA4">
              <w:rPr>
                <w:rFonts w:cs="Arial"/>
                <w:color w:val="auto"/>
                <w:szCs w:val="22"/>
              </w:rPr>
              <w:t>Qualitative study</w:t>
            </w:r>
          </w:p>
        </w:tc>
        <w:tc>
          <w:tcPr>
            <w:tcW w:w="2232" w:type="dxa"/>
          </w:tcPr>
          <w:p w14:paraId="2C24D91C" w14:textId="77777777" w:rsidR="005F5EA4" w:rsidRPr="005F5EA4" w:rsidRDefault="005F5EA4" w:rsidP="005F5EA4">
            <w:pPr>
              <w:spacing w:line="278" w:lineRule="auto"/>
              <w:jc w:val="left"/>
              <w:rPr>
                <w:rFonts w:cs="Arial"/>
                <w:color w:val="auto"/>
                <w:szCs w:val="22"/>
              </w:rPr>
            </w:pPr>
            <w:r w:rsidRPr="005F5EA4">
              <w:rPr>
                <w:rFonts w:cs="Arial"/>
                <w:color w:val="auto"/>
                <w:szCs w:val="22"/>
              </w:rPr>
              <w:t>Semi-structured interviews with 42 participants (26 family carers; 16 care-home staff); 20 follow-ups; thematic analysis.</w:t>
            </w:r>
          </w:p>
        </w:tc>
        <w:tc>
          <w:tcPr>
            <w:tcW w:w="2232" w:type="dxa"/>
          </w:tcPr>
          <w:p w14:paraId="1CA9D04E" w14:textId="77777777" w:rsidR="005F5EA4" w:rsidRPr="005F5EA4" w:rsidRDefault="005F5EA4" w:rsidP="005F5EA4">
            <w:pPr>
              <w:spacing w:line="278" w:lineRule="auto"/>
              <w:jc w:val="left"/>
              <w:rPr>
                <w:rFonts w:cs="Arial"/>
                <w:color w:val="auto"/>
                <w:szCs w:val="22"/>
              </w:rPr>
            </w:pPr>
            <w:r w:rsidRPr="005F5EA4">
              <w:rPr>
                <w:rFonts w:cs="Arial"/>
                <w:color w:val="auto"/>
                <w:szCs w:val="22"/>
              </w:rPr>
              <w:t>Strength: Family and staff perspectives plus follow-up. Limitation: Dementia-focused, pandemic-specific qualitative sample.</w:t>
            </w:r>
          </w:p>
        </w:tc>
        <w:tc>
          <w:tcPr>
            <w:tcW w:w="2304" w:type="dxa"/>
          </w:tcPr>
          <w:p w14:paraId="39A8FE9A"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Themes: lost time; maintaining control/routines; coping with loss and lack of support. Visiting restrictions intensified distress.</w:t>
            </w:r>
          </w:p>
        </w:tc>
        <w:tc>
          <w:tcPr>
            <w:tcW w:w="1843" w:type="dxa"/>
          </w:tcPr>
          <w:p w14:paraId="233C319D" w14:textId="77777777" w:rsidR="005F5EA4" w:rsidRPr="005F5EA4" w:rsidRDefault="005F5EA4" w:rsidP="005F5EA4">
            <w:pPr>
              <w:spacing w:line="278" w:lineRule="auto"/>
              <w:jc w:val="left"/>
              <w:rPr>
                <w:rFonts w:cs="Arial"/>
                <w:color w:val="auto"/>
                <w:szCs w:val="22"/>
              </w:rPr>
            </w:pPr>
            <w:r w:rsidRPr="005F5EA4">
              <w:rPr>
                <w:rFonts w:cs="Arial"/>
                <w:color w:val="auto"/>
                <w:szCs w:val="22"/>
              </w:rPr>
              <w:t>care homes; dementia; family carers; staff; visiting; loss; support</w:t>
            </w:r>
          </w:p>
        </w:tc>
        <w:tc>
          <w:tcPr>
            <w:tcW w:w="1828" w:type="dxa"/>
          </w:tcPr>
          <w:p w14:paraId="57481B71"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 Family involvement and emotional consequences.</w:t>
            </w:r>
          </w:p>
        </w:tc>
      </w:tr>
      <w:tr w:rsidR="005F5EA4" w:rsidRPr="005F5EA4" w14:paraId="5E751412" w14:textId="77777777" w:rsidTr="00823B6A">
        <w:trPr>
          <w:trHeight w:val="610"/>
          <w:jc w:val="center"/>
        </w:trPr>
        <w:tc>
          <w:tcPr>
            <w:tcW w:w="1267" w:type="dxa"/>
          </w:tcPr>
          <w:p w14:paraId="49D530A5" w14:textId="77777777" w:rsidR="005F5EA4" w:rsidRPr="005F5EA4" w:rsidRDefault="005F5EA4" w:rsidP="005F5EA4">
            <w:pPr>
              <w:spacing w:line="278" w:lineRule="auto"/>
              <w:jc w:val="left"/>
              <w:rPr>
                <w:rFonts w:cs="Arial"/>
                <w:color w:val="auto"/>
                <w:szCs w:val="22"/>
              </w:rPr>
            </w:pPr>
            <w:r w:rsidRPr="005F5EA4">
              <w:rPr>
                <w:rFonts w:cs="Arial"/>
                <w:color w:val="auto"/>
                <w:szCs w:val="22"/>
              </w:rPr>
              <w:lastRenderedPageBreak/>
              <w:t>Aker et al. (2024)</w:t>
            </w:r>
          </w:p>
        </w:tc>
        <w:tc>
          <w:tcPr>
            <w:tcW w:w="2592" w:type="dxa"/>
          </w:tcPr>
          <w:p w14:paraId="12B80F19" w14:textId="77777777" w:rsidR="005F5EA4" w:rsidRPr="005F5EA4" w:rsidRDefault="005F5EA4" w:rsidP="005F5EA4">
            <w:pPr>
              <w:spacing w:line="278" w:lineRule="auto"/>
              <w:jc w:val="left"/>
              <w:rPr>
                <w:rFonts w:cs="Arial"/>
                <w:color w:val="auto"/>
                <w:szCs w:val="22"/>
              </w:rPr>
            </w:pPr>
            <w:r w:rsidRPr="005F5EA4">
              <w:rPr>
                <w:rFonts w:cs="Arial"/>
                <w:color w:val="auto"/>
                <w:szCs w:val="22"/>
              </w:rPr>
              <w:t>Experiences and access of palliative and end of life care for older people from minority ethnic groups: a scoping review</w:t>
            </w:r>
          </w:p>
        </w:tc>
        <w:tc>
          <w:tcPr>
            <w:tcW w:w="1612" w:type="dxa"/>
          </w:tcPr>
          <w:p w14:paraId="3A27EDCD" w14:textId="77777777" w:rsidR="005F5EA4" w:rsidRPr="005F5EA4" w:rsidRDefault="005F5EA4" w:rsidP="005F5EA4">
            <w:pPr>
              <w:spacing w:line="278" w:lineRule="auto"/>
              <w:jc w:val="left"/>
              <w:rPr>
                <w:rFonts w:cs="Arial"/>
                <w:color w:val="auto"/>
                <w:szCs w:val="22"/>
              </w:rPr>
            </w:pPr>
            <w:r w:rsidRPr="005F5EA4">
              <w:rPr>
                <w:rFonts w:cs="Arial"/>
                <w:color w:val="auto"/>
                <w:szCs w:val="22"/>
              </w:rPr>
              <w:t>Qualitative scoping review</w:t>
            </w:r>
          </w:p>
        </w:tc>
        <w:tc>
          <w:tcPr>
            <w:tcW w:w="2232" w:type="dxa"/>
          </w:tcPr>
          <w:p w14:paraId="28DAA266" w14:textId="77777777" w:rsidR="005F5EA4" w:rsidRPr="005F5EA4" w:rsidRDefault="005F5EA4" w:rsidP="005F5EA4">
            <w:pPr>
              <w:spacing w:line="278" w:lineRule="auto"/>
              <w:jc w:val="left"/>
              <w:rPr>
                <w:rFonts w:cs="Arial"/>
                <w:color w:val="auto"/>
                <w:szCs w:val="22"/>
              </w:rPr>
            </w:pPr>
            <w:r w:rsidRPr="005F5EA4">
              <w:rPr>
                <w:rFonts w:cs="Arial"/>
                <w:color w:val="auto"/>
                <w:szCs w:val="22"/>
              </w:rPr>
              <w:t>8 databases + grey literature; 23 sources/20 studies; JBI/PRISMA-</w:t>
            </w:r>
            <w:proofErr w:type="spellStart"/>
            <w:r w:rsidRPr="005F5EA4">
              <w:rPr>
                <w:rFonts w:cs="Arial"/>
                <w:color w:val="auto"/>
                <w:szCs w:val="22"/>
              </w:rPr>
              <w:t>ScR</w:t>
            </w:r>
            <w:proofErr w:type="spellEnd"/>
            <w:r w:rsidRPr="005F5EA4">
              <w:rPr>
                <w:rFonts w:cs="Arial"/>
                <w:color w:val="auto"/>
                <w:szCs w:val="22"/>
              </w:rPr>
              <w:t>; narrative synthesis.</w:t>
            </w:r>
          </w:p>
        </w:tc>
        <w:tc>
          <w:tcPr>
            <w:tcW w:w="2232" w:type="dxa"/>
          </w:tcPr>
          <w:p w14:paraId="6694DD1F" w14:textId="77777777" w:rsidR="005F5EA4" w:rsidRPr="005F5EA4" w:rsidRDefault="005F5EA4" w:rsidP="005F5EA4">
            <w:pPr>
              <w:spacing w:line="278" w:lineRule="auto"/>
              <w:jc w:val="left"/>
              <w:rPr>
                <w:rFonts w:cs="Arial"/>
                <w:color w:val="auto"/>
                <w:szCs w:val="22"/>
              </w:rPr>
            </w:pPr>
            <w:r w:rsidRPr="005F5EA4">
              <w:rPr>
                <w:rFonts w:cs="Arial"/>
                <w:color w:val="auto"/>
                <w:szCs w:val="22"/>
              </w:rPr>
              <w:t>Strength: Broad systematic search. Limitation: No formal quality appraisal; heterogeneous evidence and many US studies.</w:t>
            </w:r>
          </w:p>
        </w:tc>
        <w:tc>
          <w:tcPr>
            <w:tcW w:w="2304" w:type="dxa"/>
          </w:tcPr>
          <w:p w14:paraId="77F3E5B2" w14:textId="77777777" w:rsidR="005F5EA4" w:rsidRPr="005F5EA4" w:rsidRDefault="005F5EA4" w:rsidP="005F5EA4">
            <w:pPr>
              <w:spacing w:line="278" w:lineRule="auto"/>
              <w:jc w:val="left"/>
              <w:rPr>
                <w:rFonts w:cs="Arial"/>
                <w:color w:val="auto"/>
                <w:szCs w:val="22"/>
              </w:rPr>
            </w:pPr>
            <w:r w:rsidRPr="005F5EA4">
              <w:rPr>
                <w:rFonts w:cs="Arial"/>
                <w:color w:val="auto"/>
                <w:szCs w:val="22"/>
              </w:rPr>
              <w:t>Seven themes: knowledge, structural issues, language, migration, trust, religion/hope and cultural values; culturally appropriate care was needed.</w:t>
            </w:r>
          </w:p>
        </w:tc>
        <w:tc>
          <w:tcPr>
            <w:tcW w:w="1843" w:type="dxa"/>
          </w:tcPr>
          <w:p w14:paraId="62BFCC08" w14:textId="77777777" w:rsidR="005F5EA4" w:rsidRPr="005F5EA4" w:rsidRDefault="005F5EA4" w:rsidP="005F5EA4">
            <w:pPr>
              <w:spacing w:line="278" w:lineRule="auto"/>
              <w:jc w:val="left"/>
              <w:rPr>
                <w:rFonts w:cs="Arial"/>
                <w:color w:val="auto"/>
                <w:szCs w:val="22"/>
              </w:rPr>
            </w:pPr>
            <w:r w:rsidRPr="005F5EA4">
              <w:rPr>
                <w:rFonts w:cs="Arial"/>
                <w:color w:val="auto"/>
                <w:szCs w:val="22"/>
              </w:rPr>
              <w:t>older people; ethnicity; access; inequalities; language; trust; culture</w:t>
            </w:r>
          </w:p>
        </w:tc>
        <w:tc>
          <w:tcPr>
            <w:tcW w:w="1828" w:type="dxa"/>
          </w:tcPr>
          <w:p w14:paraId="73033E2C" w14:textId="77777777" w:rsidR="005F5EA4" w:rsidRPr="005F5EA4" w:rsidRDefault="005F5EA4" w:rsidP="005F5EA4">
            <w:pPr>
              <w:spacing w:line="278" w:lineRule="auto"/>
              <w:jc w:val="left"/>
              <w:rPr>
                <w:rFonts w:cs="Arial"/>
                <w:color w:val="auto"/>
                <w:szCs w:val="22"/>
              </w:rPr>
            </w:pPr>
            <w:r w:rsidRPr="005F5EA4">
              <w:rPr>
                <w:rFonts w:cs="Arial"/>
                <w:color w:val="auto"/>
                <w:szCs w:val="22"/>
              </w:rPr>
              <w:t>Theme: Equity and culturally appropriate access.</w:t>
            </w:r>
          </w:p>
        </w:tc>
      </w:tr>
    </w:tbl>
    <w:p w14:paraId="6CC5F972" w14:textId="77777777" w:rsidR="005F5EA4" w:rsidRDefault="005F5EA4" w:rsidP="005F5EA4"/>
    <w:sectPr w:rsidR="005F5EA4" w:rsidSect="00DC419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523EE"/>
    <w:multiLevelType w:val="hybridMultilevel"/>
    <w:tmpl w:val="48426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310B4"/>
    <w:multiLevelType w:val="multilevel"/>
    <w:tmpl w:val="02467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FD2EA7"/>
    <w:multiLevelType w:val="hybridMultilevel"/>
    <w:tmpl w:val="06041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1537105">
    <w:abstractNumId w:val="1"/>
  </w:num>
  <w:num w:numId="2" w16cid:durableId="786772144">
    <w:abstractNumId w:val="0"/>
  </w:num>
  <w:num w:numId="3" w16cid:durableId="56318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99"/>
    <w:rsid w:val="00014D38"/>
    <w:rsid w:val="000C446C"/>
    <w:rsid w:val="000C69CA"/>
    <w:rsid w:val="000F57CA"/>
    <w:rsid w:val="000F6E7C"/>
    <w:rsid w:val="00110FB5"/>
    <w:rsid w:val="00117BE9"/>
    <w:rsid w:val="00123D31"/>
    <w:rsid w:val="00144D99"/>
    <w:rsid w:val="0017540A"/>
    <w:rsid w:val="001B6416"/>
    <w:rsid w:val="001E0EC2"/>
    <w:rsid w:val="001F6859"/>
    <w:rsid w:val="00210FD7"/>
    <w:rsid w:val="00216B11"/>
    <w:rsid w:val="00235811"/>
    <w:rsid w:val="00242420"/>
    <w:rsid w:val="00244091"/>
    <w:rsid w:val="002637C9"/>
    <w:rsid w:val="00295A75"/>
    <w:rsid w:val="002A0C36"/>
    <w:rsid w:val="002D0270"/>
    <w:rsid w:val="0030237B"/>
    <w:rsid w:val="00302A2F"/>
    <w:rsid w:val="00317F7F"/>
    <w:rsid w:val="00332996"/>
    <w:rsid w:val="00360A82"/>
    <w:rsid w:val="003879C1"/>
    <w:rsid w:val="003952F2"/>
    <w:rsid w:val="003A116B"/>
    <w:rsid w:val="003A3F91"/>
    <w:rsid w:val="003C4A0A"/>
    <w:rsid w:val="003C4A59"/>
    <w:rsid w:val="004226D9"/>
    <w:rsid w:val="004474A4"/>
    <w:rsid w:val="0047427D"/>
    <w:rsid w:val="00507A8E"/>
    <w:rsid w:val="00521C46"/>
    <w:rsid w:val="005C77E4"/>
    <w:rsid w:val="005F5EA4"/>
    <w:rsid w:val="00631AEF"/>
    <w:rsid w:val="00655B92"/>
    <w:rsid w:val="006804D2"/>
    <w:rsid w:val="006A2253"/>
    <w:rsid w:val="006A51FF"/>
    <w:rsid w:val="006D7A5C"/>
    <w:rsid w:val="007039B2"/>
    <w:rsid w:val="00714074"/>
    <w:rsid w:val="0072520C"/>
    <w:rsid w:val="00745234"/>
    <w:rsid w:val="00750242"/>
    <w:rsid w:val="00795068"/>
    <w:rsid w:val="007F4423"/>
    <w:rsid w:val="0080017F"/>
    <w:rsid w:val="00807015"/>
    <w:rsid w:val="008216EE"/>
    <w:rsid w:val="00827753"/>
    <w:rsid w:val="008459EE"/>
    <w:rsid w:val="00861773"/>
    <w:rsid w:val="00872ECB"/>
    <w:rsid w:val="00881DEA"/>
    <w:rsid w:val="008A0DB2"/>
    <w:rsid w:val="00915CD4"/>
    <w:rsid w:val="00965811"/>
    <w:rsid w:val="00980ED5"/>
    <w:rsid w:val="009901B3"/>
    <w:rsid w:val="00992754"/>
    <w:rsid w:val="00996025"/>
    <w:rsid w:val="009C586F"/>
    <w:rsid w:val="00A231A1"/>
    <w:rsid w:val="00A8073E"/>
    <w:rsid w:val="00A82192"/>
    <w:rsid w:val="00A82A69"/>
    <w:rsid w:val="00A96D3E"/>
    <w:rsid w:val="00AB0636"/>
    <w:rsid w:val="00AB55DD"/>
    <w:rsid w:val="00AF0CF3"/>
    <w:rsid w:val="00AF10AF"/>
    <w:rsid w:val="00B255F3"/>
    <w:rsid w:val="00B25E3A"/>
    <w:rsid w:val="00B66596"/>
    <w:rsid w:val="00B91355"/>
    <w:rsid w:val="00BE5732"/>
    <w:rsid w:val="00C20C0D"/>
    <w:rsid w:val="00C20F4F"/>
    <w:rsid w:val="00C366DF"/>
    <w:rsid w:val="00C4620B"/>
    <w:rsid w:val="00C504F3"/>
    <w:rsid w:val="00C677DE"/>
    <w:rsid w:val="00C7108B"/>
    <w:rsid w:val="00C9399B"/>
    <w:rsid w:val="00CB16A2"/>
    <w:rsid w:val="00CC3DEF"/>
    <w:rsid w:val="00CD7776"/>
    <w:rsid w:val="00CE230A"/>
    <w:rsid w:val="00CE2459"/>
    <w:rsid w:val="00D0716D"/>
    <w:rsid w:val="00D21CF9"/>
    <w:rsid w:val="00D73370"/>
    <w:rsid w:val="00D83D44"/>
    <w:rsid w:val="00DA2348"/>
    <w:rsid w:val="00DC419F"/>
    <w:rsid w:val="00DC4667"/>
    <w:rsid w:val="00DD1932"/>
    <w:rsid w:val="00DF682F"/>
    <w:rsid w:val="00E154F9"/>
    <w:rsid w:val="00E16380"/>
    <w:rsid w:val="00E201B9"/>
    <w:rsid w:val="00E251E5"/>
    <w:rsid w:val="00E503A3"/>
    <w:rsid w:val="00E6587A"/>
    <w:rsid w:val="00E71B43"/>
    <w:rsid w:val="00E73AF7"/>
    <w:rsid w:val="00EA0453"/>
    <w:rsid w:val="00F542B1"/>
    <w:rsid w:val="00F63F8F"/>
    <w:rsid w:val="00F92C00"/>
    <w:rsid w:val="00FA6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0ECD09"/>
  <w15:chartTrackingRefBased/>
  <w15:docId w15:val="{1EF11F47-5D07-499A-928B-503F05FF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D99"/>
    <w:pPr>
      <w:spacing w:line="360" w:lineRule="auto"/>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DC419F"/>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144D99"/>
    <w:pPr>
      <w:keepNext/>
      <w:keepLines/>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semiHidden/>
    <w:unhideWhenUsed/>
    <w:qFormat/>
    <w:rsid w:val="00144D99"/>
    <w:pPr>
      <w:keepNext/>
      <w:keepLines/>
      <w:spacing w:before="160" w:after="80"/>
      <w:outlineLvl w:val="2"/>
    </w:pPr>
    <w:rPr>
      <w:rFonts w:eastAsiaTheme="majorEastAsia" w:cstheme="majorBidi"/>
      <w:i/>
      <w:sz w:val="24"/>
      <w:szCs w:val="28"/>
    </w:rPr>
  </w:style>
  <w:style w:type="paragraph" w:styleId="Heading4">
    <w:name w:val="heading 4"/>
    <w:basedOn w:val="Normal"/>
    <w:next w:val="Normal"/>
    <w:link w:val="Heading4Char"/>
    <w:uiPriority w:val="9"/>
    <w:semiHidden/>
    <w:unhideWhenUsed/>
    <w:qFormat/>
    <w:rsid w:val="00144D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D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D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D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D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D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19F"/>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rsid w:val="00144D99"/>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144D99"/>
    <w:rPr>
      <w:rFonts w:ascii="Arial" w:eastAsiaTheme="majorEastAsia" w:hAnsi="Arial" w:cstheme="majorBidi"/>
      <w:i/>
      <w:color w:val="000000" w:themeColor="text1"/>
      <w:szCs w:val="28"/>
    </w:rPr>
  </w:style>
  <w:style w:type="character" w:customStyle="1" w:styleId="Heading4Char">
    <w:name w:val="Heading 4 Char"/>
    <w:basedOn w:val="DefaultParagraphFont"/>
    <w:link w:val="Heading4"/>
    <w:uiPriority w:val="9"/>
    <w:semiHidden/>
    <w:rsid w:val="00144D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D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D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D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D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D99"/>
    <w:rPr>
      <w:rFonts w:eastAsiaTheme="majorEastAsia" w:cstheme="majorBidi"/>
      <w:color w:val="272727" w:themeColor="text1" w:themeTint="D8"/>
    </w:rPr>
  </w:style>
  <w:style w:type="paragraph" w:styleId="Title">
    <w:name w:val="Title"/>
    <w:basedOn w:val="Normal"/>
    <w:next w:val="Normal"/>
    <w:link w:val="TitleChar"/>
    <w:uiPriority w:val="10"/>
    <w:qFormat/>
    <w:rsid w:val="00144D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D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D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D99"/>
    <w:pPr>
      <w:spacing w:before="160"/>
      <w:jc w:val="center"/>
    </w:pPr>
    <w:rPr>
      <w:i/>
      <w:iCs/>
      <w:color w:val="404040" w:themeColor="text1" w:themeTint="BF"/>
    </w:rPr>
  </w:style>
  <w:style w:type="character" w:customStyle="1" w:styleId="QuoteChar">
    <w:name w:val="Quote Char"/>
    <w:basedOn w:val="DefaultParagraphFont"/>
    <w:link w:val="Quote"/>
    <w:uiPriority w:val="29"/>
    <w:rsid w:val="00144D99"/>
    <w:rPr>
      <w:i/>
      <w:iCs/>
      <w:color w:val="404040" w:themeColor="text1" w:themeTint="BF"/>
    </w:rPr>
  </w:style>
  <w:style w:type="paragraph" w:styleId="ListParagraph">
    <w:name w:val="List Paragraph"/>
    <w:basedOn w:val="Normal"/>
    <w:uiPriority w:val="34"/>
    <w:qFormat/>
    <w:rsid w:val="00144D99"/>
    <w:pPr>
      <w:ind w:left="720"/>
      <w:contextualSpacing/>
    </w:pPr>
  </w:style>
  <w:style w:type="character" w:styleId="IntenseEmphasis">
    <w:name w:val="Intense Emphasis"/>
    <w:basedOn w:val="DefaultParagraphFont"/>
    <w:uiPriority w:val="21"/>
    <w:qFormat/>
    <w:rsid w:val="00144D99"/>
    <w:rPr>
      <w:i/>
      <w:iCs/>
      <w:color w:val="0F4761" w:themeColor="accent1" w:themeShade="BF"/>
    </w:rPr>
  </w:style>
  <w:style w:type="paragraph" w:styleId="IntenseQuote">
    <w:name w:val="Intense Quote"/>
    <w:basedOn w:val="Normal"/>
    <w:next w:val="Normal"/>
    <w:link w:val="IntenseQuoteChar"/>
    <w:uiPriority w:val="30"/>
    <w:qFormat/>
    <w:rsid w:val="00144D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D99"/>
    <w:rPr>
      <w:i/>
      <w:iCs/>
      <w:color w:val="0F4761" w:themeColor="accent1" w:themeShade="BF"/>
    </w:rPr>
  </w:style>
  <w:style w:type="character" w:styleId="IntenseReference">
    <w:name w:val="Intense Reference"/>
    <w:basedOn w:val="DefaultParagraphFont"/>
    <w:uiPriority w:val="32"/>
    <w:qFormat/>
    <w:rsid w:val="00144D99"/>
    <w:rPr>
      <w:b/>
      <w:bCs/>
      <w:smallCaps/>
      <w:color w:val="0F4761" w:themeColor="accent1" w:themeShade="BF"/>
      <w:spacing w:val="5"/>
    </w:rPr>
  </w:style>
  <w:style w:type="character" w:styleId="Hyperlink">
    <w:name w:val="Hyperlink"/>
    <w:basedOn w:val="DefaultParagraphFont"/>
    <w:uiPriority w:val="99"/>
    <w:unhideWhenUsed/>
    <w:rsid w:val="00144D99"/>
    <w:rPr>
      <w:color w:val="467886" w:themeColor="hyperlink"/>
      <w:u w:val="single"/>
    </w:rPr>
  </w:style>
  <w:style w:type="character" w:styleId="UnresolvedMention">
    <w:name w:val="Unresolved Mention"/>
    <w:basedOn w:val="DefaultParagraphFont"/>
    <w:uiPriority w:val="99"/>
    <w:semiHidden/>
    <w:unhideWhenUsed/>
    <w:rsid w:val="00144D99"/>
    <w:rPr>
      <w:color w:val="605E5C"/>
      <w:shd w:val="clear" w:color="auto" w:fill="E1DFDD"/>
    </w:rPr>
  </w:style>
  <w:style w:type="paragraph" w:styleId="TOCHeading">
    <w:name w:val="TOC Heading"/>
    <w:basedOn w:val="Heading1"/>
    <w:next w:val="Normal"/>
    <w:uiPriority w:val="39"/>
    <w:unhideWhenUsed/>
    <w:qFormat/>
    <w:rsid w:val="002A0C36"/>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2A0C36"/>
    <w:pPr>
      <w:spacing w:after="100"/>
      <w:ind w:left="220"/>
    </w:pPr>
  </w:style>
  <w:style w:type="paragraph" w:styleId="TOC1">
    <w:name w:val="toc 1"/>
    <w:basedOn w:val="Normal"/>
    <w:next w:val="Normal"/>
    <w:autoRedefine/>
    <w:uiPriority w:val="39"/>
    <w:unhideWhenUsed/>
    <w:rsid w:val="002A0C36"/>
    <w:pPr>
      <w:spacing w:after="100"/>
    </w:pPr>
  </w:style>
  <w:style w:type="paragraph" w:styleId="NormalWeb">
    <w:name w:val="Normal (Web)"/>
    <w:basedOn w:val="Normal"/>
    <w:uiPriority w:val="99"/>
    <w:semiHidden/>
    <w:unhideWhenUsed/>
    <w:rsid w:val="006804D2"/>
    <w:rPr>
      <w:rFonts w:ascii="Times New Roman" w:hAnsi="Times New Roman" w:cs="Times New Roman"/>
      <w:sz w:val="24"/>
    </w:rPr>
  </w:style>
  <w:style w:type="table" w:styleId="GridTable5Dark-Accent1">
    <w:name w:val="Grid Table 5 Dark Accent 1"/>
    <w:basedOn w:val="TableNormal"/>
    <w:uiPriority w:val="50"/>
    <w:rsid w:val="003023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3">
    <w:name w:val="toc 3"/>
    <w:basedOn w:val="Normal"/>
    <w:next w:val="Normal"/>
    <w:autoRedefine/>
    <w:uiPriority w:val="39"/>
    <w:unhideWhenUsed/>
    <w:rsid w:val="0030237B"/>
    <w:pPr>
      <w:spacing w:after="100"/>
      <w:ind w:left="440"/>
    </w:pPr>
  </w:style>
  <w:style w:type="paragraph" w:styleId="Caption">
    <w:name w:val="caption"/>
    <w:basedOn w:val="Normal"/>
    <w:next w:val="Normal"/>
    <w:uiPriority w:val="35"/>
    <w:unhideWhenUsed/>
    <w:qFormat/>
    <w:rsid w:val="0030237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0237B"/>
    <w:pPr>
      <w:spacing w:after="0"/>
    </w:pPr>
  </w:style>
  <w:style w:type="table" w:customStyle="1" w:styleId="TableGrid1">
    <w:name w:val="Table Grid1"/>
    <w:basedOn w:val="TableNormal"/>
    <w:next w:val="TableGrid"/>
    <w:uiPriority w:val="59"/>
    <w:rsid w:val="005F5EA4"/>
    <w:pPr>
      <w:spacing w:after="0" w:line="240" w:lineRule="auto"/>
    </w:pPr>
    <w:rPr>
      <w:rFonts w:eastAsia="MS Mincho"/>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F5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F5EA4"/>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904-022-01065-5" TargetMode="External"/><Relationship Id="rId21" Type="http://schemas.openxmlformats.org/officeDocument/2006/relationships/hyperlink" Target="https://doi.org/10.3389/fpubh.2023.1058736" TargetMode="External"/><Relationship Id="rId34" Type="http://schemas.openxmlformats.org/officeDocument/2006/relationships/hyperlink" Target="https://doi.org/10.1186/s12904-021-00878-0" TargetMode="External"/><Relationship Id="rId42" Type="http://schemas.openxmlformats.org/officeDocument/2006/relationships/hyperlink" Target="https://doi.org/10.14475/jhpc.2025.28.3.81" TargetMode="External"/><Relationship Id="rId47" Type="http://schemas.openxmlformats.org/officeDocument/2006/relationships/hyperlink" Target="https://doi.org/10.1136/bmjspcare-2020-002761" TargetMode="External"/><Relationship Id="rId50" Type="http://schemas.openxmlformats.org/officeDocument/2006/relationships/hyperlink" Target="https://doi.org/10.1177/02692163251362567" TargetMode="External"/><Relationship Id="rId55" Type="http://schemas.openxmlformats.org/officeDocument/2006/relationships/hyperlink" Target="https://doi.org/10.1186/s13643-020-01542-z" TargetMode="External"/><Relationship Id="rId63" Type="http://schemas.openxmlformats.org/officeDocument/2006/relationships/hyperlink" Target="https://doi.org/10.1136/bmjspcare-2020-002719" TargetMode="External"/><Relationship Id="rId68" Type="http://schemas.openxmlformats.org/officeDocument/2006/relationships/theme" Target="theme/theme1.xml"/><Relationship Id="rId7" Type="http://schemas.openxmlformats.org/officeDocument/2006/relationships/hyperlink" Target="https://link.springer.com/article/10.1186/s12904-024-01555-8?utm_source=chatgpt.com" TargetMode="External"/><Relationship Id="rId2" Type="http://schemas.openxmlformats.org/officeDocument/2006/relationships/numbering" Target="numbering.xml"/><Relationship Id="rId16" Type="http://schemas.openxmlformats.org/officeDocument/2006/relationships/hyperlink" Target="https://doi.org/10.1371/journal.pone.0275991" TargetMode="External"/><Relationship Id="rId29" Type="http://schemas.openxmlformats.org/officeDocument/2006/relationships/hyperlink" Target="https://doi.org/10.1186/s12904-021-00881-5" TargetMode="External"/><Relationship Id="rId11" Type="http://schemas.openxmlformats.org/officeDocument/2006/relationships/hyperlink" Target="https://bmcpalliatcare.biomedcentral.com/articles/10.1186/s12904-023-01131-6?utm_source=chatgpt.com" TargetMode="External"/><Relationship Id="rId24" Type="http://schemas.openxmlformats.org/officeDocument/2006/relationships/hyperlink" Target="https://doi.org/10.12688/amrcopenres.13079.2" TargetMode="External"/><Relationship Id="rId32" Type="http://schemas.openxmlformats.org/officeDocument/2006/relationships/hyperlink" Target="https://doi.org/10.1186/s12904-024-01574-5" TargetMode="External"/><Relationship Id="rId37" Type="http://schemas.openxmlformats.org/officeDocument/2006/relationships/hyperlink" Target="https://doi.org/10.3389/fsoc.2024.1488688" TargetMode="External"/><Relationship Id="rId40" Type="http://schemas.openxmlformats.org/officeDocument/2006/relationships/hyperlink" Target="https://doi.org/10.1186/s12904-023-01131-6" TargetMode="External"/><Relationship Id="rId45" Type="http://schemas.openxmlformats.org/officeDocument/2006/relationships/hyperlink" Target="https://doi.org/10.1136/bmj-2021-067896" TargetMode="External"/><Relationship Id="rId53" Type="http://schemas.openxmlformats.org/officeDocument/2006/relationships/hyperlink" Target="https://doi.org/10.3399/bjgp24X736161" TargetMode="External"/><Relationship Id="rId58" Type="http://schemas.openxmlformats.org/officeDocument/2006/relationships/hyperlink" Target="https://doi.org/10.1177/02692163221124426" TargetMode="External"/><Relationship Id="rId66" Type="http://schemas.openxmlformats.org/officeDocument/2006/relationships/hyperlink" Target="https://doi.org/10.1136/spcare-2023-004465" TargetMode="External"/><Relationship Id="rId5" Type="http://schemas.openxmlformats.org/officeDocument/2006/relationships/webSettings" Target="webSettings.xml"/><Relationship Id="rId61" Type="http://schemas.openxmlformats.org/officeDocument/2006/relationships/hyperlink" Target="https://doi.org/10.1186/s12939-024-02321-1" TargetMode="External"/><Relationship Id="rId19" Type="http://schemas.openxmlformats.org/officeDocument/2006/relationships/hyperlink" Target="https://doi.org/10.1136/bmj.p1106" TargetMode="External"/><Relationship Id="rId14" Type="http://schemas.openxmlformats.org/officeDocument/2006/relationships/hyperlink" Target="https://doi.org/10.1186/s12904-024-01555-8" TargetMode="External"/><Relationship Id="rId22" Type="http://schemas.openxmlformats.org/officeDocument/2006/relationships/hyperlink" Target="https://doi.org/10.1002/capr.12360" TargetMode="External"/><Relationship Id="rId27" Type="http://schemas.openxmlformats.org/officeDocument/2006/relationships/hyperlink" Target="https://doi.org/10.1136/spcare-2023-004284" TargetMode="External"/><Relationship Id="rId30" Type="http://schemas.openxmlformats.org/officeDocument/2006/relationships/hyperlink" Target="https://doi.org/10.3399/BJGP.2022.0315" TargetMode="External"/><Relationship Id="rId35" Type="http://schemas.openxmlformats.org/officeDocument/2006/relationships/hyperlink" Target="https://doi.org/10.1177/02692163221106284" TargetMode="External"/><Relationship Id="rId43" Type="http://schemas.openxmlformats.org/officeDocument/2006/relationships/hyperlink" Target="https://doi.org/10.3389/frhs.2022.1019602" TargetMode="External"/><Relationship Id="rId48" Type="http://schemas.openxmlformats.org/officeDocument/2006/relationships/hyperlink" Target="https://doi.org/10.1186/s12904-023-01155-y" TargetMode="External"/><Relationship Id="rId56" Type="http://schemas.openxmlformats.org/officeDocument/2006/relationships/hyperlink" Target="https://doi.org/10.1177/02692163251331161" TargetMode="External"/><Relationship Id="rId64" Type="http://schemas.openxmlformats.org/officeDocument/2006/relationships/hyperlink" Target="https://doi.org/10.1186/s12904-022-01038-8" TargetMode="External"/><Relationship Id="rId8" Type="http://schemas.openxmlformats.org/officeDocument/2006/relationships/hyperlink" Target="https://link.springer.com/article/10.1186/s12904-021-00878-0?utm_source=chatgpt.com" TargetMode="External"/><Relationship Id="rId51" Type="http://schemas.openxmlformats.org/officeDocument/2006/relationships/hyperlink" Target="https://doi.org/10.1136/bmjspcare-2021-003066" TargetMode="External"/><Relationship Id="rId3" Type="http://schemas.openxmlformats.org/officeDocument/2006/relationships/styles" Target="styles.xml"/><Relationship Id="rId12" Type="http://schemas.openxmlformats.org/officeDocument/2006/relationships/hyperlink" Target="https://eprints.soton.ac.uk/447193/?utm_source=chatgpt.com" TargetMode="External"/><Relationship Id="rId17" Type="http://schemas.openxmlformats.org/officeDocument/2006/relationships/hyperlink" Target="https://doi.org/10.1186/s12904-023-01207-3" TargetMode="External"/><Relationship Id="rId25" Type="http://schemas.openxmlformats.org/officeDocument/2006/relationships/hyperlink" Target="https://doi.org/10.1186/s12904-021-00739-w" TargetMode="External"/><Relationship Id="rId33" Type="http://schemas.openxmlformats.org/officeDocument/2006/relationships/hyperlink" Target="https://doi.org/10.1177/02692163241302671" TargetMode="External"/><Relationship Id="rId38" Type="http://schemas.openxmlformats.org/officeDocument/2006/relationships/hyperlink" Target="https://doi.org/10.1093/ageing/afad175" TargetMode="External"/><Relationship Id="rId46" Type="http://schemas.openxmlformats.org/officeDocument/2006/relationships/hyperlink" Target="https://doi.org/10.1177/02692163221118230" TargetMode="External"/><Relationship Id="rId59" Type="http://schemas.openxmlformats.org/officeDocument/2006/relationships/hyperlink" Target="https://doi.org/10.1186/s12904-023-01248-8" TargetMode="External"/><Relationship Id="rId67" Type="http://schemas.openxmlformats.org/officeDocument/2006/relationships/fontTable" Target="fontTable.xml"/><Relationship Id="rId20" Type="http://schemas.openxmlformats.org/officeDocument/2006/relationships/hyperlink" Target="https://doi.org/10.1177/02692163211017387" TargetMode="External"/><Relationship Id="rId41" Type="http://schemas.openxmlformats.org/officeDocument/2006/relationships/hyperlink" Target="https://doi.org/10.1177/02692163231167212" TargetMode="External"/><Relationship Id="rId54" Type="http://schemas.openxmlformats.org/officeDocument/2006/relationships/hyperlink" Target="https://doi.org/10.1186/s12904-023-01241-1" TargetMode="External"/><Relationship Id="rId62" Type="http://schemas.openxmlformats.org/officeDocument/2006/relationships/hyperlink" Target="https://doi.org/10.1186/s12904-021-00802-6"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3389/fpubh.2023.1139313" TargetMode="External"/><Relationship Id="rId23" Type="http://schemas.openxmlformats.org/officeDocument/2006/relationships/hyperlink" Target="https://doi.org/10.1080/26895269.2022.2129597" TargetMode="External"/><Relationship Id="rId28" Type="http://schemas.openxmlformats.org/officeDocument/2006/relationships/hyperlink" Target="https://doi.org/10.1177/02692163211000660" TargetMode="External"/><Relationship Id="rId36" Type="http://schemas.openxmlformats.org/officeDocument/2006/relationships/hyperlink" Target="https://doi.org/10.1186/s12904-024-01572-7" TargetMode="External"/><Relationship Id="rId49" Type="http://schemas.openxmlformats.org/officeDocument/2006/relationships/hyperlink" Target="https://doi.org/10.1089/pmr.2021.0003" TargetMode="External"/><Relationship Id="rId57" Type="http://schemas.openxmlformats.org/officeDocument/2006/relationships/hyperlink" Target="https://doi.org/10.1136/spcare-2022-003904" TargetMode="External"/><Relationship Id="rId10" Type="http://schemas.openxmlformats.org/officeDocument/2006/relationships/hyperlink" Target="https://pmc.ncbi.nlm.nih.gov/articles/PMC10098834/?utm_source=chatgpt.com" TargetMode="External"/><Relationship Id="rId31" Type="http://schemas.openxmlformats.org/officeDocument/2006/relationships/hyperlink" Target="https://doi.org/10.1016/j.ijnurstu.2021.103978" TargetMode="External"/><Relationship Id="rId44" Type="http://schemas.openxmlformats.org/officeDocument/2006/relationships/hyperlink" Target="https://doi.org/10.3399/BJGPO.2021.0095" TargetMode="External"/><Relationship Id="rId52" Type="http://schemas.openxmlformats.org/officeDocument/2006/relationships/hyperlink" Target="https://doi.org/10.1136/bmjspcare-2021-003042" TargetMode="External"/><Relationship Id="rId60" Type="http://schemas.openxmlformats.org/officeDocument/2006/relationships/hyperlink" Target="https://doi.org/10.1136/bmjspcare-2021-003095" TargetMode="External"/><Relationship Id="rId65" Type="http://schemas.openxmlformats.org/officeDocument/2006/relationships/hyperlink" Target="https://doi.org/10.1186/s12877-024-04888-4" TargetMode="External"/><Relationship Id="rId4" Type="http://schemas.openxmlformats.org/officeDocument/2006/relationships/settings" Target="settings.xml"/><Relationship Id="rId9" Type="http://schemas.openxmlformats.org/officeDocument/2006/relationships/hyperlink" Target="https://researchprofiles.herts.ac.uk/en/publications/provision-of-palliative-and-end-of-life-care-in-uk-care-homes-dur/?utm_source=chatgpt.com" TargetMode="External"/><Relationship Id="rId13" Type="http://schemas.openxmlformats.org/officeDocument/2006/relationships/hyperlink" Target="https://www.frontiersin.org/journals/health-services/articles/10.3389/frhs.2022.1019602/full" TargetMode="External"/><Relationship Id="rId18" Type="http://schemas.openxmlformats.org/officeDocument/2006/relationships/hyperlink" Target="https://doi.org/10.1186/s12904-023-01201-9" TargetMode="External"/><Relationship Id="rId39" Type="http://schemas.openxmlformats.org/officeDocument/2006/relationships/hyperlink" Target="https://doi.org/10.1186/s12904-024-016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224D7-2666-4611-B550-03497BFF2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46</Pages>
  <Words>16391</Words>
  <Characters>93430</Characters>
  <Application>Microsoft Office Word</Application>
  <DocSecurity>0</DocSecurity>
  <Lines>778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Mukhtiar</dc:creator>
  <cp:keywords/>
  <dc:description/>
  <cp:lastModifiedBy>Melody Maseko</cp:lastModifiedBy>
  <cp:revision>3</cp:revision>
  <dcterms:created xsi:type="dcterms:W3CDTF">2026-07-25T05:05:00Z</dcterms:created>
  <dcterms:modified xsi:type="dcterms:W3CDTF">2026-07-26T09:28:00Z</dcterms:modified>
</cp:coreProperties>
</file>