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9E197" w14:textId="7C81298C" w:rsidR="00136370" w:rsidRPr="00710DFA" w:rsidRDefault="00136370" w:rsidP="00BC7E75">
      <w:pPr>
        <w:pStyle w:val="NoSpacing"/>
        <w:rPr>
          <w:color w:val="000000" w:themeColor="text1"/>
          <w:lang w:val="en-GB"/>
        </w:rPr>
      </w:pPr>
    </w:p>
    <w:p w14:paraId="27312EE6" w14:textId="77777777" w:rsidR="00136370" w:rsidRPr="00710DFA" w:rsidRDefault="00136370" w:rsidP="00136370">
      <w:pPr>
        <w:spacing w:after="160" w:line="259" w:lineRule="auto"/>
        <w:jc w:val="both"/>
        <w:rPr>
          <w:b/>
          <w:bCs/>
          <w:color w:val="000000" w:themeColor="text1"/>
          <w:sz w:val="24"/>
          <w:szCs w:val="24"/>
          <w:lang w:val="en-GB"/>
        </w:rPr>
      </w:pPr>
    </w:p>
    <w:p w14:paraId="677E0404" w14:textId="77777777" w:rsidR="00136370" w:rsidRPr="00710DFA" w:rsidRDefault="00136370" w:rsidP="00136370">
      <w:pPr>
        <w:spacing w:after="160" w:line="259" w:lineRule="auto"/>
        <w:jc w:val="both"/>
        <w:rPr>
          <w:b/>
          <w:bCs/>
          <w:color w:val="000000" w:themeColor="text1"/>
          <w:sz w:val="24"/>
          <w:szCs w:val="24"/>
          <w:lang w:val="en-GB"/>
        </w:rPr>
      </w:pPr>
    </w:p>
    <w:p w14:paraId="39DD0146" w14:textId="77777777" w:rsidR="00136370" w:rsidRPr="00710DFA" w:rsidRDefault="00136370" w:rsidP="00136370">
      <w:pPr>
        <w:spacing w:after="160" w:line="259" w:lineRule="auto"/>
        <w:jc w:val="both"/>
        <w:rPr>
          <w:b/>
          <w:bCs/>
          <w:color w:val="000000" w:themeColor="text1"/>
          <w:sz w:val="24"/>
          <w:szCs w:val="24"/>
          <w:lang w:val="en-GB"/>
        </w:rPr>
      </w:pPr>
    </w:p>
    <w:p w14:paraId="406290E1" w14:textId="77777777" w:rsidR="00136370" w:rsidRPr="00710DFA" w:rsidRDefault="00136370" w:rsidP="00136370">
      <w:pPr>
        <w:spacing w:after="160" w:line="259" w:lineRule="auto"/>
        <w:jc w:val="both"/>
        <w:rPr>
          <w:b/>
          <w:bCs/>
          <w:color w:val="000000" w:themeColor="text1"/>
          <w:sz w:val="24"/>
          <w:szCs w:val="24"/>
          <w:lang w:val="en-GB"/>
        </w:rPr>
      </w:pPr>
    </w:p>
    <w:p w14:paraId="119F7B7A" w14:textId="1296D12C" w:rsidR="00F459F6" w:rsidRDefault="00136370" w:rsidP="00600456">
      <w:pPr>
        <w:spacing w:after="160" w:line="259" w:lineRule="auto"/>
        <w:jc w:val="center"/>
        <w:rPr>
          <w:b/>
          <w:bCs/>
          <w:color w:val="000000" w:themeColor="text1"/>
          <w:sz w:val="24"/>
          <w:szCs w:val="24"/>
          <w:lang w:val="en-GB"/>
        </w:rPr>
      </w:pPr>
      <w:r w:rsidRPr="00710DFA">
        <w:rPr>
          <w:b/>
          <w:bCs/>
          <w:color w:val="000000" w:themeColor="text1"/>
          <w:sz w:val="24"/>
          <w:szCs w:val="24"/>
          <w:lang w:val="en-GB"/>
        </w:rPr>
        <w:t xml:space="preserve">Name of </w:t>
      </w:r>
      <w:proofErr w:type="gramStart"/>
      <w:r w:rsidRPr="00710DFA">
        <w:rPr>
          <w:b/>
          <w:bCs/>
          <w:color w:val="000000" w:themeColor="text1"/>
          <w:sz w:val="24"/>
          <w:szCs w:val="24"/>
          <w:lang w:val="en-GB"/>
        </w:rPr>
        <w:t xml:space="preserve">University </w:t>
      </w:r>
      <w:r w:rsidR="00F459F6">
        <w:rPr>
          <w:b/>
          <w:bCs/>
          <w:color w:val="000000" w:themeColor="text1"/>
          <w:sz w:val="24"/>
          <w:szCs w:val="24"/>
          <w:lang w:val="en-GB"/>
        </w:rPr>
        <w:t>:</w:t>
      </w:r>
      <w:proofErr w:type="gramEnd"/>
      <w:r w:rsidR="00F459F6" w:rsidRPr="00F459F6">
        <w:t xml:space="preserve"> </w:t>
      </w:r>
      <w:r w:rsidR="00F459F6" w:rsidRPr="00F459F6">
        <w:rPr>
          <w:b/>
          <w:bCs/>
          <w:color w:val="000000" w:themeColor="text1"/>
          <w:sz w:val="24"/>
          <w:szCs w:val="24"/>
          <w:lang w:val="en-GB"/>
        </w:rPr>
        <w:t xml:space="preserve">university of </w:t>
      </w:r>
      <w:proofErr w:type="spellStart"/>
      <w:r w:rsidR="00F459F6" w:rsidRPr="00F459F6">
        <w:rPr>
          <w:b/>
          <w:bCs/>
          <w:color w:val="000000" w:themeColor="text1"/>
          <w:sz w:val="24"/>
          <w:szCs w:val="24"/>
          <w:lang w:val="en-GB"/>
        </w:rPr>
        <w:t>wales</w:t>
      </w:r>
      <w:proofErr w:type="spellEnd"/>
      <w:r w:rsidR="00F459F6" w:rsidRPr="00F459F6">
        <w:rPr>
          <w:b/>
          <w:bCs/>
          <w:color w:val="000000" w:themeColor="text1"/>
          <w:sz w:val="24"/>
          <w:szCs w:val="24"/>
          <w:lang w:val="en-GB"/>
        </w:rPr>
        <w:t xml:space="preserve"> trinity saint </w:t>
      </w:r>
      <w:proofErr w:type="spellStart"/>
      <w:r w:rsidR="00F459F6" w:rsidRPr="00F459F6">
        <w:rPr>
          <w:b/>
          <w:bCs/>
          <w:color w:val="000000" w:themeColor="text1"/>
          <w:sz w:val="24"/>
          <w:szCs w:val="24"/>
          <w:lang w:val="en-GB"/>
        </w:rPr>
        <w:t>david</w:t>
      </w:r>
      <w:proofErr w:type="spellEnd"/>
    </w:p>
    <w:p w14:paraId="6E805E48" w14:textId="00701AA1" w:rsidR="00136370" w:rsidRPr="00710DFA" w:rsidRDefault="00136370" w:rsidP="00600456">
      <w:pPr>
        <w:spacing w:after="160" w:line="259" w:lineRule="auto"/>
        <w:jc w:val="center"/>
        <w:rPr>
          <w:b/>
          <w:bCs/>
          <w:color w:val="000000" w:themeColor="text1"/>
          <w:sz w:val="24"/>
          <w:szCs w:val="24"/>
          <w:lang w:val="en-GB"/>
        </w:rPr>
      </w:pPr>
      <w:r w:rsidRPr="00710DFA">
        <w:rPr>
          <w:b/>
          <w:bCs/>
          <w:color w:val="000000" w:themeColor="text1"/>
          <w:sz w:val="24"/>
          <w:szCs w:val="24"/>
          <w:lang w:val="en-GB"/>
        </w:rPr>
        <w:t>Programme of Study:</w:t>
      </w:r>
      <w:r w:rsidR="00F459F6" w:rsidRPr="00F459F6">
        <w:t xml:space="preserve"> </w:t>
      </w:r>
      <w:r w:rsidR="00F459F6">
        <w:t>International Business Management</w:t>
      </w:r>
    </w:p>
    <w:p w14:paraId="4DADD6E2" w14:textId="5DC456E1" w:rsidR="00136370" w:rsidRPr="00710DFA" w:rsidRDefault="00136370" w:rsidP="00600456">
      <w:pPr>
        <w:spacing w:after="160" w:line="259" w:lineRule="auto"/>
        <w:jc w:val="center"/>
        <w:rPr>
          <w:b/>
          <w:bCs/>
          <w:color w:val="000000" w:themeColor="text1"/>
          <w:sz w:val="24"/>
          <w:szCs w:val="24"/>
          <w:lang w:val="en-GB"/>
        </w:rPr>
      </w:pPr>
      <w:r w:rsidRPr="00710DFA">
        <w:rPr>
          <w:b/>
          <w:bCs/>
          <w:color w:val="000000" w:themeColor="text1"/>
          <w:sz w:val="24"/>
          <w:szCs w:val="24"/>
          <w:lang w:val="en-GB"/>
        </w:rPr>
        <w:t>Name and Student ID:</w:t>
      </w:r>
      <w:r w:rsidR="003E12F6" w:rsidRPr="00710DFA">
        <w:rPr>
          <w:b/>
          <w:bCs/>
          <w:color w:val="000000" w:themeColor="text1"/>
          <w:sz w:val="24"/>
          <w:szCs w:val="24"/>
          <w:lang w:val="en-GB"/>
        </w:rPr>
        <w:t xml:space="preserve"> </w:t>
      </w:r>
      <w:r w:rsidR="00EE6785" w:rsidRPr="00710DFA">
        <w:rPr>
          <w:b/>
          <w:bCs/>
          <w:color w:val="000000" w:themeColor="text1"/>
          <w:sz w:val="24"/>
          <w:szCs w:val="24"/>
          <w:lang w:val="en-GB"/>
        </w:rPr>
        <w:t>Chitaliya Nidhi 2432183</w:t>
      </w:r>
    </w:p>
    <w:p w14:paraId="033281A2" w14:textId="77777777" w:rsidR="00C82C70" w:rsidRPr="00710DFA" w:rsidRDefault="00C82C70" w:rsidP="00600456">
      <w:pPr>
        <w:spacing w:line="360" w:lineRule="auto"/>
        <w:jc w:val="center"/>
        <w:rPr>
          <w:b/>
          <w:bCs/>
          <w:color w:val="000000" w:themeColor="text1"/>
          <w:sz w:val="24"/>
          <w:szCs w:val="24"/>
          <w:lang w:val="en-GB"/>
        </w:rPr>
      </w:pPr>
    </w:p>
    <w:p w14:paraId="1B39FC11" w14:textId="586704DD" w:rsidR="00136370" w:rsidRPr="00710DFA" w:rsidRDefault="00136370" w:rsidP="00600456">
      <w:pPr>
        <w:spacing w:line="360" w:lineRule="auto"/>
        <w:jc w:val="center"/>
        <w:rPr>
          <w:b/>
          <w:bCs/>
          <w:color w:val="000000" w:themeColor="text1"/>
          <w:sz w:val="24"/>
          <w:szCs w:val="24"/>
          <w:lang w:val="en-GB"/>
        </w:rPr>
      </w:pPr>
      <w:r w:rsidRPr="00710DFA">
        <w:rPr>
          <w:b/>
          <w:bCs/>
          <w:color w:val="000000" w:themeColor="text1"/>
          <w:sz w:val="24"/>
          <w:szCs w:val="24"/>
          <w:lang w:val="en-GB"/>
        </w:rPr>
        <w:t>Research Title: Supply Chains Under Stress: Covid-19, Organisational Responses, and Reconfiguration of Supply Chain Resilience - A Secondary Qualitative Study</w:t>
      </w:r>
    </w:p>
    <w:p w14:paraId="7F0FC89E" w14:textId="77777777" w:rsidR="00C82C70" w:rsidRPr="00710DFA" w:rsidRDefault="00C82C70" w:rsidP="00600456">
      <w:pPr>
        <w:spacing w:after="160" w:line="259" w:lineRule="auto"/>
        <w:jc w:val="center"/>
        <w:rPr>
          <w:b/>
          <w:bCs/>
          <w:color w:val="000000" w:themeColor="text1"/>
          <w:sz w:val="24"/>
          <w:szCs w:val="24"/>
          <w:lang w:val="en-GB"/>
        </w:rPr>
      </w:pPr>
    </w:p>
    <w:p w14:paraId="68FC6E27" w14:textId="10A373FF" w:rsidR="00136370" w:rsidRPr="00710DFA" w:rsidRDefault="00136370" w:rsidP="00600456">
      <w:pPr>
        <w:spacing w:after="160" w:line="259" w:lineRule="auto"/>
        <w:jc w:val="center"/>
        <w:rPr>
          <w:b/>
          <w:bCs/>
          <w:color w:val="000000" w:themeColor="text1"/>
          <w:sz w:val="24"/>
          <w:szCs w:val="24"/>
          <w:lang w:val="en-GB"/>
        </w:rPr>
      </w:pPr>
    </w:p>
    <w:p w14:paraId="371AB259" w14:textId="77777777" w:rsidR="00136370" w:rsidRPr="00710DFA" w:rsidRDefault="00136370" w:rsidP="00136370">
      <w:pPr>
        <w:rPr>
          <w:color w:val="000000" w:themeColor="text1"/>
          <w:sz w:val="24"/>
          <w:szCs w:val="24"/>
          <w:lang w:val="en-GB"/>
        </w:rPr>
      </w:pPr>
    </w:p>
    <w:p w14:paraId="22FF6234" w14:textId="77777777" w:rsidR="00136370" w:rsidRPr="00710DFA" w:rsidRDefault="00136370">
      <w:pPr>
        <w:rPr>
          <w:color w:val="000000" w:themeColor="text1"/>
          <w:sz w:val="24"/>
          <w:szCs w:val="24"/>
          <w:lang w:val="en-GB"/>
        </w:rPr>
      </w:pPr>
      <w:r w:rsidRPr="00710DFA">
        <w:rPr>
          <w:color w:val="000000" w:themeColor="text1"/>
          <w:sz w:val="24"/>
          <w:szCs w:val="24"/>
          <w:lang w:val="en-GB"/>
        </w:rPr>
        <w:br w:type="page"/>
      </w:r>
    </w:p>
    <w:p w14:paraId="1638D48E" w14:textId="4C6ECADE" w:rsidR="00136370" w:rsidRPr="00710DFA" w:rsidRDefault="00136370" w:rsidP="00136370">
      <w:pPr>
        <w:spacing w:line="360" w:lineRule="auto"/>
        <w:jc w:val="both"/>
        <w:rPr>
          <w:b/>
          <w:bCs/>
          <w:color w:val="000000" w:themeColor="text1"/>
          <w:sz w:val="24"/>
          <w:szCs w:val="24"/>
          <w:lang w:val="en-GB"/>
        </w:rPr>
      </w:pPr>
      <w:r w:rsidRPr="00710DFA">
        <w:rPr>
          <w:b/>
          <w:bCs/>
          <w:color w:val="000000" w:themeColor="text1"/>
          <w:sz w:val="24"/>
          <w:szCs w:val="24"/>
          <w:lang w:val="en-GB"/>
        </w:rPr>
        <w:lastRenderedPageBreak/>
        <w:t xml:space="preserve">DECLARATION </w:t>
      </w:r>
    </w:p>
    <w:p w14:paraId="15BD4FA0" w14:textId="7724D273" w:rsidR="00136370" w:rsidRPr="00710DFA" w:rsidRDefault="00136370" w:rsidP="00136370">
      <w:pPr>
        <w:pStyle w:val="paragraph"/>
        <w:spacing w:before="0" w:beforeAutospacing="0" w:after="0" w:afterAutospacing="0" w:line="360" w:lineRule="auto"/>
        <w:jc w:val="both"/>
        <w:textAlignment w:val="baseline"/>
        <w:rPr>
          <w:rFonts w:ascii="Arial" w:hAnsi="Arial" w:cs="Arial"/>
          <w:color w:val="000000" w:themeColor="text1"/>
        </w:rPr>
      </w:pPr>
      <w:r w:rsidRPr="00710DFA">
        <w:rPr>
          <w:rStyle w:val="normaltextrun"/>
          <w:rFonts w:ascii="Arial" w:hAnsi="Arial" w:cs="Arial"/>
          <w:color w:val="000000" w:themeColor="text1"/>
        </w:rPr>
        <w:t xml:space="preserve">I, </w:t>
      </w:r>
      <w:r w:rsidR="003A5665" w:rsidRPr="00710DFA">
        <w:rPr>
          <w:rStyle w:val="normaltextrun"/>
          <w:rFonts w:ascii="Arial" w:hAnsi="Arial" w:cs="Arial"/>
          <w:color w:val="000000" w:themeColor="text1"/>
        </w:rPr>
        <w:t xml:space="preserve">Chitaliya Nidhi </w:t>
      </w:r>
      <w:r w:rsidRPr="00710DFA">
        <w:rPr>
          <w:rStyle w:val="normaltextrun"/>
          <w:rFonts w:ascii="Arial" w:hAnsi="Arial" w:cs="Arial"/>
          <w:color w:val="000000" w:themeColor="text1"/>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710DFA">
        <w:rPr>
          <w:rStyle w:val="eop"/>
          <w:rFonts w:ascii="Arial" w:hAnsi="Arial" w:cs="Arial"/>
          <w:color w:val="000000" w:themeColor="text1"/>
        </w:rPr>
        <w:t> </w:t>
      </w:r>
    </w:p>
    <w:p w14:paraId="1AA45F41" w14:textId="77777777" w:rsidR="00136370" w:rsidRPr="00F459F6" w:rsidRDefault="00136370" w:rsidP="00136370">
      <w:pPr>
        <w:pStyle w:val="paragraph"/>
        <w:spacing w:before="0" w:beforeAutospacing="0" w:after="0" w:afterAutospacing="0" w:line="360" w:lineRule="auto"/>
        <w:jc w:val="both"/>
        <w:textAlignment w:val="baseline"/>
        <w:rPr>
          <w:rFonts w:ascii="Arial" w:hAnsi="Arial" w:cs="Arial"/>
          <w:color w:val="000000" w:themeColor="text1"/>
          <w:sz w:val="32"/>
          <w:szCs w:val="32"/>
        </w:rPr>
      </w:pPr>
      <w:r w:rsidRPr="00710DFA">
        <w:rPr>
          <w:rStyle w:val="eop"/>
          <w:rFonts w:ascii="Arial" w:hAnsi="Arial" w:cs="Arial"/>
          <w:color w:val="000000" w:themeColor="text1"/>
        </w:rPr>
        <w:t> </w:t>
      </w:r>
    </w:p>
    <w:p w14:paraId="2EE707F2" w14:textId="1DA91052" w:rsidR="00136370" w:rsidRPr="00710DFA" w:rsidRDefault="00136370" w:rsidP="00136370">
      <w:pPr>
        <w:pStyle w:val="paragraph"/>
        <w:spacing w:before="0" w:beforeAutospacing="0" w:after="0" w:afterAutospacing="0" w:line="360" w:lineRule="auto"/>
        <w:jc w:val="both"/>
        <w:textAlignment w:val="baseline"/>
        <w:rPr>
          <w:rFonts w:ascii="Arial" w:hAnsi="Arial" w:cs="Arial"/>
          <w:color w:val="000000" w:themeColor="text1"/>
        </w:rPr>
      </w:pPr>
      <w:proofErr w:type="gramStart"/>
      <w:r w:rsidRPr="00710DFA">
        <w:rPr>
          <w:rStyle w:val="normaltextrun"/>
          <w:rFonts w:ascii="Arial" w:hAnsi="Arial" w:cs="Arial"/>
          <w:color w:val="000000" w:themeColor="text1"/>
        </w:rPr>
        <w:t>Signature:.......</w:t>
      </w:r>
      <w:proofErr w:type="gramEnd"/>
      <w:r w:rsidR="00F459F6">
        <w:rPr>
          <w:rStyle w:val="normaltextrun"/>
          <w:rFonts w:ascii="Arial" w:hAnsi="Arial" w:cs="Arial"/>
          <w:color w:val="000000" w:themeColor="text1"/>
        </w:rPr>
        <w:t>Dian Mayasari</w:t>
      </w:r>
      <w:r w:rsidRPr="00710DFA">
        <w:rPr>
          <w:rStyle w:val="normaltextrun"/>
          <w:rFonts w:ascii="Arial" w:hAnsi="Arial" w:cs="Arial"/>
          <w:color w:val="000000" w:themeColor="text1"/>
        </w:rPr>
        <w:t>...............................................</w:t>
      </w:r>
      <w:r w:rsidRPr="00710DFA">
        <w:rPr>
          <w:rStyle w:val="eop"/>
          <w:rFonts w:ascii="Arial" w:hAnsi="Arial" w:cs="Arial"/>
          <w:color w:val="000000" w:themeColor="text1"/>
        </w:rPr>
        <w:t> </w:t>
      </w:r>
    </w:p>
    <w:p w14:paraId="7028A5C1" w14:textId="77777777" w:rsidR="00136370" w:rsidRPr="00710DFA" w:rsidRDefault="00136370" w:rsidP="00136370">
      <w:pPr>
        <w:pStyle w:val="paragraph"/>
        <w:spacing w:before="0" w:beforeAutospacing="0" w:after="0" w:afterAutospacing="0" w:line="360" w:lineRule="auto"/>
        <w:jc w:val="both"/>
        <w:textAlignment w:val="baseline"/>
        <w:rPr>
          <w:rFonts w:ascii="Arial" w:hAnsi="Arial" w:cs="Arial"/>
          <w:color w:val="000000" w:themeColor="text1"/>
        </w:rPr>
      </w:pPr>
      <w:r w:rsidRPr="00710DFA">
        <w:rPr>
          <w:rStyle w:val="eop"/>
          <w:rFonts w:ascii="Arial" w:hAnsi="Arial" w:cs="Arial"/>
          <w:color w:val="000000" w:themeColor="text1"/>
        </w:rPr>
        <w:t> </w:t>
      </w:r>
    </w:p>
    <w:p w14:paraId="626BCAF5" w14:textId="601DB521" w:rsidR="00136370" w:rsidRPr="00710DFA" w:rsidRDefault="00136370" w:rsidP="00136370">
      <w:pPr>
        <w:pStyle w:val="paragraph"/>
        <w:spacing w:before="0" w:beforeAutospacing="0" w:after="0" w:afterAutospacing="0" w:line="360" w:lineRule="auto"/>
        <w:jc w:val="both"/>
        <w:textAlignment w:val="baseline"/>
        <w:rPr>
          <w:rFonts w:ascii="Arial" w:hAnsi="Arial" w:cs="Arial"/>
          <w:color w:val="000000" w:themeColor="text1"/>
        </w:rPr>
      </w:pPr>
      <w:r w:rsidRPr="00710DFA">
        <w:rPr>
          <w:rStyle w:val="normaltextrun"/>
          <w:rFonts w:ascii="Arial" w:hAnsi="Arial" w:cs="Arial"/>
          <w:color w:val="000000" w:themeColor="text1"/>
        </w:rPr>
        <w:t>Date: ……………</w:t>
      </w:r>
      <w:r w:rsidR="00F459F6">
        <w:rPr>
          <w:rStyle w:val="normaltextrun"/>
          <w:rFonts w:ascii="Arial" w:hAnsi="Arial" w:cs="Arial"/>
          <w:color w:val="000000" w:themeColor="text1"/>
        </w:rPr>
        <w:t>06/05/2026</w:t>
      </w:r>
      <w:r w:rsidRPr="00710DFA">
        <w:rPr>
          <w:rStyle w:val="normaltextrun"/>
          <w:rFonts w:ascii="Arial" w:hAnsi="Arial" w:cs="Arial"/>
          <w:color w:val="000000" w:themeColor="text1"/>
        </w:rPr>
        <w:t>…………………............................</w:t>
      </w:r>
      <w:r w:rsidRPr="00710DFA">
        <w:rPr>
          <w:rStyle w:val="eop"/>
          <w:rFonts w:ascii="Arial" w:hAnsi="Arial" w:cs="Arial"/>
          <w:color w:val="000000" w:themeColor="text1"/>
        </w:rPr>
        <w:t> </w:t>
      </w:r>
    </w:p>
    <w:p w14:paraId="5C55FDEE" w14:textId="77777777" w:rsidR="00136370" w:rsidRPr="00710DFA" w:rsidRDefault="00136370" w:rsidP="00136370">
      <w:pPr>
        <w:rPr>
          <w:color w:val="000000" w:themeColor="text1"/>
          <w:sz w:val="24"/>
          <w:szCs w:val="24"/>
          <w:lang w:val="en-GB"/>
        </w:rPr>
      </w:pPr>
    </w:p>
    <w:p w14:paraId="7F001B5F" w14:textId="77777777" w:rsidR="00136370" w:rsidRPr="00710DFA" w:rsidRDefault="00136370">
      <w:pPr>
        <w:rPr>
          <w:b/>
          <w:bCs/>
          <w:color w:val="000000" w:themeColor="text1"/>
          <w:sz w:val="24"/>
          <w:szCs w:val="24"/>
          <w:lang w:val="en-GB"/>
        </w:rPr>
      </w:pPr>
      <w:r w:rsidRPr="00710DFA">
        <w:rPr>
          <w:b/>
          <w:bCs/>
          <w:color w:val="000000" w:themeColor="text1"/>
          <w:sz w:val="24"/>
          <w:szCs w:val="24"/>
          <w:lang w:val="en-GB"/>
        </w:rPr>
        <w:br w:type="page"/>
      </w:r>
    </w:p>
    <w:p w14:paraId="00000001" w14:textId="67373417" w:rsidR="00FC116A" w:rsidRDefault="00136370" w:rsidP="002B367F">
      <w:pPr>
        <w:spacing w:line="360" w:lineRule="auto"/>
        <w:jc w:val="center"/>
        <w:rPr>
          <w:b/>
          <w:bCs/>
          <w:color w:val="000000" w:themeColor="text1"/>
          <w:sz w:val="24"/>
          <w:szCs w:val="24"/>
          <w:lang w:val="en-GB"/>
        </w:rPr>
      </w:pPr>
      <w:r w:rsidRPr="00710DFA">
        <w:rPr>
          <w:b/>
          <w:bCs/>
          <w:color w:val="000000" w:themeColor="text1"/>
          <w:sz w:val="24"/>
          <w:szCs w:val="24"/>
          <w:lang w:val="en-GB"/>
        </w:rPr>
        <w:lastRenderedPageBreak/>
        <w:t>A</w:t>
      </w:r>
      <w:r w:rsidR="00D26B31" w:rsidRPr="00710DFA">
        <w:rPr>
          <w:b/>
          <w:bCs/>
          <w:color w:val="000000" w:themeColor="text1"/>
          <w:sz w:val="24"/>
          <w:szCs w:val="24"/>
          <w:lang w:val="en-GB"/>
        </w:rPr>
        <w:t>cknowledgement</w:t>
      </w:r>
    </w:p>
    <w:p w14:paraId="5A0D05EE" w14:textId="77777777" w:rsidR="002B367F" w:rsidRPr="002B367F" w:rsidRDefault="002B367F" w:rsidP="002B367F">
      <w:pPr>
        <w:spacing w:line="360" w:lineRule="auto"/>
        <w:jc w:val="both"/>
        <w:rPr>
          <w:color w:val="000000" w:themeColor="text1"/>
          <w:sz w:val="24"/>
          <w:szCs w:val="24"/>
          <w:lang w:val="en-GB"/>
        </w:rPr>
      </w:pPr>
      <w:r w:rsidRPr="002B367F">
        <w:rPr>
          <w:color w:val="000000" w:themeColor="text1"/>
          <w:sz w:val="24"/>
          <w:szCs w:val="24"/>
          <w:lang w:val="en-GB"/>
        </w:rPr>
        <w:t>I would like to first of all state that I am truly grateful to my supervisor whose guidance, the constructive feedback and the constant encouragement during the development of this dissertation are invaluable to me. The direction and quality of this work were highly influenced by their experience in the field of supply chain management and the research methodology, and it was much appreciated that they were patient during the writing process.</w:t>
      </w:r>
    </w:p>
    <w:p w14:paraId="3DA720B6" w14:textId="77777777" w:rsidR="002B367F" w:rsidRPr="002B367F" w:rsidRDefault="002B367F" w:rsidP="002B367F">
      <w:pPr>
        <w:spacing w:line="360" w:lineRule="auto"/>
        <w:jc w:val="both"/>
        <w:rPr>
          <w:color w:val="000000" w:themeColor="text1"/>
          <w:sz w:val="24"/>
          <w:szCs w:val="24"/>
          <w:lang w:val="en-GB"/>
        </w:rPr>
      </w:pPr>
      <w:r w:rsidRPr="002B367F">
        <w:rPr>
          <w:color w:val="000000" w:themeColor="text1"/>
          <w:sz w:val="24"/>
          <w:szCs w:val="24"/>
          <w:lang w:val="en-GB"/>
        </w:rPr>
        <w:t>I should like to also give my heart-felt regards to the faculty and academic staff of my university who provided me with stimulating and supportive learning environment throughout my programme of study. My level of knowledge and critical thinking skills that I have acquired during my time here have played a key role in the completion of this research.</w:t>
      </w:r>
    </w:p>
    <w:p w14:paraId="3262ED15" w14:textId="621A77BF" w:rsidR="002B367F" w:rsidRPr="002B367F" w:rsidRDefault="002B367F" w:rsidP="002B367F">
      <w:pPr>
        <w:spacing w:line="360" w:lineRule="auto"/>
        <w:jc w:val="both"/>
        <w:rPr>
          <w:color w:val="000000" w:themeColor="text1"/>
          <w:sz w:val="24"/>
          <w:szCs w:val="24"/>
          <w:lang w:val="en-GB"/>
        </w:rPr>
      </w:pPr>
      <w:r w:rsidRPr="002B367F">
        <w:rPr>
          <w:color w:val="000000" w:themeColor="text1"/>
          <w:sz w:val="24"/>
          <w:szCs w:val="24"/>
          <w:lang w:val="en-GB"/>
        </w:rPr>
        <w:t xml:space="preserve">I owe my family the greatest debt as it is through their unwavering support, encouragement, and belief in my capabilities that I have received the greatest amount of strength throughout this academic journey. I also owe a debt to my friends and colleagues who gave me moral support, had meaningful academic discussions with me and helped me to maintain focus during the more difficult stages of this research. </w:t>
      </w:r>
    </w:p>
    <w:p w14:paraId="182E0E21" w14:textId="77777777" w:rsidR="002B367F" w:rsidRPr="002B367F" w:rsidRDefault="002B367F" w:rsidP="002B367F">
      <w:pPr>
        <w:spacing w:line="360" w:lineRule="auto"/>
        <w:rPr>
          <w:color w:val="000000" w:themeColor="text1"/>
          <w:sz w:val="24"/>
          <w:szCs w:val="24"/>
          <w:lang w:val="en-GB"/>
        </w:rPr>
      </w:pPr>
    </w:p>
    <w:p w14:paraId="18DE7D3F" w14:textId="77777777" w:rsidR="001D1862" w:rsidRPr="00710DFA" w:rsidRDefault="001D1862" w:rsidP="00136370">
      <w:pPr>
        <w:spacing w:line="360" w:lineRule="auto"/>
        <w:rPr>
          <w:b/>
          <w:bCs/>
          <w:color w:val="000000" w:themeColor="text1"/>
          <w:sz w:val="24"/>
          <w:szCs w:val="24"/>
          <w:lang w:val="en-GB"/>
        </w:rPr>
      </w:pPr>
    </w:p>
    <w:p w14:paraId="74E74921" w14:textId="77777777" w:rsidR="002B367F" w:rsidRDefault="002B367F">
      <w:pPr>
        <w:rPr>
          <w:b/>
          <w:bCs/>
          <w:color w:val="000000" w:themeColor="text1"/>
          <w:sz w:val="24"/>
          <w:szCs w:val="24"/>
          <w:lang w:val="en-GB"/>
        </w:rPr>
      </w:pPr>
      <w:r>
        <w:rPr>
          <w:b/>
          <w:bCs/>
          <w:color w:val="000000" w:themeColor="text1"/>
          <w:sz w:val="24"/>
          <w:szCs w:val="24"/>
          <w:lang w:val="en-GB"/>
        </w:rPr>
        <w:br w:type="page"/>
      </w:r>
    </w:p>
    <w:p w14:paraId="48CB763E" w14:textId="2592A5F2" w:rsidR="001D1862" w:rsidRDefault="001D1862" w:rsidP="009D0ECE">
      <w:pPr>
        <w:spacing w:line="360" w:lineRule="auto"/>
        <w:jc w:val="center"/>
        <w:rPr>
          <w:b/>
          <w:bCs/>
          <w:color w:val="000000" w:themeColor="text1"/>
          <w:sz w:val="24"/>
          <w:szCs w:val="24"/>
          <w:lang w:val="en-GB"/>
        </w:rPr>
      </w:pPr>
      <w:r w:rsidRPr="00710DFA">
        <w:rPr>
          <w:b/>
          <w:bCs/>
          <w:color w:val="000000" w:themeColor="text1"/>
          <w:sz w:val="24"/>
          <w:szCs w:val="24"/>
          <w:lang w:val="en-GB"/>
        </w:rPr>
        <w:lastRenderedPageBreak/>
        <w:t>Abstract</w:t>
      </w:r>
    </w:p>
    <w:p w14:paraId="73E4F8C6" w14:textId="77777777" w:rsidR="009D0ECE" w:rsidRDefault="009D0ECE" w:rsidP="009D0ECE">
      <w:pPr>
        <w:spacing w:line="360" w:lineRule="auto"/>
        <w:jc w:val="center"/>
        <w:rPr>
          <w:b/>
          <w:bCs/>
          <w:color w:val="000000" w:themeColor="text1"/>
          <w:sz w:val="24"/>
          <w:szCs w:val="24"/>
          <w:lang w:val="en-GB"/>
        </w:rPr>
      </w:pPr>
    </w:p>
    <w:p w14:paraId="7B82F351" w14:textId="77777777" w:rsidR="00D26B31" w:rsidRDefault="00D26B31" w:rsidP="00D26B31">
      <w:pPr>
        <w:spacing w:line="360" w:lineRule="auto"/>
        <w:jc w:val="both"/>
        <w:rPr>
          <w:color w:val="000000" w:themeColor="text1"/>
          <w:sz w:val="24"/>
          <w:szCs w:val="24"/>
          <w:lang w:val="en-IN"/>
        </w:rPr>
      </w:pPr>
      <w:r w:rsidRPr="00D26B31">
        <w:rPr>
          <w:color w:val="000000" w:themeColor="text1"/>
          <w:sz w:val="24"/>
          <w:szCs w:val="24"/>
          <w:lang w:val="en-IN"/>
        </w:rPr>
        <w:t>The COVID-19 pandemic was an unprecedented systemic shock to world supply chains that was revealed by structural vulnerabilities that had been obscured by 40 years of efficiency-driven optimisation. This dissertation critically examines how Covid-19 has affected global supply chains, the organisational responses adopted by firms to address supply chain stress, and the reconfiguration of supply chain resilience that had emerged as a cumulative effect of such adaptive responses. It uses a secondary qualitative research design, which is based on an interpretivist philosophical paradigm and an inductive approach to analytical research.</w:t>
      </w:r>
    </w:p>
    <w:p w14:paraId="37BFB881" w14:textId="77777777" w:rsidR="004946D6" w:rsidRPr="00D26B31" w:rsidRDefault="004946D6" w:rsidP="00D26B31">
      <w:pPr>
        <w:spacing w:line="360" w:lineRule="auto"/>
        <w:jc w:val="both"/>
        <w:rPr>
          <w:color w:val="000000" w:themeColor="text1"/>
          <w:sz w:val="24"/>
          <w:szCs w:val="24"/>
          <w:lang w:val="en-IN"/>
        </w:rPr>
      </w:pPr>
    </w:p>
    <w:p w14:paraId="233A6E08" w14:textId="77777777" w:rsidR="00D26B31" w:rsidRDefault="00D26B31" w:rsidP="00D26B31">
      <w:pPr>
        <w:spacing w:line="360" w:lineRule="auto"/>
        <w:jc w:val="both"/>
        <w:rPr>
          <w:color w:val="000000" w:themeColor="text1"/>
          <w:sz w:val="24"/>
          <w:szCs w:val="24"/>
          <w:lang w:val="en-IN"/>
        </w:rPr>
      </w:pPr>
      <w:r w:rsidRPr="00D26B31">
        <w:rPr>
          <w:color w:val="000000" w:themeColor="text1"/>
          <w:sz w:val="24"/>
          <w:szCs w:val="24"/>
          <w:lang w:val="en-IN"/>
        </w:rPr>
        <w:t xml:space="preserve">Theoretically, the analysis is based on the Dynamic Capabilities Theory (DCT) as originally developed by Teece, Pisano and </w:t>
      </w:r>
      <w:proofErr w:type="spellStart"/>
      <w:r w:rsidRPr="00D26B31">
        <w:rPr>
          <w:color w:val="000000" w:themeColor="text1"/>
          <w:sz w:val="24"/>
          <w:szCs w:val="24"/>
          <w:lang w:val="en-IN"/>
        </w:rPr>
        <w:t>Shuen</w:t>
      </w:r>
      <w:proofErr w:type="spellEnd"/>
      <w:r w:rsidRPr="00D26B31">
        <w:rPr>
          <w:color w:val="000000" w:themeColor="text1"/>
          <w:sz w:val="24"/>
          <w:szCs w:val="24"/>
          <w:lang w:val="en-IN"/>
        </w:rPr>
        <w:t xml:space="preserve"> (1997) that provides a structured framework to understand how organisations feel emerging threats, exploit adaptive opportunities and reconfigure operational capabilities in a situation of extreme environmental uncertainty. The thematic analysis based on the six-step model by Braun and Clarke (2022) and the Gioia methodology provided four main themes.</w:t>
      </w:r>
    </w:p>
    <w:p w14:paraId="5160035A" w14:textId="77777777" w:rsidR="004946D6" w:rsidRPr="00D26B31" w:rsidRDefault="004946D6" w:rsidP="00D26B31">
      <w:pPr>
        <w:spacing w:line="360" w:lineRule="auto"/>
        <w:jc w:val="both"/>
        <w:rPr>
          <w:color w:val="000000" w:themeColor="text1"/>
          <w:sz w:val="24"/>
          <w:szCs w:val="24"/>
          <w:lang w:val="en-IN"/>
        </w:rPr>
      </w:pPr>
    </w:p>
    <w:p w14:paraId="5D768C5E" w14:textId="054E190A" w:rsidR="00D26B31" w:rsidRDefault="00D26B31" w:rsidP="00D26B31">
      <w:pPr>
        <w:spacing w:line="360" w:lineRule="auto"/>
        <w:jc w:val="both"/>
        <w:rPr>
          <w:color w:val="000000" w:themeColor="text1"/>
          <w:sz w:val="24"/>
          <w:szCs w:val="24"/>
          <w:lang w:val="en-IN"/>
        </w:rPr>
      </w:pPr>
      <w:r w:rsidRPr="00D26B31">
        <w:rPr>
          <w:color w:val="000000" w:themeColor="text1"/>
          <w:sz w:val="24"/>
          <w:szCs w:val="24"/>
          <w:lang w:val="en-IN"/>
        </w:rPr>
        <w:t>Themes concentrated on determining that Covid-19 did not add any new vulnerabilities but unveiled latent structural vulnerabilities such as over-reliance on lean and just-in-time manufacturing models, concentration of geographic sourcing, lack of multi-tier visibility of supply chain and the inability of conventional demand forecasting mechanisms to be effective under pandemic conditions. These responses were also found to be highly conditioned by already existing dynamic capabilities. Theme</w:t>
      </w:r>
      <w:r w:rsidR="00124E33">
        <w:rPr>
          <w:color w:val="000000" w:themeColor="text1"/>
          <w:sz w:val="24"/>
          <w:szCs w:val="24"/>
          <w:lang w:val="en-IN"/>
        </w:rPr>
        <w:t>s have also set the notion to show</w:t>
      </w:r>
      <w:r w:rsidRPr="00D26B31">
        <w:rPr>
          <w:color w:val="000000" w:themeColor="text1"/>
          <w:sz w:val="24"/>
          <w:szCs w:val="24"/>
          <w:lang w:val="en-IN"/>
        </w:rPr>
        <w:t xml:space="preserve"> a paradigm shift in supply chain resilience - away to the more dynamic, digitally-enabled, and relationally-grounded resilience architectures, with adaptiveness emerging as the most critical dimension of resilience.</w:t>
      </w:r>
    </w:p>
    <w:p w14:paraId="60B98ACF" w14:textId="77777777" w:rsidR="004946D6" w:rsidRPr="00D26B31" w:rsidRDefault="004946D6" w:rsidP="00D26B31">
      <w:pPr>
        <w:spacing w:line="360" w:lineRule="auto"/>
        <w:jc w:val="both"/>
        <w:rPr>
          <w:color w:val="000000" w:themeColor="text1"/>
          <w:sz w:val="24"/>
          <w:szCs w:val="24"/>
          <w:lang w:val="en-IN"/>
        </w:rPr>
      </w:pPr>
    </w:p>
    <w:p w14:paraId="27F3D50E" w14:textId="77777777" w:rsidR="00D26B31" w:rsidRPr="00D26B31" w:rsidRDefault="00D26B31" w:rsidP="00D26B31">
      <w:pPr>
        <w:spacing w:line="360" w:lineRule="auto"/>
        <w:jc w:val="both"/>
        <w:rPr>
          <w:color w:val="000000" w:themeColor="text1"/>
          <w:sz w:val="24"/>
          <w:szCs w:val="24"/>
          <w:lang w:val="en-IN"/>
        </w:rPr>
      </w:pPr>
      <w:r w:rsidRPr="00D26B31">
        <w:rPr>
          <w:color w:val="000000" w:themeColor="text1"/>
          <w:sz w:val="24"/>
          <w:szCs w:val="24"/>
          <w:lang w:val="en-IN"/>
        </w:rPr>
        <w:t xml:space="preserve">The paper has added to the theory and practice by pinpointing the reconfiguration trap, developing a multi-theoretic framework, and proposing network-level governance strategies to offer supply chain resilience. The practical recommendations are based on </w:t>
      </w:r>
      <w:r w:rsidRPr="00D26B31">
        <w:rPr>
          <w:color w:val="000000" w:themeColor="text1"/>
          <w:sz w:val="24"/>
          <w:szCs w:val="24"/>
          <w:lang w:val="en-IN"/>
        </w:rPr>
        <w:lastRenderedPageBreak/>
        <w:t>digital capability investment, relational capital building, and multi-objective supply chain design to create a more resilient future.</w:t>
      </w:r>
    </w:p>
    <w:p w14:paraId="73E48C49" w14:textId="77777777" w:rsidR="00D26B31" w:rsidRPr="004C3F77" w:rsidRDefault="00D26B31" w:rsidP="00D26B31">
      <w:pPr>
        <w:spacing w:line="360" w:lineRule="auto"/>
        <w:jc w:val="both"/>
        <w:rPr>
          <w:i/>
          <w:iCs/>
          <w:color w:val="000000" w:themeColor="text1"/>
          <w:lang w:val="en-IN"/>
        </w:rPr>
      </w:pPr>
      <w:r w:rsidRPr="004C3F77">
        <w:rPr>
          <w:i/>
          <w:iCs/>
          <w:color w:val="000000" w:themeColor="text1"/>
          <w:lang w:val="en-IN"/>
        </w:rPr>
        <w:t>Keywords: Supply chain resilience, Covid-19, organisational responses, dynamic capabilities, reconfiguration, secondary qualitative research.</w:t>
      </w:r>
    </w:p>
    <w:p w14:paraId="761FFC02" w14:textId="77777777" w:rsidR="00D26B31" w:rsidRPr="00710DFA" w:rsidRDefault="00D26B31" w:rsidP="00136370">
      <w:pPr>
        <w:spacing w:line="360" w:lineRule="auto"/>
        <w:rPr>
          <w:b/>
          <w:bCs/>
          <w:color w:val="000000" w:themeColor="text1"/>
          <w:sz w:val="24"/>
          <w:szCs w:val="24"/>
          <w:lang w:val="en-GB"/>
        </w:rPr>
      </w:pPr>
    </w:p>
    <w:p w14:paraId="00000002" w14:textId="77777777" w:rsidR="00FC116A" w:rsidRPr="00710DFA" w:rsidRDefault="00FC116A">
      <w:pPr>
        <w:spacing w:line="360" w:lineRule="auto"/>
        <w:jc w:val="center"/>
        <w:rPr>
          <w:b/>
          <w:bCs/>
          <w:color w:val="000000" w:themeColor="text1"/>
          <w:sz w:val="24"/>
          <w:szCs w:val="24"/>
          <w:lang w:val="en-GB"/>
        </w:rPr>
      </w:pPr>
    </w:p>
    <w:p w14:paraId="00000003" w14:textId="77777777" w:rsidR="00FC116A" w:rsidRPr="00710DFA" w:rsidRDefault="00FC116A">
      <w:pPr>
        <w:spacing w:line="360" w:lineRule="auto"/>
        <w:jc w:val="center"/>
        <w:rPr>
          <w:b/>
          <w:bCs/>
          <w:color w:val="000000" w:themeColor="text1"/>
          <w:sz w:val="24"/>
          <w:szCs w:val="24"/>
          <w:lang w:val="en-GB"/>
        </w:rPr>
      </w:pPr>
    </w:p>
    <w:p w14:paraId="00000004" w14:textId="77777777" w:rsidR="00FC116A" w:rsidRPr="00710DFA" w:rsidRDefault="00FC116A">
      <w:pPr>
        <w:spacing w:line="360" w:lineRule="auto"/>
        <w:jc w:val="center"/>
        <w:rPr>
          <w:b/>
          <w:bCs/>
          <w:color w:val="000000" w:themeColor="text1"/>
          <w:sz w:val="24"/>
          <w:szCs w:val="24"/>
          <w:lang w:val="en-GB"/>
        </w:rPr>
      </w:pPr>
    </w:p>
    <w:p w14:paraId="00000006" w14:textId="77777777" w:rsidR="00FC116A" w:rsidRPr="00710DFA" w:rsidRDefault="00FC116A">
      <w:pPr>
        <w:spacing w:line="360" w:lineRule="auto"/>
        <w:jc w:val="center"/>
        <w:rPr>
          <w:b/>
          <w:bCs/>
          <w:color w:val="000000" w:themeColor="text1"/>
          <w:sz w:val="24"/>
          <w:szCs w:val="24"/>
          <w:lang w:val="en-GB"/>
        </w:rPr>
      </w:pPr>
    </w:p>
    <w:p w14:paraId="00000009"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br w:type="page"/>
      </w:r>
    </w:p>
    <w:p w14:paraId="17E92AFB" w14:textId="77777777" w:rsidR="001817CB" w:rsidRPr="00710DFA" w:rsidRDefault="001817CB">
      <w:pPr>
        <w:spacing w:line="360" w:lineRule="auto"/>
        <w:jc w:val="both"/>
        <w:rPr>
          <w:color w:val="000000" w:themeColor="text1"/>
          <w:sz w:val="24"/>
          <w:szCs w:val="24"/>
          <w:lang w:val="en-GB"/>
        </w:rPr>
      </w:pPr>
    </w:p>
    <w:sdt>
      <w:sdtPr>
        <w:rPr>
          <w:rFonts w:ascii="Arial" w:eastAsia="Arial" w:hAnsi="Arial" w:cs="Arial"/>
          <w:color w:val="000000" w:themeColor="text1"/>
          <w:sz w:val="24"/>
          <w:szCs w:val="24"/>
          <w:lang w:val="en-GB" w:eastAsia="en-IN"/>
        </w:rPr>
        <w:id w:val="-2079043825"/>
        <w:docPartObj>
          <w:docPartGallery w:val="Table of Contents"/>
          <w:docPartUnique/>
        </w:docPartObj>
      </w:sdtPr>
      <w:sdtEndPr>
        <w:rPr>
          <w:b/>
          <w:bCs/>
          <w:noProof/>
        </w:rPr>
      </w:sdtEndPr>
      <w:sdtContent>
        <w:p w14:paraId="5488197E" w14:textId="379A85FF" w:rsidR="001817CB" w:rsidRPr="00710DFA" w:rsidRDefault="001817CB" w:rsidP="002E5FAA">
          <w:pPr>
            <w:pStyle w:val="TOCHeading"/>
            <w:spacing w:line="360" w:lineRule="auto"/>
            <w:jc w:val="center"/>
            <w:rPr>
              <w:rFonts w:ascii="Arial" w:hAnsi="Arial" w:cs="Arial"/>
              <w:b/>
              <w:bCs/>
              <w:color w:val="000000" w:themeColor="text1"/>
              <w:sz w:val="24"/>
              <w:szCs w:val="24"/>
              <w:lang w:val="en-GB"/>
            </w:rPr>
          </w:pPr>
          <w:r w:rsidRPr="00710DFA">
            <w:rPr>
              <w:rFonts w:ascii="Arial" w:hAnsi="Arial" w:cs="Arial"/>
              <w:b/>
              <w:bCs/>
              <w:color w:val="000000" w:themeColor="text1"/>
              <w:sz w:val="24"/>
              <w:szCs w:val="24"/>
              <w:lang w:val="en-GB"/>
            </w:rPr>
            <w:t>Table of Contents</w:t>
          </w:r>
        </w:p>
        <w:p w14:paraId="25BDBC6D" w14:textId="09F36320" w:rsidR="00D45EF9" w:rsidRPr="00D45EF9" w:rsidRDefault="001817CB"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r w:rsidRPr="00D45EF9">
            <w:rPr>
              <w:color w:val="000000" w:themeColor="text1"/>
              <w:sz w:val="24"/>
              <w:szCs w:val="24"/>
              <w:lang w:val="en-GB"/>
            </w:rPr>
            <w:fldChar w:fldCharType="begin"/>
          </w:r>
          <w:r w:rsidRPr="00D45EF9">
            <w:rPr>
              <w:color w:val="000000" w:themeColor="text1"/>
              <w:sz w:val="24"/>
              <w:szCs w:val="24"/>
              <w:lang w:val="en-GB"/>
            </w:rPr>
            <w:instrText xml:space="preserve"> TOC \o "1-3" \h \z \u </w:instrText>
          </w:r>
          <w:r w:rsidRPr="00D45EF9">
            <w:rPr>
              <w:color w:val="000000" w:themeColor="text1"/>
              <w:sz w:val="24"/>
              <w:szCs w:val="24"/>
              <w:lang w:val="en-GB"/>
            </w:rPr>
            <w:fldChar w:fldCharType="separate"/>
          </w:r>
          <w:hyperlink w:anchor="_Toc228921248" w:history="1">
            <w:r w:rsidR="00D45EF9" w:rsidRPr="00D45EF9">
              <w:rPr>
                <w:rStyle w:val="Hyperlink"/>
                <w:noProof/>
                <w:sz w:val="24"/>
                <w:szCs w:val="24"/>
              </w:rPr>
              <w:t>Chapter 1: Introduction</w:t>
            </w:r>
            <w:r w:rsidR="00D45EF9" w:rsidRPr="00D45EF9">
              <w:rPr>
                <w:noProof/>
                <w:webHidden/>
                <w:sz w:val="24"/>
                <w:szCs w:val="24"/>
              </w:rPr>
              <w:tab/>
            </w:r>
            <w:r w:rsidR="00D45EF9" w:rsidRPr="00D45EF9">
              <w:rPr>
                <w:noProof/>
                <w:webHidden/>
                <w:sz w:val="24"/>
                <w:szCs w:val="24"/>
              </w:rPr>
              <w:fldChar w:fldCharType="begin"/>
            </w:r>
            <w:r w:rsidR="00D45EF9" w:rsidRPr="00D45EF9">
              <w:rPr>
                <w:noProof/>
                <w:webHidden/>
                <w:sz w:val="24"/>
                <w:szCs w:val="24"/>
              </w:rPr>
              <w:instrText xml:space="preserve"> PAGEREF _Toc228921248 \h </w:instrText>
            </w:r>
            <w:r w:rsidR="00D45EF9" w:rsidRPr="00D45EF9">
              <w:rPr>
                <w:noProof/>
                <w:webHidden/>
                <w:sz w:val="24"/>
                <w:szCs w:val="24"/>
              </w:rPr>
            </w:r>
            <w:r w:rsidR="00D45EF9" w:rsidRPr="00D45EF9">
              <w:rPr>
                <w:noProof/>
                <w:webHidden/>
                <w:sz w:val="24"/>
                <w:szCs w:val="24"/>
              </w:rPr>
              <w:fldChar w:fldCharType="separate"/>
            </w:r>
            <w:r w:rsidR="00D45EF9" w:rsidRPr="00D45EF9">
              <w:rPr>
                <w:noProof/>
                <w:webHidden/>
                <w:sz w:val="24"/>
                <w:szCs w:val="24"/>
              </w:rPr>
              <w:t>7</w:t>
            </w:r>
            <w:r w:rsidR="00D45EF9" w:rsidRPr="00D45EF9">
              <w:rPr>
                <w:noProof/>
                <w:webHidden/>
                <w:sz w:val="24"/>
                <w:szCs w:val="24"/>
              </w:rPr>
              <w:fldChar w:fldCharType="end"/>
            </w:r>
          </w:hyperlink>
        </w:p>
        <w:p w14:paraId="7AF25884" w14:textId="66E88FF1"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49" w:history="1">
            <w:r w:rsidRPr="00D45EF9">
              <w:rPr>
                <w:rStyle w:val="Hyperlink"/>
                <w:noProof/>
                <w:sz w:val="24"/>
                <w:szCs w:val="24"/>
                <w:lang w:val="en-GB"/>
              </w:rPr>
              <w:t>1.1 Background to the Study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_Toc228921249 \h </w:instrText>
            </w:r>
            <w:r w:rsidRPr="00D45EF9">
              <w:rPr>
                <w:noProof/>
                <w:webHidden/>
                <w:sz w:val="24"/>
                <w:szCs w:val="24"/>
              </w:rPr>
            </w:r>
            <w:r w:rsidRPr="00D45EF9">
              <w:rPr>
                <w:noProof/>
                <w:webHidden/>
                <w:sz w:val="24"/>
                <w:szCs w:val="24"/>
              </w:rPr>
              <w:fldChar w:fldCharType="separate"/>
            </w:r>
            <w:r w:rsidRPr="00D45EF9">
              <w:rPr>
                <w:noProof/>
                <w:webHidden/>
                <w:sz w:val="24"/>
                <w:szCs w:val="24"/>
              </w:rPr>
              <w:t>7</w:t>
            </w:r>
            <w:r w:rsidRPr="00D45EF9">
              <w:rPr>
                <w:noProof/>
                <w:webHidden/>
                <w:sz w:val="24"/>
                <w:szCs w:val="24"/>
              </w:rPr>
              <w:fldChar w:fldCharType="end"/>
            </w:r>
          </w:hyperlink>
        </w:p>
        <w:p w14:paraId="3E3AC5A0" w14:textId="73B46237"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0" w:history="1">
            <w:r w:rsidRPr="00D45EF9">
              <w:rPr>
                <w:rStyle w:val="Hyperlink"/>
                <w:noProof/>
                <w:sz w:val="24"/>
                <w:szCs w:val="24"/>
                <w:lang w:val="en-GB"/>
              </w:rPr>
              <w:t>1.2 The Research Problem</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_Toc228921250 \h </w:instrText>
            </w:r>
            <w:r w:rsidRPr="00D45EF9">
              <w:rPr>
                <w:noProof/>
                <w:webHidden/>
                <w:sz w:val="24"/>
                <w:szCs w:val="24"/>
              </w:rPr>
            </w:r>
            <w:r w:rsidRPr="00D45EF9">
              <w:rPr>
                <w:noProof/>
                <w:webHidden/>
                <w:sz w:val="24"/>
                <w:szCs w:val="24"/>
              </w:rPr>
              <w:fldChar w:fldCharType="separate"/>
            </w:r>
            <w:r w:rsidRPr="00D45EF9">
              <w:rPr>
                <w:noProof/>
                <w:webHidden/>
                <w:sz w:val="24"/>
                <w:szCs w:val="24"/>
              </w:rPr>
              <w:t>8</w:t>
            </w:r>
            <w:r w:rsidRPr="00D45EF9">
              <w:rPr>
                <w:noProof/>
                <w:webHidden/>
                <w:sz w:val="24"/>
                <w:szCs w:val="24"/>
              </w:rPr>
              <w:fldChar w:fldCharType="end"/>
            </w:r>
          </w:hyperlink>
        </w:p>
        <w:p w14:paraId="6FBC66C2" w14:textId="3BC0EE56"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1" w:history="1">
            <w:r w:rsidRPr="00D45EF9">
              <w:rPr>
                <w:rStyle w:val="Hyperlink"/>
                <w:noProof/>
                <w:sz w:val="24"/>
                <w:szCs w:val="24"/>
                <w:lang w:val="en-GB"/>
              </w:rPr>
              <w:t>1.3 Research aim and objectives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_Toc228921251 \h </w:instrText>
            </w:r>
            <w:r w:rsidRPr="00D45EF9">
              <w:rPr>
                <w:noProof/>
                <w:webHidden/>
                <w:sz w:val="24"/>
                <w:szCs w:val="24"/>
              </w:rPr>
            </w:r>
            <w:r w:rsidRPr="00D45EF9">
              <w:rPr>
                <w:noProof/>
                <w:webHidden/>
                <w:sz w:val="24"/>
                <w:szCs w:val="24"/>
              </w:rPr>
              <w:fldChar w:fldCharType="separate"/>
            </w:r>
            <w:r w:rsidRPr="00D45EF9">
              <w:rPr>
                <w:noProof/>
                <w:webHidden/>
                <w:sz w:val="24"/>
                <w:szCs w:val="24"/>
              </w:rPr>
              <w:t>9</w:t>
            </w:r>
            <w:r w:rsidRPr="00D45EF9">
              <w:rPr>
                <w:noProof/>
                <w:webHidden/>
                <w:sz w:val="24"/>
                <w:szCs w:val="24"/>
              </w:rPr>
              <w:fldChar w:fldCharType="end"/>
            </w:r>
          </w:hyperlink>
        </w:p>
        <w:p w14:paraId="29BF264D" w14:textId="3115E4E6"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2" w:history="1">
            <w:r w:rsidRPr="00D45EF9">
              <w:rPr>
                <w:rStyle w:val="Hyperlink"/>
                <w:noProof/>
                <w:sz w:val="24"/>
                <w:szCs w:val="24"/>
                <w:lang w:val="en-GB"/>
              </w:rPr>
              <w:t>1.4 Research Question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_Toc228921252 \h </w:instrText>
            </w:r>
            <w:r w:rsidRPr="00D45EF9">
              <w:rPr>
                <w:noProof/>
                <w:webHidden/>
                <w:sz w:val="24"/>
                <w:szCs w:val="24"/>
              </w:rPr>
            </w:r>
            <w:r w:rsidRPr="00D45EF9">
              <w:rPr>
                <w:noProof/>
                <w:webHidden/>
                <w:sz w:val="24"/>
                <w:szCs w:val="24"/>
              </w:rPr>
              <w:fldChar w:fldCharType="separate"/>
            </w:r>
            <w:r w:rsidRPr="00D45EF9">
              <w:rPr>
                <w:noProof/>
                <w:webHidden/>
                <w:sz w:val="24"/>
                <w:szCs w:val="24"/>
              </w:rPr>
              <w:t>10</w:t>
            </w:r>
            <w:r w:rsidRPr="00D45EF9">
              <w:rPr>
                <w:noProof/>
                <w:webHidden/>
                <w:sz w:val="24"/>
                <w:szCs w:val="24"/>
              </w:rPr>
              <w:fldChar w:fldCharType="end"/>
            </w:r>
          </w:hyperlink>
        </w:p>
        <w:p w14:paraId="252D1B56" w14:textId="4DC8888A"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3" w:history="1">
            <w:r w:rsidRPr="00D45EF9">
              <w:rPr>
                <w:rStyle w:val="Hyperlink"/>
                <w:noProof/>
                <w:sz w:val="24"/>
                <w:szCs w:val="24"/>
                <w:lang w:val="en-GB"/>
              </w:rPr>
              <w:t>1.5 Importance of the Study and identifying gaps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_Toc228921253 \h </w:instrText>
            </w:r>
            <w:r w:rsidRPr="00D45EF9">
              <w:rPr>
                <w:noProof/>
                <w:webHidden/>
                <w:sz w:val="24"/>
                <w:szCs w:val="24"/>
              </w:rPr>
            </w:r>
            <w:r w:rsidRPr="00D45EF9">
              <w:rPr>
                <w:noProof/>
                <w:webHidden/>
                <w:sz w:val="24"/>
                <w:szCs w:val="24"/>
              </w:rPr>
              <w:fldChar w:fldCharType="separate"/>
            </w:r>
            <w:r w:rsidRPr="00D45EF9">
              <w:rPr>
                <w:noProof/>
                <w:webHidden/>
                <w:sz w:val="24"/>
                <w:szCs w:val="24"/>
              </w:rPr>
              <w:t>10</w:t>
            </w:r>
            <w:r w:rsidRPr="00D45EF9">
              <w:rPr>
                <w:noProof/>
                <w:webHidden/>
                <w:sz w:val="24"/>
                <w:szCs w:val="24"/>
              </w:rPr>
              <w:fldChar w:fldCharType="end"/>
            </w:r>
          </w:hyperlink>
        </w:p>
        <w:p w14:paraId="4E7E7108" w14:textId="0875A76D"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4" w:history="1">
            <w:r w:rsidRPr="00D45EF9">
              <w:rPr>
                <w:rStyle w:val="Hyperlink"/>
                <w:noProof/>
                <w:sz w:val="24"/>
                <w:szCs w:val="24"/>
                <w:lang w:val="en-GB"/>
              </w:rPr>
              <w:t>1.6 Research Methodology Overview</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_Toc228921254 \h </w:instrText>
            </w:r>
            <w:r w:rsidRPr="00D45EF9">
              <w:rPr>
                <w:noProof/>
                <w:webHidden/>
                <w:sz w:val="24"/>
                <w:szCs w:val="24"/>
              </w:rPr>
            </w:r>
            <w:r w:rsidRPr="00D45EF9">
              <w:rPr>
                <w:noProof/>
                <w:webHidden/>
                <w:sz w:val="24"/>
                <w:szCs w:val="24"/>
              </w:rPr>
              <w:fldChar w:fldCharType="separate"/>
            </w:r>
            <w:r w:rsidRPr="00D45EF9">
              <w:rPr>
                <w:noProof/>
                <w:webHidden/>
                <w:sz w:val="24"/>
                <w:szCs w:val="24"/>
              </w:rPr>
              <w:t>11</w:t>
            </w:r>
            <w:r w:rsidRPr="00D45EF9">
              <w:rPr>
                <w:noProof/>
                <w:webHidden/>
                <w:sz w:val="24"/>
                <w:szCs w:val="24"/>
              </w:rPr>
              <w:fldChar w:fldCharType="end"/>
            </w:r>
          </w:hyperlink>
        </w:p>
        <w:p w14:paraId="63C321FC" w14:textId="5B52A8F5"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5" w:history="1">
            <w:r w:rsidRPr="00D45EF9">
              <w:rPr>
                <w:rStyle w:val="Hyperlink"/>
                <w:noProof/>
                <w:sz w:val="24"/>
                <w:szCs w:val="24"/>
                <w:lang w:val="en-GB"/>
              </w:rPr>
              <w:t>1.7 Implications of This Study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_Toc228921255 \h </w:instrText>
            </w:r>
            <w:r w:rsidRPr="00D45EF9">
              <w:rPr>
                <w:noProof/>
                <w:webHidden/>
                <w:sz w:val="24"/>
                <w:szCs w:val="24"/>
              </w:rPr>
            </w:r>
            <w:r w:rsidRPr="00D45EF9">
              <w:rPr>
                <w:noProof/>
                <w:webHidden/>
                <w:sz w:val="24"/>
                <w:szCs w:val="24"/>
              </w:rPr>
              <w:fldChar w:fldCharType="separate"/>
            </w:r>
            <w:r w:rsidRPr="00D45EF9">
              <w:rPr>
                <w:noProof/>
                <w:webHidden/>
                <w:sz w:val="24"/>
                <w:szCs w:val="24"/>
              </w:rPr>
              <w:t>11</w:t>
            </w:r>
            <w:r w:rsidRPr="00D45EF9">
              <w:rPr>
                <w:noProof/>
                <w:webHidden/>
                <w:sz w:val="24"/>
                <w:szCs w:val="24"/>
              </w:rPr>
              <w:fldChar w:fldCharType="end"/>
            </w:r>
          </w:hyperlink>
        </w:p>
        <w:p w14:paraId="4FFBB7D5" w14:textId="68ECAE9B"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6" w:history="1">
            <w:r w:rsidRPr="00D45EF9">
              <w:rPr>
                <w:rStyle w:val="Hyperlink"/>
                <w:noProof/>
                <w:sz w:val="24"/>
                <w:szCs w:val="24"/>
                <w:lang w:val="en-GB"/>
              </w:rPr>
              <w:t>1.8 Structure of the dissertation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_Toc228921256 \h </w:instrText>
            </w:r>
            <w:r w:rsidRPr="00D45EF9">
              <w:rPr>
                <w:noProof/>
                <w:webHidden/>
                <w:sz w:val="24"/>
                <w:szCs w:val="24"/>
              </w:rPr>
            </w:r>
            <w:r w:rsidRPr="00D45EF9">
              <w:rPr>
                <w:noProof/>
                <w:webHidden/>
                <w:sz w:val="24"/>
                <w:szCs w:val="24"/>
              </w:rPr>
              <w:fldChar w:fldCharType="separate"/>
            </w:r>
            <w:r w:rsidRPr="00D45EF9">
              <w:rPr>
                <w:noProof/>
                <w:webHidden/>
                <w:sz w:val="24"/>
                <w:szCs w:val="24"/>
              </w:rPr>
              <w:t>12</w:t>
            </w:r>
            <w:r w:rsidRPr="00D45EF9">
              <w:rPr>
                <w:noProof/>
                <w:webHidden/>
                <w:sz w:val="24"/>
                <w:szCs w:val="24"/>
              </w:rPr>
              <w:fldChar w:fldCharType="end"/>
            </w:r>
          </w:hyperlink>
        </w:p>
        <w:p w14:paraId="06C846D1" w14:textId="44814DAE" w:rsidR="00D45EF9" w:rsidRPr="00D45EF9" w:rsidRDefault="00D45EF9"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228921257" w:history="1">
            <w:r w:rsidRPr="00D45EF9">
              <w:rPr>
                <w:rStyle w:val="Hyperlink"/>
                <w:noProof/>
                <w:sz w:val="24"/>
                <w:szCs w:val="24"/>
              </w:rPr>
              <w:t>Chapter 2: Literature review</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_Toc228921257 \h </w:instrText>
            </w:r>
            <w:r w:rsidRPr="00D45EF9">
              <w:rPr>
                <w:noProof/>
                <w:webHidden/>
                <w:sz w:val="24"/>
                <w:szCs w:val="24"/>
              </w:rPr>
            </w:r>
            <w:r w:rsidRPr="00D45EF9">
              <w:rPr>
                <w:noProof/>
                <w:webHidden/>
                <w:sz w:val="24"/>
                <w:szCs w:val="24"/>
              </w:rPr>
              <w:fldChar w:fldCharType="separate"/>
            </w:r>
            <w:r w:rsidRPr="00D45EF9">
              <w:rPr>
                <w:noProof/>
                <w:webHidden/>
                <w:sz w:val="24"/>
                <w:szCs w:val="24"/>
              </w:rPr>
              <w:t>13</w:t>
            </w:r>
            <w:r w:rsidRPr="00D45EF9">
              <w:rPr>
                <w:noProof/>
                <w:webHidden/>
                <w:sz w:val="24"/>
                <w:szCs w:val="24"/>
              </w:rPr>
              <w:fldChar w:fldCharType="end"/>
            </w:r>
          </w:hyperlink>
        </w:p>
        <w:p w14:paraId="4C516AA2" w14:textId="730703A6"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8" w:history="1">
            <w:r w:rsidRPr="00D45EF9">
              <w:rPr>
                <w:rStyle w:val="Hyperlink"/>
                <w:noProof/>
                <w:sz w:val="24"/>
                <w:szCs w:val="24"/>
                <w:lang w:val="en-GB"/>
              </w:rPr>
              <w:t>2.1 Chapter Introduction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_Toc228921258 \h </w:instrText>
            </w:r>
            <w:r w:rsidRPr="00D45EF9">
              <w:rPr>
                <w:noProof/>
                <w:webHidden/>
                <w:sz w:val="24"/>
                <w:szCs w:val="24"/>
              </w:rPr>
            </w:r>
            <w:r w:rsidRPr="00D45EF9">
              <w:rPr>
                <w:noProof/>
                <w:webHidden/>
                <w:sz w:val="24"/>
                <w:szCs w:val="24"/>
              </w:rPr>
              <w:fldChar w:fldCharType="separate"/>
            </w:r>
            <w:r w:rsidRPr="00D45EF9">
              <w:rPr>
                <w:noProof/>
                <w:webHidden/>
                <w:sz w:val="24"/>
                <w:szCs w:val="24"/>
              </w:rPr>
              <w:t>13</w:t>
            </w:r>
            <w:r w:rsidRPr="00D45EF9">
              <w:rPr>
                <w:noProof/>
                <w:webHidden/>
                <w:sz w:val="24"/>
                <w:szCs w:val="24"/>
              </w:rPr>
              <w:fldChar w:fldCharType="end"/>
            </w:r>
          </w:hyperlink>
        </w:p>
        <w:p w14:paraId="6A74B738" w14:textId="505F990B"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59" w:history="1">
            <w:r w:rsidRPr="00D45EF9">
              <w:rPr>
                <w:rStyle w:val="Hyperlink"/>
                <w:noProof/>
                <w:sz w:val="24"/>
                <w:szCs w:val="24"/>
                <w:lang w:val="en-GB"/>
              </w:rPr>
              <w:t>2.2 Critical analysis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_Toc228921259 \h </w:instrText>
            </w:r>
            <w:r w:rsidRPr="00D45EF9">
              <w:rPr>
                <w:noProof/>
                <w:webHidden/>
                <w:sz w:val="24"/>
                <w:szCs w:val="24"/>
              </w:rPr>
            </w:r>
            <w:r w:rsidRPr="00D45EF9">
              <w:rPr>
                <w:noProof/>
                <w:webHidden/>
                <w:sz w:val="24"/>
                <w:szCs w:val="24"/>
              </w:rPr>
              <w:fldChar w:fldCharType="separate"/>
            </w:r>
            <w:r w:rsidRPr="00D45EF9">
              <w:rPr>
                <w:noProof/>
                <w:webHidden/>
                <w:sz w:val="24"/>
                <w:szCs w:val="24"/>
              </w:rPr>
              <w:t>13</w:t>
            </w:r>
            <w:r w:rsidRPr="00D45EF9">
              <w:rPr>
                <w:noProof/>
                <w:webHidden/>
                <w:sz w:val="24"/>
                <w:szCs w:val="24"/>
              </w:rPr>
              <w:fldChar w:fldCharType="end"/>
            </w:r>
          </w:hyperlink>
        </w:p>
        <w:p w14:paraId="1AA5CE8A" w14:textId="6E549022"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60" w:history="1">
            <w:r w:rsidRPr="00D45EF9">
              <w:rPr>
                <w:rStyle w:val="Hyperlink"/>
                <w:noProof/>
                <w:sz w:val="24"/>
                <w:szCs w:val="24"/>
                <w:lang w:val="en-GB"/>
              </w:rPr>
              <w:t>2.2.1 Covid-19 Shocks and Structural Vulnerabilities in Supply chains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_Toc228921260 \h </w:instrText>
            </w:r>
            <w:r w:rsidRPr="00D45EF9">
              <w:rPr>
                <w:noProof/>
                <w:webHidden/>
                <w:sz w:val="24"/>
                <w:szCs w:val="24"/>
              </w:rPr>
            </w:r>
            <w:r w:rsidRPr="00D45EF9">
              <w:rPr>
                <w:noProof/>
                <w:webHidden/>
                <w:sz w:val="24"/>
                <w:szCs w:val="24"/>
              </w:rPr>
              <w:fldChar w:fldCharType="separate"/>
            </w:r>
            <w:r w:rsidRPr="00D45EF9">
              <w:rPr>
                <w:noProof/>
                <w:webHidden/>
                <w:sz w:val="24"/>
                <w:szCs w:val="24"/>
              </w:rPr>
              <w:t>13</w:t>
            </w:r>
            <w:r w:rsidRPr="00D45EF9">
              <w:rPr>
                <w:noProof/>
                <w:webHidden/>
                <w:sz w:val="24"/>
                <w:szCs w:val="24"/>
              </w:rPr>
              <w:fldChar w:fldCharType="end"/>
            </w:r>
          </w:hyperlink>
        </w:p>
        <w:p w14:paraId="65F14CE3" w14:textId="1CFFF819"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61" w:history="1">
            <w:r w:rsidRPr="00D45EF9">
              <w:rPr>
                <w:rStyle w:val="Hyperlink"/>
                <w:noProof/>
                <w:sz w:val="24"/>
                <w:szCs w:val="24"/>
                <w:lang w:val="en-GB"/>
              </w:rPr>
              <w:t>2.2.2 Supply Chain Stress and Organisational Responses in the Time of Covid-19</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_Toc228921261 \h </w:instrText>
            </w:r>
            <w:r w:rsidRPr="00D45EF9">
              <w:rPr>
                <w:noProof/>
                <w:webHidden/>
                <w:sz w:val="24"/>
                <w:szCs w:val="24"/>
              </w:rPr>
            </w:r>
            <w:r w:rsidRPr="00D45EF9">
              <w:rPr>
                <w:noProof/>
                <w:webHidden/>
                <w:sz w:val="24"/>
                <w:szCs w:val="24"/>
              </w:rPr>
              <w:fldChar w:fldCharType="separate"/>
            </w:r>
            <w:r w:rsidRPr="00D45EF9">
              <w:rPr>
                <w:noProof/>
                <w:webHidden/>
                <w:sz w:val="24"/>
                <w:szCs w:val="24"/>
              </w:rPr>
              <w:t>15</w:t>
            </w:r>
            <w:r w:rsidRPr="00D45EF9">
              <w:rPr>
                <w:noProof/>
                <w:webHidden/>
                <w:sz w:val="24"/>
                <w:szCs w:val="24"/>
              </w:rPr>
              <w:fldChar w:fldCharType="end"/>
            </w:r>
          </w:hyperlink>
        </w:p>
        <w:p w14:paraId="751F889D" w14:textId="28897C94"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62" w:history="1">
            <w:r w:rsidRPr="00D45EF9">
              <w:rPr>
                <w:rStyle w:val="Hyperlink"/>
                <w:noProof/>
                <w:sz w:val="24"/>
                <w:szCs w:val="24"/>
                <w:lang w:val="en-GB"/>
              </w:rPr>
              <w:t>2.2.3 Supply Chain Resilience through Organisational Responses Reconfiguration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_Toc228921262 \h </w:instrText>
            </w:r>
            <w:r w:rsidRPr="00D45EF9">
              <w:rPr>
                <w:noProof/>
                <w:webHidden/>
                <w:sz w:val="24"/>
                <w:szCs w:val="24"/>
              </w:rPr>
            </w:r>
            <w:r w:rsidRPr="00D45EF9">
              <w:rPr>
                <w:noProof/>
                <w:webHidden/>
                <w:sz w:val="24"/>
                <w:szCs w:val="24"/>
              </w:rPr>
              <w:fldChar w:fldCharType="separate"/>
            </w:r>
            <w:r w:rsidRPr="00D45EF9">
              <w:rPr>
                <w:noProof/>
                <w:webHidden/>
                <w:sz w:val="24"/>
                <w:szCs w:val="24"/>
              </w:rPr>
              <w:t>17</w:t>
            </w:r>
            <w:r w:rsidRPr="00D45EF9">
              <w:rPr>
                <w:noProof/>
                <w:webHidden/>
                <w:sz w:val="24"/>
                <w:szCs w:val="24"/>
              </w:rPr>
              <w:fldChar w:fldCharType="end"/>
            </w:r>
          </w:hyperlink>
        </w:p>
        <w:p w14:paraId="55C8DB4E" w14:textId="013DE04E"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63" w:history="1">
            <w:r w:rsidRPr="00D45EF9">
              <w:rPr>
                <w:rStyle w:val="Hyperlink"/>
                <w:noProof/>
                <w:sz w:val="24"/>
                <w:szCs w:val="24"/>
                <w:lang w:val="en-GB"/>
              </w:rPr>
              <w:t>2.2.4 The politics of supply chain risk: governance and information visibility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_Toc228921263 \h </w:instrText>
            </w:r>
            <w:r w:rsidRPr="00D45EF9">
              <w:rPr>
                <w:noProof/>
                <w:webHidden/>
                <w:sz w:val="24"/>
                <w:szCs w:val="24"/>
              </w:rPr>
            </w:r>
            <w:r w:rsidRPr="00D45EF9">
              <w:rPr>
                <w:noProof/>
                <w:webHidden/>
                <w:sz w:val="24"/>
                <w:szCs w:val="24"/>
              </w:rPr>
              <w:fldChar w:fldCharType="separate"/>
            </w:r>
            <w:r w:rsidRPr="00D45EF9">
              <w:rPr>
                <w:noProof/>
                <w:webHidden/>
                <w:sz w:val="24"/>
                <w:szCs w:val="24"/>
              </w:rPr>
              <w:t>19</w:t>
            </w:r>
            <w:r w:rsidRPr="00D45EF9">
              <w:rPr>
                <w:noProof/>
                <w:webHidden/>
                <w:sz w:val="24"/>
                <w:szCs w:val="24"/>
              </w:rPr>
              <w:fldChar w:fldCharType="end"/>
            </w:r>
          </w:hyperlink>
        </w:p>
        <w:p w14:paraId="15922B4F" w14:textId="59FC70BE"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64" w:history="1">
            <w:r w:rsidRPr="00D45EF9">
              <w:rPr>
                <w:rStyle w:val="Hyperlink"/>
                <w:noProof/>
                <w:sz w:val="24"/>
                <w:szCs w:val="24"/>
                <w:lang w:val="en-GB"/>
              </w:rPr>
              <w:t>2.3 Theoretical underpinning</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_Toc228921264 \h </w:instrText>
            </w:r>
            <w:r w:rsidRPr="00D45EF9">
              <w:rPr>
                <w:noProof/>
                <w:webHidden/>
                <w:sz w:val="24"/>
                <w:szCs w:val="24"/>
              </w:rPr>
            </w:r>
            <w:r w:rsidRPr="00D45EF9">
              <w:rPr>
                <w:noProof/>
                <w:webHidden/>
                <w:sz w:val="24"/>
                <w:szCs w:val="24"/>
              </w:rPr>
              <w:fldChar w:fldCharType="separate"/>
            </w:r>
            <w:r w:rsidRPr="00D45EF9">
              <w:rPr>
                <w:noProof/>
                <w:webHidden/>
                <w:sz w:val="24"/>
                <w:szCs w:val="24"/>
              </w:rPr>
              <w:t>21</w:t>
            </w:r>
            <w:r w:rsidRPr="00D45EF9">
              <w:rPr>
                <w:noProof/>
                <w:webHidden/>
                <w:sz w:val="24"/>
                <w:szCs w:val="24"/>
              </w:rPr>
              <w:fldChar w:fldCharType="end"/>
            </w:r>
          </w:hyperlink>
        </w:p>
        <w:p w14:paraId="239445BA" w14:textId="3379D05A"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65" w:history="1">
            <w:r w:rsidRPr="00D45EF9">
              <w:rPr>
                <w:rStyle w:val="Hyperlink"/>
                <w:noProof/>
                <w:sz w:val="24"/>
                <w:szCs w:val="24"/>
                <w:lang w:val="en-GB"/>
              </w:rPr>
              <w:t>2.4 Proposed conceptual framework</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_Toc228921265 \h </w:instrText>
            </w:r>
            <w:r w:rsidRPr="00D45EF9">
              <w:rPr>
                <w:noProof/>
                <w:webHidden/>
                <w:sz w:val="24"/>
                <w:szCs w:val="24"/>
              </w:rPr>
            </w:r>
            <w:r w:rsidRPr="00D45EF9">
              <w:rPr>
                <w:noProof/>
                <w:webHidden/>
                <w:sz w:val="24"/>
                <w:szCs w:val="24"/>
              </w:rPr>
              <w:fldChar w:fldCharType="separate"/>
            </w:r>
            <w:r w:rsidRPr="00D45EF9">
              <w:rPr>
                <w:noProof/>
                <w:webHidden/>
                <w:sz w:val="24"/>
                <w:szCs w:val="24"/>
              </w:rPr>
              <w:t>23</w:t>
            </w:r>
            <w:r w:rsidRPr="00D45EF9">
              <w:rPr>
                <w:noProof/>
                <w:webHidden/>
                <w:sz w:val="24"/>
                <w:szCs w:val="24"/>
              </w:rPr>
              <w:fldChar w:fldCharType="end"/>
            </w:r>
          </w:hyperlink>
        </w:p>
        <w:p w14:paraId="0A43A3C0" w14:textId="640CFA10"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66" w:history="1">
            <w:r w:rsidRPr="00D45EF9">
              <w:rPr>
                <w:rStyle w:val="Hyperlink"/>
                <w:noProof/>
                <w:sz w:val="24"/>
                <w:szCs w:val="24"/>
                <w:lang w:val="en-GB"/>
              </w:rPr>
              <w:t>2.5 Research gap</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_Toc228921266 \h </w:instrText>
            </w:r>
            <w:r w:rsidRPr="00D45EF9">
              <w:rPr>
                <w:noProof/>
                <w:webHidden/>
                <w:sz w:val="24"/>
                <w:szCs w:val="24"/>
              </w:rPr>
            </w:r>
            <w:r w:rsidRPr="00D45EF9">
              <w:rPr>
                <w:noProof/>
                <w:webHidden/>
                <w:sz w:val="24"/>
                <w:szCs w:val="24"/>
              </w:rPr>
              <w:fldChar w:fldCharType="separate"/>
            </w:r>
            <w:r w:rsidRPr="00D45EF9">
              <w:rPr>
                <w:noProof/>
                <w:webHidden/>
                <w:sz w:val="24"/>
                <w:szCs w:val="24"/>
              </w:rPr>
              <w:t>23</w:t>
            </w:r>
            <w:r w:rsidRPr="00D45EF9">
              <w:rPr>
                <w:noProof/>
                <w:webHidden/>
                <w:sz w:val="24"/>
                <w:szCs w:val="24"/>
              </w:rPr>
              <w:fldChar w:fldCharType="end"/>
            </w:r>
          </w:hyperlink>
        </w:p>
        <w:p w14:paraId="5FEDB28C" w14:textId="5E6CA713"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67" w:history="1">
            <w:r w:rsidRPr="00D45EF9">
              <w:rPr>
                <w:rStyle w:val="Hyperlink"/>
                <w:noProof/>
                <w:sz w:val="24"/>
                <w:szCs w:val="24"/>
                <w:lang w:val="en-GB"/>
              </w:rPr>
              <w:t>2.6 Chapter summary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_Toc228921267 \h </w:instrText>
            </w:r>
            <w:r w:rsidRPr="00D45EF9">
              <w:rPr>
                <w:noProof/>
                <w:webHidden/>
                <w:sz w:val="24"/>
                <w:szCs w:val="24"/>
              </w:rPr>
            </w:r>
            <w:r w:rsidRPr="00D45EF9">
              <w:rPr>
                <w:noProof/>
                <w:webHidden/>
                <w:sz w:val="24"/>
                <w:szCs w:val="24"/>
              </w:rPr>
              <w:fldChar w:fldCharType="separate"/>
            </w:r>
            <w:r w:rsidRPr="00D45EF9">
              <w:rPr>
                <w:noProof/>
                <w:webHidden/>
                <w:sz w:val="24"/>
                <w:szCs w:val="24"/>
              </w:rPr>
              <w:t>24</w:t>
            </w:r>
            <w:r w:rsidRPr="00D45EF9">
              <w:rPr>
                <w:noProof/>
                <w:webHidden/>
                <w:sz w:val="24"/>
                <w:szCs w:val="24"/>
              </w:rPr>
              <w:fldChar w:fldCharType="end"/>
            </w:r>
          </w:hyperlink>
        </w:p>
        <w:p w14:paraId="3CE78EBC" w14:textId="3CC85B4F" w:rsidR="00D45EF9" w:rsidRPr="00D45EF9" w:rsidRDefault="00D45EF9"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228921268" w:history="1">
            <w:r w:rsidRPr="00D45EF9">
              <w:rPr>
                <w:rStyle w:val="Hyperlink"/>
                <w:noProof/>
                <w:sz w:val="24"/>
                <w:szCs w:val="24"/>
              </w:rPr>
              <w:t>Chapter 3: Methodology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_Toc228921268 \h </w:instrText>
            </w:r>
            <w:r w:rsidRPr="00D45EF9">
              <w:rPr>
                <w:noProof/>
                <w:webHidden/>
                <w:sz w:val="24"/>
                <w:szCs w:val="24"/>
              </w:rPr>
            </w:r>
            <w:r w:rsidRPr="00D45EF9">
              <w:rPr>
                <w:noProof/>
                <w:webHidden/>
                <w:sz w:val="24"/>
                <w:szCs w:val="24"/>
              </w:rPr>
              <w:fldChar w:fldCharType="separate"/>
            </w:r>
            <w:r w:rsidRPr="00D45EF9">
              <w:rPr>
                <w:noProof/>
                <w:webHidden/>
                <w:sz w:val="24"/>
                <w:szCs w:val="24"/>
              </w:rPr>
              <w:t>25</w:t>
            </w:r>
            <w:r w:rsidRPr="00D45EF9">
              <w:rPr>
                <w:noProof/>
                <w:webHidden/>
                <w:sz w:val="24"/>
                <w:szCs w:val="24"/>
              </w:rPr>
              <w:fldChar w:fldCharType="end"/>
            </w:r>
          </w:hyperlink>
        </w:p>
        <w:p w14:paraId="1A5B8F07" w14:textId="279818B8"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69" w:history="1">
            <w:r w:rsidRPr="00D45EF9">
              <w:rPr>
                <w:rStyle w:val="Hyperlink"/>
                <w:noProof/>
                <w:sz w:val="24"/>
                <w:szCs w:val="24"/>
                <w:lang w:val="en-GB"/>
              </w:rPr>
              <w:t>3.1 Introduction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_Toc228921269 \h </w:instrText>
            </w:r>
            <w:r w:rsidRPr="00D45EF9">
              <w:rPr>
                <w:noProof/>
                <w:webHidden/>
                <w:sz w:val="24"/>
                <w:szCs w:val="24"/>
              </w:rPr>
            </w:r>
            <w:r w:rsidRPr="00D45EF9">
              <w:rPr>
                <w:noProof/>
                <w:webHidden/>
                <w:sz w:val="24"/>
                <w:szCs w:val="24"/>
              </w:rPr>
              <w:fldChar w:fldCharType="separate"/>
            </w:r>
            <w:r w:rsidRPr="00D45EF9">
              <w:rPr>
                <w:noProof/>
                <w:webHidden/>
                <w:sz w:val="24"/>
                <w:szCs w:val="24"/>
              </w:rPr>
              <w:t>25</w:t>
            </w:r>
            <w:r w:rsidRPr="00D45EF9">
              <w:rPr>
                <w:noProof/>
                <w:webHidden/>
                <w:sz w:val="24"/>
                <w:szCs w:val="24"/>
              </w:rPr>
              <w:fldChar w:fldCharType="end"/>
            </w:r>
          </w:hyperlink>
        </w:p>
        <w:p w14:paraId="458AB305" w14:textId="7DF80A7C"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0" w:history="1">
            <w:r w:rsidRPr="00D45EF9">
              <w:rPr>
                <w:rStyle w:val="Hyperlink"/>
                <w:noProof/>
                <w:sz w:val="24"/>
                <w:szCs w:val="24"/>
                <w:lang w:val="en-GB"/>
              </w:rPr>
              <w:t>3.</w:t>
            </w:r>
            <w:r w:rsidR="00FF5868">
              <w:rPr>
                <w:rStyle w:val="Hyperlink"/>
                <w:noProof/>
                <w:sz w:val="24"/>
                <w:szCs w:val="24"/>
                <w:lang w:val="en-GB"/>
              </w:rPr>
              <w:t>2</w:t>
            </w:r>
            <w:r w:rsidRPr="00D45EF9">
              <w:rPr>
                <w:rStyle w:val="Hyperlink"/>
                <w:noProof/>
                <w:sz w:val="24"/>
                <w:szCs w:val="24"/>
                <w:lang w:val="en-GB"/>
              </w:rPr>
              <w:t xml:space="preserve"> Philosophy and Assumptions of the Research</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_Toc228921270 \h </w:instrText>
            </w:r>
            <w:r w:rsidRPr="00D45EF9">
              <w:rPr>
                <w:noProof/>
                <w:webHidden/>
                <w:sz w:val="24"/>
                <w:szCs w:val="24"/>
              </w:rPr>
            </w:r>
            <w:r w:rsidRPr="00D45EF9">
              <w:rPr>
                <w:noProof/>
                <w:webHidden/>
                <w:sz w:val="24"/>
                <w:szCs w:val="24"/>
              </w:rPr>
              <w:fldChar w:fldCharType="separate"/>
            </w:r>
            <w:r w:rsidRPr="00D45EF9">
              <w:rPr>
                <w:noProof/>
                <w:webHidden/>
                <w:sz w:val="24"/>
                <w:szCs w:val="24"/>
              </w:rPr>
              <w:t>25</w:t>
            </w:r>
            <w:r w:rsidRPr="00D45EF9">
              <w:rPr>
                <w:noProof/>
                <w:webHidden/>
                <w:sz w:val="24"/>
                <w:szCs w:val="24"/>
              </w:rPr>
              <w:fldChar w:fldCharType="end"/>
            </w:r>
          </w:hyperlink>
        </w:p>
        <w:p w14:paraId="7502987C" w14:textId="2C520277"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1" w:history="1">
            <w:r w:rsidRPr="00D45EF9">
              <w:rPr>
                <w:rStyle w:val="Hyperlink"/>
                <w:noProof/>
                <w:sz w:val="24"/>
                <w:szCs w:val="24"/>
                <w:lang w:val="en-GB"/>
              </w:rPr>
              <w:t>3.3 Research Design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_Toc228921271 \h </w:instrText>
            </w:r>
            <w:r w:rsidRPr="00D45EF9">
              <w:rPr>
                <w:noProof/>
                <w:webHidden/>
                <w:sz w:val="24"/>
                <w:szCs w:val="24"/>
              </w:rPr>
            </w:r>
            <w:r w:rsidRPr="00D45EF9">
              <w:rPr>
                <w:noProof/>
                <w:webHidden/>
                <w:sz w:val="24"/>
                <w:szCs w:val="24"/>
              </w:rPr>
              <w:fldChar w:fldCharType="separate"/>
            </w:r>
            <w:r w:rsidRPr="00D45EF9">
              <w:rPr>
                <w:noProof/>
                <w:webHidden/>
                <w:sz w:val="24"/>
                <w:szCs w:val="24"/>
              </w:rPr>
              <w:t>26</w:t>
            </w:r>
            <w:r w:rsidRPr="00D45EF9">
              <w:rPr>
                <w:noProof/>
                <w:webHidden/>
                <w:sz w:val="24"/>
                <w:szCs w:val="24"/>
              </w:rPr>
              <w:fldChar w:fldCharType="end"/>
            </w:r>
          </w:hyperlink>
        </w:p>
        <w:p w14:paraId="7FA0CCCC" w14:textId="590129BA"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2" w:history="1">
            <w:r w:rsidRPr="00D45EF9">
              <w:rPr>
                <w:rStyle w:val="Hyperlink"/>
                <w:noProof/>
                <w:sz w:val="24"/>
                <w:szCs w:val="24"/>
                <w:lang w:val="en-GB"/>
              </w:rPr>
              <w:t>3.4 Research Approach</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_Toc228921272 \h </w:instrText>
            </w:r>
            <w:r w:rsidRPr="00D45EF9">
              <w:rPr>
                <w:noProof/>
                <w:webHidden/>
                <w:sz w:val="24"/>
                <w:szCs w:val="24"/>
              </w:rPr>
            </w:r>
            <w:r w:rsidRPr="00D45EF9">
              <w:rPr>
                <w:noProof/>
                <w:webHidden/>
                <w:sz w:val="24"/>
                <w:szCs w:val="24"/>
              </w:rPr>
              <w:fldChar w:fldCharType="separate"/>
            </w:r>
            <w:r w:rsidRPr="00D45EF9">
              <w:rPr>
                <w:noProof/>
                <w:webHidden/>
                <w:sz w:val="24"/>
                <w:szCs w:val="24"/>
              </w:rPr>
              <w:t>27</w:t>
            </w:r>
            <w:r w:rsidRPr="00D45EF9">
              <w:rPr>
                <w:noProof/>
                <w:webHidden/>
                <w:sz w:val="24"/>
                <w:szCs w:val="24"/>
              </w:rPr>
              <w:fldChar w:fldCharType="end"/>
            </w:r>
          </w:hyperlink>
        </w:p>
        <w:p w14:paraId="56DDA2C6" w14:textId="5AF31824"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3" w:history="1">
            <w:r w:rsidRPr="00D45EF9">
              <w:rPr>
                <w:rStyle w:val="Hyperlink"/>
                <w:noProof/>
                <w:sz w:val="24"/>
                <w:szCs w:val="24"/>
                <w:lang w:val="en-GB"/>
              </w:rPr>
              <w:t>3.5 Data Collection Methods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_Toc228921273 \h </w:instrText>
            </w:r>
            <w:r w:rsidRPr="00D45EF9">
              <w:rPr>
                <w:noProof/>
                <w:webHidden/>
                <w:sz w:val="24"/>
                <w:szCs w:val="24"/>
              </w:rPr>
            </w:r>
            <w:r w:rsidRPr="00D45EF9">
              <w:rPr>
                <w:noProof/>
                <w:webHidden/>
                <w:sz w:val="24"/>
                <w:szCs w:val="24"/>
              </w:rPr>
              <w:fldChar w:fldCharType="separate"/>
            </w:r>
            <w:r w:rsidRPr="00D45EF9">
              <w:rPr>
                <w:noProof/>
                <w:webHidden/>
                <w:sz w:val="24"/>
                <w:szCs w:val="24"/>
              </w:rPr>
              <w:t>27</w:t>
            </w:r>
            <w:r w:rsidRPr="00D45EF9">
              <w:rPr>
                <w:noProof/>
                <w:webHidden/>
                <w:sz w:val="24"/>
                <w:szCs w:val="24"/>
              </w:rPr>
              <w:fldChar w:fldCharType="end"/>
            </w:r>
          </w:hyperlink>
        </w:p>
        <w:p w14:paraId="0FBA58BB" w14:textId="6F9A670A"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4" w:history="1">
            <w:r w:rsidRPr="00D45EF9">
              <w:rPr>
                <w:rStyle w:val="Hyperlink"/>
                <w:noProof/>
                <w:sz w:val="24"/>
                <w:szCs w:val="24"/>
                <w:lang w:val="en-GB"/>
              </w:rPr>
              <w:t>3.6 Inclusion and exclusion criteria</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_Toc228921274 \h </w:instrText>
            </w:r>
            <w:r w:rsidRPr="00D45EF9">
              <w:rPr>
                <w:noProof/>
                <w:webHidden/>
                <w:sz w:val="24"/>
                <w:szCs w:val="24"/>
              </w:rPr>
            </w:r>
            <w:r w:rsidRPr="00D45EF9">
              <w:rPr>
                <w:noProof/>
                <w:webHidden/>
                <w:sz w:val="24"/>
                <w:szCs w:val="24"/>
              </w:rPr>
              <w:fldChar w:fldCharType="separate"/>
            </w:r>
            <w:r w:rsidRPr="00D45EF9">
              <w:rPr>
                <w:noProof/>
                <w:webHidden/>
                <w:sz w:val="24"/>
                <w:szCs w:val="24"/>
              </w:rPr>
              <w:t>30</w:t>
            </w:r>
            <w:r w:rsidRPr="00D45EF9">
              <w:rPr>
                <w:noProof/>
                <w:webHidden/>
                <w:sz w:val="24"/>
                <w:szCs w:val="24"/>
              </w:rPr>
              <w:fldChar w:fldCharType="end"/>
            </w:r>
          </w:hyperlink>
        </w:p>
        <w:p w14:paraId="7AEAA664" w14:textId="0D7FA645"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5" w:history="1">
            <w:r w:rsidRPr="00D45EF9">
              <w:rPr>
                <w:rStyle w:val="Hyperlink"/>
                <w:noProof/>
                <w:sz w:val="24"/>
                <w:szCs w:val="24"/>
                <w:lang w:val="en-GB"/>
              </w:rPr>
              <w:t>3.7 keywords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_Toc228921275 \h </w:instrText>
            </w:r>
            <w:r w:rsidRPr="00D45EF9">
              <w:rPr>
                <w:noProof/>
                <w:webHidden/>
                <w:sz w:val="24"/>
                <w:szCs w:val="24"/>
              </w:rPr>
            </w:r>
            <w:r w:rsidRPr="00D45EF9">
              <w:rPr>
                <w:noProof/>
                <w:webHidden/>
                <w:sz w:val="24"/>
                <w:szCs w:val="24"/>
              </w:rPr>
              <w:fldChar w:fldCharType="separate"/>
            </w:r>
            <w:r w:rsidRPr="00D45EF9">
              <w:rPr>
                <w:noProof/>
                <w:webHidden/>
                <w:sz w:val="24"/>
                <w:szCs w:val="24"/>
              </w:rPr>
              <w:t>30</w:t>
            </w:r>
            <w:r w:rsidRPr="00D45EF9">
              <w:rPr>
                <w:noProof/>
                <w:webHidden/>
                <w:sz w:val="24"/>
                <w:szCs w:val="24"/>
              </w:rPr>
              <w:fldChar w:fldCharType="end"/>
            </w:r>
          </w:hyperlink>
        </w:p>
        <w:p w14:paraId="16FE4DD5" w14:textId="0DB28A75"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6" w:history="1">
            <w:r w:rsidRPr="00D45EF9">
              <w:rPr>
                <w:rStyle w:val="Hyperlink"/>
                <w:noProof/>
                <w:sz w:val="24"/>
                <w:szCs w:val="24"/>
                <w:lang w:val="en-GB"/>
              </w:rPr>
              <w:t>3.8 Data analysis method</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_Toc228921276 \h </w:instrText>
            </w:r>
            <w:r w:rsidRPr="00D45EF9">
              <w:rPr>
                <w:noProof/>
                <w:webHidden/>
                <w:sz w:val="24"/>
                <w:szCs w:val="24"/>
              </w:rPr>
            </w:r>
            <w:r w:rsidRPr="00D45EF9">
              <w:rPr>
                <w:noProof/>
                <w:webHidden/>
                <w:sz w:val="24"/>
                <w:szCs w:val="24"/>
              </w:rPr>
              <w:fldChar w:fldCharType="separate"/>
            </w:r>
            <w:r w:rsidRPr="00D45EF9">
              <w:rPr>
                <w:noProof/>
                <w:webHidden/>
                <w:sz w:val="24"/>
                <w:szCs w:val="24"/>
              </w:rPr>
              <w:t>31</w:t>
            </w:r>
            <w:r w:rsidRPr="00D45EF9">
              <w:rPr>
                <w:noProof/>
                <w:webHidden/>
                <w:sz w:val="24"/>
                <w:szCs w:val="24"/>
              </w:rPr>
              <w:fldChar w:fldCharType="end"/>
            </w:r>
          </w:hyperlink>
        </w:p>
        <w:p w14:paraId="34FC8F77" w14:textId="7A1FAAEB"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7" w:history="1">
            <w:r w:rsidRPr="00D45EF9">
              <w:rPr>
                <w:rStyle w:val="Hyperlink"/>
                <w:noProof/>
                <w:sz w:val="24"/>
                <w:szCs w:val="24"/>
                <w:lang w:val="en-GB"/>
              </w:rPr>
              <w:t>3.9 Ethical Considerations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_Toc228921277 \h </w:instrText>
            </w:r>
            <w:r w:rsidRPr="00D45EF9">
              <w:rPr>
                <w:noProof/>
                <w:webHidden/>
                <w:sz w:val="24"/>
                <w:szCs w:val="24"/>
              </w:rPr>
            </w:r>
            <w:r w:rsidRPr="00D45EF9">
              <w:rPr>
                <w:noProof/>
                <w:webHidden/>
                <w:sz w:val="24"/>
                <w:szCs w:val="24"/>
              </w:rPr>
              <w:fldChar w:fldCharType="separate"/>
            </w:r>
            <w:r w:rsidRPr="00D45EF9">
              <w:rPr>
                <w:noProof/>
                <w:webHidden/>
                <w:sz w:val="24"/>
                <w:szCs w:val="24"/>
              </w:rPr>
              <w:t>36</w:t>
            </w:r>
            <w:r w:rsidRPr="00D45EF9">
              <w:rPr>
                <w:noProof/>
                <w:webHidden/>
                <w:sz w:val="24"/>
                <w:szCs w:val="24"/>
              </w:rPr>
              <w:fldChar w:fldCharType="end"/>
            </w:r>
          </w:hyperlink>
        </w:p>
        <w:p w14:paraId="58188CB7" w14:textId="3E997DDB"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78" w:history="1">
            <w:r w:rsidRPr="00D45EF9">
              <w:rPr>
                <w:rStyle w:val="Hyperlink"/>
                <w:noProof/>
                <w:sz w:val="24"/>
                <w:szCs w:val="24"/>
                <w:lang w:val="en-GB"/>
              </w:rPr>
              <w:t>3.10 Conclusion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_Toc228921278 \h </w:instrText>
            </w:r>
            <w:r w:rsidRPr="00D45EF9">
              <w:rPr>
                <w:noProof/>
                <w:webHidden/>
                <w:sz w:val="24"/>
                <w:szCs w:val="24"/>
              </w:rPr>
            </w:r>
            <w:r w:rsidRPr="00D45EF9">
              <w:rPr>
                <w:noProof/>
                <w:webHidden/>
                <w:sz w:val="24"/>
                <w:szCs w:val="24"/>
              </w:rPr>
              <w:fldChar w:fldCharType="separate"/>
            </w:r>
            <w:r w:rsidRPr="00D45EF9">
              <w:rPr>
                <w:noProof/>
                <w:webHidden/>
                <w:sz w:val="24"/>
                <w:szCs w:val="24"/>
              </w:rPr>
              <w:t>36</w:t>
            </w:r>
            <w:r w:rsidRPr="00D45EF9">
              <w:rPr>
                <w:noProof/>
                <w:webHidden/>
                <w:sz w:val="24"/>
                <w:szCs w:val="24"/>
              </w:rPr>
              <w:fldChar w:fldCharType="end"/>
            </w:r>
          </w:hyperlink>
        </w:p>
        <w:p w14:paraId="40DB2312" w14:textId="7AC7D6E8" w:rsidR="00D45EF9" w:rsidRPr="00D45EF9" w:rsidRDefault="00D45EF9"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228921279" w:history="1">
            <w:r w:rsidRPr="00D45EF9">
              <w:rPr>
                <w:rStyle w:val="Hyperlink"/>
                <w:noProof/>
                <w:sz w:val="24"/>
                <w:szCs w:val="24"/>
              </w:rPr>
              <w:t>Chapter 4: Findings, discussion and analysis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_Toc228921279 \h </w:instrText>
            </w:r>
            <w:r w:rsidRPr="00D45EF9">
              <w:rPr>
                <w:noProof/>
                <w:webHidden/>
                <w:sz w:val="24"/>
                <w:szCs w:val="24"/>
              </w:rPr>
            </w:r>
            <w:r w:rsidRPr="00D45EF9">
              <w:rPr>
                <w:noProof/>
                <w:webHidden/>
                <w:sz w:val="24"/>
                <w:szCs w:val="24"/>
              </w:rPr>
              <w:fldChar w:fldCharType="separate"/>
            </w:r>
            <w:r w:rsidRPr="00D45EF9">
              <w:rPr>
                <w:noProof/>
                <w:webHidden/>
                <w:sz w:val="24"/>
                <w:szCs w:val="24"/>
              </w:rPr>
              <w:t>37</w:t>
            </w:r>
            <w:r w:rsidRPr="00D45EF9">
              <w:rPr>
                <w:noProof/>
                <w:webHidden/>
                <w:sz w:val="24"/>
                <w:szCs w:val="24"/>
              </w:rPr>
              <w:fldChar w:fldCharType="end"/>
            </w:r>
          </w:hyperlink>
        </w:p>
        <w:p w14:paraId="31DD342B" w14:textId="2CE6BBD4"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80" w:history="1">
            <w:r w:rsidRPr="00D45EF9">
              <w:rPr>
                <w:rStyle w:val="Hyperlink"/>
                <w:noProof/>
                <w:sz w:val="24"/>
                <w:szCs w:val="24"/>
                <w:lang w:val="en-GB"/>
              </w:rPr>
              <w:t>4.1 Chapter introduction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_Toc228921280 \h </w:instrText>
            </w:r>
            <w:r w:rsidRPr="00D45EF9">
              <w:rPr>
                <w:noProof/>
                <w:webHidden/>
                <w:sz w:val="24"/>
                <w:szCs w:val="24"/>
              </w:rPr>
            </w:r>
            <w:r w:rsidRPr="00D45EF9">
              <w:rPr>
                <w:noProof/>
                <w:webHidden/>
                <w:sz w:val="24"/>
                <w:szCs w:val="24"/>
              </w:rPr>
              <w:fldChar w:fldCharType="separate"/>
            </w:r>
            <w:r w:rsidRPr="00D45EF9">
              <w:rPr>
                <w:noProof/>
                <w:webHidden/>
                <w:sz w:val="24"/>
                <w:szCs w:val="24"/>
              </w:rPr>
              <w:t>37</w:t>
            </w:r>
            <w:r w:rsidRPr="00D45EF9">
              <w:rPr>
                <w:noProof/>
                <w:webHidden/>
                <w:sz w:val="24"/>
                <w:szCs w:val="24"/>
              </w:rPr>
              <w:fldChar w:fldCharType="end"/>
            </w:r>
          </w:hyperlink>
        </w:p>
        <w:p w14:paraId="0E272C2B" w14:textId="22708857"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81" w:history="1">
            <w:r w:rsidRPr="00D45EF9">
              <w:rPr>
                <w:rStyle w:val="Hyperlink"/>
                <w:noProof/>
                <w:sz w:val="24"/>
                <w:szCs w:val="24"/>
                <w:lang w:val="en-GB"/>
              </w:rPr>
              <w:t>4.</w:t>
            </w:r>
            <w:r w:rsidR="00FF5868">
              <w:rPr>
                <w:rStyle w:val="Hyperlink"/>
                <w:noProof/>
                <w:sz w:val="24"/>
                <w:szCs w:val="24"/>
                <w:lang w:val="en-GB"/>
              </w:rPr>
              <w:t>2</w:t>
            </w:r>
            <w:r w:rsidRPr="00D45EF9">
              <w:rPr>
                <w:rStyle w:val="Hyperlink"/>
                <w:noProof/>
                <w:sz w:val="24"/>
                <w:szCs w:val="24"/>
                <w:lang w:val="en-GB"/>
              </w:rPr>
              <w:t xml:space="preserve"> Summary of 50 articles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_Toc228921281 \h </w:instrText>
            </w:r>
            <w:r w:rsidRPr="00D45EF9">
              <w:rPr>
                <w:noProof/>
                <w:webHidden/>
                <w:sz w:val="24"/>
                <w:szCs w:val="24"/>
              </w:rPr>
            </w:r>
            <w:r w:rsidRPr="00D45EF9">
              <w:rPr>
                <w:noProof/>
                <w:webHidden/>
                <w:sz w:val="24"/>
                <w:szCs w:val="24"/>
              </w:rPr>
              <w:fldChar w:fldCharType="separate"/>
            </w:r>
            <w:r w:rsidRPr="00D45EF9">
              <w:rPr>
                <w:noProof/>
                <w:webHidden/>
                <w:sz w:val="24"/>
                <w:szCs w:val="24"/>
              </w:rPr>
              <w:t>37</w:t>
            </w:r>
            <w:r w:rsidRPr="00D45EF9">
              <w:rPr>
                <w:noProof/>
                <w:webHidden/>
                <w:sz w:val="24"/>
                <w:szCs w:val="24"/>
              </w:rPr>
              <w:fldChar w:fldCharType="end"/>
            </w:r>
          </w:hyperlink>
        </w:p>
        <w:p w14:paraId="0FD6193C" w14:textId="6161CCF0"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82" w:history="1">
            <w:r w:rsidRPr="00D45EF9">
              <w:rPr>
                <w:rStyle w:val="Hyperlink"/>
                <w:noProof/>
                <w:sz w:val="24"/>
                <w:szCs w:val="24"/>
                <w:lang w:val="en-GB"/>
              </w:rPr>
              <w:t>4.</w:t>
            </w:r>
            <w:r w:rsidR="00FF5868">
              <w:rPr>
                <w:rStyle w:val="Hyperlink"/>
                <w:noProof/>
                <w:sz w:val="24"/>
                <w:szCs w:val="24"/>
                <w:lang w:val="en-GB"/>
              </w:rPr>
              <w:t>3</w:t>
            </w:r>
            <w:r w:rsidRPr="00D45EF9">
              <w:rPr>
                <w:rStyle w:val="Hyperlink"/>
                <w:noProof/>
                <w:sz w:val="24"/>
                <w:szCs w:val="24"/>
                <w:lang w:val="en-GB"/>
              </w:rPr>
              <w:t xml:space="preserve"> Thematic analysis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_Toc228921282 \h </w:instrText>
            </w:r>
            <w:r w:rsidRPr="00D45EF9">
              <w:rPr>
                <w:noProof/>
                <w:webHidden/>
                <w:sz w:val="24"/>
                <w:szCs w:val="24"/>
              </w:rPr>
            </w:r>
            <w:r w:rsidRPr="00D45EF9">
              <w:rPr>
                <w:noProof/>
                <w:webHidden/>
                <w:sz w:val="24"/>
                <w:szCs w:val="24"/>
              </w:rPr>
              <w:fldChar w:fldCharType="separate"/>
            </w:r>
            <w:r w:rsidRPr="00D45EF9">
              <w:rPr>
                <w:noProof/>
                <w:webHidden/>
                <w:sz w:val="24"/>
                <w:szCs w:val="24"/>
              </w:rPr>
              <w:t>54</w:t>
            </w:r>
            <w:r w:rsidRPr="00D45EF9">
              <w:rPr>
                <w:noProof/>
                <w:webHidden/>
                <w:sz w:val="24"/>
                <w:szCs w:val="24"/>
              </w:rPr>
              <w:fldChar w:fldCharType="end"/>
            </w:r>
          </w:hyperlink>
        </w:p>
        <w:p w14:paraId="2392BB56" w14:textId="0C47FDE4"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83" w:history="1">
            <w:r w:rsidRPr="00D45EF9">
              <w:rPr>
                <w:rStyle w:val="Hyperlink"/>
                <w:noProof/>
                <w:sz w:val="24"/>
                <w:szCs w:val="24"/>
                <w:lang w:val="en-GB"/>
              </w:rPr>
              <w:t>4.3.1 Theme One: Covid-19 has revealed structural vulnerabilities in global supply chains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_Toc228921283 \h </w:instrText>
            </w:r>
            <w:r w:rsidRPr="00D45EF9">
              <w:rPr>
                <w:noProof/>
                <w:webHidden/>
                <w:sz w:val="24"/>
                <w:szCs w:val="24"/>
              </w:rPr>
            </w:r>
            <w:r w:rsidRPr="00D45EF9">
              <w:rPr>
                <w:noProof/>
                <w:webHidden/>
                <w:sz w:val="24"/>
                <w:szCs w:val="24"/>
              </w:rPr>
              <w:fldChar w:fldCharType="separate"/>
            </w:r>
            <w:r w:rsidRPr="00D45EF9">
              <w:rPr>
                <w:noProof/>
                <w:webHidden/>
                <w:sz w:val="24"/>
                <w:szCs w:val="24"/>
              </w:rPr>
              <w:t>56</w:t>
            </w:r>
            <w:r w:rsidRPr="00D45EF9">
              <w:rPr>
                <w:noProof/>
                <w:webHidden/>
                <w:sz w:val="24"/>
                <w:szCs w:val="24"/>
              </w:rPr>
              <w:fldChar w:fldCharType="end"/>
            </w:r>
          </w:hyperlink>
        </w:p>
        <w:p w14:paraId="4F298FFC" w14:textId="7EBD9D5B"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84" w:history="1">
            <w:r w:rsidRPr="00D45EF9">
              <w:rPr>
                <w:rStyle w:val="Hyperlink"/>
                <w:noProof/>
                <w:sz w:val="24"/>
                <w:szCs w:val="24"/>
                <w:lang w:val="en-GB"/>
              </w:rPr>
              <w:t>4.3.2 Theme Two: Multidimensional Organisational Responses to Supply Chain Stress during a pandemic</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_Toc228921284 \h </w:instrText>
            </w:r>
            <w:r w:rsidRPr="00D45EF9">
              <w:rPr>
                <w:noProof/>
                <w:webHidden/>
                <w:sz w:val="24"/>
                <w:szCs w:val="24"/>
              </w:rPr>
            </w:r>
            <w:r w:rsidRPr="00D45EF9">
              <w:rPr>
                <w:noProof/>
                <w:webHidden/>
                <w:sz w:val="24"/>
                <w:szCs w:val="24"/>
              </w:rPr>
              <w:fldChar w:fldCharType="separate"/>
            </w:r>
            <w:r w:rsidRPr="00D45EF9">
              <w:rPr>
                <w:noProof/>
                <w:webHidden/>
                <w:sz w:val="24"/>
                <w:szCs w:val="24"/>
              </w:rPr>
              <w:t>58</w:t>
            </w:r>
            <w:r w:rsidRPr="00D45EF9">
              <w:rPr>
                <w:noProof/>
                <w:webHidden/>
                <w:sz w:val="24"/>
                <w:szCs w:val="24"/>
              </w:rPr>
              <w:fldChar w:fldCharType="end"/>
            </w:r>
          </w:hyperlink>
        </w:p>
        <w:p w14:paraId="088583CD" w14:textId="0AB0F8D0"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85" w:history="1">
            <w:r w:rsidRPr="00D45EF9">
              <w:rPr>
                <w:rStyle w:val="Hyperlink"/>
                <w:noProof/>
                <w:sz w:val="24"/>
                <w:szCs w:val="24"/>
                <w:lang w:val="en-GB"/>
              </w:rPr>
              <w:t>4.3.3 Theme Three: Reconfiguration of supply chain resilience as an outcome of adaptive organisational action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_Toc228921285 \h </w:instrText>
            </w:r>
            <w:r w:rsidRPr="00D45EF9">
              <w:rPr>
                <w:noProof/>
                <w:webHidden/>
                <w:sz w:val="24"/>
                <w:szCs w:val="24"/>
              </w:rPr>
            </w:r>
            <w:r w:rsidRPr="00D45EF9">
              <w:rPr>
                <w:noProof/>
                <w:webHidden/>
                <w:sz w:val="24"/>
                <w:szCs w:val="24"/>
              </w:rPr>
              <w:fldChar w:fldCharType="separate"/>
            </w:r>
            <w:r w:rsidRPr="00D45EF9">
              <w:rPr>
                <w:noProof/>
                <w:webHidden/>
                <w:sz w:val="24"/>
                <w:szCs w:val="24"/>
              </w:rPr>
              <w:t>60</w:t>
            </w:r>
            <w:r w:rsidRPr="00D45EF9">
              <w:rPr>
                <w:noProof/>
                <w:webHidden/>
                <w:sz w:val="24"/>
                <w:szCs w:val="24"/>
              </w:rPr>
              <w:fldChar w:fldCharType="end"/>
            </w:r>
          </w:hyperlink>
        </w:p>
        <w:p w14:paraId="051E0D5E" w14:textId="107F33AE"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86" w:history="1">
            <w:r w:rsidRPr="00D45EF9">
              <w:rPr>
                <w:rStyle w:val="Hyperlink"/>
                <w:noProof/>
                <w:sz w:val="24"/>
                <w:szCs w:val="24"/>
                <w:lang w:val="en-GB"/>
              </w:rPr>
              <w:t>4.3.4 Theme Four: Industry-Specific Vulnerability, Response and the Generalised Resilience Paradigm</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_Toc228921286 \h </w:instrText>
            </w:r>
            <w:r w:rsidRPr="00D45EF9">
              <w:rPr>
                <w:noProof/>
                <w:webHidden/>
                <w:sz w:val="24"/>
                <w:szCs w:val="24"/>
              </w:rPr>
            </w:r>
            <w:r w:rsidRPr="00D45EF9">
              <w:rPr>
                <w:noProof/>
                <w:webHidden/>
                <w:sz w:val="24"/>
                <w:szCs w:val="24"/>
              </w:rPr>
              <w:fldChar w:fldCharType="separate"/>
            </w:r>
            <w:r w:rsidRPr="00D45EF9">
              <w:rPr>
                <w:noProof/>
                <w:webHidden/>
                <w:sz w:val="24"/>
                <w:szCs w:val="24"/>
              </w:rPr>
              <w:t>62</w:t>
            </w:r>
            <w:r w:rsidRPr="00D45EF9">
              <w:rPr>
                <w:noProof/>
                <w:webHidden/>
                <w:sz w:val="24"/>
                <w:szCs w:val="24"/>
              </w:rPr>
              <w:fldChar w:fldCharType="end"/>
            </w:r>
          </w:hyperlink>
        </w:p>
        <w:p w14:paraId="6CF383F8" w14:textId="23CB033D"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87" w:history="1">
            <w:r w:rsidRPr="00D45EF9">
              <w:rPr>
                <w:rStyle w:val="Hyperlink"/>
                <w:noProof/>
                <w:sz w:val="24"/>
                <w:szCs w:val="24"/>
                <w:lang w:val="en-GB"/>
              </w:rPr>
              <w:t>4.4 Integrated Synthesis: To a Reconfigured Conception of Supply Chain Resilience</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_Toc228921287 \h </w:instrText>
            </w:r>
            <w:r w:rsidRPr="00D45EF9">
              <w:rPr>
                <w:noProof/>
                <w:webHidden/>
                <w:sz w:val="24"/>
                <w:szCs w:val="24"/>
              </w:rPr>
            </w:r>
            <w:r w:rsidRPr="00D45EF9">
              <w:rPr>
                <w:noProof/>
                <w:webHidden/>
                <w:sz w:val="24"/>
                <w:szCs w:val="24"/>
              </w:rPr>
              <w:fldChar w:fldCharType="separate"/>
            </w:r>
            <w:r w:rsidRPr="00D45EF9">
              <w:rPr>
                <w:noProof/>
                <w:webHidden/>
                <w:sz w:val="24"/>
                <w:szCs w:val="24"/>
              </w:rPr>
              <w:t>66</w:t>
            </w:r>
            <w:r w:rsidRPr="00D45EF9">
              <w:rPr>
                <w:noProof/>
                <w:webHidden/>
                <w:sz w:val="24"/>
                <w:szCs w:val="24"/>
              </w:rPr>
              <w:fldChar w:fldCharType="end"/>
            </w:r>
          </w:hyperlink>
        </w:p>
        <w:p w14:paraId="551AC378" w14:textId="6D96FB77"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88" w:history="1">
            <w:r w:rsidRPr="00D45EF9">
              <w:rPr>
                <w:rStyle w:val="Hyperlink"/>
                <w:noProof/>
                <w:sz w:val="24"/>
                <w:szCs w:val="24"/>
                <w:lang w:val="en-GB"/>
              </w:rPr>
              <w:t>4.5 Chapter Summary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_Toc228921288 \h </w:instrText>
            </w:r>
            <w:r w:rsidRPr="00D45EF9">
              <w:rPr>
                <w:noProof/>
                <w:webHidden/>
                <w:sz w:val="24"/>
                <w:szCs w:val="24"/>
              </w:rPr>
            </w:r>
            <w:r w:rsidRPr="00D45EF9">
              <w:rPr>
                <w:noProof/>
                <w:webHidden/>
                <w:sz w:val="24"/>
                <w:szCs w:val="24"/>
              </w:rPr>
              <w:fldChar w:fldCharType="separate"/>
            </w:r>
            <w:r w:rsidRPr="00D45EF9">
              <w:rPr>
                <w:noProof/>
                <w:webHidden/>
                <w:sz w:val="24"/>
                <w:szCs w:val="24"/>
              </w:rPr>
              <w:t>66</w:t>
            </w:r>
            <w:r w:rsidRPr="00D45EF9">
              <w:rPr>
                <w:noProof/>
                <w:webHidden/>
                <w:sz w:val="24"/>
                <w:szCs w:val="24"/>
              </w:rPr>
              <w:fldChar w:fldCharType="end"/>
            </w:r>
          </w:hyperlink>
        </w:p>
        <w:p w14:paraId="7EC9AE87" w14:textId="4CB856E3" w:rsidR="00D45EF9" w:rsidRPr="00D45EF9" w:rsidRDefault="00D45EF9"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228921289" w:history="1">
            <w:r w:rsidRPr="00D45EF9">
              <w:rPr>
                <w:rStyle w:val="Hyperlink"/>
                <w:noProof/>
                <w:sz w:val="24"/>
                <w:szCs w:val="24"/>
              </w:rPr>
              <w:t>Chapter 5: Conclusion and recommendation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_Toc228921289 \h </w:instrText>
            </w:r>
            <w:r w:rsidRPr="00D45EF9">
              <w:rPr>
                <w:noProof/>
                <w:webHidden/>
                <w:sz w:val="24"/>
                <w:szCs w:val="24"/>
              </w:rPr>
            </w:r>
            <w:r w:rsidRPr="00D45EF9">
              <w:rPr>
                <w:noProof/>
                <w:webHidden/>
                <w:sz w:val="24"/>
                <w:szCs w:val="24"/>
              </w:rPr>
              <w:fldChar w:fldCharType="separate"/>
            </w:r>
            <w:r w:rsidRPr="00D45EF9">
              <w:rPr>
                <w:noProof/>
                <w:webHidden/>
                <w:sz w:val="24"/>
                <w:szCs w:val="24"/>
              </w:rPr>
              <w:t>68</w:t>
            </w:r>
            <w:r w:rsidRPr="00D45EF9">
              <w:rPr>
                <w:noProof/>
                <w:webHidden/>
                <w:sz w:val="24"/>
                <w:szCs w:val="24"/>
              </w:rPr>
              <w:fldChar w:fldCharType="end"/>
            </w:r>
          </w:hyperlink>
        </w:p>
        <w:p w14:paraId="1A396C61" w14:textId="6EA00A41"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90" w:history="1">
            <w:r w:rsidRPr="00D45EF9">
              <w:rPr>
                <w:rStyle w:val="Hyperlink"/>
                <w:noProof/>
                <w:sz w:val="24"/>
                <w:szCs w:val="24"/>
                <w:lang w:val="en-GB"/>
              </w:rPr>
              <w:t>5.1 Key Findings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_Toc228921290 \h </w:instrText>
            </w:r>
            <w:r w:rsidRPr="00D45EF9">
              <w:rPr>
                <w:noProof/>
                <w:webHidden/>
                <w:sz w:val="24"/>
                <w:szCs w:val="24"/>
              </w:rPr>
            </w:r>
            <w:r w:rsidRPr="00D45EF9">
              <w:rPr>
                <w:noProof/>
                <w:webHidden/>
                <w:sz w:val="24"/>
                <w:szCs w:val="24"/>
              </w:rPr>
              <w:fldChar w:fldCharType="separate"/>
            </w:r>
            <w:r w:rsidRPr="00D45EF9">
              <w:rPr>
                <w:noProof/>
                <w:webHidden/>
                <w:sz w:val="24"/>
                <w:szCs w:val="24"/>
              </w:rPr>
              <w:t>68</w:t>
            </w:r>
            <w:r w:rsidRPr="00D45EF9">
              <w:rPr>
                <w:noProof/>
                <w:webHidden/>
                <w:sz w:val="24"/>
                <w:szCs w:val="24"/>
              </w:rPr>
              <w:fldChar w:fldCharType="end"/>
            </w:r>
          </w:hyperlink>
        </w:p>
        <w:p w14:paraId="27FF781E" w14:textId="4ACBCF27"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91" w:history="1">
            <w:r w:rsidRPr="00D45EF9">
              <w:rPr>
                <w:rStyle w:val="Hyperlink"/>
                <w:noProof/>
                <w:sz w:val="24"/>
                <w:szCs w:val="24"/>
                <w:lang w:val="en-GB"/>
              </w:rPr>
              <w:t>5.2 Findings for the Research Questions</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_Toc228921291 \h </w:instrText>
            </w:r>
            <w:r w:rsidRPr="00D45EF9">
              <w:rPr>
                <w:noProof/>
                <w:webHidden/>
                <w:sz w:val="24"/>
                <w:szCs w:val="24"/>
              </w:rPr>
            </w:r>
            <w:r w:rsidRPr="00D45EF9">
              <w:rPr>
                <w:noProof/>
                <w:webHidden/>
                <w:sz w:val="24"/>
                <w:szCs w:val="24"/>
              </w:rPr>
              <w:fldChar w:fldCharType="separate"/>
            </w:r>
            <w:r w:rsidRPr="00D45EF9">
              <w:rPr>
                <w:noProof/>
                <w:webHidden/>
                <w:sz w:val="24"/>
                <w:szCs w:val="24"/>
              </w:rPr>
              <w:t>69</w:t>
            </w:r>
            <w:r w:rsidRPr="00D45EF9">
              <w:rPr>
                <w:noProof/>
                <w:webHidden/>
                <w:sz w:val="24"/>
                <w:szCs w:val="24"/>
              </w:rPr>
              <w:fldChar w:fldCharType="end"/>
            </w:r>
          </w:hyperlink>
        </w:p>
        <w:p w14:paraId="0EAFD731" w14:textId="5C07D948"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92" w:history="1">
            <w:r w:rsidRPr="00D45EF9">
              <w:rPr>
                <w:rStyle w:val="Hyperlink"/>
                <w:noProof/>
                <w:sz w:val="24"/>
                <w:szCs w:val="24"/>
                <w:lang w:val="en-GB"/>
              </w:rPr>
              <w:t>5.3 Recommendation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_Toc228921292 \h </w:instrText>
            </w:r>
            <w:r w:rsidRPr="00D45EF9">
              <w:rPr>
                <w:noProof/>
                <w:webHidden/>
                <w:sz w:val="24"/>
                <w:szCs w:val="24"/>
              </w:rPr>
            </w:r>
            <w:r w:rsidRPr="00D45EF9">
              <w:rPr>
                <w:noProof/>
                <w:webHidden/>
                <w:sz w:val="24"/>
                <w:szCs w:val="24"/>
              </w:rPr>
              <w:fldChar w:fldCharType="separate"/>
            </w:r>
            <w:r w:rsidRPr="00D45EF9">
              <w:rPr>
                <w:noProof/>
                <w:webHidden/>
                <w:sz w:val="24"/>
                <w:szCs w:val="24"/>
              </w:rPr>
              <w:t>70</w:t>
            </w:r>
            <w:r w:rsidRPr="00D45EF9">
              <w:rPr>
                <w:noProof/>
                <w:webHidden/>
                <w:sz w:val="24"/>
                <w:szCs w:val="24"/>
              </w:rPr>
              <w:fldChar w:fldCharType="end"/>
            </w:r>
          </w:hyperlink>
        </w:p>
        <w:p w14:paraId="0ADF2070" w14:textId="6CE8D74F"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93" w:history="1">
            <w:r w:rsidRPr="00D45EF9">
              <w:rPr>
                <w:rStyle w:val="Hyperlink"/>
                <w:noProof/>
                <w:sz w:val="24"/>
                <w:szCs w:val="24"/>
                <w:lang w:val="en-GB"/>
              </w:rPr>
              <w:t>5.3.1 Practical recommendation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_Toc228921293 \h </w:instrText>
            </w:r>
            <w:r w:rsidRPr="00D45EF9">
              <w:rPr>
                <w:noProof/>
                <w:webHidden/>
                <w:sz w:val="24"/>
                <w:szCs w:val="24"/>
              </w:rPr>
            </w:r>
            <w:r w:rsidRPr="00D45EF9">
              <w:rPr>
                <w:noProof/>
                <w:webHidden/>
                <w:sz w:val="24"/>
                <w:szCs w:val="24"/>
              </w:rPr>
              <w:fldChar w:fldCharType="separate"/>
            </w:r>
            <w:r w:rsidRPr="00D45EF9">
              <w:rPr>
                <w:noProof/>
                <w:webHidden/>
                <w:sz w:val="24"/>
                <w:szCs w:val="24"/>
              </w:rPr>
              <w:t>70</w:t>
            </w:r>
            <w:r w:rsidRPr="00D45EF9">
              <w:rPr>
                <w:noProof/>
                <w:webHidden/>
                <w:sz w:val="24"/>
                <w:szCs w:val="24"/>
              </w:rPr>
              <w:fldChar w:fldCharType="end"/>
            </w:r>
          </w:hyperlink>
        </w:p>
        <w:p w14:paraId="2CEC0D8E" w14:textId="75262101" w:rsidR="00D45EF9" w:rsidRPr="00D45EF9" w:rsidRDefault="00D45EF9" w:rsidP="00D45EF9">
          <w:pPr>
            <w:pStyle w:val="TOC3"/>
            <w:tabs>
              <w:tab w:val="right" w:leader="dot" w:pos="9350"/>
            </w:tabs>
            <w:spacing w:line="360" w:lineRule="auto"/>
            <w:jc w:val="both"/>
            <w:rPr>
              <w:rFonts w:eastAsiaTheme="minorEastAsia"/>
              <w:noProof/>
              <w:kern w:val="2"/>
              <w:sz w:val="24"/>
              <w:szCs w:val="24"/>
              <w:lang w:val="en-IN"/>
              <w14:ligatures w14:val="standardContextual"/>
            </w:rPr>
          </w:pPr>
          <w:hyperlink w:anchor="_Toc228921294" w:history="1">
            <w:r w:rsidRPr="00D45EF9">
              <w:rPr>
                <w:rStyle w:val="Hyperlink"/>
                <w:noProof/>
                <w:sz w:val="24"/>
                <w:szCs w:val="24"/>
                <w:lang w:val="en-GB"/>
              </w:rPr>
              <w:t>5.3.2 Theoretical recommendation</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_Toc228921294 \h </w:instrText>
            </w:r>
            <w:r w:rsidRPr="00D45EF9">
              <w:rPr>
                <w:noProof/>
                <w:webHidden/>
                <w:sz w:val="24"/>
                <w:szCs w:val="24"/>
              </w:rPr>
            </w:r>
            <w:r w:rsidRPr="00D45EF9">
              <w:rPr>
                <w:noProof/>
                <w:webHidden/>
                <w:sz w:val="24"/>
                <w:szCs w:val="24"/>
              </w:rPr>
              <w:fldChar w:fldCharType="separate"/>
            </w:r>
            <w:r w:rsidRPr="00D45EF9">
              <w:rPr>
                <w:noProof/>
                <w:webHidden/>
                <w:sz w:val="24"/>
                <w:szCs w:val="24"/>
              </w:rPr>
              <w:t>71</w:t>
            </w:r>
            <w:r w:rsidRPr="00D45EF9">
              <w:rPr>
                <w:noProof/>
                <w:webHidden/>
                <w:sz w:val="24"/>
                <w:szCs w:val="24"/>
              </w:rPr>
              <w:fldChar w:fldCharType="end"/>
            </w:r>
          </w:hyperlink>
        </w:p>
        <w:p w14:paraId="76D0C225" w14:textId="2241EA5B"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95" w:history="1">
            <w:r w:rsidRPr="00D45EF9">
              <w:rPr>
                <w:rStyle w:val="Hyperlink"/>
                <w:noProof/>
                <w:sz w:val="24"/>
                <w:szCs w:val="24"/>
                <w:lang w:val="en-GB"/>
              </w:rPr>
              <w:t>5.4 Limitation of the study</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_Toc228921295 \h </w:instrText>
            </w:r>
            <w:r w:rsidRPr="00D45EF9">
              <w:rPr>
                <w:noProof/>
                <w:webHidden/>
                <w:sz w:val="24"/>
                <w:szCs w:val="24"/>
              </w:rPr>
            </w:r>
            <w:r w:rsidRPr="00D45EF9">
              <w:rPr>
                <w:noProof/>
                <w:webHidden/>
                <w:sz w:val="24"/>
                <w:szCs w:val="24"/>
              </w:rPr>
              <w:fldChar w:fldCharType="separate"/>
            </w:r>
            <w:r w:rsidRPr="00D45EF9">
              <w:rPr>
                <w:noProof/>
                <w:webHidden/>
                <w:sz w:val="24"/>
                <w:szCs w:val="24"/>
              </w:rPr>
              <w:t>72</w:t>
            </w:r>
            <w:r w:rsidRPr="00D45EF9">
              <w:rPr>
                <w:noProof/>
                <w:webHidden/>
                <w:sz w:val="24"/>
                <w:szCs w:val="24"/>
              </w:rPr>
              <w:fldChar w:fldCharType="end"/>
            </w:r>
          </w:hyperlink>
        </w:p>
        <w:p w14:paraId="41B5032C" w14:textId="023B6E79" w:rsidR="00D45EF9" w:rsidRPr="00D45EF9" w:rsidRDefault="00D45EF9" w:rsidP="00D45EF9">
          <w:pPr>
            <w:pStyle w:val="TOC2"/>
            <w:tabs>
              <w:tab w:val="right" w:leader="dot" w:pos="9350"/>
            </w:tabs>
            <w:spacing w:line="360" w:lineRule="auto"/>
            <w:jc w:val="both"/>
            <w:rPr>
              <w:rFonts w:eastAsiaTheme="minorEastAsia"/>
              <w:noProof/>
              <w:kern w:val="2"/>
              <w:sz w:val="24"/>
              <w:szCs w:val="24"/>
              <w:lang w:val="en-IN"/>
              <w14:ligatures w14:val="standardContextual"/>
            </w:rPr>
          </w:pPr>
          <w:hyperlink w:anchor="_Toc228921296" w:history="1">
            <w:r w:rsidRPr="00D45EF9">
              <w:rPr>
                <w:rStyle w:val="Hyperlink"/>
                <w:noProof/>
                <w:sz w:val="24"/>
                <w:szCs w:val="24"/>
                <w:lang w:val="en-GB"/>
              </w:rPr>
              <w:t>5.5 Future research</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_Toc228921296 \h </w:instrText>
            </w:r>
            <w:r w:rsidRPr="00D45EF9">
              <w:rPr>
                <w:noProof/>
                <w:webHidden/>
                <w:sz w:val="24"/>
                <w:szCs w:val="24"/>
              </w:rPr>
            </w:r>
            <w:r w:rsidRPr="00D45EF9">
              <w:rPr>
                <w:noProof/>
                <w:webHidden/>
                <w:sz w:val="24"/>
                <w:szCs w:val="24"/>
              </w:rPr>
              <w:fldChar w:fldCharType="separate"/>
            </w:r>
            <w:r w:rsidRPr="00D45EF9">
              <w:rPr>
                <w:noProof/>
                <w:webHidden/>
                <w:sz w:val="24"/>
                <w:szCs w:val="24"/>
              </w:rPr>
              <w:t>73</w:t>
            </w:r>
            <w:r w:rsidRPr="00D45EF9">
              <w:rPr>
                <w:noProof/>
                <w:webHidden/>
                <w:sz w:val="24"/>
                <w:szCs w:val="24"/>
              </w:rPr>
              <w:fldChar w:fldCharType="end"/>
            </w:r>
          </w:hyperlink>
        </w:p>
        <w:p w14:paraId="58478108" w14:textId="390832F1" w:rsidR="00D45EF9" w:rsidRPr="00D45EF9" w:rsidRDefault="00D45EF9"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228921297" w:history="1">
            <w:r w:rsidRPr="00D45EF9">
              <w:rPr>
                <w:rStyle w:val="Hyperlink"/>
                <w:noProof/>
                <w:sz w:val="24"/>
                <w:szCs w:val="24"/>
              </w:rPr>
              <w:t>Reference list</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_Toc228921297 \h </w:instrText>
            </w:r>
            <w:r w:rsidRPr="00D45EF9">
              <w:rPr>
                <w:noProof/>
                <w:webHidden/>
                <w:sz w:val="24"/>
                <w:szCs w:val="24"/>
              </w:rPr>
            </w:r>
            <w:r w:rsidRPr="00D45EF9">
              <w:rPr>
                <w:noProof/>
                <w:webHidden/>
                <w:sz w:val="24"/>
                <w:szCs w:val="24"/>
              </w:rPr>
              <w:fldChar w:fldCharType="separate"/>
            </w:r>
            <w:r w:rsidRPr="00D45EF9">
              <w:rPr>
                <w:noProof/>
                <w:webHidden/>
                <w:sz w:val="24"/>
                <w:szCs w:val="24"/>
              </w:rPr>
              <w:t>75</w:t>
            </w:r>
            <w:r w:rsidRPr="00D45EF9">
              <w:rPr>
                <w:noProof/>
                <w:webHidden/>
                <w:sz w:val="24"/>
                <w:szCs w:val="24"/>
              </w:rPr>
              <w:fldChar w:fldCharType="end"/>
            </w:r>
          </w:hyperlink>
        </w:p>
        <w:p w14:paraId="4A2DE5C6" w14:textId="639B02FB" w:rsidR="00D45EF9" w:rsidRPr="00D45EF9" w:rsidRDefault="00D45EF9" w:rsidP="00D45EF9">
          <w:pPr>
            <w:pStyle w:val="TOC1"/>
            <w:tabs>
              <w:tab w:val="right" w:leader="dot" w:pos="9350"/>
            </w:tabs>
            <w:spacing w:line="360" w:lineRule="auto"/>
            <w:jc w:val="both"/>
            <w:rPr>
              <w:rFonts w:eastAsiaTheme="minorEastAsia"/>
              <w:noProof/>
              <w:kern w:val="2"/>
              <w:sz w:val="24"/>
              <w:szCs w:val="24"/>
              <w:lang w:val="en-IN"/>
              <w14:ligatures w14:val="standardContextual"/>
            </w:rPr>
          </w:pPr>
          <w:hyperlink w:anchor="_Toc228921298" w:history="1">
            <w:r w:rsidRPr="00D45EF9">
              <w:rPr>
                <w:rStyle w:val="Hyperlink"/>
                <w:noProof/>
                <w:sz w:val="24"/>
                <w:szCs w:val="24"/>
              </w:rPr>
              <w:t>Appendix: Dissertation proposal</w:t>
            </w:r>
            <w:r w:rsidRPr="00D45EF9">
              <w:rPr>
                <w:noProof/>
                <w:webHidden/>
                <w:sz w:val="24"/>
                <w:szCs w:val="24"/>
              </w:rPr>
              <w:tab/>
            </w:r>
            <w:r w:rsidRPr="00D45EF9">
              <w:rPr>
                <w:noProof/>
                <w:webHidden/>
                <w:sz w:val="24"/>
                <w:szCs w:val="24"/>
              </w:rPr>
              <w:fldChar w:fldCharType="begin"/>
            </w:r>
            <w:r w:rsidRPr="00D45EF9">
              <w:rPr>
                <w:noProof/>
                <w:webHidden/>
                <w:sz w:val="24"/>
                <w:szCs w:val="24"/>
              </w:rPr>
              <w:instrText xml:space="preserve"> PAGEREF _Toc228921298 \h </w:instrText>
            </w:r>
            <w:r w:rsidRPr="00D45EF9">
              <w:rPr>
                <w:noProof/>
                <w:webHidden/>
                <w:sz w:val="24"/>
                <w:szCs w:val="24"/>
              </w:rPr>
            </w:r>
            <w:r w:rsidRPr="00D45EF9">
              <w:rPr>
                <w:noProof/>
                <w:webHidden/>
                <w:sz w:val="24"/>
                <w:szCs w:val="24"/>
              </w:rPr>
              <w:fldChar w:fldCharType="separate"/>
            </w:r>
            <w:r w:rsidRPr="00D45EF9">
              <w:rPr>
                <w:noProof/>
                <w:webHidden/>
                <w:sz w:val="24"/>
                <w:szCs w:val="24"/>
              </w:rPr>
              <w:t>83</w:t>
            </w:r>
            <w:r w:rsidRPr="00D45EF9">
              <w:rPr>
                <w:noProof/>
                <w:webHidden/>
                <w:sz w:val="24"/>
                <w:szCs w:val="24"/>
              </w:rPr>
              <w:fldChar w:fldCharType="end"/>
            </w:r>
          </w:hyperlink>
        </w:p>
        <w:p w14:paraId="0446E632" w14:textId="2B4F5A43" w:rsidR="001817CB" w:rsidRPr="00D45EF9" w:rsidRDefault="001817CB" w:rsidP="00D45EF9">
          <w:pPr>
            <w:spacing w:line="360" w:lineRule="auto"/>
            <w:jc w:val="both"/>
            <w:rPr>
              <w:color w:val="000000" w:themeColor="text1"/>
              <w:sz w:val="24"/>
              <w:szCs w:val="24"/>
              <w:lang w:val="en-GB"/>
            </w:rPr>
          </w:pPr>
          <w:r w:rsidRPr="00D45EF9">
            <w:rPr>
              <w:b/>
              <w:bCs/>
              <w:noProof/>
              <w:color w:val="000000" w:themeColor="text1"/>
              <w:sz w:val="24"/>
              <w:szCs w:val="24"/>
              <w:lang w:val="en-GB"/>
            </w:rPr>
            <w:fldChar w:fldCharType="end"/>
          </w:r>
        </w:p>
      </w:sdtContent>
    </w:sdt>
    <w:p w14:paraId="045B6938" w14:textId="1D8A5598" w:rsidR="00D07ABA" w:rsidRPr="00710DFA" w:rsidRDefault="00FE7AA9" w:rsidP="002E5FAA">
      <w:pPr>
        <w:spacing w:line="360" w:lineRule="auto"/>
        <w:jc w:val="both"/>
        <w:rPr>
          <w:b/>
          <w:bCs/>
          <w:color w:val="000000" w:themeColor="text1"/>
          <w:sz w:val="24"/>
          <w:szCs w:val="24"/>
          <w:lang w:val="en-GB"/>
        </w:rPr>
      </w:pPr>
      <w:r w:rsidRPr="00710DFA">
        <w:rPr>
          <w:color w:val="000000" w:themeColor="text1"/>
          <w:sz w:val="24"/>
          <w:szCs w:val="24"/>
          <w:lang w:val="en-GB"/>
        </w:rPr>
        <w:br w:type="page"/>
      </w:r>
      <w:r w:rsidR="00D07ABA" w:rsidRPr="00710DFA">
        <w:rPr>
          <w:b/>
          <w:bCs/>
          <w:color w:val="000000" w:themeColor="text1"/>
          <w:sz w:val="24"/>
          <w:szCs w:val="24"/>
          <w:lang w:val="en-GB"/>
        </w:rPr>
        <w:lastRenderedPageBreak/>
        <w:t>List of Tables</w:t>
      </w:r>
    </w:p>
    <w:p w14:paraId="550251E5" w14:textId="4FB3501D" w:rsidR="00296345" w:rsidRPr="00296345" w:rsidRDefault="00D07ABA" w:rsidP="00296345">
      <w:pPr>
        <w:pStyle w:val="TableofFigures"/>
        <w:tabs>
          <w:tab w:val="right" w:leader="dot" w:pos="9350"/>
        </w:tabs>
        <w:spacing w:line="360" w:lineRule="auto"/>
        <w:jc w:val="both"/>
        <w:rPr>
          <w:rFonts w:asciiTheme="minorHAnsi" w:eastAsiaTheme="minorEastAsia" w:hAnsiTheme="minorHAnsi" w:cstheme="minorBidi"/>
          <w:noProof/>
          <w:kern w:val="2"/>
          <w:sz w:val="28"/>
          <w:szCs w:val="28"/>
          <w:lang w:val="en-IN"/>
          <w14:ligatures w14:val="standardContextual"/>
        </w:rPr>
      </w:pPr>
      <w:r w:rsidRPr="00710DFA">
        <w:rPr>
          <w:color w:val="000000" w:themeColor="text1"/>
          <w:sz w:val="24"/>
          <w:szCs w:val="24"/>
          <w:lang w:val="en-GB"/>
        </w:rPr>
        <w:fldChar w:fldCharType="begin"/>
      </w:r>
      <w:r w:rsidRPr="00710DFA">
        <w:rPr>
          <w:color w:val="000000" w:themeColor="text1"/>
          <w:sz w:val="24"/>
          <w:szCs w:val="24"/>
          <w:lang w:val="en-GB"/>
        </w:rPr>
        <w:instrText xml:space="preserve"> TOC \h \z \t "Heading 5" \c </w:instrText>
      </w:r>
      <w:r w:rsidRPr="00710DFA">
        <w:rPr>
          <w:color w:val="000000" w:themeColor="text1"/>
          <w:sz w:val="24"/>
          <w:szCs w:val="24"/>
          <w:lang w:val="en-GB"/>
        </w:rPr>
        <w:fldChar w:fldCharType="separate"/>
      </w:r>
      <w:hyperlink w:anchor="_Toc228921431" w:history="1">
        <w:r w:rsidR="00296345" w:rsidRPr="00296345">
          <w:rPr>
            <w:rStyle w:val="Hyperlink"/>
            <w:noProof/>
            <w:sz w:val="24"/>
            <w:szCs w:val="24"/>
          </w:rPr>
          <w:t>Table 3.1: Inclusion exclusion criteria</w:t>
        </w:r>
        <w:r w:rsidR="00296345" w:rsidRPr="00296345">
          <w:rPr>
            <w:noProof/>
            <w:webHidden/>
            <w:sz w:val="24"/>
            <w:szCs w:val="24"/>
          </w:rPr>
          <w:tab/>
        </w:r>
        <w:r w:rsidR="00296345" w:rsidRPr="00296345">
          <w:rPr>
            <w:noProof/>
            <w:webHidden/>
            <w:sz w:val="24"/>
            <w:szCs w:val="24"/>
          </w:rPr>
          <w:fldChar w:fldCharType="begin"/>
        </w:r>
        <w:r w:rsidR="00296345" w:rsidRPr="00296345">
          <w:rPr>
            <w:noProof/>
            <w:webHidden/>
            <w:sz w:val="24"/>
            <w:szCs w:val="24"/>
          </w:rPr>
          <w:instrText xml:space="preserve"> PAGEREF _Toc228921431 \h </w:instrText>
        </w:r>
        <w:r w:rsidR="00296345" w:rsidRPr="00296345">
          <w:rPr>
            <w:noProof/>
            <w:webHidden/>
            <w:sz w:val="24"/>
            <w:szCs w:val="24"/>
          </w:rPr>
        </w:r>
        <w:r w:rsidR="00296345" w:rsidRPr="00296345">
          <w:rPr>
            <w:noProof/>
            <w:webHidden/>
            <w:sz w:val="24"/>
            <w:szCs w:val="24"/>
          </w:rPr>
          <w:fldChar w:fldCharType="separate"/>
        </w:r>
        <w:r w:rsidR="00296345" w:rsidRPr="00296345">
          <w:rPr>
            <w:noProof/>
            <w:webHidden/>
            <w:sz w:val="24"/>
            <w:szCs w:val="24"/>
          </w:rPr>
          <w:t>31</w:t>
        </w:r>
        <w:r w:rsidR="00296345" w:rsidRPr="00296345">
          <w:rPr>
            <w:noProof/>
            <w:webHidden/>
            <w:sz w:val="24"/>
            <w:szCs w:val="24"/>
          </w:rPr>
          <w:fldChar w:fldCharType="end"/>
        </w:r>
      </w:hyperlink>
    </w:p>
    <w:p w14:paraId="550C9A94" w14:textId="2626F173" w:rsidR="00296345" w:rsidRPr="00296345" w:rsidRDefault="00296345" w:rsidP="00296345">
      <w:pPr>
        <w:pStyle w:val="TableofFigures"/>
        <w:tabs>
          <w:tab w:val="right" w:leader="dot" w:pos="9350"/>
        </w:tabs>
        <w:spacing w:line="360" w:lineRule="auto"/>
        <w:jc w:val="both"/>
        <w:rPr>
          <w:rFonts w:asciiTheme="minorHAnsi" w:eastAsiaTheme="minorEastAsia" w:hAnsiTheme="minorHAnsi" w:cstheme="minorBidi"/>
          <w:noProof/>
          <w:kern w:val="2"/>
          <w:sz w:val="28"/>
          <w:szCs w:val="28"/>
          <w:lang w:val="en-IN"/>
          <w14:ligatures w14:val="standardContextual"/>
        </w:rPr>
      </w:pPr>
      <w:hyperlink w:anchor="_Toc228921432" w:history="1">
        <w:r w:rsidRPr="00296345">
          <w:rPr>
            <w:rStyle w:val="Hyperlink"/>
            <w:noProof/>
            <w:sz w:val="24"/>
            <w:szCs w:val="24"/>
          </w:rPr>
          <w:t>Table 3.2: Example of Data analysis/ Extraction</w:t>
        </w:r>
        <w:r w:rsidRPr="00296345">
          <w:rPr>
            <w:noProof/>
            <w:webHidden/>
            <w:sz w:val="24"/>
            <w:szCs w:val="24"/>
          </w:rPr>
          <w:tab/>
        </w:r>
        <w:r w:rsidRPr="00296345">
          <w:rPr>
            <w:noProof/>
            <w:webHidden/>
            <w:sz w:val="24"/>
            <w:szCs w:val="24"/>
          </w:rPr>
          <w:fldChar w:fldCharType="begin"/>
        </w:r>
        <w:r w:rsidRPr="00296345">
          <w:rPr>
            <w:noProof/>
            <w:webHidden/>
            <w:sz w:val="24"/>
            <w:szCs w:val="24"/>
          </w:rPr>
          <w:instrText xml:space="preserve"> PAGEREF _Toc228921432 \h </w:instrText>
        </w:r>
        <w:r w:rsidRPr="00296345">
          <w:rPr>
            <w:noProof/>
            <w:webHidden/>
            <w:sz w:val="24"/>
            <w:szCs w:val="24"/>
          </w:rPr>
        </w:r>
        <w:r w:rsidRPr="00296345">
          <w:rPr>
            <w:noProof/>
            <w:webHidden/>
            <w:sz w:val="24"/>
            <w:szCs w:val="24"/>
          </w:rPr>
          <w:fldChar w:fldCharType="separate"/>
        </w:r>
        <w:r w:rsidRPr="00296345">
          <w:rPr>
            <w:noProof/>
            <w:webHidden/>
            <w:sz w:val="24"/>
            <w:szCs w:val="24"/>
          </w:rPr>
          <w:t>37</w:t>
        </w:r>
        <w:r w:rsidRPr="00296345">
          <w:rPr>
            <w:noProof/>
            <w:webHidden/>
            <w:sz w:val="24"/>
            <w:szCs w:val="24"/>
          </w:rPr>
          <w:fldChar w:fldCharType="end"/>
        </w:r>
      </w:hyperlink>
    </w:p>
    <w:p w14:paraId="5F92F82E" w14:textId="6EA50518" w:rsidR="00296345" w:rsidRPr="00296345" w:rsidRDefault="00296345" w:rsidP="00296345">
      <w:pPr>
        <w:pStyle w:val="TableofFigures"/>
        <w:tabs>
          <w:tab w:val="right" w:leader="dot" w:pos="9350"/>
        </w:tabs>
        <w:spacing w:line="360" w:lineRule="auto"/>
        <w:jc w:val="both"/>
        <w:rPr>
          <w:rFonts w:asciiTheme="minorHAnsi" w:eastAsiaTheme="minorEastAsia" w:hAnsiTheme="minorHAnsi" w:cstheme="minorBidi"/>
          <w:noProof/>
          <w:kern w:val="2"/>
          <w:sz w:val="28"/>
          <w:szCs w:val="28"/>
          <w:lang w:val="en-IN"/>
          <w14:ligatures w14:val="standardContextual"/>
        </w:rPr>
      </w:pPr>
      <w:hyperlink w:anchor="_Toc228921433" w:history="1">
        <w:r w:rsidRPr="00296345">
          <w:rPr>
            <w:rStyle w:val="Hyperlink"/>
            <w:noProof/>
            <w:sz w:val="24"/>
            <w:szCs w:val="24"/>
          </w:rPr>
          <w:t>Table 4.1: Tabular representation of 50 selected articles and findings</w:t>
        </w:r>
        <w:r w:rsidRPr="00296345">
          <w:rPr>
            <w:noProof/>
            <w:webHidden/>
            <w:sz w:val="24"/>
            <w:szCs w:val="24"/>
          </w:rPr>
          <w:tab/>
        </w:r>
        <w:r w:rsidRPr="00296345">
          <w:rPr>
            <w:noProof/>
            <w:webHidden/>
            <w:sz w:val="24"/>
            <w:szCs w:val="24"/>
          </w:rPr>
          <w:fldChar w:fldCharType="begin"/>
        </w:r>
        <w:r w:rsidRPr="00296345">
          <w:rPr>
            <w:noProof/>
            <w:webHidden/>
            <w:sz w:val="24"/>
            <w:szCs w:val="24"/>
          </w:rPr>
          <w:instrText xml:space="preserve"> PAGEREF _Toc228921433 \h </w:instrText>
        </w:r>
        <w:r w:rsidRPr="00296345">
          <w:rPr>
            <w:noProof/>
            <w:webHidden/>
            <w:sz w:val="24"/>
            <w:szCs w:val="24"/>
          </w:rPr>
        </w:r>
        <w:r w:rsidRPr="00296345">
          <w:rPr>
            <w:noProof/>
            <w:webHidden/>
            <w:sz w:val="24"/>
            <w:szCs w:val="24"/>
          </w:rPr>
          <w:fldChar w:fldCharType="separate"/>
        </w:r>
        <w:r w:rsidRPr="00296345">
          <w:rPr>
            <w:noProof/>
            <w:webHidden/>
            <w:sz w:val="24"/>
            <w:szCs w:val="24"/>
          </w:rPr>
          <w:t>55</w:t>
        </w:r>
        <w:r w:rsidRPr="00296345">
          <w:rPr>
            <w:noProof/>
            <w:webHidden/>
            <w:sz w:val="24"/>
            <w:szCs w:val="24"/>
          </w:rPr>
          <w:fldChar w:fldCharType="end"/>
        </w:r>
      </w:hyperlink>
    </w:p>
    <w:p w14:paraId="2447E371" w14:textId="55E9B5D4" w:rsidR="00296345" w:rsidRPr="00296345" w:rsidRDefault="00296345" w:rsidP="00296345">
      <w:pPr>
        <w:pStyle w:val="TableofFigures"/>
        <w:tabs>
          <w:tab w:val="right" w:leader="dot" w:pos="9350"/>
        </w:tabs>
        <w:spacing w:line="360" w:lineRule="auto"/>
        <w:jc w:val="both"/>
        <w:rPr>
          <w:rFonts w:asciiTheme="minorHAnsi" w:eastAsiaTheme="minorEastAsia" w:hAnsiTheme="minorHAnsi" w:cstheme="minorBidi"/>
          <w:noProof/>
          <w:kern w:val="2"/>
          <w:sz w:val="28"/>
          <w:szCs w:val="28"/>
          <w:lang w:val="en-IN"/>
          <w14:ligatures w14:val="standardContextual"/>
        </w:rPr>
      </w:pPr>
      <w:hyperlink w:anchor="_Toc228921434" w:history="1">
        <w:r w:rsidRPr="00296345">
          <w:rPr>
            <w:rStyle w:val="Hyperlink"/>
            <w:noProof/>
            <w:sz w:val="24"/>
            <w:szCs w:val="24"/>
          </w:rPr>
          <w:t>Table 4.2: Thematic representation/ Data Structure</w:t>
        </w:r>
        <w:r w:rsidRPr="00296345">
          <w:rPr>
            <w:noProof/>
            <w:webHidden/>
            <w:sz w:val="24"/>
            <w:szCs w:val="24"/>
          </w:rPr>
          <w:tab/>
        </w:r>
        <w:r w:rsidRPr="00296345">
          <w:rPr>
            <w:noProof/>
            <w:webHidden/>
            <w:sz w:val="24"/>
            <w:szCs w:val="24"/>
          </w:rPr>
          <w:fldChar w:fldCharType="begin"/>
        </w:r>
        <w:r w:rsidRPr="00296345">
          <w:rPr>
            <w:noProof/>
            <w:webHidden/>
            <w:sz w:val="24"/>
            <w:szCs w:val="24"/>
          </w:rPr>
          <w:instrText xml:space="preserve"> PAGEREF _Toc228921434 \h </w:instrText>
        </w:r>
        <w:r w:rsidRPr="00296345">
          <w:rPr>
            <w:noProof/>
            <w:webHidden/>
            <w:sz w:val="24"/>
            <w:szCs w:val="24"/>
          </w:rPr>
        </w:r>
        <w:r w:rsidRPr="00296345">
          <w:rPr>
            <w:noProof/>
            <w:webHidden/>
            <w:sz w:val="24"/>
            <w:szCs w:val="24"/>
          </w:rPr>
          <w:fldChar w:fldCharType="separate"/>
        </w:r>
        <w:r w:rsidRPr="00296345">
          <w:rPr>
            <w:noProof/>
            <w:webHidden/>
            <w:sz w:val="24"/>
            <w:szCs w:val="24"/>
          </w:rPr>
          <w:t>57</w:t>
        </w:r>
        <w:r w:rsidRPr="00296345">
          <w:rPr>
            <w:noProof/>
            <w:webHidden/>
            <w:sz w:val="24"/>
            <w:szCs w:val="24"/>
          </w:rPr>
          <w:fldChar w:fldCharType="end"/>
        </w:r>
      </w:hyperlink>
    </w:p>
    <w:p w14:paraId="7C672096" w14:textId="74ED1AA6" w:rsidR="00D07ABA" w:rsidRPr="00710DFA" w:rsidRDefault="00D07ABA" w:rsidP="0011460F">
      <w:pPr>
        <w:spacing w:line="360" w:lineRule="auto"/>
        <w:jc w:val="both"/>
        <w:rPr>
          <w:color w:val="000000" w:themeColor="text1"/>
          <w:sz w:val="24"/>
          <w:szCs w:val="24"/>
          <w:lang w:val="en-GB"/>
        </w:rPr>
      </w:pPr>
      <w:r w:rsidRPr="00710DFA">
        <w:rPr>
          <w:color w:val="000000" w:themeColor="text1"/>
          <w:sz w:val="24"/>
          <w:szCs w:val="24"/>
          <w:lang w:val="en-GB"/>
        </w:rPr>
        <w:fldChar w:fldCharType="end"/>
      </w:r>
    </w:p>
    <w:p w14:paraId="5ABF4B83" w14:textId="77777777" w:rsidR="00D07ABA" w:rsidRPr="00710DFA" w:rsidRDefault="00D07ABA" w:rsidP="006D47B9">
      <w:pPr>
        <w:spacing w:line="360" w:lineRule="auto"/>
        <w:jc w:val="both"/>
        <w:rPr>
          <w:color w:val="000000" w:themeColor="text1"/>
          <w:sz w:val="24"/>
          <w:szCs w:val="24"/>
          <w:lang w:val="en-GB"/>
        </w:rPr>
      </w:pPr>
    </w:p>
    <w:p w14:paraId="385258E9" w14:textId="77777777" w:rsidR="00D07ABA" w:rsidRPr="00710DFA" w:rsidRDefault="00D07ABA" w:rsidP="006D47B9">
      <w:pPr>
        <w:spacing w:line="360" w:lineRule="auto"/>
        <w:jc w:val="both"/>
        <w:rPr>
          <w:color w:val="000000" w:themeColor="text1"/>
          <w:sz w:val="24"/>
          <w:szCs w:val="24"/>
          <w:lang w:val="en-GB"/>
        </w:rPr>
      </w:pPr>
    </w:p>
    <w:p w14:paraId="3AC6DA09" w14:textId="585E6AE3" w:rsidR="00D07ABA" w:rsidRPr="00710DFA" w:rsidRDefault="00D07ABA" w:rsidP="00D07513">
      <w:pPr>
        <w:spacing w:line="360" w:lineRule="auto"/>
        <w:jc w:val="both"/>
        <w:rPr>
          <w:b/>
          <w:bCs/>
          <w:color w:val="000000" w:themeColor="text1"/>
          <w:sz w:val="24"/>
          <w:szCs w:val="24"/>
          <w:lang w:val="en-GB"/>
        </w:rPr>
      </w:pPr>
      <w:r w:rsidRPr="00710DFA">
        <w:rPr>
          <w:b/>
          <w:bCs/>
          <w:color w:val="000000" w:themeColor="text1"/>
          <w:sz w:val="24"/>
          <w:szCs w:val="24"/>
          <w:lang w:val="en-GB"/>
        </w:rPr>
        <w:t xml:space="preserve">List of Figures </w:t>
      </w:r>
    </w:p>
    <w:p w14:paraId="57730A16" w14:textId="0E757720" w:rsidR="0011460F" w:rsidRPr="00710DFA" w:rsidRDefault="00D07513" w:rsidP="0011460F">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r w:rsidRPr="00710DFA">
        <w:rPr>
          <w:color w:val="000000" w:themeColor="text1"/>
          <w:sz w:val="24"/>
          <w:szCs w:val="24"/>
          <w:lang w:val="en-GB"/>
        </w:rPr>
        <w:fldChar w:fldCharType="begin"/>
      </w:r>
      <w:r w:rsidRPr="00710DFA">
        <w:rPr>
          <w:color w:val="000000" w:themeColor="text1"/>
          <w:sz w:val="24"/>
          <w:szCs w:val="24"/>
          <w:lang w:val="en-GB"/>
        </w:rPr>
        <w:instrText xml:space="preserve"> TOC \h \z \t "Heading 6" \c </w:instrText>
      </w:r>
      <w:r w:rsidRPr="00710DFA">
        <w:rPr>
          <w:color w:val="000000" w:themeColor="text1"/>
          <w:sz w:val="24"/>
          <w:szCs w:val="24"/>
          <w:lang w:val="en-GB"/>
        </w:rPr>
        <w:fldChar w:fldCharType="separate"/>
      </w:r>
      <w:hyperlink w:anchor="_Toc228792870" w:history="1">
        <w:r w:rsidR="0011460F" w:rsidRPr="00710DFA">
          <w:rPr>
            <w:rStyle w:val="Hyperlink"/>
            <w:noProof/>
            <w:sz w:val="24"/>
            <w:szCs w:val="24"/>
            <w:lang w:val="en-GB"/>
          </w:rPr>
          <w:t>Figure 1.1: Hike in the value of the commercial goods and services via exports</w:t>
        </w:r>
        <w:r w:rsidR="0011460F" w:rsidRPr="00710DFA">
          <w:rPr>
            <w:noProof/>
            <w:webHidden/>
            <w:sz w:val="24"/>
            <w:szCs w:val="24"/>
            <w:lang w:val="en-GB"/>
          </w:rPr>
          <w:tab/>
        </w:r>
        <w:r w:rsidR="0011460F" w:rsidRPr="00710DFA">
          <w:rPr>
            <w:noProof/>
            <w:webHidden/>
            <w:sz w:val="24"/>
            <w:szCs w:val="24"/>
            <w:lang w:val="en-GB"/>
          </w:rPr>
          <w:fldChar w:fldCharType="begin"/>
        </w:r>
        <w:r w:rsidR="0011460F" w:rsidRPr="00710DFA">
          <w:rPr>
            <w:noProof/>
            <w:webHidden/>
            <w:sz w:val="24"/>
            <w:szCs w:val="24"/>
            <w:lang w:val="en-GB"/>
          </w:rPr>
          <w:instrText xml:space="preserve"> PAGEREF _Toc228792870 \h </w:instrText>
        </w:r>
        <w:r w:rsidR="0011460F" w:rsidRPr="00710DFA">
          <w:rPr>
            <w:noProof/>
            <w:webHidden/>
            <w:sz w:val="24"/>
            <w:szCs w:val="24"/>
            <w:lang w:val="en-GB"/>
          </w:rPr>
        </w:r>
        <w:r w:rsidR="0011460F" w:rsidRPr="00710DFA">
          <w:rPr>
            <w:noProof/>
            <w:webHidden/>
            <w:sz w:val="24"/>
            <w:szCs w:val="24"/>
            <w:lang w:val="en-GB"/>
          </w:rPr>
          <w:fldChar w:fldCharType="separate"/>
        </w:r>
        <w:r w:rsidR="00740DB7" w:rsidRPr="00710DFA">
          <w:rPr>
            <w:noProof/>
            <w:webHidden/>
            <w:sz w:val="24"/>
            <w:szCs w:val="24"/>
            <w:lang w:val="en-GB"/>
          </w:rPr>
          <w:t>9</w:t>
        </w:r>
        <w:r w:rsidR="0011460F" w:rsidRPr="00710DFA">
          <w:rPr>
            <w:noProof/>
            <w:webHidden/>
            <w:sz w:val="24"/>
            <w:szCs w:val="24"/>
            <w:lang w:val="en-GB"/>
          </w:rPr>
          <w:fldChar w:fldCharType="end"/>
        </w:r>
      </w:hyperlink>
    </w:p>
    <w:p w14:paraId="7356D444" w14:textId="654FC9A2" w:rsidR="0011460F" w:rsidRPr="00710DFA" w:rsidRDefault="0011460F" w:rsidP="0011460F">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8792871" w:history="1">
        <w:r w:rsidRPr="00710DFA">
          <w:rPr>
            <w:rStyle w:val="Hyperlink"/>
            <w:noProof/>
            <w:sz w:val="24"/>
            <w:szCs w:val="24"/>
            <w:lang w:val="en-GB"/>
          </w:rPr>
          <w:t>Figure 1.2: Structure of the entire dissertation</w:t>
        </w:r>
        <w:r w:rsidRPr="00710DFA">
          <w:rPr>
            <w:noProof/>
            <w:webHidden/>
            <w:sz w:val="24"/>
            <w:szCs w:val="24"/>
            <w:lang w:val="en-GB"/>
          </w:rPr>
          <w:tab/>
        </w:r>
        <w:r w:rsidRPr="00710DFA">
          <w:rPr>
            <w:noProof/>
            <w:webHidden/>
            <w:sz w:val="24"/>
            <w:szCs w:val="24"/>
            <w:lang w:val="en-GB"/>
          </w:rPr>
          <w:fldChar w:fldCharType="begin"/>
        </w:r>
        <w:r w:rsidRPr="00710DFA">
          <w:rPr>
            <w:noProof/>
            <w:webHidden/>
            <w:sz w:val="24"/>
            <w:szCs w:val="24"/>
            <w:lang w:val="en-GB"/>
          </w:rPr>
          <w:instrText xml:space="preserve"> PAGEREF _Toc228792871 \h </w:instrText>
        </w:r>
        <w:r w:rsidRPr="00710DFA">
          <w:rPr>
            <w:noProof/>
            <w:webHidden/>
            <w:sz w:val="24"/>
            <w:szCs w:val="24"/>
            <w:lang w:val="en-GB"/>
          </w:rPr>
        </w:r>
        <w:r w:rsidRPr="00710DFA">
          <w:rPr>
            <w:noProof/>
            <w:webHidden/>
            <w:sz w:val="24"/>
            <w:szCs w:val="24"/>
            <w:lang w:val="en-GB"/>
          </w:rPr>
          <w:fldChar w:fldCharType="separate"/>
        </w:r>
        <w:r w:rsidR="00740DB7" w:rsidRPr="00710DFA">
          <w:rPr>
            <w:noProof/>
            <w:webHidden/>
            <w:sz w:val="24"/>
            <w:szCs w:val="24"/>
            <w:lang w:val="en-GB"/>
          </w:rPr>
          <w:t>13</w:t>
        </w:r>
        <w:r w:rsidRPr="00710DFA">
          <w:rPr>
            <w:noProof/>
            <w:webHidden/>
            <w:sz w:val="24"/>
            <w:szCs w:val="24"/>
            <w:lang w:val="en-GB"/>
          </w:rPr>
          <w:fldChar w:fldCharType="end"/>
        </w:r>
      </w:hyperlink>
    </w:p>
    <w:p w14:paraId="651A3295" w14:textId="66D4ED4B" w:rsidR="0011460F" w:rsidRPr="00710DFA" w:rsidRDefault="0011460F" w:rsidP="0011460F">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8792872" w:history="1">
        <w:r w:rsidRPr="00710DFA">
          <w:rPr>
            <w:rStyle w:val="Hyperlink"/>
            <w:noProof/>
            <w:sz w:val="24"/>
            <w:szCs w:val="24"/>
            <w:lang w:val="en-GB"/>
          </w:rPr>
          <w:t>Figure 2.1: JIT strategy for implementation</w:t>
        </w:r>
        <w:r w:rsidRPr="00710DFA">
          <w:rPr>
            <w:noProof/>
            <w:webHidden/>
            <w:sz w:val="24"/>
            <w:szCs w:val="24"/>
            <w:lang w:val="en-GB"/>
          </w:rPr>
          <w:tab/>
        </w:r>
        <w:r w:rsidRPr="00710DFA">
          <w:rPr>
            <w:noProof/>
            <w:webHidden/>
            <w:sz w:val="24"/>
            <w:szCs w:val="24"/>
            <w:lang w:val="en-GB"/>
          </w:rPr>
          <w:fldChar w:fldCharType="begin"/>
        </w:r>
        <w:r w:rsidRPr="00710DFA">
          <w:rPr>
            <w:noProof/>
            <w:webHidden/>
            <w:sz w:val="24"/>
            <w:szCs w:val="24"/>
            <w:lang w:val="en-GB"/>
          </w:rPr>
          <w:instrText xml:space="preserve"> PAGEREF _Toc228792872 \h </w:instrText>
        </w:r>
        <w:r w:rsidRPr="00710DFA">
          <w:rPr>
            <w:noProof/>
            <w:webHidden/>
            <w:sz w:val="24"/>
            <w:szCs w:val="24"/>
            <w:lang w:val="en-GB"/>
          </w:rPr>
        </w:r>
        <w:r w:rsidRPr="00710DFA">
          <w:rPr>
            <w:noProof/>
            <w:webHidden/>
            <w:sz w:val="24"/>
            <w:szCs w:val="24"/>
            <w:lang w:val="en-GB"/>
          </w:rPr>
          <w:fldChar w:fldCharType="separate"/>
        </w:r>
        <w:r w:rsidR="00740DB7" w:rsidRPr="00710DFA">
          <w:rPr>
            <w:noProof/>
            <w:webHidden/>
            <w:sz w:val="24"/>
            <w:szCs w:val="24"/>
            <w:lang w:val="en-GB"/>
          </w:rPr>
          <w:t>15</w:t>
        </w:r>
        <w:r w:rsidRPr="00710DFA">
          <w:rPr>
            <w:noProof/>
            <w:webHidden/>
            <w:sz w:val="24"/>
            <w:szCs w:val="24"/>
            <w:lang w:val="en-GB"/>
          </w:rPr>
          <w:fldChar w:fldCharType="end"/>
        </w:r>
      </w:hyperlink>
    </w:p>
    <w:p w14:paraId="39135DF7" w14:textId="4F214B73" w:rsidR="0011460F" w:rsidRPr="00710DFA" w:rsidRDefault="0011460F" w:rsidP="0011460F">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8792873" w:history="1">
        <w:r w:rsidRPr="00710DFA">
          <w:rPr>
            <w:rStyle w:val="Hyperlink"/>
            <w:noProof/>
            <w:sz w:val="24"/>
            <w:szCs w:val="24"/>
            <w:lang w:val="en-GB"/>
          </w:rPr>
          <w:t>Figure 2.2: DCT theoretical flowchart</w:t>
        </w:r>
        <w:r w:rsidRPr="00710DFA">
          <w:rPr>
            <w:noProof/>
            <w:webHidden/>
            <w:sz w:val="24"/>
            <w:szCs w:val="24"/>
            <w:lang w:val="en-GB"/>
          </w:rPr>
          <w:tab/>
        </w:r>
        <w:r w:rsidRPr="00710DFA">
          <w:rPr>
            <w:noProof/>
            <w:webHidden/>
            <w:sz w:val="24"/>
            <w:szCs w:val="24"/>
            <w:lang w:val="en-GB"/>
          </w:rPr>
          <w:fldChar w:fldCharType="begin"/>
        </w:r>
        <w:r w:rsidRPr="00710DFA">
          <w:rPr>
            <w:noProof/>
            <w:webHidden/>
            <w:sz w:val="24"/>
            <w:szCs w:val="24"/>
            <w:lang w:val="en-GB"/>
          </w:rPr>
          <w:instrText xml:space="preserve"> PAGEREF _Toc228792873 \h </w:instrText>
        </w:r>
        <w:r w:rsidRPr="00710DFA">
          <w:rPr>
            <w:noProof/>
            <w:webHidden/>
            <w:sz w:val="24"/>
            <w:szCs w:val="24"/>
            <w:lang w:val="en-GB"/>
          </w:rPr>
        </w:r>
        <w:r w:rsidRPr="00710DFA">
          <w:rPr>
            <w:noProof/>
            <w:webHidden/>
            <w:sz w:val="24"/>
            <w:szCs w:val="24"/>
            <w:lang w:val="en-GB"/>
          </w:rPr>
          <w:fldChar w:fldCharType="separate"/>
        </w:r>
        <w:r w:rsidR="00740DB7" w:rsidRPr="00710DFA">
          <w:rPr>
            <w:noProof/>
            <w:webHidden/>
            <w:sz w:val="24"/>
            <w:szCs w:val="24"/>
            <w:lang w:val="en-GB"/>
          </w:rPr>
          <w:t>25</w:t>
        </w:r>
        <w:r w:rsidRPr="00710DFA">
          <w:rPr>
            <w:noProof/>
            <w:webHidden/>
            <w:sz w:val="24"/>
            <w:szCs w:val="24"/>
            <w:lang w:val="en-GB"/>
          </w:rPr>
          <w:fldChar w:fldCharType="end"/>
        </w:r>
      </w:hyperlink>
    </w:p>
    <w:p w14:paraId="37088C6C" w14:textId="16A1C3D9" w:rsidR="0011460F" w:rsidRPr="00710DFA" w:rsidRDefault="0011460F" w:rsidP="0011460F">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8792874" w:history="1">
        <w:r w:rsidRPr="00710DFA">
          <w:rPr>
            <w:rStyle w:val="Hyperlink"/>
            <w:noProof/>
            <w:sz w:val="24"/>
            <w:szCs w:val="24"/>
            <w:lang w:val="en-GB"/>
          </w:rPr>
          <w:t xml:space="preserve">Figure 2.3: </w:t>
        </w:r>
        <w:r w:rsidR="00252414" w:rsidRPr="00710DFA">
          <w:rPr>
            <w:rStyle w:val="Hyperlink"/>
            <w:noProof/>
            <w:sz w:val="24"/>
            <w:szCs w:val="24"/>
            <w:lang w:val="en-GB"/>
          </w:rPr>
          <w:t>P</w:t>
        </w:r>
        <w:r w:rsidRPr="00710DFA">
          <w:rPr>
            <w:rStyle w:val="Hyperlink"/>
            <w:noProof/>
            <w:sz w:val="24"/>
            <w:szCs w:val="24"/>
            <w:lang w:val="en-GB"/>
          </w:rPr>
          <w:t>roposed conceptual framework</w:t>
        </w:r>
        <w:r w:rsidRPr="00710DFA">
          <w:rPr>
            <w:noProof/>
            <w:webHidden/>
            <w:sz w:val="24"/>
            <w:szCs w:val="24"/>
            <w:lang w:val="en-GB"/>
          </w:rPr>
          <w:tab/>
        </w:r>
        <w:r w:rsidRPr="00710DFA">
          <w:rPr>
            <w:noProof/>
            <w:webHidden/>
            <w:sz w:val="24"/>
            <w:szCs w:val="24"/>
            <w:lang w:val="en-GB"/>
          </w:rPr>
          <w:fldChar w:fldCharType="begin"/>
        </w:r>
        <w:r w:rsidRPr="00710DFA">
          <w:rPr>
            <w:noProof/>
            <w:webHidden/>
            <w:sz w:val="24"/>
            <w:szCs w:val="24"/>
            <w:lang w:val="en-GB"/>
          </w:rPr>
          <w:instrText xml:space="preserve"> PAGEREF _Toc228792874 \h </w:instrText>
        </w:r>
        <w:r w:rsidRPr="00710DFA">
          <w:rPr>
            <w:noProof/>
            <w:webHidden/>
            <w:sz w:val="24"/>
            <w:szCs w:val="24"/>
            <w:lang w:val="en-GB"/>
          </w:rPr>
        </w:r>
        <w:r w:rsidRPr="00710DFA">
          <w:rPr>
            <w:noProof/>
            <w:webHidden/>
            <w:sz w:val="24"/>
            <w:szCs w:val="24"/>
            <w:lang w:val="en-GB"/>
          </w:rPr>
          <w:fldChar w:fldCharType="separate"/>
        </w:r>
        <w:r w:rsidR="00740DB7" w:rsidRPr="00710DFA">
          <w:rPr>
            <w:noProof/>
            <w:webHidden/>
            <w:sz w:val="24"/>
            <w:szCs w:val="24"/>
            <w:lang w:val="en-GB"/>
          </w:rPr>
          <w:t>26</w:t>
        </w:r>
        <w:r w:rsidRPr="00710DFA">
          <w:rPr>
            <w:noProof/>
            <w:webHidden/>
            <w:sz w:val="24"/>
            <w:szCs w:val="24"/>
            <w:lang w:val="en-GB"/>
          </w:rPr>
          <w:fldChar w:fldCharType="end"/>
        </w:r>
      </w:hyperlink>
    </w:p>
    <w:p w14:paraId="5DFFCDD8" w14:textId="63727178" w:rsidR="0011460F" w:rsidRPr="00710DFA" w:rsidRDefault="0011460F" w:rsidP="0011460F">
      <w:pPr>
        <w:pStyle w:val="TableofFigures"/>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228792875" w:history="1">
        <w:r w:rsidRPr="00710DFA">
          <w:rPr>
            <w:rStyle w:val="Hyperlink"/>
            <w:noProof/>
            <w:sz w:val="24"/>
            <w:szCs w:val="24"/>
            <w:lang w:val="en-GB"/>
          </w:rPr>
          <w:t>Figure 3.1: Research Onion</w:t>
        </w:r>
        <w:r w:rsidRPr="00710DFA">
          <w:rPr>
            <w:noProof/>
            <w:webHidden/>
            <w:sz w:val="24"/>
            <w:szCs w:val="24"/>
            <w:lang w:val="en-GB"/>
          </w:rPr>
          <w:tab/>
        </w:r>
        <w:r w:rsidRPr="00710DFA">
          <w:rPr>
            <w:noProof/>
            <w:webHidden/>
            <w:sz w:val="24"/>
            <w:szCs w:val="24"/>
            <w:lang w:val="en-GB"/>
          </w:rPr>
          <w:fldChar w:fldCharType="begin"/>
        </w:r>
        <w:r w:rsidRPr="00710DFA">
          <w:rPr>
            <w:noProof/>
            <w:webHidden/>
            <w:sz w:val="24"/>
            <w:szCs w:val="24"/>
            <w:lang w:val="en-GB"/>
          </w:rPr>
          <w:instrText xml:space="preserve"> PAGEREF _Toc228792875 \h </w:instrText>
        </w:r>
        <w:r w:rsidRPr="00710DFA">
          <w:rPr>
            <w:noProof/>
            <w:webHidden/>
            <w:sz w:val="24"/>
            <w:szCs w:val="24"/>
            <w:lang w:val="en-GB"/>
          </w:rPr>
        </w:r>
        <w:r w:rsidRPr="00710DFA">
          <w:rPr>
            <w:noProof/>
            <w:webHidden/>
            <w:sz w:val="24"/>
            <w:szCs w:val="24"/>
            <w:lang w:val="en-GB"/>
          </w:rPr>
          <w:fldChar w:fldCharType="separate"/>
        </w:r>
        <w:r w:rsidR="00740DB7" w:rsidRPr="00710DFA">
          <w:rPr>
            <w:noProof/>
            <w:webHidden/>
            <w:sz w:val="24"/>
            <w:szCs w:val="24"/>
            <w:lang w:val="en-GB"/>
          </w:rPr>
          <w:t>29</w:t>
        </w:r>
        <w:r w:rsidRPr="00710DFA">
          <w:rPr>
            <w:noProof/>
            <w:webHidden/>
            <w:sz w:val="24"/>
            <w:szCs w:val="24"/>
            <w:lang w:val="en-GB"/>
          </w:rPr>
          <w:fldChar w:fldCharType="end"/>
        </w:r>
      </w:hyperlink>
    </w:p>
    <w:p w14:paraId="4973F197" w14:textId="3988C3AA" w:rsidR="00D07513" w:rsidRPr="00710DFA" w:rsidRDefault="00D07513" w:rsidP="0011460F">
      <w:pPr>
        <w:spacing w:line="360" w:lineRule="auto"/>
        <w:jc w:val="both"/>
        <w:rPr>
          <w:color w:val="000000" w:themeColor="text1"/>
          <w:sz w:val="24"/>
          <w:szCs w:val="24"/>
          <w:lang w:val="en-GB"/>
        </w:rPr>
      </w:pPr>
      <w:r w:rsidRPr="00710DFA">
        <w:rPr>
          <w:color w:val="000000" w:themeColor="text1"/>
          <w:sz w:val="24"/>
          <w:szCs w:val="24"/>
          <w:lang w:val="en-GB"/>
        </w:rPr>
        <w:fldChar w:fldCharType="end"/>
      </w:r>
    </w:p>
    <w:p w14:paraId="7670D525" w14:textId="77777777" w:rsidR="001817CB" w:rsidRPr="00710DFA" w:rsidRDefault="001817CB">
      <w:pPr>
        <w:spacing w:line="360" w:lineRule="auto"/>
        <w:jc w:val="both"/>
        <w:rPr>
          <w:color w:val="000000" w:themeColor="text1"/>
          <w:sz w:val="24"/>
          <w:szCs w:val="24"/>
          <w:lang w:val="en-GB"/>
        </w:rPr>
      </w:pPr>
    </w:p>
    <w:p w14:paraId="1270191A" w14:textId="77777777" w:rsidR="00D07513" w:rsidRPr="00710DFA" w:rsidRDefault="00D07513">
      <w:pPr>
        <w:rPr>
          <w:b/>
          <w:bCs/>
          <w:color w:val="000000" w:themeColor="text1"/>
          <w:sz w:val="24"/>
          <w:szCs w:val="24"/>
          <w:lang w:val="en-GB"/>
        </w:rPr>
      </w:pPr>
      <w:r w:rsidRPr="00710DFA">
        <w:rPr>
          <w:color w:val="000000" w:themeColor="text1"/>
          <w:lang w:val="en-GB"/>
        </w:rPr>
        <w:br w:type="page"/>
      </w:r>
    </w:p>
    <w:p w14:paraId="3F96A774" w14:textId="26D347A4" w:rsidR="000A2C46" w:rsidRPr="00710DFA" w:rsidRDefault="000A2C46" w:rsidP="003566CF">
      <w:pPr>
        <w:pStyle w:val="Heading1"/>
      </w:pPr>
      <w:bookmarkStart w:id="0" w:name="_Toc228921248"/>
      <w:r w:rsidRPr="00710DFA">
        <w:lastRenderedPageBreak/>
        <w:t>Chapter 1: Introduction</w:t>
      </w:r>
      <w:bookmarkEnd w:id="0"/>
      <w:r w:rsidRPr="00710DFA">
        <w:t xml:space="preserve"> </w:t>
      </w:r>
    </w:p>
    <w:p w14:paraId="2DCFC6DC" w14:textId="3AD60550" w:rsidR="00DE2DFE" w:rsidRPr="00710DFA" w:rsidRDefault="00DE2DFE" w:rsidP="003566CF">
      <w:pPr>
        <w:pStyle w:val="Heading2"/>
        <w:rPr>
          <w:szCs w:val="24"/>
          <w:lang w:val="en-GB"/>
        </w:rPr>
      </w:pPr>
      <w:bookmarkStart w:id="1" w:name="_Toc228921249"/>
      <w:r w:rsidRPr="00710DFA">
        <w:rPr>
          <w:szCs w:val="24"/>
          <w:lang w:val="en-GB"/>
        </w:rPr>
        <w:t>1.1 Background to the Study</w:t>
      </w:r>
      <w:bookmarkEnd w:id="1"/>
    </w:p>
    <w:p w14:paraId="170CAE01"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The COVID-19 pandemic led to one of the largest impacts on global supply chains that modern days have ever witnessed. As the virus was rapidly spreading to all parts of the world in early 2020, it not only caused a health crisis, but also disrupted the systems through which countries and companies transport goods, materials, and products between one location and another. Factories were closed, ports were clogged, transport systems were shaken, and the demand of some products decreased over the night, and demand of others rose exponentially, including personal protective equipment and medical supplies. The consequence was that the world supply chains that had been developed over decades to operate as efficiently and cheaply as it could did not simply stand up.</w:t>
      </w:r>
    </w:p>
    <w:p w14:paraId="5C7C2C29"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The level of economic destruction was colossal. The World Trade Organisation also cautioned about the world recording double-digit declines in trade with North America and Asia being the worst hit regions (WTO, 2020). Indeed, according to Kiyota (2021), overall global economic growth declines in 2020 alone as the number of cases of COVID-19 decreased by about 6.0% and world trade volumes decreased by an average of 9.2% in 2020. These are not modest figures - a 9.2% decline in global trade within a year is remarkable and it indicates how penetrating the chains of supply, which the global economy is relying on, the pandemic was. In context, the world financial crisis of 2008-2009 had led to a world trade drop of 12% and that was taken to be one of the generation's economic shocks. COVID-19 was on the verge of inflicting the same amount of damage, but it did so at the cost of creating a parallel health crisis and consumer demand collapse in most industries.</w:t>
      </w:r>
    </w:p>
    <w:p w14:paraId="22B70BE5" w14:textId="77777777" w:rsidR="00DE2DFE" w:rsidRPr="00710DFA" w:rsidRDefault="00DE2DFE" w:rsidP="00DE2DFE">
      <w:pPr>
        <w:spacing w:line="360" w:lineRule="auto"/>
        <w:jc w:val="center"/>
        <w:rPr>
          <w:color w:val="000000" w:themeColor="text1"/>
          <w:sz w:val="24"/>
          <w:szCs w:val="24"/>
          <w:lang w:val="en-GB"/>
        </w:rPr>
      </w:pPr>
      <w:r w:rsidRPr="00710DFA">
        <w:rPr>
          <w:noProof/>
          <w:color w:val="000000" w:themeColor="text1"/>
          <w:sz w:val="24"/>
          <w:szCs w:val="24"/>
          <w:lang w:val="en-GB"/>
        </w:rPr>
        <w:lastRenderedPageBreak/>
        <w:drawing>
          <wp:inline distT="114300" distB="114300" distL="114300" distR="114300" wp14:anchorId="533D60D0" wp14:editId="74B7F44F">
            <wp:extent cx="5943600" cy="35687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568700"/>
                    </a:xfrm>
                    <a:prstGeom prst="rect">
                      <a:avLst/>
                    </a:prstGeom>
                    <a:ln w="12700">
                      <a:solidFill>
                        <a:srgbClr val="000000"/>
                      </a:solidFill>
                      <a:prstDash val="solid"/>
                    </a:ln>
                  </pic:spPr>
                </pic:pic>
              </a:graphicData>
            </a:graphic>
          </wp:inline>
        </w:drawing>
      </w:r>
    </w:p>
    <w:p w14:paraId="6350125A" w14:textId="77777777" w:rsidR="00DE2DFE" w:rsidRPr="00710DFA" w:rsidRDefault="00DE2DFE" w:rsidP="0068153D">
      <w:pPr>
        <w:pStyle w:val="Heading6"/>
        <w:rPr>
          <w:b w:val="0"/>
          <w:lang w:val="en-GB"/>
        </w:rPr>
      </w:pPr>
      <w:bookmarkStart w:id="2" w:name="_Toc228792870"/>
      <w:r w:rsidRPr="00710DFA">
        <w:rPr>
          <w:lang w:val="en-GB"/>
        </w:rPr>
        <w:t>Figure 1.1: Hike in the value of the commercial goods and services via exports</w:t>
      </w:r>
      <w:bookmarkEnd w:id="2"/>
    </w:p>
    <w:p w14:paraId="11DCEF73" w14:textId="77777777" w:rsidR="00DE2DFE" w:rsidRPr="00710DFA" w:rsidRDefault="00DE2DFE" w:rsidP="00DE2DFE">
      <w:pPr>
        <w:spacing w:line="360" w:lineRule="auto"/>
        <w:jc w:val="center"/>
        <w:rPr>
          <w:color w:val="000000" w:themeColor="text1"/>
          <w:sz w:val="24"/>
          <w:szCs w:val="24"/>
          <w:lang w:val="en-GB"/>
        </w:rPr>
      </w:pPr>
      <w:r w:rsidRPr="00710DFA">
        <w:rPr>
          <w:color w:val="000000" w:themeColor="text1"/>
          <w:sz w:val="24"/>
          <w:szCs w:val="24"/>
          <w:lang w:val="en-GB"/>
        </w:rPr>
        <w:t>(Source: WTO, 2020)</w:t>
      </w:r>
    </w:p>
    <w:p w14:paraId="63DABFB4"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The most harmful aspect of COVID-19 to supply chains was that it struck the entire supply chain simultaneously as opposed to other past crises like SARS in 2003 or the H1N1 flu in 2009 (Xu</w:t>
      </w:r>
      <w:r w:rsidRPr="00710DFA">
        <w:rPr>
          <w:i/>
          <w:iCs/>
          <w:color w:val="000000" w:themeColor="text1"/>
          <w:sz w:val="24"/>
          <w:szCs w:val="24"/>
          <w:lang w:val="en-GB"/>
        </w:rPr>
        <w:t xml:space="preserve"> et al</w:t>
      </w:r>
      <w:r w:rsidRPr="00710DFA">
        <w:rPr>
          <w:color w:val="000000" w:themeColor="text1"/>
          <w:sz w:val="24"/>
          <w:szCs w:val="24"/>
          <w:lang w:val="en-GB"/>
        </w:rPr>
        <w:t>. 2020). The previous outbreaks were mostly localized to certain areas or were not very economically severe. COVID-19, in its turn, has upset supply and demand in unison, in all major economies at the same time. This implied that the companies were not in a position to just move the production to another country or seek other suppliers, since such suppliers were also impacted. The pandemic, in its turn, revealed a pronounced vulnerability of the global supply chains as they were planned to be efficient and not to work during such a significant shock.</w:t>
      </w:r>
    </w:p>
    <w:p w14:paraId="59F94DAE" w14:textId="77777777" w:rsidR="00DE2DFE" w:rsidRPr="00710DFA" w:rsidRDefault="00DE2DFE" w:rsidP="003566CF">
      <w:pPr>
        <w:pStyle w:val="Heading2"/>
        <w:rPr>
          <w:szCs w:val="24"/>
          <w:lang w:val="en-GB"/>
        </w:rPr>
      </w:pPr>
      <w:bookmarkStart w:id="3" w:name="_Toc228921250"/>
      <w:r w:rsidRPr="00710DFA">
        <w:rPr>
          <w:szCs w:val="24"/>
          <w:lang w:val="en-GB"/>
        </w:rPr>
        <w:t>1.2 The Research Problem</w:t>
      </w:r>
      <w:bookmarkEnd w:id="3"/>
    </w:p>
    <w:p w14:paraId="4C25FEA0"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 xml:space="preserve">The shocks of COVID-19 elicited an urgent enquiry among businesses, governments and even in researchers: how had organisations been responding to this crisis, and had their response made the supply chains more resilient and stronger in the future? It is not a </w:t>
      </w:r>
      <w:r w:rsidRPr="00710DFA">
        <w:rPr>
          <w:color w:val="000000" w:themeColor="text1"/>
          <w:sz w:val="24"/>
          <w:szCs w:val="24"/>
          <w:lang w:val="en-GB"/>
        </w:rPr>
        <w:lastRenderedPageBreak/>
        <w:t>simple question to be answered. There are examples of companies that were able to convert within a short time frame - luxury goods brands such as LVMH, L'Oreal, and Giorgio Armani replaced their factories with production of hand sanitisers, masks, and gowns, and automotive manufacturers such as Ford and Tesla changed their assembly lines to create ventilators and hospital beds (</w:t>
      </w:r>
      <w:proofErr w:type="spellStart"/>
      <w:r w:rsidRPr="00710DFA">
        <w:rPr>
          <w:color w:val="000000" w:themeColor="text1"/>
          <w:sz w:val="24"/>
          <w:szCs w:val="24"/>
          <w:lang w:val="en-GB"/>
        </w:rPr>
        <w:t>Wulandhari</w:t>
      </w:r>
      <w:proofErr w:type="spellEnd"/>
      <w:r w:rsidRPr="00710DFA">
        <w:rPr>
          <w:i/>
          <w:iCs/>
          <w:color w:val="000000" w:themeColor="text1"/>
          <w:sz w:val="24"/>
          <w:szCs w:val="24"/>
          <w:lang w:val="en-GB"/>
        </w:rPr>
        <w:t xml:space="preserve"> et al.</w:t>
      </w:r>
      <w:r w:rsidRPr="00710DFA">
        <w:rPr>
          <w:color w:val="000000" w:themeColor="text1"/>
          <w:sz w:val="24"/>
          <w:szCs w:val="24"/>
          <w:lang w:val="en-GB"/>
        </w:rPr>
        <w:t xml:space="preserve"> 2022). These illustrations demonstrate that there are organisations that had the ability to totally redesign what they made and the manner in which they did it, even during the height of a world crisis.</w:t>
      </w:r>
    </w:p>
    <w:p w14:paraId="68A627F9"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 xml:space="preserve">Most firms, especially those that had heavily invested in lean, just-in-time supply chain systems, were unable to shock absorb due to a lack of a buffer, no additional stock, no alternative suppliers, and no flexibility. The issue currently possesses an expanding amount of research on how the pandemic has shaken supply chains. This is yet to grasp specifically how organisations responded to the crisis which allowed them to not only survive but emerge with stronger supply chains. Li </w:t>
      </w:r>
      <w:r w:rsidRPr="00710DFA">
        <w:rPr>
          <w:i/>
          <w:iCs/>
          <w:color w:val="000000" w:themeColor="text1"/>
          <w:sz w:val="24"/>
          <w:szCs w:val="24"/>
          <w:lang w:val="en-GB"/>
        </w:rPr>
        <w:t>et al</w:t>
      </w:r>
      <w:r w:rsidRPr="00710DFA">
        <w:rPr>
          <w:color w:val="000000" w:themeColor="text1"/>
          <w:sz w:val="24"/>
          <w:szCs w:val="24"/>
          <w:lang w:val="en-GB"/>
        </w:rPr>
        <w:t>. (2023) research that reviewed the supply chain management literature using machine learning and found that 11 thematic clusters of results are the most significant ones in the context of the post-COVID world, concluded that the following 3 capabilities were the most crucial in creating resilience to work in the post-COVID environment: ‘</w:t>
      </w:r>
      <w:r w:rsidRPr="00710DFA">
        <w:rPr>
          <w:i/>
          <w:iCs/>
          <w:color w:val="000000" w:themeColor="text1"/>
          <w:sz w:val="24"/>
          <w:szCs w:val="24"/>
          <w:lang w:val="en-GB"/>
        </w:rPr>
        <w:t>interconnectedness, transformability, and sharing’</w:t>
      </w:r>
      <w:r w:rsidRPr="00710DFA">
        <w:rPr>
          <w:color w:val="000000" w:themeColor="text1"/>
          <w:sz w:val="24"/>
          <w:szCs w:val="24"/>
          <w:lang w:val="en-GB"/>
        </w:rPr>
        <w:t>. However, according to the same authors, the same concept of supply chain resilience has not been thoroughly developed through research on reconfiguration dimension. That is, we are aware of the capabilities that are important, but we are not yet bowing to the whole picture of how organisations have constructed them in the crisis.</w:t>
      </w:r>
    </w:p>
    <w:p w14:paraId="49587238" w14:textId="77777777" w:rsidR="00DE2DFE" w:rsidRPr="00710DFA" w:rsidRDefault="00DE2DFE" w:rsidP="003566CF">
      <w:pPr>
        <w:pStyle w:val="Heading2"/>
        <w:rPr>
          <w:szCs w:val="24"/>
          <w:lang w:val="en-GB"/>
        </w:rPr>
      </w:pPr>
      <w:bookmarkStart w:id="4" w:name="_Toc228921251"/>
      <w:r w:rsidRPr="00710DFA">
        <w:rPr>
          <w:szCs w:val="24"/>
          <w:lang w:val="en-GB"/>
        </w:rPr>
        <w:t>1.3 Research aim and objectives</w:t>
      </w:r>
      <w:bookmarkEnd w:id="4"/>
    </w:p>
    <w:p w14:paraId="6122A45C"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This study focuses on critically reviewing the impact of Covid-19 on the global supply chain and the organisational reactions that helped to reconfigure the supply chain resilience based on secondary qualitative evidence.</w:t>
      </w:r>
    </w:p>
    <w:p w14:paraId="09084B58" w14:textId="77777777" w:rsidR="00DE2DFE" w:rsidRPr="00710DFA" w:rsidRDefault="00DE2DFE" w:rsidP="00DE2DFE">
      <w:pPr>
        <w:spacing w:line="360" w:lineRule="auto"/>
        <w:jc w:val="both"/>
        <w:rPr>
          <w:b/>
          <w:bCs/>
          <w:i/>
          <w:iCs/>
          <w:color w:val="000000" w:themeColor="text1"/>
          <w:sz w:val="24"/>
          <w:szCs w:val="24"/>
          <w:lang w:val="en-GB"/>
        </w:rPr>
      </w:pPr>
      <w:r w:rsidRPr="00710DFA">
        <w:rPr>
          <w:b/>
          <w:bCs/>
          <w:i/>
          <w:iCs/>
          <w:color w:val="000000" w:themeColor="text1"/>
          <w:sz w:val="24"/>
          <w:szCs w:val="24"/>
          <w:lang w:val="en-GB"/>
        </w:rPr>
        <w:t xml:space="preserve">Objectives </w:t>
      </w:r>
    </w:p>
    <w:p w14:paraId="1E3F345B" w14:textId="77777777" w:rsidR="00DE2DFE" w:rsidRPr="00710DFA" w:rsidRDefault="00DE2DFE" w:rsidP="003566CF">
      <w:pPr>
        <w:pStyle w:val="ListParagraph"/>
        <w:numPr>
          <w:ilvl w:val="0"/>
          <w:numId w:val="1"/>
        </w:numPr>
        <w:spacing w:line="360" w:lineRule="auto"/>
        <w:jc w:val="both"/>
        <w:rPr>
          <w:color w:val="000000" w:themeColor="text1"/>
          <w:sz w:val="24"/>
          <w:szCs w:val="24"/>
          <w:lang w:val="en-GB"/>
        </w:rPr>
      </w:pPr>
      <w:r w:rsidRPr="00710DFA">
        <w:rPr>
          <w:color w:val="000000" w:themeColor="text1"/>
          <w:sz w:val="24"/>
          <w:szCs w:val="24"/>
          <w:lang w:val="en-GB"/>
        </w:rPr>
        <w:t>To investigate the major supply chain shocks and weaknesses revealed by Covid-19 as revealed in the recent literature</w:t>
      </w:r>
    </w:p>
    <w:p w14:paraId="79C8422C" w14:textId="77777777" w:rsidR="00DE2DFE" w:rsidRPr="00710DFA" w:rsidRDefault="00DE2DFE" w:rsidP="003566CF">
      <w:pPr>
        <w:pStyle w:val="ListParagraph"/>
        <w:numPr>
          <w:ilvl w:val="0"/>
          <w:numId w:val="1"/>
        </w:numPr>
        <w:spacing w:line="360" w:lineRule="auto"/>
        <w:jc w:val="both"/>
        <w:rPr>
          <w:color w:val="000000" w:themeColor="text1"/>
          <w:sz w:val="24"/>
          <w:szCs w:val="24"/>
          <w:lang w:val="en-GB"/>
        </w:rPr>
      </w:pPr>
      <w:r w:rsidRPr="00710DFA">
        <w:rPr>
          <w:color w:val="000000" w:themeColor="text1"/>
          <w:sz w:val="24"/>
          <w:szCs w:val="24"/>
          <w:lang w:val="en-GB"/>
        </w:rPr>
        <w:t>To examine the organisational responses encompassed by the firms to address the supply chain stress in the Covid-19 pandemic</w:t>
      </w:r>
    </w:p>
    <w:p w14:paraId="129F9E41" w14:textId="77777777" w:rsidR="00DE2DFE" w:rsidRPr="00710DFA" w:rsidRDefault="00DE2DFE" w:rsidP="003566CF">
      <w:pPr>
        <w:pStyle w:val="ListParagraph"/>
        <w:numPr>
          <w:ilvl w:val="0"/>
          <w:numId w:val="1"/>
        </w:numPr>
        <w:spacing w:line="360" w:lineRule="auto"/>
        <w:jc w:val="both"/>
        <w:rPr>
          <w:color w:val="000000" w:themeColor="text1"/>
          <w:sz w:val="24"/>
          <w:szCs w:val="24"/>
          <w:lang w:val="en-GB"/>
        </w:rPr>
      </w:pPr>
      <w:r w:rsidRPr="00710DFA">
        <w:rPr>
          <w:color w:val="000000" w:themeColor="text1"/>
          <w:sz w:val="24"/>
          <w:szCs w:val="24"/>
          <w:lang w:val="en-GB"/>
        </w:rPr>
        <w:lastRenderedPageBreak/>
        <w:t>To assess the role played by these organisational responses in the creation of supply chain resilience</w:t>
      </w:r>
    </w:p>
    <w:p w14:paraId="1086D84B" w14:textId="77777777" w:rsidR="00DE2DFE" w:rsidRPr="00710DFA" w:rsidRDefault="00DE2DFE" w:rsidP="003566CF">
      <w:pPr>
        <w:pStyle w:val="Heading2"/>
        <w:rPr>
          <w:szCs w:val="24"/>
          <w:lang w:val="en-GB"/>
        </w:rPr>
      </w:pPr>
      <w:bookmarkStart w:id="5" w:name="_Toc228921252"/>
      <w:r w:rsidRPr="00710DFA">
        <w:rPr>
          <w:szCs w:val="24"/>
          <w:lang w:val="en-GB"/>
        </w:rPr>
        <w:t>1.4 Research Question</w:t>
      </w:r>
      <w:bookmarkEnd w:id="5"/>
    </w:p>
    <w:p w14:paraId="75CDE996" w14:textId="77777777" w:rsidR="00BA7B8D" w:rsidRPr="00710DFA" w:rsidRDefault="00BA7B8D" w:rsidP="00DE2DFE">
      <w:pPr>
        <w:spacing w:line="360" w:lineRule="auto"/>
        <w:jc w:val="both"/>
        <w:rPr>
          <w:color w:val="000000" w:themeColor="text1"/>
          <w:sz w:val="24"/>
          <w:szCs w:val="24"/>
          <w:lang w:val="en-GB"/>
        </w:rPr>
      </w:pPr>
      <w:r w:rsidRPr="00710DFA">
        <w:rPr>
          <w:color w:val="000000" w:themeColor="text1"/>
          <w:sz w:val="24"/>
          <w:szCs w:val="24"/>
          <w:lang w:val="en-GB"/>
        </w:rPr>
        <w:t xml:space="preserve">RQ1: </w:t>
      </w:r>
      <w:r w:rsidR="00DE2DFE" w:rsidRPr="00710DFA">
        <w:rPr>
          <w:color w:val="000000" w:themeColor="text1"/>
          <w:sz w:val="24"/>
          <w:szCs w:val="24"/>
          <w:lang w:val="en-GB"/>
        </w:rPr>
        <w:t>What were organisations doing in reaction to the disruptions to supply chains created due to COVID-19</w:t>
      </w:r>
      <w:r w:rsidRPr="00710DFA">
        <w:rPr>
          <w:color w:val="000000" w:themeColor="text1"/>
          <w:sz w:val="24"/>
          <w:szCs w:val="24"/>
          <w:lang w:val="en-GB"/>
        </w:rPr>
        <w:t>?</w:t>
      </w:r>
    </w:p>
    <w:p w14:paraId="20245CF6" w14:textId="507E8F89" w:rsidR="00DE2DFE" w:rsidRPr="00710DFA" w:rsidRDefault="00BA7B8D" w:rsidP="00DE2DFE">
      <w:pPr>
        <w:spacing w:line="360" w:lineRule="auto"/>
        <w:jc w:val="both"/>
        <w:rPr>
          <w:color w:val="000000" w:themeColor="text1"/>
          <w:sz w:val="24"/>
          <w:szCs w:val="24"/>
          <w:lang w:val="en-GB"/>
        </w:rPr>
      </w:pPr>
      <w:r w:rsidRPr="00710DFA">
        <w:rPr>
          <w:color w:val="000000" w:themeColor="text1"/>
          <w:sz w:val="24"/>
          <w:szCs w:val="24"/>
          <w:lang w:val="en-GB"/>
        </w:rPr>
        <w:t>RQ2: H</w:t>
      </w:r>
      <w:r w:rsidR="00DE2DFE" w:rsidRPr="00710DFA">
        <w:rPr>
          <w:color w:val="000000" w:themeColor="text1"/>
          <w:sz w:val="24"/>
          <w:szCs w:val="24"/>
          <w:lang w:val="en-GB"/>
        </w:rPr>
        <w:t>ow did the response influence the reconfiguring of supply chain resilience?</w:t>
      </w:r>
    </w:p>
    <w:p w14:paraId="2E0F072F" w14:textId="77777777" w:rsidR="00DE2DFE" w:rsidRPr="00710DFA" w:rsidRDefault="00DE2DFE" w:rsidP="003566CF">
      <w:pPr>
        <w:pStyle w:val="Heading2"/>
        <w:rPr>
          <w:szCs w:val="24"/>
          <w:lang w:val="en-GB"/>
        </w:rPr>
      </w:pPr>
      <w:bookmarkStart w:id="6" w:name="_Toc228921253"/>
      <w:r w:rsidRPr="00710DFA">
        <w:rPr>
          <w:szCs w:val="24"/>
          <w:lang w:val="en-GB"/>
        </w:rPr>
        <w:t>1.5 Importance of the Study and identifying gaps</w:t>
      </w:r>
      <w:bookmarkEnd w:id="6"/>
    </w:p>
    <w:p w14:paraId="11936A4C"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 xml:space="preserve">There is a definite gap in the literature, even though the amount of research published on COVID-19 and supply chains is quite large. The majority of the available research has been dedicated to the description of the disruptions themselves, or to the quantification of the economic effect of the pandemic on trade and production. The number of studies that have examined the particular organisational reactions that companies employed to deal with the pressure of the supply chain is smaller, as well as those that have analysed whether these organisational reactions actually led to more resilient supply chains (Li </w:t>
      </w:r>
      <w:r w:rsidRPr="00710DFA">
        <w:rPr>
          <w:i/>
          <w:iCs/>
          <w:color w:val="000000" w:themeColor="text1"/>
          <w:sz w:val="24"/>
          <w:szCs w:val="24"/>
          <w:lang w:val="en-GB"/>
        </w:rPr>
        <w:t>et al.</w:t>
      </w:r>
      <w:r w:rsidRPr="00710DFA">
        <w:rPr>
          <w:color w:val="000000" w:themeColor="text1"/>
          <w:sz w:val="24"/>
          <w:szCs w:val="24"/>
          <w:lang w:val="en-GB"/>
        </w:rPr>
        <w:t xml:space="preserve"> 2023).</w:t>
      </w:r>
    </w:p>
    <w:p w14:paraId="5F619F61"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 xml:space="preserve">There is also a gap between theory and practice. As Xu </w:t>
      </w:r>
      <w:r w:rsidRPr="00710DFA">
        <w:rPr>
          <w:i/>
          <w:iCs/>
          <w:color w:val="000000" w:themeColor="text1"/>
          <w:sz w:val="24"/>
          <w:szCs w:val="24"/>
          <w:lang w:val="en-GB"/>
        </w:rPr>
        <w:t xml:space="preserve">et al. </w:t>
      </w:r>
      <w:r w:rsidRPr="00710DFA">
        <w:rPr>
          <w:color w:val="000000" w:themeColor="text1"/>
          <w:sz w:val="24"/>
          <w:szCs w:val="24"/>
          <w:lang w:val="en-GB"/>
        </w:rPr>
        <w:t>(2020) observe, a long-standing issue with the supply chain resilience category of high-level theoretical observations is the translation of the theoretical understanding of the supply chain resilience into firm-specific, practical recommendations that could be adopted by managers when making supply chain sourcing, logistics, and risk management decisions. This research paper fills that gap through synthesising secondary qualitative evidence to create findings that are theoretically sound and practical.</w:t>
      </w:r>
    </w:p>
    <w:p w14:paraId="3F2C27CD"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This study is significant, hence, two-fold. To begin with, it adds to the knowledge of academia as it covers the literature gap in the supply chain reconfiguration and resilience-building during the COVID-19. Second, it has practical implications among the supply chain managers and business leaders as they must know how to build supply chain that will be able to absorb the shocks of the future, whether the shock of the future is another pandemic or a geopolitical conflict, or a natural disaster or an event of some other unpredictable nature.</w:t>
      </w:r>
    </w:p>
    <w:p w14:paraId="1BFFBBF7" w14:textId="7F57BB83" w:rsidR="00DE2DFE" w:rsidRPr="00710DFA" w:rsidRDefault="00DE2DFE" w:rsidP="003566CF">
      <w:pPr>
        <w:pStyle w:val="Heading2"/>
        <w:rPr>
          <w:szCs w:val="24"/>
          <w:lang w:val="en-GB"/>
        </w:rPr>
      </w:pPr>
      <w:bookmarkStart w:id="7" w:name="_Toc228921254"/>
      <w:r w:rsidRPr="00710DFA">
        <w:rPr>
          <w:szCs w:val="24"/>
          <w:lang w:val="en-GB"/>
        </w:rPr>
        <w:lastRenderedPageBreak/>
        <w:t>1.</w:t>
      </w:r>
      <w:r w:rsidR="003566CF" w:rsidRPr="00710DFA">
        <w:rPr>
          <w:szCs w:val="24"/>
          <w:lang w:val="en-GB"/>
        </w:rPr>
        <w:t>6</w:t>
      </w:r>
      <w:r w:rsidRPr="00710DFA">
        <w:rPr>
          <w:szCs w:val="24"/>
          <w:lang w:val="en-GB"/>
        </w:rPr>
        <w:t xml:space="preserve"> Research Methodology Overview</w:t>
      </w:r>
      <w:bookmarkEnd w:id="7"/>
    </w:p>
    <w:p w14:paraId="3CDABA10"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The research design adopted in this study is the secondary qualitative research design. This implies that the research does not involve gathering new data, as performed by interviews, surveys, or observations, but uses available literature published in the academic journals as case studies and reports to provide answers to the research question. This methodology is suitable in this case since a significant amount of published data on COVID-19 and supply chains already exists, and the objective of the proposed study is to synthesise and critically review the information that the existing body of literature provides to us as a whole, and not to introduce a new empirical data set.</w:t>
      </w:r>
    </w:p>
    <w:p w14:paraId="2E20CEA8"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The research follows an interpretivist philosophical standpoint. This implies that the study considers the experiences and decision-making of organisations in response to the COVID-19 as contextual and dependent on the specific situations, relationships and pressures that various firms encountered. The study does not seek to find general laws or experiment hypotheses rather it seeks to develop a deep rich picture of what occurred and why. The analysis of the data will be carried out through an inductive approach that is based on the fact that the themes and findings will be discovered within the literature and not predetermined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2021).</w:t>
      </w:r>
    </w:p>
    <w:p w14:paraId="3BA4CA83" w14:textId="4D124F37" w:rsidR="00DE2DFE" w:rsidRPr="00710DFA" w:rsidRDefault="00DE2DFE" w:rsidP="003566CF">
      <w:pPr>
        <w:pStyle w:val="Heading2"/>
        <w:rPr>
          <w:szCs w:val="24"/>
          <w:lang w:val="en-GB"/>
        </w:rPr>
      </w:pPr>
      <w:bookmarkStart w:id="8" w:name="_Toc228921255"/>
      <w:r w:rsidRPr="00710DFA">
        <w:rPr>
          <w:szCs w:val="24"/>
          <w:lang w:val="en-GB"/>
        </w:rPr>
        <w:t>1.</w:t>
      </w:r>
      <w:r w:rsidR="003566CF" w:rsidRPr="00710DFA">
        <w:rPr>
          <w:szCs w:val="24"/>
          <w:lang w:val="en-GB"/>
        </w:rPr>
        <w:t>7</w:t>
      </w:r>
      <w:r w:rsidRPr="00710DFA">
        <w:rPr>
          <w:szCs w:val="24"/>
          <w:lang w:val="en-GB"/>
        </w:rPr>
        <w:t xml:space="preserve"> Implications of This Study</w:t>
      </w:r>
      <w:bookmarkEnd w:id="8"/>
    </w:p>
    <w:p w14:paraId="3BF9E85E" w14:textId="77777777" w:rsidR="00DE2DFE" w:rsidRPr="00710DFA" w:rsidRDefault="00DE2DFE" w:rsidP="00DE2DFE">
      <w:pPr>
        <w:spacing w:line="360" w:lineRule="auto"/>
        <w:jc w:val="both"/>
        <w:rPr>
          <w:color w:val="000000" w:themeColor="text1"/>
          <w:sz w:val="24"/>
          <w:szCs w:val="24"/>
          <w:lang w:val="en-GB"/>
        </w:rPr>
      </w:pPr>
      <w:r w:rsidRPr="00710DFA">
        <w:rPr>
          <w:color w:val="000000" w:themeColor="text1"/>
          <w:sz w:val="24"/>
          <w:szCs w:val="24"/>
          <w:lang w:val="en-GB"/>
        </w:rPr>
        <w:t>On the practical level, the research can be applicable to the supply chain managers, business leaders, and policymakers who are struggling to make supply chains more resilient in the future. The COVID-19 pandemic has clarified strongly that supply chains must be developed not only to be efficient and low-priced, but also to be shock absorbing and able to recover promptly. The results of this research can be used to inform the decisions as to how the suppliers are to be diversified, investments in digital tools, strengthening the relationships throughout the supply chain, and the type of organisational agility which should be established to react positively to the future disruptions.</w:t>
      </w:r>
    </w:p>
    <w:p w14:paraId="7D5443BF" w14:textId="53D0475C" w:rsidR="00DE2DFE" w:rsidRPr="00710DFA" w:rsidRDefault="00DE2DFE" w:rsidP="003566CF">
      <w:pPr>
        <w:pStyle w:val="Heading2"/>
        <w:rPr>
          <w:szCs w:val="24"/>
          <w:lang w:val="en-GB"/>
        </w:rPr>
      </w:pPr>
      <w:bookmarkStart w:id="9" w:name="_Toc228921256"/>
      <w:r w:rsidRPr="00710DFA">
        <w:rPr>
          <w:szCs w:val="24"/>
          <w:lang w:val="en-GB"/>
        </w:rPr>
        <w:lastRenderedPageBreak/>
        <w:t>1.</w:t>
      </w:r>
      <w:r w:rsidR="003566CF" w:rsidRPr="00710DFA">
        <w:rPr>
          <w:szCs w:val="24"/>
          <w:lang w:val="en-GB"/>
        </w:rPr>
        <w:t>8</w:t>
      </w:r>
      <w:r w:rsidRPr="00710DFA">
        <w:rPr>
          <w:szCs w:val="24"/>
          <w:lang w:val="en-GB"/>
        </w:rPr>
        <w:t xml:space="preserve"> Structure of the dissertation</w:t>
      </w:r>
      <w:bookmarkEnd w:id="9"/>
      <w:r w:rsidRPr="00710DFA">
        <w:rPr>
          <w:szCs w:val="24"/>
          <w:lang w:val="en-GB"/>
        </w:rPr>
        <w:t xml:space="preserve"> </w:t>
      </w:r>
    </w:p>
    <w:p w14:paraId="24B80248" w14:textId="77777777" w:rsidR="00DE2DFE" w:rsidRPr="00710DFA" w:rsidRDefault="00DE2DFE" w:rsidP="00DE2DFE">
      <w:pPr>
        <w:spacing w:line="360" w:lineRule="auto"/>
        <w:jc w:val="both"/>
        <w:rPr>
          <w:color w:val="000000" w:themeColor="text1"/>
          <w:sz w:val="24"/>
          <w:szCs w:val="24"/>
          <w:lang w:val="en-GB"/>
        </w:rPr>
      </w:pPr>
      <w:r w:rsidRPr="00710DFA">
        <w:rPr>
          <w:noProof/>
          <w:color w:val="000000" w:themeColor="text1"/>
          <w:sz w:val="24"/>
          <w:szCs w:val="24"/>
          <w:lang w:val="en-GB"/>
        </w:rPr>
        <w:drawing>
          <wp:inline distT="114300" distB="114300" distL="114300" distR="114300" wp14:anchorId="5024785A" wp14:editId="222A0610">
            <wp:extent cx="5943600" cy="3606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606800"/>
                    </a:xfrm>
                    <a:prstGeom prst="rect">
                      <a:avLst/>
                    </a:prstGeom>
                    <a:ln/>
                  </pic:spPr>
                </pic:pic>
              </a:graphicData>
            </a:graphic>
          </wp:inline>
        </w:drawing>
      </w:r>
    </w:p>
    <w:p w14:paraId="423C3C6D" w14:textId="77777777" w:rsidR="00DE2DFE" w:rsidRPr="00710DFA" w:rsidRDefault="00DE2DFE" w:rsidP="0068153D">
      <w:pPr>
        <w:pStyle w:val="Heading6"/>
        <w:rPr>
          <w:lang w:val="en-GB"/>
        </w:rPr>
      </w:pPr>
      <w:bookmarkStart w:id="10" w:name="_Toc228792871"/>
      <w:r w:rsidRPr="00710DFA">
        <w:rPr>
          <w:lang w:val="en-GB"/>
        </w:rPr>
        <w:t>Figure 1.2: Structure of the entire dissertation</w:t>
      </w:r>
      <w:bookmarkEnd w:id="10"/>
      <w:r w:rsidRPr="00710DFA">
        <w:rPr>
          <w:lang w:val="en-GB"/>
        </w:rPr>
        <w:t xml:space="preserve"> </w:t>
      </w:r>
    </w:p>
    <w:p w14:paraId="1BE70B40" w14:textId="77777777" w:rsidR="00DE2DFE" w:rsidRPr="00710DFA" w:rsidRDefault="00DE2DFE" w:rsidP="00DE2DFE">
      <w:pPr>
        <w:spacing w:line="360" w:lineRule="auto"/>
        <w:jc w:val="both"/>
        <w:rPr>
          <w:color w:val="000000" w:themeColor="text1"/>
          <w:sz w:val="24"/>
          <w:szCs w:val="24"/>
          <w:lang w:val="en-GB"/>
        </w:rPr>
      </w:pPr>
    </w:p>
    <w:p w14:paraId="09A74E13" w14:textId="77777777" w:rsidR="00DE2DFE" w:rsidRPr="00710DFA" w:rsidRDefault="00DE2DFE" w:rsidP="00DE2DFE">
      <w:pPr>
        <w:spacing w:line="360" w:lineRule="auto"/>
        <w:jc w:val="both"/>
        <w:rPr>
          <w:color w:val="000000" w:themeColor="text1"/>
          <w:sz w:val="24"/>
          <w:szCs w:val="24"/>
          <w:lang w:val="en-GB"/>
        </w:rPr>
      </w:pPr>
    </w:p>
    <w:p w14:paraId="726AEEBD" w14:textId="77777777" w:rsidR="00DE2DFE" w:rsidRPr="00710DFA" w:rsidRDefault="00DE2DFE" w:rsidP="00DE2DFE">
      <w:pPr>
        <w:spacing w:line="360" w:lineRule="auto"/>
        <w:jc w:val="both"/>
        <w:rPr>
          <w:color w:val="000000" w:themeColor="text1"/>
          <w:sz w:val="24"/>
          <w:szCs w:val="24"/>
          <w:lang w:val="en-GB"/>
        </w:rPr>
      </w:pPr>
    </w:p>
    <w:p w14:paraId="0B55BF93" w14:textId="77777777" w:rsidR="00DE2DFE" w:rsidRPr="00710DFA" w:rsidRDefault="00DE2DFE" w:rsidP="00DE2DFE">
      <w:pPr>
        <w:spacing w:line="360" w:lineRule="auto"/>
        <w:jc w:val="both"/>
        <w:rPr>
          <w:color w:val="000000" w:themeColor="text1"/>
          <w:sz w:val="24"/>
          <w:szCs w:val="24"/>
          <w:lang w:val="en-GB"/>
        </w:rPr>
      </w:pPr>
    </w:p>
    <w:p w14:paraId="73A32811" w14:textId="77777777" w:rsidR="00DE2DFE" w:rsidRPr="00710DFA" w:rsidRDefault="00DE2DFE" w:rsidP="00DE2DFE">
      <w:pPr>
        <w:spacing w:line="360" w:lineRule="auto"/>
        <w:jc w:val="both"/>
        <w:rPr>
          <w:color w:val="000000" w:themeColor="text1"/>
          <w:sz w:val="24"/>
          <w:szCs w:val="24"/>
          <w:lang w:val="en-GB"/>
        </w:rPr>
      </w:pPr>
    </w:p>
    <w:p w14:paraId="554500D2" w14:textId="77777777" w:rsidR="00DE2DFE" w:rsidRPr="00710DFA" w:rsidRDefault="00DE2DFE" w:rsidP="00DE2DFE">
      <w:pPr>
        <w:spacing w:line="360" w:lineRule="auto"/>
        <w:jc w:val="both"/>
        <w:rPr>
          <w:color w:val="000000" w:themeColor="text1"/>
          <w:sz w:val="24"/>
          <w:szCs w:val="24"/>
          <w:lang w:val="en-GB"/>
        </w:rPr>
      </w:pPr>
    </w:p>
    <w:p w14:paraId="1696AF4C" w14:textId="77777777" w:rsidR="00DE2DFE" w:rsidRPr="00710DFA" w:rsidRDefault="00DE2DFE" w:rsidP="00684FA2">
      <w:pPr>
        <w:pStyle w:val="Heading1"/>
      </w:pPr>
    </w:p>
    <w:p w14:paraId="115D7BD6" w14:textId="77777777" w:rsidR="003566CF" w:rsidRPr="00710DFA" w:rsidRDefault="003566CF">
      <w:pPr>
        <w:rPr>
          <w:b/>
          <w:bCs/>
          <w:color w:val="000000" w:themeColor="text1"/>
          <w:sz w:val="24"/>
          <w:szCs w:val="24"/>
          <w:lang w:val="en-GB"/>
        </w:rPr>
      </w:pPr>
      <w:r w:rsidRPr="00710DFA">
        <w:rPr>
          <w:color w:val="000000" w:themeColor="text1"/>
          <w:sz w:val="24"/>
          <w:szCs w:val="24"/>
          <w:lang w:val="en-GB"/>
        </w:rPr>
        <w:br w:type="page"/>
      </w:r>
    </w:p>
    <w:p w14:paraId="0000000A" w14:textId="0E5C98C5" w:rsidR="00FC116A" w:rsidRPr="00710DFA" w:rsidRDefault="00611F89" w:rsidP="00684FA2">
      <w:pPr>
        <w:pStyle w:val="Heading1"/>
      </w:pPr>
      <w:bookmarkStart w:id="11" w:name="_Toc228921257"/>
      <w:r w:rsidRPr="00710DFA">
        <w:lastRenderedPageBreak/>
        <w:t>Chapter 2: Literature review</w:t>
      </w:r>
      <w:bookmarkEnd w:id="11"/>
      <w:r w:rsidRPr="00710DFA">
        <w:t xml:space="preserve"> </w:t>
      </w:r>
    </w:p>
    <w:p w14:paraId="0000000B" w14:textId="19F06FA2" w:rsidR="00FC116A" w:rsidRPr="00710DFA" w:rsidRDefault="00611F89" w:rsidP="001A4728">
      <w:pPr>
        <w:pStyle w:val="Heading2"/>
        <w:rPr>
          <w:szCs w:val="24"/>
          <w:lang w:val="en-GB"/>
        </w:rPr>
      </w:pPr>
      <w:bookmarkStart w:id="12" w:name="_Toc228921258"/>
      <w:r w:rsidRPr="00710DFA">
        <w:rPr>
          <w:szCs w:val="24"/>
          <w:lang w:val="en-GB"/>
        </w:rPr>
        <w:t>2.1 Chapter Introduction</w:t>
      </w:r>
      <w:bookmarkEnd w:id="12"/>
      <w:r w:rsidRPr="00710DFA">
        <w:rPr>
          <w:szCs w:val="24"/>
          <w:lang w:val="en-GB"/>
        </w:rPr>
        <w:t xml:space="preserve"> </w:t>
      </w:r>
    </w:p>
    <w:p w14:paraId="0000000C"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This chapter critically reviews the literature that exists in supply chain disruptions brought about by Covid-19, the organisational strategies embraced by companies, and re-engineering of supply chain resilience. The theoretical foundations of the review are rooted in the ‘Dynamic Capabilities Theory’, through which the analytical frameworks are offered to comprehend the operations of how the organisations formulate senses of vulnerability, take up adaptive opportunities, and re-align operational competencies in a situation where the conditions of extreme environmental uncertainty exist. The chapter is structured into three thematic clusters based on the goals of the study: the structural vulnerabilities revealed during the pandemic, the organisational responses implemented by companies, and the final outcomes of reconfiguration of the resilience. This chapter creates a unified theoretical and empirical framework of the study by synthesising secondary qualitative evidence based solely on the peer-reviewed and A-listed journal sources that have been published within the last 2-4 years, and it will define the research gap that is critically important in the study.</w:t>
      </w:r>
    </w:p>
    <w:p w14:paraId="0000000D" w14:textId="7CA8886A" w:rsidR="00FC116A" w:rsidRPr="00710DFA" w:rsidRDefault="00611F89" w:rsidP="001A4728">
      <w:pPr>
        <w:pStyle w:val="Heading2"/>
        <w:rPr>
          <w:szCs w:val="24"/>
          <w:lang w:val="en-GB"/>
        </w:rPr>
      </w:pPr>
      <w:bookmarkStart w:id="13" w:name="_Toc228921259"/>
      <w:r w:rsidRPr="00710DFA">
        <w:rPr>
          <w:szCs w:val="24"/>
          <w:lang w:val="en-GB"/>
        </w:rPr>
        <w:t>2.2 Critical analysis</w:t>
      </w:r>
      <w:bookmarkEnd w:id="13"/>
    </w:p>
    <w:p w14:paraId="0000000E" w14:textId="08C3D81E" w:rsidR="00FC116A" w:rsidRPr="00710DFA" w:rsidRDefault="00611F89" w:rsidP="00611F89">
      <w:pPr>
        <w:pStyle w:val="Heading3"/>
        <w:rPr>
          <w:szCs w:val="24"/>
          <w:lang w:val="en-GB"/>
        </w:rPr>
      </w:pPr>
      <w:bookmarkStart w:id="14" w:name="_Toc228921260"/>
      <w:r w:rsidRPr="00710DFA">
        <w:rPr>
          <w:szCs w:val="24"/>
          <w:lang w:val="en-GB"/>
        </w:rPr>
        <w:t>2.2.1 Covid-19 Shocks and Structural Vulnerabilities in Supply chains</w:t>
      </w:r>
      <w:bookmarkEnd w:id="14"/>
    </w:p>
    <w:p w14:paraId="0000000F"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The Covid-19 pandemic was an unprecedented systemic shock to global supply chains that has shown the fundamental structural vulnerabilities which were hidden by decades of efficiency-driven optimisation. Ivanov (2020) of the International Journal of Production Research coined the term the viability of supply chains to contrast with resilience because conventional disruption frameworks had not been well equipped to understand the scale of concomitant, multi-tier supply chain failures occasioned by the pandemic. In contrast to localised disruptions, Covid-19 was a ripple effect in a system of interconnected networks around the world and led to cascading failures, starting with raw material suppliers and ending with final consumers. This was a qualitative shift in supply chain </w:t>
      </w:r>
      <w:r w:rsidRPr="00710DFA">
        <w:rPr>
          <w:color w:val="000000" w:themeColor="text1"/>
          <w:sz w:val="24"/>
          <w:szCs w:val="24"/>
          <w:lang w:val="en-GB"/>
        </w:rPr>
        <w:lastRenderedPageBreak/>
        <w:t>crises of the past and the work of Ivanov highlighted the fact that companies that thrived on lean and ‘just-in-time’ (JIT) approaches were overburdened by such ripple effects.</w:t>
      </w:r>
    </w:p>
    <w:p w14:paraId="63C4D863" w14:textId="1BB2D4BB" w:rsidR="00FD0C79" w:rsidRPr="00710DFA" w:rsidRDefault="00FD0C79" w:rsidP="00FD0C79">
      <w:pPr>
        <w:spacing w:line="360" w:lineRule="auto"/>
        <w:jc w:val="center"/>
        <w:rPr>
          <w:color w:val="000000" w:themeColor="text1"/>
          <w:sz w:val="24"/>
          <w:szCs w:val="24"/>
          <w:lang w:val="en-GB"/>
        </w:rPr>
      </w:pPr>
      <w:r w:rsidRPr="00710DFA">
        <w:rPr>
          <w:noProof/>
          <w:color w:val="000000" w:themeColor="text1"/>
          <w:sz w:val="24"/>
          <w:szCs w:val="24"/>
          <w:lang w:val="en-GB"/>
        </w:rPr>
        <w:drawing>
          <wp:inline distT="0" distB="0" distL="0" distR="0" wp14:anchorId="3697DDC7" wp14:editId="7B23FEF2">
            <wp:extent cx="3705225" cy="3200400"/>
            <wp:effectExtent l="0" t="0" r="9525" b="0"/>
            <wp:docPr id="1795980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80570" name=""/>
                    <pic:cNvPicPr/>
                  </pic:nvPicPr>
                  <pic:blipFill>
                    <a:blip r:embed="rId10"/>
                    <a:stretch>
                      <a:fillRect/>
                    </a:stretch>
                  </pic:blipFill>
                  <pic:spPr>
                    <a:xfrm>
                      <a:off x="0" y="0"/>
                      <a:ext cx="3705225" cy="3200400"/>
                    </a:xfrm>
                    <a:prstGeom prst="rect">
                      <a:avLst/>
                    </a:prstGeom>
                  </pic:spPr>
                </pic:pic>
              </a:graphicData>
            </a:graphic>
          </wp:inline>
        </w:drawing>
      </w:r>
    </w:p>
    <w:p w14:paraId="1269D696" w14:textId="382539C3" w:rsidR="00FD0C79" w:rsidRPr="00710DFA" w:rsidRDefault="00FD0C79" w:rsidP="0068153D">
      <w:pPr>
        <w:pStyle w:val="Heading6"/>
        <w:rPr>
          <w:lang w:val="en-GB"/>
        </w:rPr>
      </w:pPr>
      <w:bookmarkStart w:id="15" w:name="_Toc228792872"/>
      <w:r w:rsidRPr="00710DFA">
        <w:rPr>
          <w:lang w:val="en-GB"/>
        </w:rPr>
        <w:t>Figure 2.1: JIT strategy for implementation</w:t>
      </w:r>
      <w:bookmarkEnd w:id="15"/>
    </w:p>
    <w:p w14:paraId="53141D7E" w14:textId="5B6E7902" w:rsidR="00FD0C79" w:rsidRPr="00710DFA" w:rsidRDefault="00FD0C79" w:rsidP="00FD0C79">
      <w:pPr>
        <w:spacing w:line="360" w:lineRule="auto"/>
        <w:jc w:val="center"/>
        <w:rPr>
          <w:color w:val="000000" w:themeColor="text1"/>
          <w:sz w:val="24"/>
          <w:szCs w:val="24"/>
          <w:lang w:val="en-GB"/>
        </w:rPr>
      </w:pPr>
      <w:r w:rsidRPr="00710DFA">
        <w:rPr>
          <w:color w:val="000000" w:themeColor="text1"/>
          <w:sz w:val="24"/>
          <w:szCs w:val="24"/>
          <w:lang w:val="en-GB"/>
        </w:rPr>
        <w:t>(Source: Influenced from Ivanov, 2020)</w:t>
      </w:r>
    </w:p>
    <w:p w14:paraId="00000010"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Forming an addition to this point of view, Choi, Rogers and Vakil, (2020) in the Harvard Business Review have claimed that the majority of multinational corporations did not have sufficient visibility beyond their tier-one suppliers. The pandemic made organisations face the invisibility of their extended supply networks since the failures of tier-two and tier-three suppliers spread upstream in an unexpected way. The authors emphasized that the lack of diversification of sourcing in a limited number of geographical locations (especially China) increased exposure to the early phase of the pandemic. It is worth considering some scholarly tension in this matter, focused on geographic concentration as a key vulnerability, on the other, in Nature Human Behaviour, Guan </w:t>
      </w:r>
      <w:r w:rsidRPr="00710DFA">
        <w:rPr>
          <w:i/>
          <w:iCs/>
          <w:color w:val="000000" w:themeColor="text1"/>
          <w:sz w:val="24"/>
          <w:szCs w:val="24"/>
          <w:lang w:val="en-GB"/>
        </w:rPr>
        <w:t>et al.</w:t>
      </w:r>
      <w:r w:rsidRPr="00710DFA">
        <w:rPr>
          <w:color w:val="000000" w:themeColor="text1"/>
          <w:sz w:val="24"/>
          <w:szCs w:val="24"/>
          <w:lang w:val="en-GB"/>
        </w:rPr>
        <w:t xml:space="preserve"> (2020) presented a more nuanced reverse counterpoint, proving through economic modelling that under normal conditions, some level of geographic concentration may help to increase supply chain efficiency and that irrational diversification may introduce inefficiencies and expenses of its own. This paradox emphasizes the fact that the disclosed vulnerabilities </w:t>
      </w:r>
      <w:r w:rsidRPr="00710DFA">
        <w:rPr>
          <w:color w:val="000000" w:themeColor="text1"/>
          <w:sz w:val="24"/>
          <w:szCs w:val="24"/>
          <w:lang w:val="en-GB"/>
        </w:rPr>
        <w:lastRenderedPageBreak/>
        <w:t>were not so simple and that the uncomplicated prescriptions on diversification need to be properly qualified.</w:t>
      </w:r>
    </w:p>
    <w:p w14:paraId="00000011"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Other structural weaknesses were found to have been in the demand forecasting and inventory handling area. In the International Journal of Physical Distribution and Logistics Management, Queiroz </w:t>
      </w:r>
      <w:r w:rsidRPr="00710DFA">
        <w:rPr>
          <w:i/>
          <w:iCs/>
          <w:color w:val="000000" w:themeColor="text1"/>
          <w:sz w:val="24"/>
          <w:szCs w:val="24"/>
          <w:lang w:val="en-GB"/>
        </w:rPr>
        <w:t>et al</w:t>
      </w:r>
      <w:r w:rsidRPr="00710DFA">
        <w:rPr>
          <w:color w:val="000000" w:themeColor="text1"/>
          <w:sz w:val="24"/>
          <w:szCs w:val="24"/>
          <w:lang w:val="en-GB"/>
        </w:rPr>
        <w:t xml:space="preserve">. (2020) performed a systematic review of the effects of Covid-19 on the supply chain and discovered that the high volatility of consumer demand, which was panicked, hoarded, and then fell sharply made the traditional demand forecasting models mostly useless. This so-called bullwhip effect, multiplied exponentially by the uncertainty of the pandemic, resulted in the appearance of drastic imbalances between supply and demand in various sectors, starting with pharmaceuticals and ending with food retail. The authors came to the conclusion that the pandemic showed the systemic failure of the existing supply chain models, which were built on predictable and steady-state environments. </w:t>
      </w:r>
    </w:p>
    <w:p w14:paraId="00000012"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Combined, the literature within did not simply introduce new vulnerabilities, but unveiled structural vulnerabilities present, especially over-reliance on lean models, geographic concentration, low multi-tier visibility, and insufficient shock-responsive forecasting capabilities, which had been sustained due to relative stability. The pandemic was a diagnostic event, which showed that globalised and efficiency-maximising supply chains are fragile in their nature. The literature focuses on the opinion that the structural over-optimisation, especially JIT strategies and single-region sourcing, strategically reduced the shock-absorption capacity. But the discussion between the followers of diversification (Choi </w:t>
      </w:r>
      <w:r w:rsidRPr="00710DFA">
        <w:rPr>
          <w:i/>
          <w:iCs/>
          <w:color w:val="000000" w:themeColor="text1"/>
          <w:sz w:val="24"/>
          <w:szCs w:val="24"/>
          <w:lang w:val="en-GB"/>
        </w:rPr>
        <w:t>et al</w:t>
      </w:r>
      <w:r w:rsidRPr="00710DFA">
        <w:rPr>
          <w:color w:val="000000" w:themeColor="text1"/>
          <w:sz w:val="24"/>
          <w:szCs w:val="24"/>
          <w:lang w:val="en-GB"/>
        </w:rPr>
        <w:t xml:space="preserve">., 2020) and the opponents of blanket diversification (Guan </w:t>
      </w:r>
      <w:r w:rsidRPr="00710DFA">
        <w:rPr>
          <w:i/>
          <w:iCs/>
          <w:color w:val="000000" w:themeColor="text1"/>
          <w:sz w:val="24"/>
          <w:szCs w:val="24"/>
          <w:lang w:val="en-GB"/>
        </w:rPr>
        <w:t>et al.</w:t>
      </w:r>
      <w:r w:rsidRPr="00710DFA">
        <w:rPr>
          <w:color w:val="000000" w:themeColor="text1"/>
          <w:sz w:val="24"/>
          <w:szCs w:val="24"/>
          <w:lang w:val="en-GB"/>
        </w:rPr>
        <w:t>, 2020) suggests that there is no universal structural prescription; specific analysis of the context and the industry is needed.</w:t>
      </w:r>
    </w:p>
    <w:p w14:paraId="00000013" w14:textId="7B02D505" w:rsidR="00FC116A" w:rsidRPr="00710DFA" w:rsidRDefault="00611F89" w:rsidP="00611F89">
      <w:pPr>
        <w:pStyle w:val="Heading3"/>
        <w:rPr>
          <w:szCs w:val="24"/>
          <w:lang w:val="en-GB"/>
        </w:rPr>
      </w:pPr>
      <w:bookmarkStart w:id="16" w:name="_Toc228921261"/>
      <w:r w:rsidRPr="00710DFA">
        <w:rPr>
          <w:szCs w:val="24"/>
          <w:lang w:val="en-GB"/>
        </w:rPr>
        <w:t>2.2.2 Supply Chain Stress and Organisational Responses in the Time of Covid-19</w:t>
      </w:r>
      <w:bookmarkEnd w:id="16"/>
    </w:p>
    <w:p w14:paraId="00000014"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To address the disruptions, companies have implemented a set of adaptive strategies, which, in turn, were diverse in various sectors and organisational capabilities. Among the most frequently reported reactions was the accelerated pace of the digital transformation and supply chain digitalisation. In the Journal of Purchasing and Supply Management, Remko, (2020) noted that the pandemic has accelerated the transformation of the digital </w:t>
      </w:r>
      <w:r w:rsidRPr="00710DFA">
        <w:rPr>
          <w:color w:val="000000" w:themeColor="text1"/>
          <w:sz w:val="24"/>
          <w:szCs w:val="24"/>
          <w:lang w:val="en-GB"/>
        </w:rPr>
        <w:lastRenderedPageBreak/>
        <w:t>supply chain the company would have witnessed over a decade to months, with companies scrambling to implement digital supply chain platforms like cloud-based supply chain management systems, AI-driven demand sensing tools, and real-time supplier visibility platforms. Such digital investments allowed organisations to have a better situational awareness and reaction in times of extreme uncertainty. The implementation of the digital tools was not even, but the author observed that companies that had already adopted digital tools responded faster and more effectively, which proved an enormous gap in capabilities between digitally mature and digitally immature organisations.</w:t>
      </w:r>
    </w:p>
    <w:p w14:paraId="00000015"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The second significant organisational reaction was sourcing strategy reconfiguration, such as the growth of dual-sourcing, nearshoring, and creation of domestic sourcing options. In Resources, Conservation and Recycling, Sarkis (2020) found that the pandemic challenged the global to regional supply chain to ask firms to re-evaluate the environmental and strategic trade-offs. The author said that nearshoring and reshoring had a possible sustainability co-benefit in terms of minimizing transportation emissions and enhancing visibility of the supply chain, even though their initial motivation was risk reduction. However, Sarkis (2020) made a significant counter-argument based on the cost factor of reshoring is enormous, and in many sectors, especially major manufacturing, the economic argument of local production is inherently difficult. It was supported by Barbieri </w:t>
      </w:r>
      <w:r w:rsidRPr="00710DFA">
        <w:rPr>
          <w:i/>
          <w:iCs/>
          <w:color w:val="000000" w:themeColor="text1"/>
          <w:sz w:val="24"/>
          <w:szCs w:val="24"/>
          <w:lang w:val="en-GB"/>
        </w:rPr>
        <w:t>et al</w:t>
      </w:r>
      <w:r w:rsidRPr="00710DFA">
        <w:rPr>
          <w:color w:val="000000" w:themeColor="text1"/>
          <w:sz w:val="24"/>
          <w:szCs w:val="24"/>
          <w:lang w:val="en-GB"/>
        </w:rPr>
        <w:t>. (2020), in Operations Management Research, who discovered that reshoring decisions arrived at during crisis situations were often poorly timed in the medium term because firms did not sufficiently estimate the time and investment needed to restore domestic manufacturing capacity. Such a conflict between these risk-driven reshoring and economic rationality is one of the more important discussions in the pandemic supply chain literature.</w:t>
      </w:r>
    </w:p>
    <w:p w14:paraId="00000016"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The third organisational response entailed reinforcement of the collaborative relationships in the supply chain networks. In an original article later elaborated upon by pandemic-era researchers,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had asserted that supply chain orientation, or the extent to which companies control inter-organisational relations in a proactive manner is a deterministic factor of resilience. Adding to this, Dangol </w:t>
      </w:r>
      <w:r w:rsidRPr="00710DFA">
        <w:rPr>
          <w:i/>
          <w:iCs/>
          <w:color w:val="000000" w:themeColor="text1"/>
          <w:sz w:val="24"/>
          <w:szCs w:val="24"/>
          <w:lang w:val="en-GB"/>
        </w:rPr>
        <w:t>et al.</w:t>
      </w:r>
      <w:r w:rsidRPr="00710DFA">
        <w:rPr>
          <w:color w:val="000000" w:themeColor="text1"/>
          <w:sz w:val="24"/>
          <w:szCs w:val="24"/>
          <w:lang w:val="en-GB"/>
        </w:rPr>
        <w:t xml:space="preserve">, (2024) discovered that the firms that had previously invested in the development of cooperative relationships </w:t>
      </w:r>
      <w:r w:rsidRPr="00710DFA">
        <w:rPr>
          <w:color w:val="000000" w:themeColor="text1"/>
          <w:sz w:val="24"/>
          <w:szCs w:val="24"/>
          <w:lang w:val="en-GB"/>
        </w:rPr>
        <w:lastRenderedPageBreak/>
        <w:t>with suppliers were much better placed to deal with the disruptions. As partnerships based on trust allowed them to share information faster, jointly solve problems and have the capacity constraints accommodated. On the other hand, companies that had adversarial and transactional type of relationship with their suppliers had an increased supply insecurity since suppliers had higher priority when it comes to collaborative customers in place of using a constrained capacity. This result identifies a pre-competitive organisational capacity as a critical one, namely relational capital, which is not easily compiled during a crisis situation.</w:t>
      </w:r>
    </w:p>
    <w:p w14:paraId="00000017"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Organisational reactions to Covid-19 supply chain stress were multidimensional including digital transformation, sourcing reconfiguration and relational recalibration. It has been consistently pointed out in the literature that the pace and efficiency of these responses was determined by pre-existing organisational capabilities. Digitally mature firms, diversified supplier networks and relational capital were more adaptable. The discrepancies between the proponents of reshoring and the cost-realism are indicative of the fact that the reactive and crisis-driven structural modifications are accompanied by tremendous risks of suboptimality in the mid-term (Sarkis, 2021; Barbieri </w:t>
      </w:r>
      <w:r w:rsidRPr="00710DFA">
        <w:rPr>
          <w:i/>
          <w:iCs/>
          <w:color w:val="000000" w:themeColor="text1"/>
          <w:sz w:val="24"/>
          <w:szCs w:val="24"/>
          <w:lang w:val="en-GB"/>
        </w:rPr>
        <w:t>et al.</w:t>
      </w:r>
      <w:r w:rsidRPr="00710DFA">
        <w:rPr>
          <w:color w:val="000000" w:themeColor="text1"/>
          <w:sz w:val="24"/>
          <w:szCs w:val="24"/>
          <w:lang w:val="en-GB"/>
        </w:rPr>
        <w:t>, 2020).</w:t>
      </w:r>
    </w:p>
    <w:p w14:paraId="00000018" w14:textId="15D1C17E" w:rsidR="00FC116A" w:rsidRPr="00710DFA" w:rsidRDefault="00611F89" w:rsidP="00611F89">
      <w:pPr>
        <w:pStyle w:val="Heading3"/>
        <w:rPr>
          <w:szCs w:val="24"/>
          <w:lang w:val="en-GB"/>
        </w:rPr>
      </w:pPr>
      <w:bookmarkStart w:id="17" w:name="_Toc228921262"/>
      <w:r w:rsidRPr="00710DFA">
        <w:rPr>
          <w:szCs w:val="24"/>
          <w:lang w:val="en-GB"/>
        </w:rPr>
        <w:t>2.2.3 Supply Chain Resilience through Organisational Responses Reconfiguration</w:t>
      </w:r>
      <w:bookmarkEnd w:id="17"/>
    </w:p>
    <w:p w14:paraId="2D2BD44C" w14:textId="77777777" w:rsidR="00611F89" w:rsidRPr="00710DFA" w:rsidRDefault="00611F89" w:rsidP="00611F89">
      <w:pPr>
        <w:rPr>
          <w:color w:val="000000" w:themeColor="text1"/>
          <w:sz w:val="24"/>
          <w:szCs w:val="24"/>
          <w:lang w:val="en-GB"/>
        </w:rPr>
      </w:pPr>
    </w:p>
    <w:p w14:paraId="00000019" w14:textId="39BCF785"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The aggregate impact of the organisational reaction reported a significant </w:t>
      </w:r>
      <w:proofErr w:type="spellStart"/>
      <w:r w:rsidRPr="00710DFA">
        <w:rPr>
          <w:color w:val="000000" w:themeColor="text1"/>
          <w:sz w:val="24"/>
          <w:szCs w:val="24"/>
          <w:lang w:val="en-GB"/>
        </w:rPr>
        <w:t>re</w:t>
      </w:r>
      <w:r w:rsidR="001A4728" w:rsidRPr="00710DFA">
        <w:rPr>
          <w:color w:val="000000" w:themeColor="text1"/>
          <w:sz w:val="24"/>
          <w:szCs w:val="24"/>
          <w:lang w:val="en-GB"/>
        </w:rPr>
        <w:t>constitutionalising</w:t>
      </w:r>
      <w:proofErr w:type="spellEnd"/>
      <w:r w:rsidRPr="00710DFA">
        <w:rPr>
          <w:color w:val="000000" w:themeColor="text1"/>
          <w:sz w:val="24"/>
          <w:szCs w:val="24"/>
          <w:lang w:val="en-GB"/>
        </w:rPr>
        <w:t xml:space="preserve"> of supply chain resilience conceptualisation and operationalisation. An antecedent study by </w:t>
      </w:r>
      <w:proofErr w:type="spellStart"/>
      <w:r w:rsidRPr="00710DFA">
        <w:rPr>
          <w:color w:val="000000" w:themeColor="text1"/>
          <w:sz w:val="24"/>
          <w:szCs w:val="24"/>
          <w:lang w:val="en-GB"/>
        </w:rPr>
        <w:t>Barmour</w:t>
      </w:r>
      <w:proofErr w:type="spellEnd"/>
      <w:r w:rsidRPr="00710DFA">
        <w:rPr>
          <w:color w:val="000000" w:themeColor="text1"/>
          <w:sz w:val="24"/>
          <w:szCs w:val="24"/>
          <w:lang w:val="en-GB"/>
        </w:rPr>
        <w:t xml:space="preserve">, Ahmadi and </w:t>
      </w:r>
      <w:proofErr w:type="spellStart"/>
      <w:r w:rsidRPr="00710DFA">
        <w:rPr>
          <w:color w:val="000000" w:themeColor="text1"/>
          <w:sz w:val="24"/>
          <w:szCs w:val="24"/>
          <w:lang w:val="en-GB"/>
        </w:rPr>
        <w:t>Shokouhyar</w:t>
      </w:r>
      <w:proofErr w:type="spellEnd"/>
      <w:r w:rsidRPr="00710DFA">
        <w:rPr>
          <w:color w:val="000000" w:themeColor="text1"/>
          <w:sz w:val="24"/>
          <w:szCs w:val="24"/>
          <w:lang w:val="en-GB"/>
        </w:rPr>
        <w:t xml:space="preserve">, (2024) formulated supply chain resilience as three dimensions, including robustness, agility, and adaptiveness. The pandemic put the third dimension, adaptiveness, on the first level since companies realised that the level and the duration of Covid-19 shocks were bigger than what the robustness buffers or agility mechanisms could absorb. In the International Journal of Production Research, Ivanov and </w:t>
      </w:r>
      <w:proofErr w:type="spellStart"/>
      <w:r w:rsidRPr="00710DFA">
        <w:rPr>
          <w:color w:val="000000" w:themeColor="text1"/>
          <w:sz w:val="24"/>
          <w:szCs w:val="24"/>
          <w:lang w:val="en-GB"/>
        </w:rPr>
        <w:t>Dolgui</w:t>
      </w:r>
      <w:proofErr w:type="spellEnd"/>
      <w:r w:rsidRPr="00710DFA">
        <w:rPr>
          <w:color w:val="000000" w:themeColor="text1"/>
          <w:sz w:val="24"/>
          <w:szCs w:val="24"/>
          <w:lang w:val="en-GB"/>
        </w:rPr>
        <w:t xml:space="preserve"> (2021) have come up with a framework of supply chain viability which is specifically applicable to pandemic conditions, saying that resilient supply chains should no longer be developed to go through </w:t>
      </w:r>
      <w:proofErr w:type="spellStart"/>
      <w:r w:rsidRPr="00710DFA">
        <w:rPr>
          <w:color w:val="000000" w:themeColor="text1"/>
          <w:sz w:val="24"/>
          <w:szCs w:val="24"/>
          <w:lang w:val="en-GB"/>
        </w:rPr>
        <w:t>survivestay</w:t>
      </w:r>
      <w:proofErr w:type="spellEnd"/>
      <w:r w:rsidRPr="00710DFA">
        <w:rPr>
          <w:color w:val="000000" w:themeColor="text1"/>
          <w:sz w:val="24"/>
          <w:szCs w:val="24"/>
          <w:lang w:val="en-GB"/>
        </w:rPr>
        <w:t xml:space="preserve">-adapt-recover cycles but to go through the stage of absorb-recover. Their model brought in the concept </w:t>
      </w:r>
      <w:r w:rsidRPr="00710DFA">
        <w:rPr>
          <w:color w:val="000000" w:themeColor="text1"/>
          <w:sz w:val="24"/>
          <w:szCs w:val="24"/>
          <w:lang w:val="en-GB"/>
        </w:rPr>
        <w:lastRenderedPageBreak/>
        <w:t>that viability, which is the ability to endure structural disturbance over an extended period, needs systemic redesign as opposed to tactical buffering.</w:t>
      </w:r>
    </w:p>
    <w:p w14:paraId="0000001A" w14:textId="737E718C"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Resilience </w:t>
      </w:r>
      <w:r w:rsidR="001A4728" w:rsidRPr="00710DFA">
        <w:rPr>
          <w:color w:val="000000" w:themeColor="text1"/>
          <w:sz w:val="24"/>
          <w:szCs w:val="24"/>
          <w:lang w:val="en-GB"/>
        </w:rPr>
        <w:t>reconfigured</w:t>
      </w:r>
      <w:r w:rsidRPr="00710DFA">
        <w:rPr>
          <w:color w:val="000000" w:themeColor="text1"/>
          <w:sz w:val="24"/>
          <w:szCs w:val="24"/>
          <w:lang w:val="en-GB"/>
        </w:rPr>
        <w:t xml:space="preserve"> by digital technologies has gained specific academic interest. In the International Journal of Physical Distribution and Logistics Management, Huang </w:t>
      </w:r>
      <w:r w:rsidRPr="00710DFA">
        <w:rPr>
          <w:i/>
          <w:iCs/>
          <w:color w:val="000000" w:themeColor="text1"/>
          <w:sz w:val="24"/>
          <w:szCs w:val="24"/>
          <w:lang w:val="en-GB"/>
        </w:rPr>
        <w:t>et al</w:t>
      </w:r>
      <w:r w:rsidRPr="00710DFA">
        <w:rPr>
          <w:color w:val="000000" w:themeColor="text1"/>
          <w:sz w:val="24"/>
          <w:szCs w:val="24"/>
          <w:lang w:val="en-GB"/>
        </w:rPr>
        <w:t xml:space="preserve">., (2023) had claimed that Industry 4.0 technologies, such as the ‘Internet of Things’ (IoT), blockchain, and advanced analytics, are fundamentally changing the architectural structure of supply chain resilience, enabling real-time end-to-end visibility, prediction of risks, and autonomous response. These technologies were quickly brought to bear by the pandemic and, thus, generated qualitatively distinct resilience configurations compared to those before the pandemic: more data-driven, more dynamic and less based on the fixed buffering strategies. Nevertheless, Queiroz </w:t>
      </w:r>
      <w:r w:rsidRPr="00710DFA">
        <w:rPr>
          <w:i/>
          <w:iCs/>
          <w:color w:val="000000" w:themeColor="text1"/>
          <w:sz w:val="24"/>
          <w:szCs w:val="24"/>
          <w:lang w:val="en-GB"/>
        </w:rPr>
        <w:t>et al.</w:t>
      </w:r>
      <w:r w:rsidRPr="00710DFA">
        <w:rPr>
          <w:color w:val="000000" w:themeColor="text1"/>
          <w:sz w:val="24"/>
          <w:szCs w:val="24"/>
          <w:lang w:val="en-GB"/>
        </w:rPr>
        <w:t xml:space="preserve"> (2021) also presented an interesting cautionary view that the excessive dependence on algorithmic supply chain management can also bring new vulnerabilities in case of digital infrastructure. These itself turns into a single point of failure, a threat that has been experienced in the pandemic during the spike of cyber-attacks of the supply chain software systems.</w:t>
      </w:r>
    </w:p>
    <w:p w14:paraId="0000001B"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Human and organisational aspects of resilience reconfiguration have been discussed by the long-standing research of </w:t>
      </w:r>
      <w:proofErr w:type="spellStart"/>
      <w:r w:rsidRPr="00710DFA">
        <w:rPr>
          <w:color w:val="000000" w:themeColor="text1"/>
          <w:sz w:val="24"/>
          <w:szCs w:val="24"/>
          <w:lang w:val="en-GB"/>
        </w:rPr>
        <w:t>Barmour</w:t>
      </w:r>
      <w:proofErr w:type="spellEnd"/>
      <w:r w:rsidRPr="00710DFA">
        <w:rPr>
          <w:color w:val="000000" w:themeColor="text1"/>
          <w:sz w:val="24"/>
          <w:szCs w:val="24"/>
          <w:lang w:val="en-GB"/>
        </w:rPr>
        <w:t xml:space="preserve">, Ahmadi and </w:t>
      </w:r>
      <w:proofErr w:type="spellStart"/>
      <w:r w:rsidRPr="00710DFA">
        <w:rPr>
          <w:color w:val="000000" w:themeColor="text1"/>
          <w:sz w:val="24"/>
          <w:szCs w:val="24"/>
          <w:lang w:val="en-GB"/>
        </w:rPr>
        <w:t>Shokouhyar</w:t>
      </w:r>
      <w:proofErr w:type="spellEnd"/>
      <w:r w:rsidRPr="00710DFA">
        <w:rPr>
          <w:color w:val="000000" w:themeColor="text1"/>
          <w:sz w:val="24"/>
          <w:szCs w:val="24"/>
          <w:lang w:val="en-GB"/>
        </w:rPr>
        <w:t xml:space="preserve">, (2024), whose resilience model has been deployed by a number of researchers in the Covid-era.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presented a more integrative view, claiming that the post-pandemic supply chain resilience should have a new societal focus whereby firms must not only consider the resilience of their operations but also the social resilience of their employees and their suppliers. He also argued that those organisations that had invested in the welfare of its employees, supported its suppliers and partnered with communities in the face of the pandemic had better relationships and incorporated resilience capabilities. This view was not without critics: Ruan and Zhu, (2025) also writing in the same journal, criticized on framing as overly normative, and found the empirical basis of the societal orientation as a source of operational resiliency too thin and firms instead being caught in insurmountable tensions between the need to maximize shareholder value and the need to invest in social resiliency.</w:t>
      </w:r>
    </w:p>
    <w:p w14:paraId="0000001C"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Covid-19 has brought about a paradigm shift in resilience in supply chains, whereby most of the resilience in supply chains had previously been based on tactical approaches, </w:t>
      </w:r>
      <w:r w:rsidRPr="00710DFA">
        <w:rPr>
          <w:color w:val="000000" w:themeColor="text1"/>
          <w:sz w:val="24"/>
          <w:szCs w:val="24"/>
          <w:lang w:val="en-GB"/>
        </w:rPr>
        <w:lastRenderedPageBreak/>
        <w:t>based on buffers. Whereas it has now shifted to dynamic resilience, based on systems and digitally enabled resilience architectures. The academic conflict between the model of societal orientation and empirical scepticism indicates a greater unresolved debate on the scope and limits of supply chain resilience. However, the cumulative evidence seems to indicate that those companies that have adjusted the reconfiguration of operations according to relational and digital investment came out with much greater resilience capacity.</w:t>
      </w:r>
    </w:p>
    <w:p w14:paraId="694E0AD3" w14:textId="7F3B9A75" w:rsidR="00C96249" w:rsidRPr="00710DFA" w:rsidRDefault="00C96249" w:rsidP="000212CE">
      <w:pPr>
        <w:pStyle w:val="Heading3"/>
        <w:rPr>
          <w:lang w:val="en-GB"/>
        </w:rPr>
      </w:pPr>
      <w:bookmarkStart w:id="18" w:name="_Toc228921263"/>
      <w:r w:rsidRPr="00710DFA">
        <w:rPr>
          <w:lang w:val="en-GB"/>
        </w:rPr>
        <w:t>2.2.4</w:t>
      </w:r>
      <w:r w:rsidR="000212CE" w:rsidRPr="00710DFA">
        <w:rPr>
          <w:lang w:val="en-GB"/>
        </w:rPr>
        <w:t xml:space="preserve"> The politics of supply chain risk: governance and information visibility</w:t>
      </w:r>
      <w:bookmarkEnd w:id="18"/>
    </w:p>
    <w:p w14:paraId="503E216C" w14:textId="530A52FF" w:rsidR="006F72AC" w:rsidRPr="00710DFA" w:rsidRDefault="006F72AC" w:rsidP="00B9224A">
      <w:pPr>
        <w:spacing w:line="360" w:lineRule="auto"/>
        <w:jc w:val="both"/>
        <w:rPr>
          <w:color w:val="000000" w:themeColor="text1"/>
          <w:sz w:val="24"/>
          <w:szCs w:val="24"/>
          <w:lang w:val="en-GB"/>
        </w:rPr>
      </w:pPr>
      <w:r w:rsidRPr="00710DFA">
        <w:rPr>
          <w:color w:val="000000" w:themeColor="text1"/>
          <w:sz w:val="24"/>
          <w:szCs w:val="24"/>
          <w:lang w:val="en-GB"/>
        </w:rPr>
        <w:t>A dimension of supply chain vulnerability that has increasingly come into focus in the Covid-19 literature, but has not been fully explored in previous thematic reviews, is the structural deficit of governance and data-sharing protocols and arrangements across multi-tier supply chain networks. The crisis highlighted, in a particularly sharp way, the role of information asymmetry across tiers of supply chain networks as an additional source of supply chain vulnerability. While much of the existing literature tended to view visibility as a digitalisation problem, a deeper engagement with the evidence shows that the deficit is institutional, as well as relational in nature, and stems from governance structures and norms that do not mandate or motivate open information sharing across organisational boundaries.</w:t>
      </w:r>
    </w:p>
    <w:p w14:paraId="116E0376" w14:textId="0FFFBF3C" w:rsidR="006F72AC" w:rsidRPr="00710DFA" w:rsidRDefault="006F72AC" w:rsidP="00B9224A">
      <w:pPr>
        <w:spacing w:line="360" w:lineRule="auto"/>
        <w:jc w:val="both"/>
        <w:rPr>
          <w:color w:val="000000" w:themeColor="text1"/>
          <w:sz w:val="24"/>
          <w:szCs w:val="24"/>
          <w:lang w:val="en-GB"/>
        </w:rPr>
      </w:pPr>
      <w:r w:rsidRPr="00710DFA">
        <w:rPr>
          <w:color w:val="000000" w:themeColor="text1"/>
          <w:sz w:val="24"/>
          <w:szCs w:val="24"/>
          <w:lang w:val="en-GB"/>
        </w:rPr>
        <w:t xml:space="preserve">Hald and </w:t>
      </w:r>
      <w:proofErr w:type="spellStart"/>
      <w:r w:rsidRPr="00710DFA">
        <w:rPr>
          <w:color w:val="000000" w:themeColor="text1"/>
          <w:sz w:val="24"/>
          <w:szCs w:val="24"/>
          <w:lang w:val="en-GB"/>
        </w:rPr>
        <w:t>Coslugeanu</w:t>
      </w:r>
      <w:proofErr w:type="spellEnd"/>
      <w:r w:rsidRPr="00710DFA">
        <w:rPr>
          <w:color w:val="000000" w:themeColor="text1"/>
          <w:sz w:val="24"/>
          <w:szCs w:val="24"/>
          <w:lang w:val="en-GB"/>
        </w:rPr>
        <w:t xml:space="preserve"> (2022) in the journal Operations Management Research reviewed the use of digital technology in disrupted supply chains noted that while the supply chains of many firms boasted state-of-the-art supply chain management software, they struggled to learn and leverage intelligence from their networks during the crisis. Later it has been argued that it was not an institutional problem rather it was a technical issue. </w:t>
      </w:r>
      <w:r w:rsidR="00F226AA" w:rsidRPr="00710DFA">
        <w:rPr>
          <w:color w:val="000000" w:themeColor="text1"/>
          <w:sz w:val="24"/>
          <w:szCs w:val="24"/>
          <w:lang w:val="en-GB"/>
        </w:rPr>
        <w:t>Organisational norms</w:t>
      </w:r>
      <w:r w:rsidRPr="00710DFA">
        <w:rPr>
          <w:color w:val="000000" w:themeColor="text1"/>
          <w:sz w:val="24"/>
          <w:szCs w:val="24"/>
          <w:lang w:val="en-GB"/>
        </w:rPr>
        <w:t xml:space="preserve"> based on contractual as well as relational aspects typical of numerous supply chain affairs de</w:t>
      </w:r>
      <w:r w:rsidR="00F226AA" w:rsidRPr="00710DFA">
        <w:rPr>
          <w:color w:val="000000" w:themeColor="text1"/>
          <w:sz w:val="24"/>
          <w:szCs w:val="24"/>
          <w:lang w:val="en-GB"/>
        </w:rPr>
        <w:t>-</w:t>
      </w:r>
      <w:r w:rsidRPr="00710DFA">
        <w:rPr>
          <w:color w:val="000000" w:themeColor="text1"/>
          <w:sz w:val="24"/>
          <w:szCs w:val="24"/>
          <w:lang w:val="en-GB"/>
        </w:rPr>
        <w:t xml:space="preserve">incentivised the conversion of precise capacity, accounts and operative information, especially when such revelation might expose inexpensive weaknesses or jeopardy penalty charges. This is an important finding from an analysis point of view because it contradicts the conventional wisdom that digitalisation is the solution to supply chain visibility problems. Rather, it implies that governance reform, such as transparency requirements, data-sharing protocols and incentive </w:t>
      </w:r>
      <w:r w:rsidRPr="00710DFA">
        <w:rPr>
          <w:color w:val="000000" w:themeColor="text1"/>
          <w:sz w:val="24"/>
          <w:szCs w:val="24"/>
          <w:lang w:val="en-GB"/>
        </w:rPr>
        <w:lastRenderedPageBreak/>
        <w:t>structures for information sharing, is a critical antecedent to the creation of supply chain intelligence through digital means.</w:t>
      </w:r>
    </w:p>
    <w:p w14:paraId="1801C64E" w14:textId="77777777" w:rsidR="006F72AC" w:rsidRPr="00710DFA" w:rsidRDefault="006F72AC" w:rsidP="00B9224A">
      <w:pPr>
        <w:spacing w:line="360" w:lineRule="auto"/>
        <w:jc w:val="both"/>
        <w:rPr>
          <w:color w:val="000000" w:themeColor="text1"/>
          <w:sz w:val="24"/>
          <w:szCs w:val="24"/>
          <w:lang w:val="en-GB"/>
        </w:rPr>
      </w:pPr>
      <w:r w:rsidRPr="00710DFA">
        <w:rPr>
          <w:color w:val="000000" w:themeColor="text1"/>
          <w:sz w:val="24"/>
          <w:szCs w:val="24"/>
          <w:lang w:val="en-GB"/>
        </w:rPr>
        <w:t xml:space="preserve">The governance component of supply chain vulnerability also relates to collective action problems.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xml:space="preserve"> (2021) in the European Management Review, concluded that the pandemic effectively highlighted the impotence of atomised, firm-based supply chain risk management approaches to deal with systemic, cross-supply chain risks. It was impossible for firms, even those with relatively advanced risk-management capabilities, to track or respond to the spread of failures at tier-two and tier-three levels in their supply networks. This is because governance mechanisms were absent to aggregate and share in a timely manner the risk information among network actors. The theoretical implication is that supply chain resilience as an organisational property is simply not enough. It should be thought about as a property of network governance, entailing the construction of collaborative risk-management frameworks that cut across organisational boundaries.</w:t>
      </w:r>
    </w:p>
    <w:p w14:paraId="17216333" w14:textId="77777777" w:rsidR="006F72AC" w:rsidRPr="00710DFA" w:rsidRDefault="006F72AC" w:rsidP="00B9224A">
      <w:pPr>
        <w:spacing w:line="360" w:lineRule="auto"/>
        <w:jc w:val="both"/>
        <w:rPr>
          <w:color w:val="000000" w:themeColor="text1"/>
          <w:sz w:val="24"/>
          <w:szCs w:val="24"/>
          <w:lang w:val="en-GB"/>
        </w:rPr>
      </w:pPr>
      <w:r w:rsidRPr="00710DFA">
        <w:rPr>
          <w:color w:val="000000" w:themeColor="text1"/>
          <w:sz w:val="24"/>
          <w:szCs w:val="24"/>
          <w:lang w:val="en-GB"/>
        </w:rPr>
        <w:t xml:space="preserve">It is also important to take into consideration the link between information and power in supply chain governance. The pandemic clearly showed that information advantages were unevenly distributed in favour of larger. More resourced supply chain participants, who were able to exploit their prominence and social capital to secure scarce supply and transportation capacity at the expense of smaller, less informationally endowed counterparts. Gaudenzi, Pellegrino and </w:t>
      </w:r>
      <w:proofErr w:type="spellStart"/>
      <w:r w:rsidRPr="00710DFA">
        <w:rPr>
          <w:color w:val="000000" w:themeColor="text1"/>
          <w:sz w:val="24"/>
          <w:szCs w:val="24"/>
          <w:lang w:val="en-GB"/>
        </w:rPr>
        <w:t>Confente</w:t>
      </w:r>
      <w:proofErr w:type="spellEnd"/>
      <w:r w:rsidRPr="00710DFA">
        <w:rPr>
          <w:color w:val="000000" w:themeColor="text1"/>
          <w:sz w:val="24"/>
          <w:szCs w:val="24"/>
          <w:lang w:val="en-GB"/>
        </w:rPr>
        <w:t xml:space="preserve"> (2023) in the journal Supply Chain Management, shows that the most resilient supply chain designs were not only capability-rich but purposefully entailed the creation of equitable information sharing arrangements between supply chain partners of varying sizes and resource endowments. This insight serves to infuse an equity component into supply chain discussions of resilience that is largely absent from previous studies. Information-asymmetry-enforcing governance structures may well undermine supply chain network resilience, even while they support short-term advantage-taking behaviours.</w:t>
      </w:r>
    </w:p>
    <w:p w14:paraId="0A7BF9B3" w14:textId="3FF8A476" w:rsidR="00F226AA" w:rsidRPr="00710DFA" w:rsidRDefault="006F72AC" w:rsidP="00B9224A">
      <w:pPr>
        <w:spacing w:line="360" w:lineRule="auto"/>
        <w:jc w:val="both"/>
        <w:rPr>
          <w:color w:val="000000" w:themeColor="text1"/>
          <w:sz w:val="24"/>
          <w:szCs w:val="24"/>
          <w:lang w:val="en-GB"/>
        </w:rPr>
      </w:pPr>
      <w:r w:rsidRPr="00710DFA">
        <w:rPr>
          <w:color w:val="000000" w:themeColor="text1"/>
          <w:sz w:val="24"/>
          <w:szCs w:val="24"/>
          <w:lang w:val="en-GB"/>
        </w:rPr>
        <w:t xml:space="preserve">When viewed through the lens of Dynamic Capabilities Theory (DCT) as articulated by Teece, Pisano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xml:space="preserve"> (1997), the governance and information asymmetry theme adds to the traditional sensing-seizing-reconfiguring framework by showing that sensing is not just an internal organisation capability but is also shaped by the inter-organisational governance milieu. A firm can't sense what it doesn't see, and it can't see what it doesn't </w:t>
      </w:r>
      <w:r w:rsidRPr="00710DFA">
        <w:rPr>
          <w:color w:val="000000" w:themeColor="text1"/>
          <w:sz w:val="24"/>
          <w:szCs w:val="24"/>
          <w:lang w:val="en-GB"/>
        </w:rPr>
        <w:lastRenderedPageBreak/>
        <w:t>see. This is an important theoretical extension of DCT in the supply chain domain, which this research has contributed to by synthesising the governance literature in connection with the pandemic. It would be interesting for future research to explore whether the post-pandemic period has seen long-lasting changes in the governance norms of supply chain information-sharing, or whether competition has reintroduced the previous norms of informational opacity.</w:t>
      </w:r>
    </w:p>
    <w:p w14:paraId="0000001D" w14:textId="7BAA00D5" w:rsidR="00FC116A" w:rsidRPr="00710DFA" w:rsidRDefault="00611F89" w:rsidP="001A4728">
      <w:pPr>
        <w:pStyle w:val="Heading2"/>
        <w:rPr>
          <w:szCs w:val="24"/>
          <w:lang w:val="en-GB"/>
        </w:rPr>
      </w:pPr>
      <w:bookmarkStart w:id="19" w:name="_Toc228921264"/>
      <w:r w:rsidRPr="00710DFA">
        <w:rPr>
          <w:szCs w:val="24"/>
          <w:lang w:val="en-GB"/>
        </w:rPr>
        <w:t>2.3 Theoretical underpinning</w:t>
      </w:r>
      <w:bookmarkEnd w:id="19"/>
    </w:p>
    <w:p w14:paraId="0000001E"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The attempt to apply the ‘dynamic capabilities theory’ to organisational reaction to Covid-19-induced supply chain disruptions presents a solid theoretical framework. This can be used to analyse the organisational reactions to the disruptions through the prism of the original conceptualisation of Teece, Pisano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(1997) and the subsequent elaboration of the concept in the Strategic Management Journal. According to DCT, the ability of firms to detect emergent threats and capture adaptive opportunities and restructure internal and external capabilities is the only way of maintaining a competitive advantage in the volatile environment. This three-part framework is directly applicable to the pandemic: those organisations that had developed the feeling of vulnerability in the supply chain at an early stage, capitalised on digital and relational opportunities. This also accelerated digitalisation and nearshoring, and re-established their supplier networks and organisational structure had significantly better outcomes in terms of resilience. Most importantly, but most critically, DCT has also been subject to scholarly criticism; in the Strategic Management Journal, a case has been made that dynamic capabilities are not rarefied into firm-specific practices (</w:t>
      </w:r>
      <w:proofErr w:type="spellStart"/>
      <w:r w:rsidRPr="00710DFA">
        <w:rPr>
          <w:color w:val="000000" w:themeColor="text1"/>
          <w:sz w:val="24"/>
          <w:szCs w:val="24"/>
          <w:lang w:val="en-GB"/>
        </w:rPr>
        <w:t>Jucevičius</w:t>
      </w:r>
      <w:proofErr w:type="spellEnd"/>
      <w:r w:rsidRPr="00710DFA">
        <w:rPr>
          <w:color w:val="000000" w:themeColor="text1"/>
          <w:sz w:val="24"/>
          <w:szCs w:val="24"/>
          <w:lang w:val="en-GB"/>
        </w:rPr>
        <w:t xml:space="preserve"> and </w:t>
      </w:r>
      <w:proofErr w:type="spellStart"/>
      <w:r w:rsidRPr="00710DFA">
        <w:rPr>
          <w:color w:val="000000" w:themeColor="text1"/>
          <w:sz w:val="24"/>
          <w:szCs w:val="24"/>
          <w:lang w:val="en-GB"/>
        </w:rPr>
        <w:t>Jucevičienė</w:t>
      </w:r>
      <w:proofErr w:type="spellEnd"/>
      <w:r w:rsidRPr="00710DFA">
        <w:rPr>
          <w:color w:val="000000" w:themeColor="text1"/>
          <w:sz w:val="24"/>
          <w:szCs w:val="24"/>
          <w:lang w:val="en-GB"/>
        </w:rPr>
        <w:t xml:space="preserve">, 2022). In </w:t>
      </w:r>
      <w:proofErr w:type="gramStart"/>
      <w:r w:rsidRPr="00710DFA">
        <w:rPr>
          <w:color w:val="000000" w:themeColor="text1"/>
          <w:sz w:val="24"/>
          <w:szCs w:val="24"/>
          <w:lang w:val="en-GB"/>
        </w:rPr>
        <w:t>fact</w:t>
      </w:r>
      <w:proofErr w:type="gramEnd"/>
      <w:r w:rsidRPr="00710DFA">
        <w:rPr>
          <w:color w:val="000000" w:themeColor="text1"/>
          <w:sz w:val="24"/>
          <w:szCs w:val="24"/>
          <w:lang w:val="en-GB"/>
        </w:rPr>
        <w:t xml:space="preserve"> the best-practice routines that can be observed in rival firms, and as such, undermines the explanatory value of DCT as a source of sustained competitive differentiation (</w:t>
      </w:r>
      <w:proofErr w:type="spellStart"/>
      <w:r w:rsidRPr="00710DFA">
        <w:rPr>
          <w:color w:val="000000" w:themeColor="text1"/>
          <w:sz w:val="24"/>
          <w:szCs w:val="24"/>
          <w:lang w:val="en-GB"/>
        </w:rPr>
        <w:t>Suprihono</w:t>
      </w:r>
      <w:proofErr w:type="spellEnd"/>
      <w:r w:rsidRPr="00710DFA">
        <w:rPr>
          <w:color w:val="000000" w:themeColor="text1"/>
          <w:sz w:val="24"/>
          <w:szCs w:val="24"/>
          <w:lang w:val="en-GB"/>
        </w:rPr>
        <w:t xml:space="preserve">, </w:t>
      </w:r>
      <w:proofErr w:type="spellStart"/>
      <w:r w:rsidRPr="00710DFA">
        <w:rPr>
          <w:color w:val="000000" w:themeColor="text1"/>
          <w:sz w:val="24"/>
          <w:szCs w:val="24"/>
          <w:lang w:val="en-GB"/>
        </w:rPr>
        <w:t>Prasetya</w:t>
      </w:r>
      <w:proofErr w:type="spellEnd"/>
      <w:r w:rsidRPr="00710DFA">
        <w:rPr>
          <w:color w:val="000000" w:themeColor="text1"/>
          <w:sz w:val="24"/>
          <w:szCs w:val="24"/>
          <w:lang w:val="en-GB"/>
        </w:rPr>
        <w:t xml:space="preserve"> and Abdillah, 2021). Moreover, implicitly doubted in the situation of the pandemic, whether smaller companies have the organisational slack required to mobilise dynamic capabilities of acute crisis condition, DCT has an intrinsic large-firm bias, which may be inapplicable to supply chain resilience research in general.</w:t>
      </w:r>
    </w:p>
    <w:p w14:paraId="1E7E498A" w14:textId="4639C3AD" w:rsidR="00FD0C79" w:rsidRPr="00710DFA" w:rsidRDefault="00FD0C79" w:rsidP="00FD0C79">
      <w:pPr>
        <w:spacing w:line="360" w:lineRule="auto"/>
        <w:jc w:val="center"/>
        <w:rPr>
          <w:color w:val="000000" w:themeColor="text1"/>
          <w:sz w:val="24"/>
          <w:szCs w:val="24"/>
          <w:lang w:val="en-GB"/>
        </w:rPr>
      </w:pPr>
      <w:r w:rsidRPr="00710DFA">
        <w:rPr>
          <w:noProof/>
          <w:color w:val="000000" w:themeColor="text1"/>
          <w:sz w:val="24"/>
          <w:szCs w:val="24"/>
          <w:lang w:val="en-GB"/>
        </w:rPr>
        <w:lastRenderedPageBreak/>
        <w:drawing>
          <wp:inline distT="0" distB="0" distL="0" distR="0" wp14:anchorId="3114955F" wp14:editId="7DB328F6">
            <wp:extent cx="5266554" cy="3658788"/>
            <wp:effectExtent l="0" t="0" r="0" b="0"/>
            <wp:docPr id="4" name="Picture 3">
              <a:extLst xmlns:a="http://schemas.openxmlformats.org/drawingml/2006/main">
                <a:ext uri="{FF2B5EF4-FFF2-40B4-BE49-F238E27FC236}">
                  <a16:creationId xmlns:a16="http://schemas.microsoft.com/office/drawing/2014/main" id="{E02901F4-EB84-8464-45E0-077C7F481B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02901F4-EB84-8464-45E0-077C7F481B62}"/>
                        </a:ext>
                      </a:extLst>
                    </pic:cNvPr>
                    <pic:cNvPicPr>
                      <a:picLocks noChangeAspect="1"/>
                    </pic:cNvPicPr>
                  </pic:nvPicPr>
                  <pic:blipFill>
                    <a:blip r:embed="rId11"/>
                    <a:stretch>
                      <a:fillRect/>
                    </a:stretch>
                  </pic:blipFill>
                  <pic:spPr>
                    <a:xfrm>
                      <a:off x="0" y="0"/>
                      <a:ext cx="5266554" cy="3658788"/>
                    </a:xfrm>
                    <a:prstGeom prst="rect">
                      <a:avLst/>
                    </a:prstGeom>
                  </pic:spPr>
                </pic:pic>
              </a:graphicData>
            </a:graphic>
          </wp:inline>
        </w:drawing>
      </w:r>
    </w:p>
    <w:p w14:paraId="559BC362" w14:textId="74591CBE" w:rsidR="00FD0C79" w:rsidRPr="00710DFA" w:rsidRDefault="00FD0C79" w:rsidP="0068153D">
      <w:pPr>
        <w:pStyle w:val="Heading6"/>
        <w:rPr>
          <w:lang w:val="en-GB"/>
        </w:rPr>
      </w:pPr>
      <w:bookmarkStart w:id="20" w:name="_Toc228792873"/>
      <w:r w:rsidRPr="00710DFA">
        <w:rPr>
          <w:lang w:val="en-GB"/>
        </w:rPr>
        <w:t>Figure 2.2: DCT theoretical f</w:t>
      </w:r>
      <w:r w:rsidR="00986CE0" w:rsidRPr="00710DFA">
        <w:rPr>
          <w:lang w:val="en-GB"/>
        </w:rPr>
        <w:t>lowchart</w:t>
      </w:r>
      <w:bookmarkEnd w:id="20"/>
    </w:p>
    <w:p w14:paraId="206D602F" w14:textId="1EAD410D" w:rsidR="00FD0C79" w:rsidRPr="00710DFA" w:rsidRDefault="00FD0C79" w:rsidP="00FD0C79">
      <w:pPr>
        <w:spacing w:line="360" w:lineRule="auto"/>
        <w:jc w:val="center"/>
        <w:rPr>
          <w:color w:val="000000" w:themeColor="text1"/>
          <w:sz w:val="24"/>
          <w:szCs w:val="24"/>
          <w:lang w:val="en-GB"/>
        </w:rPr>
      </w:pPr>
      <w:r w:rsidRPr="00710DFA">
        <w:rPr>
          <w:color w:val="000000" w:themeColor="text1"/>
          <w:sz w:val="24"/>
          <w:szCs w:val="24"/>
          <w:lang w:val="en-GB"/>
        </w:rPr>
        <w:t xml:space="preserve">(Source: </w:t>
      </w:r>
      <w:r w:rsidR="00660133" w:rsidRPr="00710DFA">
        <w:rPr>
          <w:color w:val="000000" w:themeColor="text1"/>
          <w:sz w:val="24"/>
          <w:szCs w:val="24"/>
          <w:lang w:val="en-GB"/>
        </w:rPr>
        <w:t xml:space="preserve">Adapted from Teece, Pisano and </w:t>
      </w:r>
      <w:proofErr w:type="spellStart"/>
      <w:r w:rsidR="00660133" w:rsidRPr="00710DFA">
        <w:rPr>
          <w:color w:val="000000" w:themeColor="text1"/>
          <w:sz w:val="24"/>
          <w:szCs w:val="24"/>
          <w:lang w:val="en-GB"/>
        </w:rPr>
        <w:t>Shuen</w:t>
      </w:r>
      <w:proofErr w:type="spellEnd"/>
      <w:r w:rsidR="00660133" w:rsidRPr="00710DFA">
        <w:rPr>
          <w:color w:val="000000" w:themeColor="text1"/>
          <w:sz w:val="24"/>
          <w:szCs w:val="24"/>
          <w:lang w:val="en-GB"/>
        </w:rPr>
        <w:t>, 1997</w:t>
      </w:r>
      <w:r w:rsidRPr="00710DFA">
        <w:rPr>
          <w:color w:val="000000" w:themeColor="text1"/>
          <w:sz w:val="24"/>
          <w:szCs w:val="24"/>
          <w:lang w:val="en-GB"/>
        </w:rPr>
        <w:t>)</w:t>
      </w:r>
    </w:p>
    <w:p w14:paraId="6C060DCD" w14:textId="748AB556" w:rsidR="00986CE0" w:rsidRPr="00710DFA" w:rsidRDefault="00986CE0" w:rsidP="00C81BB0">
      <w:pPr>
        <w:pStyle w:val="Heading2"/>
        <w:rPr>
          <w:szCs w:val="24"/>
          <w:lang w:val="en-GB"/>
        </w:rPr>
      </w:pPr>
      <w:bookmarkStart w:id="21" w:name="_Toc228921265"/>
      <w:r w:rsidRPr="00710DFA">
        <w:rPr>
          <w:szCs w:val="24"/>
          <w:lang w:val="en-GB"/>
        </w:rPr>
        <w:lastRenderedPageBreak/>
        <w:t xml:space="preserve">2.4 </w:t>
      </w:r>
      <w:r w:rsidR="00363D15" w:rsidRPr="00710DFA">
        <w:rPr>
          <w:szCs w:val="24"/>
          <w:lang w:val="en-GB"/>
        </w:rPr>
        <w:t>Proposed c</w:t>
      </w:r>
      <w:r w:rsidRPr="00710DFA">
        <w:rPr>
          <w:szCs w:val="24"/>
          <w:lang w:val="en-GB"/>
        </w:rPr>
        <w:t>onceptual framework</w:t>
      </w:r>
      <w:bookmarkEnd w:id="21"/>
      <w:r w:rsidRPr="00710DFA">
        <w:rPr>
          <w:szCs w:val="24"/>
          <w:lang w:val="en-GB"/>
        </w:rPr>
        <w:t xml:space="preserve"> </w:t>
      </w:r>
    </w:p>
    <w:p w14:paraId="29FB20A0" w14:textId="51807520" w:rsidR="00CE4686" w:rsidRPr="00710DFA" w:rsidRDefault="00CE4686" w:rsidP="00880DBE">
      <w:pPr>
        <w:jc w:val="center"/>
        <w:rPr>
          <w:color w:val="000000" w:themeColor="text1"/>
          <w:sz w:val="24"/>
          <w:szCs w:val="24"/>
          <w:lang w:val="en-GB"/>
        </w:rPr>
      </w:pPr>
      <w:r w:rsidRPr="00710DFA">
        <w:rPr>
          <w:noProof/>
          <w:color w:val="000000" w:themeColor="text1"/>
          <w:sz w:val="24"/>
          <w:szCs w:val="24"/>
          <w:lang w:val="en-GB"/>
        </w:rPr>
        <w:drawing>
          <wp:inline distT="0" distB="0" distL="0" distR="0" wp14:anchorId="1F8770B2" wp14:editId="26457404">
            <wp:extent cx="3726180" cy="4297680"/>
            <wp:effectExtent l="0" t="0" r="7620" b="7620"/>
            <wp:docPr id="552381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6180" cy="4297680"/>
                    </a:xfrm>
                    <a:prstGeom prst="rect">
                      <a:avLst/>
                    </a:prstGeom>
                    <a:noFill/>
                    <a:ln>
                      <a:noFill/>
                    </a:ln>
                  </pic:spPr>
                </pic:pic>
              </a:graphicData>
            </a:graphic>
          </wp:inline>
        </w:drawing>
      </w:r>
    </w:p>
    <w:p w14:paraId="46AFFD8A" w14:textId="69689432" w:rsidR="0068153D" w:rsidRPr="00710DFA" w:rsidRDefault="0068153D" w:rsidP="0068153D">
      <w:pPr>
        <w:pStyle w:val="Heading6"/>
        <w:rPr>
          <w:lang w:val="en-GB"/>
        </w:rPr>
      </w:pPr>
      <w:bookmarkStart w:id="22" w:name="_Toc228792874"/>
      <w:r w:rsidRPr="00710DFA">
        <w:rPr>
          <w:lang w:val="en-GB"/>
        </w:rPr>
        <w:t xml:space="preserve">Figure 2.3: </w:t>
      </w:r>
      <w:r w:rsidR="00740DB7" w:rsidRPr="00710DFA">
        <w:rPr>
          <w:lang w:val="en-GB"/>
        </w:rPr>
        <w:t>P</w:t>
      </w:r>
      <w:r w:rsidRPr="00710DFA">
        <w:rPr>
          <w:lang w:val="en-GB"/>
        </w:rPr>
        <w:t>roposed conceptual framework</w:t>
      </w:r>
      <w:bookmarkEnd w:id="22"/>
    </w:p>
    <w:p w14:paraId="350F766F" w14:textId="10F7075E" w:rsidR="0027665E" w:rsidRPr="00710DFA" w:rsidRDefault="0027665E" w:rsidP="0027665E">
      <w:pPr>
        <w:rPr>
          <w:color w:val="000000" w:themeColor="text1"/>
          <w:sz w:val="24"/>
          <w:szCs w:val="24"/>
          <w:lang w:val="en-GB"/>
        </w:rPr>
      </w:pPr>
    </w:p>
    <w:p w14:paraId="0000001F" w14:textId="1C6DC569" w:rsidR="00FC116A" w:rsidRPr="00710DFA" w:rsidRDefault="00611F89" w:rsidP="001A4728">
      <w:pPr>
        <w:pStyle w:val="Heading2"/>
        <w:rPr>
          <w:szCs w:val="24"/>
          <w:lang w:val="en-GB"/>
        </w:rPr>
      </w:pPr>
      <w:bookmarkStart w:id="23" w:name="_Toc228921266"/>
      <w:r w:rsidRPr="00710DFA">
        <w:rPr>
          <w:szCs w:val="24"/>
          <w:lang w:val="en-GB"/>
        </w:rPr>
        <w:t>2.</w:t>
      </w:r>
      <w:r w:rsidR="00986CE0" w:rsidRPr="00710DFA">
        <w:rPr>
          <w:szCs w:val="24"/>
          <w:lang w:val="en-GB"/>
        </w:rPr>
        <w:t>5</w:t>
      </w:r>
      <w:r w:rsidRPr="00710DFA">
        <w:rPr>
          <w:szCs w:val="24"/>
          <w:lang w:val="en-GB"/>
        </w:rPr>
        <w:t xml:space="preserve"> Research gap</w:t>
      </w:r>
      <w:bookmarkEnd w:id="23"/>
    </w:p>
    <w:p w14:paraId="00000020" w14:textId="77777777" w:rsidR="00FC116A"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Although there has been an increase in literature exploring the issues of Covid-19 affecting supply chains, gaps still exist. Most of the literature available is either quantitative or conceptual in focus, with a relatively little involvement in qualitative secondary evidence as a synthesising procedure of bringing together organisational experiences in varying industry settings (Queiroz</w:t>
      </w:r>
      <w:r w:rsidRPr="00710DFA">
        <w:rPr>
          <w:i/>
          <w:iCs/>
          <w:color w:val="000000" w:themeColor="text1"/>
          <w:sz w:val="24"/>
          <w:szCs w:val="24"/>
          <w:lang w:val="en-GB"/>
        </w:rPr>
        <w:t xml:space="preserve"> et al</w:t>
      </w:r>
      <w:r w:rsidRPr="00710DFA">
        <w:rPr>
          <w:color w:val="000000" w:themeColor="text1"/>
          <w:sz w:val="24"/>
          <w:szCs w:val="24"/>
          <w:lang w:val="en-GB"/>
        </w:rPr>
        <w:t xml:space="preserve">., 2020). Moreover, although the Dynamic Capabilities Theory presents a strong theoretical framework, its use in the context of supply chain resilience reconfiguration in pandemic conditions has not been developed yet, especially in the interaction of sensing, seizing, and reconfiguring capabilities in sequence during a long-term disruption but not on the discrete crises </w:t>
      </w:r>
      <w:r w:rsidRPr="00710DFA">
        <w:rPr>
          <w:color w:val="000000" w:themeColor="text1"/>
          <w:sz w:val="24"/>
          <w:szCs w:val="24"/>
          <w:lang w:val="en-GB"/>
        </w:rPr>
        <w:lastRenderedPageBreak/>
        <w:t>(Ivanov and Dolgui, 2021). Most importantly, the available literature rarely combines organisational behavioural responses with the resilience reconfiguration outcomes into a single analytical framework, which gap is bridged by present study with the help of systematic secondary qualitative analysis.</w:t>
      </w:r>
    </w:p>
    <w:p w14:paraId="00000021" w14:textId="066DF019" w:rsidR="00FC116A" w:rsidRPr="00710DFA" w:rsidRDefault="00611F89" w:rsidP="001A4728">
      <w:pPr>
        <w:pStyle w:val="Heading2"/>
        <w:rPr>
          <w:szCs w:val="24"/>
          <w:lang w:val="en-GB"/>
        </w:rPr>
      </w:pPr>
      <w:bookmarkStart w:id="24" w:name="_Toc228921267"/>
      <w:r w:rsidRPr="00710DFA">
        <w:rPr>
          <w:szCs w:val="24"/>
          <w:lang w:val="en-GB"/>
        </w:rPr>
        <w:t>2.</w:t>
      </w:r>
      <w:r w:rsidR="00986CE0" w:rsidRPr="00710DFA">
        <w:rPr>
          <w:szCs w:val="24"/>
          <w:lang w:val="en-GB"/>
        </w:rPr>
        <w:t>6</w:t>
      </w:r>
      <w:r w:rsidRPr="00710DFA">
        <w:rPr>
          <w:szCs w:val="24"/>
          <w:lang w:val="en-GB"/>
        </w:rPr>
        <w:t xml:space="preserve"> C</w:t>
      </w:r>
      <w:r w:rsidR="0092301E" w:rsidRPr="00710DFA">
        <w:rPr>
          <w:szCs w:val="24"/>
          <w:lang w:val="en-GB"/>
        </w:rPr>
        <w:t>hapter summary</w:t>
      </w:r>
      <w:bookmarkEnd w:id="24"/>
      <w:r w:rsidR="0092301E" w:rsidRPr="00710DFA">
        <w:rPr>
          <w:szCs w:val="24"/>
          <w:lang w:val="en-GB"/>
        </w:rPr>
        <w:t xml:space="preserve"> </w:t>
      </w:r>
      <w:r w:rsidRPr="00710DFA">
        <w:rPr>
          <w:szCs w:val="24"/>
          <w:lang w:val="en-GB"/>
        </w:rPr>
        <w:t xml:space="preserve"> </w:t>
      </w:r>
    </w:p>
    <w:p w14:paraId="7E2ADF7C" w14:textId="77777777" w:rsidR="00265226" w:rsidRPr="00710DFA" w:rsidRDefault="00587185">
      <w:pPr>
        <w:spacing w:line="360" w:lineRule="auto"/>
        <w:jc w:val="both"/>
        <w:rPr>
          <w:color w:val="000000" w:themeColor="text1"/>
          <w:sz w:val="24"/>
          <w:szCs w:val="24"/>
          <w:lang w:val="en-GB"/>
        </w:rPr>
      </w:pPr>
      <w:r w:rsidRPr="00710DFA">
        <w:rPr>
          <w:color w:val="000000" w:themeColor="text1"/>
          <w:sz w:val="24"/>
          <w:szCs w:val="24"/>
          <w:lang w:val="en-GB"/>
        </w:rPr>
        <w:t xml:space="preserve">This literature review has determined that Covid-19 was essentially an unprecedented systemic stress-test of global supply chains that showed structural weaknesses in decades of efficiency-maximising, lean-oriented supply chain planning. The review has also proved the existence of organisational responses in the form of digital transformation, sourcing reconfiguration, and relational investment as </w:t>
      </w:r>
      <w:r w:rsidR="007A169F" w:rsidRPr="00710DFA">
        <w:rPr>
          <w:color w:val="000000" w:themeColor="text1"/>
          <w:sz w:val="24"/>
          <w:szCs w:val="24"/>
          <w:lang w:val="en-GB"/>
        </w:rPr>
        <w:t>conditioned</w:t>
      </w:r>
      <w:r w:rsidRPr="00710DFA">
        <w:rPr>
          <w:color w:val="000000" w:themeColor="text1"/>
          <w:sz w:val="24"/>
          <w:szCs w:val="24"/>
          <w:lang w:val="en-GB"/>
        </w:rPr>
        <w:t xml:space="preserve"> by the presence of existing dynamic capabilities, which confirms the explanatory relevance of the theoretical framework with certain limitations of that framework in the context of acute resource constraint. The synthesis has critically indicated that reconfiguration in resilience was not automatic or consistent, and it depended on the richness and order of organisational adaptive action. The inconsistencies found in all the literature, especially on the viability of resourcing and societal orientation, highlight the issue of complexity of supply chain resilience as a construct. All these insights encourage the qualitative secondary research of the current study and shape its analytical method in the further chapters. </w:t>
      </w:r>
    </w:p>
    <w:p w14:paraId="3C026C1F" w14:textId="77777777" w:rsidR="00265226" w:rsidRPr="00710DFA" w:rsidRDefault="00265226">
      <w:pPr>
        <w:rPr>
          <w:color w:val="000000" w:themeColor="text1"/>
          <w:sz w:val="24"/>
          <w:szCs w:val="24"/>
          <w:lang w:val="en-GB"/>
        </w:rPr>
      </w:pPr>
      <w:r w:rsidRPr="00710DFA">
        <w:rPr>
          <w:color w:val="000000" w:themeColor="text1"/>
          <w:sz w:val="24"/>
          <w:szCs w:val="24"/>
          <w:lang w:val="en-GB"/>
        </w:rPr>
        <w:br w:type="page"/>
      </w:r>
    </w:p>
    <w:p w14:paraId="428561CA" w14:textId="6B8E4522" w:rsidR="00371459" w:rsidRPr="00710DFA" w:rsidRDefault="00371459" w:rsidP="00D41688">
      <w:pPr>
        <w:pStyle w:val="Heading1"/>
      </w:pPr>
      <w:bookmarkStart w:id="25" w:name="_Toc228921268"/>
      <w:r w:rsidRPr="00710DFA">
        <w:lastRenderedPageBreak/>
        <w:t>Chapter 3: Methodology</w:t>
      </w:r>
      <w:bookmarkEnd w:id="25"/>
      <w:r w:rsidRPr="00710DFA">
        <w:t xml:space="preserve"> </w:t>
      </w:r>
    </w:p>
    <w:p w14:paraId="55CA4759" w14:textId="3DE62E27" w:rsidR="00265226" w:rsidRPr="00710DFA" w:rsidRDefault="00265226" w:rsidP="00D41688">
      <w:pPr>
        <w:pStyle w:val="Heading2"/>
        <w:rPr>
          <w:szCs w:val="24"/>
          <w:lang w:val="en-GB"/>
        </w:rPr>
      </w:pPr>
      <w:bookmarkStart w:id="26" w:name="_Toc228921269"/>
      <w:r w:rsidRPr="00710DFA">
        <w:rPr>
          <w:szCs w:val="24"/>
          <w:lang w:val="en-GB"/>
        </w:rPr>
        <w:t>3.1 Introduction</w:t>
      </w:r>
      <w:bookmarkEnd w:id="26"/>
    </w:p>
    <w:p w14:paraId="4C200A75" w14:textId="510E5A14" w:rsidR="00265226" w:rsidRPr="00710DFA" w:rsidRDefault="00265226" w:rsidP="00265226">
      <w:pPr>
        <w:spacing w:line="360" w:lineRule="auto"/>
        <w:jc w:val="both"/>
        <w:rPr>
          <w:color w:val="000000" w:themeColor="text1"/>
          <w:sz w:val="24"/>
          <w:szCs w:val="24"/>
          <w:lang w:val="en-GB"/>
        </w:rPr>
      </w:pPr>
      <w:r w:rsidRPr="00710DFA">
        <w:rPr>
          <w:color w:val="000000" w:themeColor="text1"/>
          <w:sz w:val="24"/>
          <w:szCs w:val="24"/>
          <w:lang w:val="en-GB"/>
        </w:rPr>
        <w:t>In this chapter the methodological framework on which this dissertation is founded is given and justified. The paper looks at the response of organisations to Covid-19 supply chain disruptions and the re</w:t>
      </w:r>
      <w:r w:rsidR="00D41688" w:rsidRPr="00710DFA">
        <w:rPr>
          <w:color w:val="000000" w:themeColor="text1"/>
          <w:sz w:val="24"/>
          <w:szCs w:val="24"/>
          <w:lang w:val="en-GB"/>
        </w:rPr>
        <w:t>-</w:t>
      </w:r>
      <w:r w:rsidRPr="00710DFA">
        <w:rPr>
          <w:color w:val="000000" w:themeColor="text1"/>
          <w:sz w:val="24"/>
          <w:szCs w:val="24"/>
          <w:lang w:val="en-GB"/>
        </w:rPr>
        <w:t>configurative nature of the same response to supply chain resilience. The conceptualisation of the methodological design of a research study by Saunders, Lewis and Thornhill (2023) is based on the concept of the research onion that layers philosophical assumptions, research approaches, design options and data collection strategies. The layers are addressed and reasoned out below with respect to their adherence to the objectives of the study and the secondary qualitative nature of the study.</w:t>
      </w:r>
    </w:p>
    <w:p w14:paraId="043DFE47" w14:textId="267EB6E2" w:rsidR="00265226" w:rsidRPr="00710DFA" w:rsidRDefault="00265226" w:rsidP="00D41688">
      <w:pPr>
        <w:pStyle w:val="Heading2"/>
        <w:rPr>
          <w:szCs w:val="24"/>
          <w:lang w:val="en-GB"/>
        </w:rPr>
      </w:pPr>
      <w:bookmarkStart w:id="27" w:name="_Toc228921270"/>
      <w:r w:rsidRPr="00710DFA">
        <w:rPr>
          <w:szCs w:val="24"/>
          <w:lang w:val="en-GB"/>
        </w:rPr>
        <w:t>3.</w:t>
      </w:r>
      <w:r w:rsidR="00FF5868">
        <w:rPr>
          <w:szCs w:val="24"/>
          <w:lang w:val="en-GB"/>
        </w:rPr>
        <w:t>2</w:t>
      </w:r>
      <w:r w:rsidRPr="00710DFA">
        <w:rPr>
          <w:szCs w:val="24"/>
          <w:lang w:val="en-GB"/>
        </w:rPr>
        <w:t xml:space="preserve"> Philosophy and Assumptions of the Research</w:t>
      </w:r>
      <w:bookmarkEnd w:id="27"/>
    </w:p>
    <w:p w14:paraId="5950A01D" w14:textId="562A5B02" w:rsidR="00265226" w:rsidRPr="00710DFA" w:rsidRDefault="00265226" w:rsidP="00265226">
      <w:pPr>
        <w:spacing w:line="360" w:lineRule="auto"/>
        <w:jc w:val="both"/>
        <w:rPr>
          <w:color w:val="000000" w:themeColor="text1"/>
          <w:sz w:val="24"/>
          <w:szCs w:val="24"/>
          <w:lang w:val="en-GB"/>
        </w:rPr>
      </w:pPr>
      <w:r w:rsidRPr="00710DFA">
        <w:rPr>
          <w:color w:val="000000" w:themeColor="text1"/>
          <w:sz w:val="24"/>
          <w:szCs w:val="24"/>
          <w:lang w:val="en-GB"/>
        </w:rPr>
        <w:t>The research paper takes an interpretivist philosophical approach. Interpretivism believes that the social phenomena such as organisation perception, response, and recovery related to a crisis cannot be an objective fact but are created through human meanings, contextual experiences, and managerial judgements (William, 2024). This philosophical stance is supported by the fact that the research questions are based on how organisations understood and handled the disruptions of the supply chain in the face of an unprecedented and context-specific incident. The operationalisation of resilience into measurable variables and predetermined testing of hypotheses would be expected of a positivist philosophy (</w:t>
      </w:r>
      <w:proofErr w:type="spellStart"/>
      <w:r w:rsidRPr="00710DFA">
        <w:rPr>
          <w:color w:val="000000" w:themeColor="text1"/>
          <w:sz w:val="24"/>
          <w:szCs w:val="24"/>
          <w:lang w:val="en-GB"/>
        </w:rPr>
        <w:t>McGarraghy</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Interpretivism has an ontological assumption of constructivism, namely that organisational realities are co-constructed by managerial actions and institutional settings, and an epistemological stance of the researcher of discovering meanings as opposed to measuring results. These are all assumptions that are in line with the secondary qualitative design utilised in which published academic evidence is analysed and synthesised instead of statistically analysed.</w:t>
      </w:r>
    </w:p>
    <w:p w14:paraId="16A3A5E2" w14:textId="517BF6C8" w:rsidR="00A61EA5" w:rsidRPr="00710DFA" w:rsidRDefault="00A61EA5" w:rsidP="00A61EA5">
      <w:pPr>
        <w:spacing w:line="360" w:lineRule="auto"/>
        <w:jc w:val="center"/>
        <w:rPr>
          <w:color w:val="000000" w:themeColor="text1"/>
          <w:sz w:val="24"/>
          <w:szCs w:val="24"/>
          <w:lang w:val="en-GB"/>
        </w:rPr>
      </w:pPr>
      <w:r w:rsidRPr="00710DFA">
        <w:rPr>
          <w:noProof/>
          <w:color w:val="000000" w:themeColor="text1"/>
          <w:sz w:val="24"/>
          <w:szCs w:val="24"/>
          <w:lang w:val="en-GB"/>
        </w:rPr>
        <w:lastRenderedPageBreak/>
        <w:drawing>
          <wp:inline distT="0" distB="0" distL="0" distR="0" wp14:anchorId="1BB73478" wp14:editId="5E64A2F4">
            <wp:extent cx="5362575" cy="3810000"/>
            <wp:effectExtent l="0" t="0" r="9525" b="0"/>
            <wp:docPr id="166578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8953" name=""/>
                    <pic:cNvPicPr/>
                  </pic:nvPicPr>
                  <pic:blipFill>
                    <a:blip r:embed="rId13"/>
                    <a:stretch>
                      <a:fillRect/>
                    </a:stretch>
                  </pic:blipFill>
                  <pic:spPr>
                    <a:xfrm>
                      <a:off x="0" y="0"/>
                      <a:ext cx="5362575" cy="3810000"/>
                    </a:xfrm>
                    <a:prstGeom prst="rect">
                      <a:avLst/>
                    </a:prstGeom>
                  </pic:spPr>
                </pic:pic>
              </a:graphicData>
            </a:graphic>
          </wp:inline>
        </w:drawing>
      </w:r>
    </w:p>
    <w:p w14:paraId="4378AF1C" w14:textId="107DF6AE" w:rsidR="00A61EA5" w:rsidRPr="00710DFA" w:rsidRDefault="00A61EA5" w:rsidP="0068153D">
      <w:pPr>
        <w:pStyle w:val="Heading6"/>
        <w:rPr>
          <w:lang w:val="en-GB"/>
        </w:rPr>
      </w:pPr>
      <w:bookmarkStart w:id="28" w:name="_Toc228792875"/>
      <w:r w:rsidRPr="00710DFA">
        <w:rPr>
          <w:lang w:val="en-GB"/>
        </w:rPr>
        <w:t>Figure 3.1: Research Onion</w:t>
      </w:r>
      <w:bookmarkEnd w:id="28"/>
    </w:p>
    <w:p w14:paraId="3402F2AC" w14:textId="0C4DCCD6" w:rsidR="00A61EA5" w:rsidRPr="00710DFA" w:rsidRDefault="00A61EA5" w:rsidP="00A61EA5">
      <w:pPr>
        <w:spacing w:line="360" w:lineRule="auto"/>
        <w:jc w:val="center"/>
        <w:rPr>
          <w:color w:val="000000" w:themeColor="text1"/>
          <w:sz w:val="24"/>
          <w:szCs w:val="24"/>
          <w:lang w:val="en-GB"/>
        </w:rPr>
      </w:pPr>
      <w:r w:rsidRPr="00710DFA">
        <w:rPr>
          <w:color w:val="000000" w:themeColor="text1"/>
          <w:sz w:val="24"/>
          <w:szCs w:val="24"/>
          <w:lang w:val="en-GB"/>
        </w:rPr>
        <w:t>(Source: Saunders, Lewis and Thornhill, 2023)</w:t>
      </w:r>
    </w:p>
    <w:p w14:paraId="051B6CD4" w14:textId="77777777" w:rsidR="00265226" w:rsidRPr="00710DFA" w:rsidRDefault="00265226" w:rsidP="00D41688">
      <w:pPr>
        <w:pStyle w:val="Heading2"/>
        <w:rPr>
          <w:szCs w:val="24"/>
          <w:lang w:val="en-GB"/>
        </w:rPr>
      </w:pPr>
      <w:bookmarkStart w:id="29" w:name="_Toc228921271"/>
      <w:r w:rsidRPr="00710DFA">
        <w:rPr>
          <w:szCs w:val="24"/>
          <w:lang w:val="en-GB"/>
        </w:rPr>
        <w:t>3.3 Research Design</w:t>
      </w:r>
      <w:bookmarkEnd w:id="29"/>
    </w:p>
    <w:p w14:paraId="082AB0E6" w14:textId="2BA07235" w:rsidR="00265226" w:rsidRPr="00710DFA" w:rsidRDefault="00265226" w:rsidP="00265226">
      <w:pPr>
        <w:spacing w:line="360" w:lineRule="auto"/>
        <w:jc w:val="both"/>
        <w:rPr>
          <w:color w:val="000000" w:themeColor="text1"/>
          <w:sz w:val="24"/>
          <w:szCs w:val="24"/>
          <w:lang w:val="en-GB"/>
        </w:rPr>
      </w:pPr>
      <w:r w:rsidRPr="00710DFA">
        <w:rPr>
          <w:color w:val="000000" w:themeColor="text1"/>
          <w:sz w:val="24"/>
          <w:szCs w:val="24"/>
          <w:lang w:val="en-GB"/>
        </w:rPr>
        <w:t xml:space="preserve">The study applies secondary qualitative research. As opposed to creating primary empirical data (i.e. interview/survey), this research is a critical and synthesis of published peer-reviewed literature, case studies, and organisational reports that report supply chain reactions to the Covid-19 pandemic. There are several reasons as to why this design is justified. To begin with, the quantity and quality of post-2020 literature on supply chain resilience are large; synthesising it can provide a rigorous and thorough insight that could not be achieved by </w:t>
      </w:r>
      <w:r w:rsidR="00A61EA5" w:rsidRPr="00710DFA">
        <w:rPr>
          <w:color w:val="000000" w:themeColor="text1"/>
          <w:sz w:val="24"/>
          <w:szCs w:val="24"/>
          <w:lang w:val="en-GB"/>
        </w:rPr>
        <w:t>primary research</w:t>
      </w:r>
      <w:r w:rsidRPr="00710DFA">
        <w:rPr>
          <w:color w:val="000000" w:themeColor="text1"/>
          <w:sz w:val="24"/>
          <w:szCs w:val="24"/>
          <w:lang w:val="en-GB"/>
        </w:rPr>
        <w:t xml:space="preserve"> conducted on a single organisation. Second, it is more appropriate to cross-case compare supply chain resilience among numerous organisations and industries with the help of cross-case analysis to study the topic, which secondary qualitative analysis allows (Niu </w:t>
      </w:r>
      <w:r w:rsidRPr="00710DFA">
        <w:rPr>
          <w:i/>
          <w:iCs/>
          <w:color w:val="000000" w:themeColor="text1"/>
          <w:sz w:val="24"/>
          <w:szCs w:val="24"/>
          <w:lang w:val="en-GB"/>
        </w:rPr>
        <w:t>et al.,</w:t>
      </w:r>
      <w:r w:rsidRPr="00710DFA">
        <w:rPr>
          <w:color w:val="000000" w:themeColor="text1"/>
          <w:sz w:val="24"/>
          <w:szCs w:val="24"/>
          <w:lang w:val="en-GB"/>
        </w:rPr>
        <w:t xml:space="preserve"> 2025). Third, the methodological area of interpreting textual and documentary evidence implies that secondary qualitative research is coherent in the techniques of interpretivism instead of gathering or quantifying </w:t>
      </w:r>
      <w:r w:rsidRPr="00710DFA">
        <w:rPr>
          <w:color w:val="000000" w:themeColor="text1"/>
          <w:sz w:val="24"/>
          <w:szCs w:val="24"/>
          <w:lang w:val="en-GB"/>
        </w:rPr>
        <w:lastRenderedPageBreak/>
        <w:t>primary data collection. A qualitative design in contrast to quantitative or mixed-method design is explained by the fact that the phenomenon under study is contextual, process-based and entrenched within particular organisational conditions, which are impossible to apply to numerical data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2021).</w:t>
      </w:r>
    </w:p>
    <w:p w14:paraId="68D11DA7" w14:textId="77777777" w:rsidR="00265226" w:rsidRPr="00710DFA" w:rsidRDefault="00265226" w:rsidP="00D41688">
      <w:pPr>
        <w:pStyle w:val="Heading2"/>
        <w:rPr>
          <w:szCs w:val="24"/>
          <w:lang w:val="en-GB"/>
        </w:rPr>
      </w:pPr>
      <w:bookmarkStart w:id="30" w:name="_Toc228921272"/>
      <w:r w:rsidRPr="00710DFA">
        <w:rPr>
          <w:szCs w:val="24"/>
          <w:lang w:val="en-GB"/>
        </w:rPr>
        <w:t>3.4 Research Approach</w:t>
      </w:r>
      <w:bookmarkEnd w:id="30"/>
    </w:p>
    <w:p w14:paraId="396B6F0D" w14:textId="476D8B0F" w:rsidR="00265226" w:rsidRPr="00710DFA" w:rsidRDefault="00265226" w:rsidP="00265226">
      <w:pPr>
        <w:spacing w:line="360" w:lineRule="auto"/>
        <w:jc w:val="both"/>
        <w:rPr>
          <w:color w:val="000000" w:themeColor="text1"/>
          <w:sz w:val="24"/>
          <w:szCs w:val="24"/>
          <w:lang w:val="en-GB"/>
        </w:rPr>
      </w:pPr>
      <w:r w:rsidRPr="00710DFA">
        <w:rPr>
          <w:color w:val="000000" w:themeColor="text1"/>
          <w:sz w:val="24"/>
          <w:szCs w:val="24"/>
          <w:lang w:val="en-GB"/>
        </w:rPr>
        <w:t>This research takes an inductive approach. In inductive reasoning, there is the derivation of theoretical insights and conceptual themes using data and not imposing on it using previous hypotheses</w:t>
      </w:r>
      <w:r w:rsidR="00A61EA5" w:rsidRPr="00710DFA">
        <w:rPr>
          <w:color w:val="000000" w:themeColor="text1"/>
          <w:sz w:val="24"/>
          <w:szCs w:val="24"/>
          <w:lang w:val="en-GB"/>
        </w:rPr>
        <w:t xml:space="preserve">. </w:t>
      </w:r>
      <w:r w:rsidRPr="00710DFA">
        <w:rPr>
          <w:color w:val="000000" w:themeColor="text1"/>
          <w:sz w:val="24"/>
          <w:szCs w:val="24"/>
          <w:lang w:val="en-GB"/>
        </w:rPr>
        <w:t>This method is suitable since the reconfiguration aspect of supply chain resilience, which is the specific area of the current study, is under</w:t>
      </w:r>
      <w:r w:rsidR="008D1F02" w:rsidRPr="00710DFA">
        <w:rPr>
          <w:color w:val="000000" w:themeColor="text1"/>
          <w:sz w:val="24"/>
          <w:szCs w:val="24"/>
          <w:lang w:val="en-GB"/>
        </w:rPr>
        <w:t>-</w:t>
      </w:r>
      <w:r w:rsidRPr="00710DFA">
        <w:rPr>
          <w:color w:val="000000" w:themeColor="text1"/>
          <w:sz w:val="24"/>
          <w:szCs w:val="24"/>
          <w:lang w:val="en-GB"/>
        </w:rPr>
        <w:t xml:space="preserve">theorised in the literature, and the Covid-19 pandemic is a new and never before experienced disruption that the current theoretical frameworks failed to predict (Li </w:t>
      </w:r>
      <w:r w:rsidRPr="00710DFA">
        <w:rPr>
          <w:i/>
          <w:iCs/>
          <w:color w:val="000000" w:themeColor="text1"/>
          <w:sz w:val="24"/>
          <w:szCs w:val="24"/>
          <w:lang w:val="en-GB"/>
        </w:rPr>
        <w:t>et al.,</w:t>
      </w:r>
      <w:r w:rsidRPr="00710DFA">
        <w:rPr>
          <w:color w:val="000000" w:themeColor="text1"/>
          <w:sz w:val="24"/>
          <w:szCs w:val="24"/>
          <w:lang w:val="en-GB"/>
        </w:rPr>
        <w:t xml:space="preserve"> 2023). Using an inductive method enables the emanation of the emergent patterns of organisational behaviour and resilience-building to nuance out of the secondary qualitative evidence instead of rambling the analysis within a fixed set of constructs. The analytical rigour is provided by the use of inductive coding procedure detailed by Coulston, Lynch and </w:t>
      </w:r>
      <w:proofErr w:type="spellStart"/>
      <w:r w:rsidRPr="00710DFA">
        <w:rPr>
          <w:color w:val="000000" w:themeColor="text1"/>
          <w:sz w:val="24"/>
          <w:szCs w:val="24"/>
          <w:lang w:val="en-GB"/>
        </w:rPr>
        <w:t>Vears</w:t>
      </w:r>
      <w:proofErr w:type="spellEnd"/>
      <w:r w:rsidRPr="00710DFA">
        <w:rPr>
          <w:color w:val="000000" w:themeColor="text1"/>
          <w:sz w:val="24"/>
          <w:szCs w:val="24"/>
          <w:lang w:val="en-GB"/>
        </w:rPr>
        <w:t xml:space="preserve"> (2025)</w:t>
      </w:r>
      <w:r w:rsidR="008D1F02" w:rsidRPr="00710DFA">
        <w:rPr>
          <w:color w:val="000000" w:themeColor="text1"/>
          <w:sz w:val="24"/>
          <w:szCs w:val="24"/>
          <w:lang w:val="en-GB"/>
        </w:rPr>
        <w:t>. B</w:t>
      </w:r>
      <w:r w:rsidRPr="00710DFA">
        <w:rPr>
          <w:color w:val="000000" w:themeColor="text1"/>
          <w:sz w:val="24"/>
          <w:szCs w:val="24"/>
          <w:lang w:val="en-GB"/>
        </w:rPr>
        <w:t>ased on creating first-order codes by means of processing the data, arranging the results in second-order themes, and synthesising the whole data into overall conceptual dimensions. It does not utilize a deductive method, which will purposely impose data into existing theoretical categories and will inhibit any results that do not fit previous models, which will be particularly restrictive due to the novelty of the pandemic situation.</w:t>
      </w:r>
    </w:p>
    <w:p w14:paraId="574CEA8B" w14:textId="1A3A74A9" w:rsidR="008D1F02" w:rsidRPr="00710DFA" w:rsidRDefault="008D1F02" w:rsidP="008D1F02">
      <w:pPr>
        <w:spacing w:line="360" w:lineRule="auto"/>
        <w:jc w:val="center"/>
        <w:rPr>
          <w:color w:val="000000" w:themeColor="text1"/>
          <w:sz w:val="24"/>
          <w:szCs w:val="24"/>
          <w:lang w:val="en-GB"/>
        </w:rPr>
      </w:pPr>
    </w:p>
    <w:p w14:paraId="69902853" w14:textId="77777777" w:rsidR="00265226" w:rsidRPr="00710DFA" w:rsidRDefault="00265226" w:rsidP="00D41688">
      <w:pPr>
        <w:pStyle w:val="Heading2"/>
        <w:rPr>
          <w:szCs w:val="24"/>
          <w:lang w:val="en-GB"/>
        </w:rPr>
      </w:pPr>
      <w:bookmarkStart w:id="31" w:name="_Toc228921273"/>
      <w:r w:rsidRPr="00710DFA">
        <w:rPr>
          <w:szCs w:val="24"/>
          <w:lang w:val="en-GB"/>
        </w:rPr>
        <w:t>3.5 Data Collection Methods</w:t>
      </w:r>
      <w:bookmarkEnd w:id="31"/>
    </w:p>
    <w:p w14:paraId="5A67F9DA" w14:textId="6996902F" w:rsidR="00782DF6" w:rsidRPr="00710DFA" w:rsidRDefault="00265226" w:rsidP="00265226">
      <w:pPr>
        <w:spacing w:line="360" w:lineRule="auto"/>
        <w:jc w:val="both"/>
        <w:rPr>
          <w:b/>
          <w:bCs/>
          <w:color w:val="000000" w:themeColor="text1"/>
          <w:sz w:val="24"/>
          <w:szCs w:val="24"/>
          <w:lang w:val="en-GB"/>
        </w:rPr>
      </w:pPr>
      <w:r w:rsidRPr="00710DFA">
        <w:rPr>
          <w:color w:val="000000" w:themeColor="text1"/>
          <w:sz w:val="24"/>
          <w:szCs w:val="24"/>
          <w:lang w:val="en-GB"/>
        </w:rPr>
        <w:t xml:space="preserve">The secondary qualitative data sources that will be used in data collection include peer-reviewed journal articles, systematic and bibliometric reviews, and published organisational case studies. The sources will be based on the best databases such as Scopus, Web of Science, and Google Scholar, and the inclusion criteria will be that the articles have to be published in the previous year (2020-2025) to be relevant to the pandemic situation. The choice of studies is on the basis of their direct pertinence to the disruption of the supply chain, the responses of organisations, and their resilience </w:t>
      </w:r>
      <w:r w:rsidRPr="00710DFA">
        <w:rPr>
          <w:color w:val="000000" w:themeColor="text1"/>
          <w:sz w:val="24"/>
          <w:szCs w:val="24"/>
          <w:lang w:val="en-GB"/>
        </w:rPr>
        <w:lastRenderedPageBreak/>
        <w:t xml:space="preserve">reconfiguration, and articles in A-listed journals have the priority. Such a choice approach is also reasonable since it will guarantee the relevance of the evidence base as both authoritative and up-to-date, as the field of post-pandemic scholarship is changing very quickly (Niu </w:t>
      </w:r>
      <w:r w:rsidRPr="00710DFA">
        <w:rPr>
          <w:i/>
          <w:iCs/>
          <w:color w:val="000000" w:themeColor="text1"/>
          <w:sz w:val="24"/>
          <w:szCs w:val="24"/>
          <w:lang w:val="en-GB"/>
        </w:rPr>
        <w:t>et al.,</w:t>
      </w:r>
      <w:r w:rsidRPr="00710DFA">
        <w:rPr>
          <w:color w:val="000000" w:themeColor="text1"/>
          <w:sz w:val="24"/>
          <w:szCs w:val="24"/>
          <w:lang w:val="en-GB"/>
        </w:rPr>
        <w:t xml:space="preserve"> 2025). Systematic sourcing also reduces subjective selection bias and improves the trustworthiness of the results of the analytical process. Collected evidence is organised and interpreted through the thematic analysis as this approach is a well-developed qualitative method that is suitable to detect patterns in large volumes of textual data (Braun and Clarke, 202</w:t>
      </w:r>
      <w:r w:rsidR="00B72330" w:rsidRPr="00710DFA">
        <w:rPr>
          <w:color w:val="000000" w:themeColor="text1"/>
          <w:sz w:val="24"/>
          <w:szCs w:val="24"/>
          <w:lang w:val="en-GB"/>
        </w:rPr>
        <w:t>2</w:t>
      </w:r>
      <w:r w:rsidRPr="00710DFA">
        <w:rPr>
          <w:color w:val="000000" w:themeColor="text1"/>
          <w:sz w:val="24"/>
          <w:szCs w:val="24"/>
          <w:lang w:val="en-GB"/>
        </w:rPr>
        <w:t>). The study will not be restricted by the practical and logistical constraints of primary data collection and will still be interpretive and theoretically relevant by relying on published secondary data</w:t>
      </w:r>
      <w:r w:rsidRPr="00710DFA">
        <w:rPr>
          <w:b/>
          <w:bCs/>
          <w:color w:val="000000" w:themeColor="text1"/>
          <w:sz w:val="24"/>
          <w:szCs w:val="24"/>
          <w:lang w:val="en-GB"/>
        </w:rPr>
        <w:t>.</w:t>
      </w:r>
    </w:p>
    <w:p w14:paraId="08D4A6D4" w14:textId="199EC637" w:rsidR="00BA72AC" w:rsidRPr="00710DFA" w:rsidRDefault="00BA72AC" w:rsidP="00265226">
      <w:pPr>
        <w:spacing w:line="360" w:lineRule="auto"/>
        <w:jc w:val="both"/>
        <w:rPr>
          <w:color w:val="000000" w:themeColor="text1"/>
          <w:sz w:val="24"/>
          <w:szCs w:val="24"/>
          <w:lang w:val="en-GB"/>
        </w:rPr>
      </w:pPr>
      <w:r w:rsidRPr="00710DFA">
        <w:rPr>
          <w:color w:val="000000" w:themeColor="text1"/>
          <w:sz w:val="24"/>
          <w:szCs w:val="24"/>
          <w:lang w:val="en-GB"/>
        </w:rPr>
        <w:t xml:space="preserve">in order to manage methodological transparency within the article selection procedure, the PRISMA </w:t>
      </w:r>
      <w:r w:rsidR="003B52A3" w:rsidRPr="00710DFA">
        <w:rPr>
          <w:color w:val="000000" w:themeColor="text1"/>
          <w:sz w:val="24"/>
          <w:szCs w:val="24"/>
          <w:lang w:val="en-GB"/>
        </w:rPr>
        <w:t>“</w:t>
      </w:r>
      <w:r w:rsidRPr="00710DFA">
        <w:rPr>
          <w:color w:val="000000" w:themeColor="text1"/>
          <w:sz w:val="24"/>
          <w:szCs w:val="24"/>
          <w:lang w:val="en-GB"/>
        </w:rPr>
        <w:t>(Preferred reporting items for systematic review and Meta analysis)</w:t>
      </w:r>
      <w:r w:rsidR="003B52A3" w:rsidRPr="00710DFA">
        <w:rPr>
          <w:color w:val="000000" w:themeColor="text1"/>
          <w:sz w:val="24"/>
          <w:szCs w:val="24"/>
          <w:lang w:val="en-GB"/>
        </w:rPr>
        <w:t>”</w:t>
      </w:r>
      <w:r w:rsidRPr="00710DFA">
        <w:rPr>
          <w:color w:val="000000" w:themeColor="text1"/>
          <w:sz w:val="24"/>
          <w:szCs w:val="24"/>
          <w:lang w:val="en-GB"/>
        </w:rPr>
        <w:t xml:space="preserve"> framework has been selected</w:t>
      </w:r>
      <w:r w:rsidR="00B17BE9" w:rsidRPr="00710DFA">
        <w:rPr>
          <w:color w:val="000000" w:themeColor="text1"/>
          <w:sz w:val="24"/>
          <w:szCs w:val="24"/>
          <w:lang w:val="en-GB"/>
        </w:rPr>
        <w:t xml:space="preserve"> (Page </w:t>
      </w:r>
      <w:r w:rsidR="00B17BE9" w:rsidRPr="00710DFA">
        <w:rPr>
          <w:i/>
          <w:iCs/>
          <w:color w:val="000000" w:themeColor="text1"/>
          <w:sz w:val="24"/>
          <w:szCs w:val="24"/>
          <w:lang w:val="en-GB"/>
        </w:rPr>
        <w:t>et al.</w:t>
      </w:r>
      <w:r w:rsidR="00B17BE9" w:rsidRPr="00710DFA">
        <w:rPr>
          <w:color w:val="000000" w:themeColor="text1"/>
          <w:sz w:val="24"/>
          <w:szCs w:val="24"/>
          <w:lang w:val="en-GB"/>
        </w:rPr>
        <w:t xml:space="preserve"> 2021)</w:t>
      </w:r>
      <w:r w:rsidRPr="00710DFA">
        <w:rPr>
          <w:color w:val="000000" w:themeColor="text1"/>
          <w:sz w:val="24"/>
          <w:szCs w:val="24"/>
          <w:lang w:val="en-GB"/>
        </w:rPr>
        <w:t xml:space="preserve">. This framework provides a structural visual presentation for screening and selection of the data at each stage from initial identification to the final inclusion. For this study </w:t>
      </w:r>
      <w:r w:rsidR="00AF5747" w:rsidRPr="00710DFA">
        <w:rPr>
          <w:color w:val="000000" w:themeColor="text1"/>
          <w:sz w:val="24"/>
          <w:szCs w:val="24"/>
          <w:lang w:val="en-GB"/>
        </w:rPr>
        <w:t>5</w:t>
      </w:r>
      <w:r w:rsidR="00364166" w:rsidRPr="00710DFA">
        <w:rPr>
          <w:color w:val="000000" w:themeColor="text1"/>
          <w:sz w:val="24"/>
          <w:szCs w:val="24"/>
          <w:lang w:val="en-GB"/>
        </w:rPr>
        <w:t>0</w:t>
      </w:r>
      <w:r w:rsidRPr="00710DFA">
        <w:rPr>
          <w:color w:val="000000" w:themeColor="text1"/>
          <w:sz w:val="24"/>
          <w:szCs w:val="24"/>
          <w:lang w:val="en-GB"/>
        </w:rPr>
        <w:t xml:space="preserve"> peer reviewed articles are selected with specific keywords across </w:t>
      </w:r>
      <w:proofErr w:type="spellStart"/>
      <w:r w:rsidRPr="00710DFA">
        <w:rPr>
          <w:color w:val="000000" w:themeColor="text1"/>
          <w:sz w:val="24"/>
          <w:szCs w:val="24"/>
          <w:lang w:val="en-GB"/>
        </w:rPr>
        <w:t>GoogleScholar</w:t>
      </w:r>
      <w:proofErr w:type="spellEnd"/>
      <w:r w:rsidRPr="00710DFA">
        <w:rPr>
          <w:color w:val="000000" w:themeColor="text1"/>
          <w:sz w:val="24"/>
          <w:szCs w:val="24"/>
          <w:lang w:val="en-GB"/>
        </w:rPr>
        <w:t>, Scopus, ScienceDirect, Web of Science. After confirming it from the article whether their full text is available the articles are considered for the study</w:t>
      </w:r>
      <w:r w:rsidR="00947C08" w:rsidRPr="00710DFA">
        <w:rPr>
          <w:color w:val="000000" w:themeColor="text1"/>
          <w:sz w:val="24"/>
          <w:szCs w:val="24"/>
          <w:lang w:val="en-GB"/>
        </w:rPr>
        <w:t xml:space="preserve"> (table: 3.2, 4.1, 4.2)</w:t>
      </w:r>
      <w:r w:rsidRPr="00710DFA">
        <w:rPr>
          <w:color w:val="000000" w:themeColor="text1"/>
          <w:sz w:val="24"/>
          <w:szCs w:val="24"/>
          <w:lang w:val="en-GB"/>
        </w:rPr>
        <w:t xml:space="preserve">. The PRISMA framework ensures that selected articles are thereby helpful in strengthening the overall credibility of the research. </w:t>
      </w:r>
    </w:p>
    <w:p w14:paraId="502655E2" w14:textId="77777777" w:rsidR="00782DF6" w:rsidRPr="00710DFA" w:rsidRDefault="00782DF6">
      <w:pPr>
        <w:rPr>
          <w:b/>
          <w:bCs/>
          <w:color w:val="000000" w:themeColor="text1"/>
          <w:sz w:val="24"/>
          <w:szCs w:val="24"/>
          <w:lang w:val="en-GB"/>
        </w:rPr>
      </w:pPr>
      <w:r w:rsidRPr="00710DFA">
        <w:rPr>
          <w:b/>
          <w:bCs/>
          <w:color w:val="000000" w:themeColor="text1"/>
          <w:sz w:val="24"/>
          <w:szCs w:val="24"/>
          <w:lang w:val="en-GB"/>
        </w:rPr>
        <w:br w:type="page"/>
      </w:r>
    </w:p>
    <w:p w14:paraId="0DA7EE92" w14:textId="77777777" w:rsidR="00782DF6" w:rsidRPr="00710DFA" w:rsidRDefault="00782DF6" w:rsidP="00265226">
      <w:pPr>
        <w:spacing w:line="360" w:lineRule="auto"/>
        <w:jc w:val="both"/>
        <w:rPr>
          <w:b/>
          <w:bCs/>
          <w:color w:val="000000" w:themeColor="text1"/>
          <w:sz w:val="24"/>
          <w:szCs w:val="24"/>
          <w:lang w:val="en-GB"/>
        </w:rPr>
        <w:sectPr w:rsidR="00782DF6" w:rsidRPr="00710DFA">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NumType w:start="1"/>
          <w:cols w:space="720"/>
        </w:sectPr>
      </w:pPr>
    </w:p>
    <w:p w14:paraId="407F2AB7" w14:textId="4860DE2A" w:rsidR="00265226" w:rsidRPr="00710DFA" w:rsidRDefault="00666F34" w:rsidP="00265226">
      <w:pPr>
        <w:spacing w:line="360" w:lineRule="auto"/>
        <w:jc w:val="both"/>
        <w:rPr>
          <w:b/>
          <w:bCs/>
          <w:color w:val="000000" w:themeColor="text1"/>
          <w:sz w:val="24"/>
          <w:szCs w:val="24"/>
          <w:lang w:val="en-GB"/>
        </w:rPr>
      </w:pPr>
      <w:r w:rsidRPr="00710DFA">
        <w:rPr>
          <w:b/>
          <w:bCs/>
          <w:color w:val="000000" w:themeColor="text1"/>
          <w:sz w:val="24"/>
          <w:szCs w:val="24"/>
          <w:lang w:val="en-GB"/>
        </w:rPr>
        <w:lastRenderedPageBreak/>
        <w:t>Table number and table name</w:t>
      </w:r>
    </w:p>
    <w:p w14:paraId="596A4619" w14:textId="77777777" w:rsidR="00782DF6" w:rsidRPr="00710DFA" w:rsidRDefault="00782DF6" w:rsidP="00782DF6">
      <w:pPr>
        <w:spacing w:line="240" w:lineRule="auto"/>
        <w:rPr>
          <w:color w:val="000000" w:themeColor="text1"/>
          <w:sz w:val="24"/>
          <w:szCs w:val="24"/>
          <w:lang w:val="en-GB"/>
        </w:rPr>
      </w:pPr>
    </w:p>
    <w:p w14:paraId="5D101801" w14:textId="77777777" w:rsidR="00782DF6" w:rsidRPr="00710DFA" w:rsidRDefault="00782DF6" w:rsidP="00782DF6">
      <w:pPr>
        <w:spacing w:line="240" w:lineRule="auto"/>
        <w:rPr>
          <w:color w:val="000000" w:themeColor="text1"/>
          <w:sz w:val="24"/>
          <w:szCs w:val="24"/>
          <w:lang w:val="en-GB"/>
        </w:rPr>
      </w:pPr>
    </w:p>
    <w:p w14:paraId="4D75BFEB" w14:textId="7777777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85888" behindDoc="0" locked="0" layoutInCell="1" allowOverlap="1" wp14:anchorId="5773E69C" wp14:editId="1462D64D">
                <wp:simplePos x="0" y="0"/>
                <wp:positionH relativeFrom="column">
                  <wp:posOffset>113386</wp:posOffset>
                </wp:positionH>
                <wp:positionV relativeFrom="paragraph">
                  <wp:posOffset>79756</wp:posOffset>
                </wp:positionV>
                <wp:extent cx="1455420" cy="1250899"/>
                <wp:effectExtent l="0" t="0" r="11430" b="26035"/>
                <wp:wrapNone/>
                <wp:docPr id="20" name="Rectangle 20"/>
                <wp:cNvGraphicFramePr/>
                <a:graphic xmlns:a="http://schemas.openxmlformats.org/drawingml/2006/main">
                  <a:graphicData uri="http://schemas.microsoft.com/office/word/2010/wordprocessingShape">
                    <wps:wsp>
                      <wps:cNvSpPr/>
                      <wps:spPr>
                        <a:xfrm>
                          <a:off x="0" y="0"/>
                          <a:ext cx="1455420" cy="12508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EDB7D9" w14:textId="458F62ED" w:rsidR="00782DF6" w:rsidRDefault="00782DF6" w:rsidP="00782DF6">
                            <w:pPr>
                              <w:spacing w:line="240" w:lineRule="auto"/>
                              <w:rPr>
                                <w:color w:val="000000" w:themeColor="text1"/>
                                <w:sz w:val="18"/>
                                <w:szCs w:val="20"/>
                              </w:rPr>
                            </w:pPr>
                            <w:r>
                              <w:rPr>
                                <w:color w:val="000000" w:themeColor="text1"/>
                                <w:sz w:val="18"/>
                                <w:szCs w:val="20"/>
                              </w:rPr>
                              <w:t xml:space="preserve">Studies included in previous version of review (n = </w:t>
                            </w:r>
                            <w:r w:rsidR="00EF7AA2">
                              <w:rPr>
                                <w:color w:val="000000" w:themeColor="text1"/>
                                <w:sz w:val="18"/>
                                <w:szCs w:val="20"/>
                              </w:rPr>
                              <w:t>600</w:t>
                            </w:r>
                            <w:r>
                              <w:rPr>
                                <w:color w:val="000000" w:themeColor="text1"/>
                                <w:sz w:val="18"/>
                                <w:szCs w:val="20"/>
                              </w:rPr>
                              <w:t>)</w:t>
                            </w:r>
                          </w:p>
                          <w:p w14:paraId="26B2F732" w14:textId="77777777" w:rsidR="00782DF6" w:rsidRDefault="00782DF6" w:rsidP="00782DF6">
                            <w:pPr>
                              <w:spacing w:line="240" w:lineRule="auto"/>
                              <w:rPr>
                                <w:color w:val="000000" w:themeColor="text1"/>
                                <w:sz w:val="18"/>
                                <w:szCs w:val="20"/>
                              </w:rPr>
                            </w:pPr>
                          </w:p>
                          <w:p w14:paraId="3AC1FA34" w14:textId="1257B191" w:rsidR="00782DF6" w:rsidRPr="00560609" w:rsidRDefault="00782DF6" w:rsidP="00782DF6">
                            <w:pPr>
                              <w:spacing w:line="240" w:lineRule="auto"/>
                              <w:rPr>
                                <w:color w:val="000000" w:themeColor="text1"/>
                                <w:sz w:val="18"/>
                                <w:szCs w:val="20"/>
                              </w:rPr>
                            </w:pPr>
                            <w:r>
                              <w:rPr>
                                <w:color w:val="000000" w:themeColor="text1"/>
                                <w:sz w:val="18"/>
                                <w:szCs w:val="20"/>
                              </w:rPr>
                              <w:t xml:space="preserve">Reports of studies included in previous version of review (n = </w:t>
                            </w:r>
                            <w:r w:rsidR="00EF7AA2">
                              <w:rPr>
                                <w:color w:val="000000" w:themeColor="text1"/>
                                <w:sz w:val="18"/>
                                <w:szCs w:val="20"/>
                              </w:rPr>
                              <w:t>200</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73E69C" id="Rectangle 20" o:spid="_x0000_s1026" style="position:absolute;margin-left:8.95pt;margin-top:6.3pt;width:114.6pt;height:9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" filled="f" strokecolor="black [3213]" strokeweight="2pt">
                <v:textbox>
                  <w:txbxContent>
                    <w:p w14:paraId="5CEDB7D9" w14:textId="458F62ED" w:rsidR="00782DF6" w:rsidRDefault="00782DF6" w:rsidP="00782DF6">
                      <w:pPr>
                        <w:spacing w:line="240" w:lineRule="auto"/>
                        <w:rPr>
                          <w:color w:val="000000" w:themeColor="text1"/>
                          <w:sz w:val="18"/>
                          <w:szCs w:val="20"/>
                        </w:rPr>
                      </w:pPr>
                      <w:r>
                        <w:rPr>
                          <w:color w:val="000000" w:themeColor="text1"/>
                          <w:sz w:val="18"/>
                          <w:szCs w:val="20"/>
                        </w:rPr>
                        <w:t xml:space="preserve">Studies included in previous version of review (n = </w:t>
                      </w:r>
                      <w:r w:rsidR="00EF7AA2">
                        <w:rPr>
                          <w:color w:val="000000" w:themeColor="text1"/>
                          <w:sz w:val="18"/>
                          <w:szCs w:val="20"/>
                        </w:rPr>
                        <w:t>600</w:t>
                      </w:r>
                      <w:r>
                        <w:rPr>
                          <w:color w:val="000000" w:themeColor="text1"/>
                          <w:sz w:val="18"/>
                          <w:szCs w:val="20"/>
                        </w:rPr>
                        <w:t>)</w:t>
                      </w:r>
                    </w:p>
                    <w:p w14:paraId="26B2F732" w14:textId="77777777" w:rsidR="00782DF6" w:rsidRDefault="00782DF6" w:rsidP="00782DF6">
                      <w:pPr>
                        <w:spacing w:line="240" w:lineRule="auto"/>
                        <w:rPr>
                          <w:color w:val="000000" w:themeColor="text1"/>
                          <w:sz w:val="18"/>
                          <w:szCs w:val="20"/>
                        </w:rPr>
                      </w:pPr>
                    </w:p>
                    <w:p w14:paraId="3AC1FA34" w14:textId="1257B191" w:rsidR="00782DF6" w:rsidRPr="00560609" w:rsidRDefault="00782DF6" w:rsidP="00782DF6">
                      <w:pPr>
                        <w:spacing w:line="240" w:lineRule="auto"/>
                        <w:rPr>
                          <w:color w:val="000000" w:themeColor="text1"/>
                          <w:sz w:val="18"/>
                          <w:szCs w:val="20"/>
                        </w:rPr>
                      </w:pPr>
                      <w:r>
                        <w:rPr>
                          <w:color w:val="000000" w:themeColor="text1"/>
                          <w:sz w:val="18"/>
                          <w:szCs w:val="20"/>
                        </w:rPr>
                        <w:t xml:space="preserve">Reports of studies included in previous version of review (n = </w:t>
                      </w:r>
                      <w:r w:rsidR="00EF7AA2">
                        <w:rPr>
                          <w:color w:val="000000" w:themeColor="text1"/>
                          <w:sz w:val="18"/>
                          <w:szCs w:val="20"/>
                        </w:rPr>
                        <w:t>200</w:t>
                      </w:r>
                      <w:r>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59264" behindDoc="0" locked="0" layoutInCell="1" allowOverlap="1" wp14:anchorId="2EC40378" wp14:editId="30C5CE9D">
                <wp:simplePos x="0" y="0"/>
                <wp:positionH relativeFrom="column">
                  <wp:posOffset>1766900</wp:posOffset>
                </wp:positionH>
                <wp:positionV relativeFrom="paragraph">
                  <wp:posOffset>76835</wp:posOffset>
                </wp:positionV>
                <wp:extent cx="1887220" cy="1243330"/>
                <wp:effectExtent l="0" t="0" r="17780" b="13970"/>
                <wp:wrapNone/>
                <wp:docPr id="1960747972" name="Rectangle 1960747972"/>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F14BD9"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identified from*:</w:t>
                            </w:r>
                          </w:p>
                          <w:p w14:paraId="0CF7AF82" w14:textId="7B7E73AC" w:rsidR="00782DF6" w:rsidRDefault="00782DF6" w:rsidP="00782DF6">
                            <w:pPr>
                              <w:spacing w:line="240" w:lineRule="auto"/>
                              <w:ind w:left="284"/>
                              <w:rPr>
                                <w:color w:val="000000" w:themeColor="text1"/>
                                <w:sz w:val="18"/>
                                <w:szCs w:val="20"/>
                              </w:rPr>
                            </w:pPr>
                            <w:r>
                              <w:rPr>
                                <w:color w:val="000000" w:themeColor="text1"/>
                                <w:sz w:val="18"/>
                                <w:szCs w:val="20"/>
                              </w:rPr>
                              <w:t xml:space="preserve">Databases (n = </w:t>
                            </w:r>
                            <w:r w:rsidR="00EF7AA2">
                              <w:rPr>
                                <w:color w:val="000000" w:themeColor="text1"/>
                                <w:sz w:val="18"/>
                                <w:szCs w:val="20"/>
                              </w:rPr>
                              <w:t>800</w:t>
                            </w:r>
                            <w:r>
                              <w:rPr>
                                <w:color w:val="000000" w:themeColor="text1"/>
                                <w:sz w:val="18"/>
                                <w:szCs w:val="20"/>
                              </w:rPr>
                              <w:t>)</w:t>
                            </w:r>
                          </w:p>
                          <w:p w14:paraId="1514C261" w14:textId="66193607" w:rsidR="00782DF6" w:rsidRPr="00560609" w:rsidRDefault="00782DF6" w:rsidP="00782DF6">
                            <w:pPr>
                              <w:spacing w:line="240" w:lineRule="auto"/>
                              <w:ind w:left="284"/>
                              <w:rPr>
                                <w:color w:val="000000" w:themeColor="text1"/>
                                <w:sz w:val="18"/>
                                <w:szCs w:val="20"/>
                              </w:rPr>
                            </w:pPr>
                            <w:r>
                              <w:rPr>
                                <w:color w:val="000000" w:themeColor="text1"/>
                                <w:sz w:val="18"/>
                                <w:szCs w:val="20"/>
                              </w:rPr>
                              <w:t xml:space="preserve">Registers (n = </w:t>
                            </w:r>
                            <w:r w:rsidR="00EF7AA2">
                              <w:rPr>
                                <w:color w:val="000000" w:themeColor="text1"/>
                                <w:sz w:val="18"/>
                                <w:szCs w:val="20"/>
                              </w:rPr>
                              <w:t>0</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40378" id="Rectangle 1960747972" o:spid="_x0000_s1027" style="position:absolute;margin-left:139.1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" filled="f" strokecolor="black [3213]" strokeweight="2pt">
                <v:textbox>
                  <w:txbxContent>
                    <w:p w14:paraId="5DF14BD9"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identified from*:</w:t>
                      </w:r>
                    </w:p>
                    <w:p w14:paraId="0CF7AF82" w14:textId="7B7E73AC" w:rsidR="00782DF6" w:rsidRDefault="00782DF6" w:rsidP="00782DF6">
                      <w:pPr>
                        <w:spacing w:line="240" w:lineRule="auto"/>
                        <w:ind w:left="284"/>
                        <w:rPr>
                          <w:color w:val="000000" w:themeColor="text1"/>
                          <w:sz w:val="18"/>
                          <w:szCs w:val="20"/>
                        </w:rPr>
                      </w:pPr>
                      <w:r>
                        <w:rPr>
                          <w:color w:val="000000" w:themeColor="text1"/>
                          <w:sz w:val="18"/>
                          <w:szCs w:val="20"/>
                        </w:rPr>
                        <w:t xml:space="preserve">Databases (n = </w:t>
                      </w:r>
                      <w:r w:rsidR="00EF7AA2">
                        <w:rPr>
                          <w:color w:val="000000" w:themeColor="text1"/>
                          <w:sz w:val="18"/>
                          <w:szCs w:val="20"/>
                        </w:rPr>
                        <w:t>800</w:t>
                      </w:r>
                      <w:r>
                        <w:rPr>
                          <w:color w:val="000000" w:themeColor="text1"/>
                          <w:sz w:val="18"/>
                          <w:szCs w:val="20"/>
                        </w:rPr>
                        <w:t>)</w:t>
                      </w:r>
                    </w:p>
                    <w:p w14:paraId="1514C261" w14:textId="66193607" w:rsidR="00782DF6" w:rsidRPr="00560609" w:rsidRDefault="00782DF6" w:rsidP="00782DF6">
                      <w:pPr>
                        <w:spacing w:line="240" w:lineRule="auto"/>
                        <w:ind w:left="284"/>
                        <w:rPr>
                          <w:color w:val="000000" w:themeColor="text1"/>
                          <w:sz w:val="18"/>
                          <w:szCs w:val="20"/>
                        </w:rPr>
                      </w:pPr>
                      <w:r>
                        <w:rPr>
                          <w:color w:val="000000" w:themeColor="text1"/>
                          <w:sz w:val="18"/>
                          <w:szCs w:val="20"/>
                        </w:rPr>
                        <w:t xml:space="preserve">Registers (n = </w:t>
                      </w:r>
                      <w:r w:rsidR="00EF7AA2">
                        <w:rPr>
                          <w:color w:val="000000" w:themeColor="text1"/>
                          <w:sz w:val="18"/>
                          <w:szCs w:val="20"/>
                        </w:rPr>
                        <w:t>0</w:t>
                      </w:r>
                      <w:r>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60288" behindDoc="0" locked="0" layoutInCell="1" allowOverlap="1" wp14:anchorId="2F942378" wp14:editId="6121828A">
                <wp:simplePos x="0" y="0"/>
                <wp:positionH relativeFrom="column">
                  <wp:posOffset>4219270</wp:posOffset>
                </wp:positionH>
                <wp:positionV relativeFrom="paragraph">
                  <wp:posOffset>76835</wp:posOffset>
                </wp:positionV>
                <wp:extent cx="1887220" cy="1242695"/>
                <wp:effectExtent l="0" t="0" r="17780" b="14605"/>
                <wp:wrapNone/>
                <wp:docPr id="310789556" name="Rectangle 310789556"/>
                <wp:cNvGraphicFramePr/>
                <a:graphic xmlns:a="http://schemas.openxmlformats.org/drawingml/2006/main">
                  <a:graphicData uri="http://schemas.microsoft.com/office/word/2010/wordprocessingShape">
                    <wps:wsp>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E84038"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removed </w:t>
                            </w:r>
                            <w:r w:rsidRPr="00B52554">
                              <w:rPr>
                                <w:i/>
                                <w:iCs/>
                                <w:color w:val="000000" w:themeColor="text1"/>
                                <w:sz w:val="18"/>
                                <w:szCs w:val="20"/>
                              </w:rPr>
                              <w:t>before screening</w:t>
                            </w:r>
                            <w:r>
                              <w:rPr>
                                <w:color w:val="000000" w:themeColor="text1"/>
                                <w:sz w:val="18"/>
                                <w:szCs w:val="20"/>
                              </w:rPr>
                              <w:t>:</w:t>
                            </w:r>
                          </w:p>
                          <w:p w14:paraId="2BF475F1" w14:textId="3ED311F7" w:rsidR="00782DF6" w:rsidRDefault="00782DF6" w:rsidP="00782DF6">
                            <w:pPr>
                              <w:spacing w:line="240" w:lineRule="auto"/>
                              <w:ind w:left="284"/>
                              <w:rPr>
                                <w:color w:val="000000" w:themeColor="text1"/>
                                <w:sz w:val="18"/>
                                <w:szCs w:val="20"/>
                              </w:rPr>
                            </w:pPr>
                            <w:r>
                              <w:rPr>
                                <w:color w:val="000000" w:themeColor="text1"/>
                                <w:sz w:val="18"/>
                                <w:szCs w:val="20"/>
                              </w:rPr>
                              <w:t xml:space="preserve">Duplicate records removed  (n = </w:t>
                            </w:r>
                            <w:r w:rsidR="00EF7AA2">
                              <w:rPr>
                                <w:color w:val="000000" w:themeColor="text1"/>
                                <w:sz w:val="18"/>
                                <w:szCs w:val="20"/>
                              </w:rPr>
                              <w:t>119</w:t>
                            </w:r>
                            <w:r>
                              <w:rPr>
                                <w:color w:val="000000" w:themeColor="text1"/>
                                <w:sz w:val="18"/>
                                <w:szCs w:val="20"/>
                              </w:rPr>
                              <w:t>)</w:t>
                            </w:r>
                          </w:p>
                          <w:p w14:paraId="5C5D70F8" w14:textId="4E8E4D5B" w:rsidR="00782DF6" w:rsidRDefault="00782DF6" w:rsidP="00782DF6">
                            <w:pPr>
                              <w:spacing w:line="240" w:lineRule="auto"/>
                              <w:ind w:left="284"/>
                              <w:rPr>
                                <w:color w:val="000000" w:themeColor="text1"/>
                                <w:sz w:val="18"/>
                                <w:szCs w:val="20"/>
                              </w:rPr>
                            </w:pPr>
                            <w:r>
                              <w:rPr>
                                <w:color w:val="000000" w:themeColor="text1"/>
                                <w:sz w:val="18"/>
                                <w:szCs w:val="20"/>
                              </w:rPr>
                              <w:t xml:space="preserve">Records marked as ineligible by automation tools (n = </w:t>
                            </w:r>
                            <w:r w:rsidR="00EF7AA2">
                              <w:rPr>
                                <w:color w:val="000000" w:themeColor="text1"/>
                                <w:sz w:val="18"/>
                                <w:szCs w:val="20"/>
                              </w:rPr>
                              <w:t>139</w:t>
                            </w:r>
                            <w:r>
                              <w:rPr>
                                <w:color w:val="000000" w:themeColor="text1"/>
                                <w:sz w:val="18"/>
                                <w:szCs w:val="20"/>
                              </w:rPr>
                              <w:t>)</w:t>
                            </w:r>
                          </w:p>
                          <w:p w14:paraId="07C3D2CF" w14:textId="3C3558A3" w:rsidR="00782DF6" w:rsidRPr="00560609" w:rsidRDefault="00782DF6" w:rsidP="00782DF6">
                            <w:pPr>
                              <w:spacing w:line="240" w:lineRule="auto"/>
                              <w:ind w:left="284"/>
                              <w:rPr>
                                <w:color w:val="000000" w:themeColor="text1"/>
                                <w:sz w:val="18"/>
                                <w:szCs w:val="20"/>
                              </w:rPr>
                            </w:pPr>
                            <w:r>
                              <w:rPr>
                                <w:color w:val="000000" w:themeColor="text1"/>
                                <w:sz w:val="18"/>
                                <w:szCs w:val="20"/>
                              </w:rPr>
                              <w:t xml:space="preserve">Records removed for other reasons (n = </w:t>
                            </w:r>
                            <w:r w:rsidR="00EF7AA2">
                              <w:rPr>
                                <w:color w:val="000000" w:themeColor="text1"/>
                                <w:sz w:val="18"/>
                                <w:szCs w:val="20"/>
                              </w:rPr>
                              <w:t>205</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42378" id="Rectangle 310789556" o:spid="_x0000_s1028" style="position:absolute;margin-left:332.2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" filled="f" strokecolor="black [3213]" strokeweight="2pt">
                <v:textbox>
                  <w:txbxContent>
                    <w:p w14:paraId="1FE84038"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removed </w:t>
                      </w:r>
                      <w:r w:rsidRPr="00B52554">
                        <w:rPr>
                          <w:i/>
                          <w:iCs/>
                          <w:color w:val="000000" w:themeColor="text1"/>
                          <w:sz w:val="18"/>
                          <w:szCs w:val="20"/>
                        </w:rPr>
                        <w:t>before screening</w:t>
                      </w:r>
                      <w:r>
                        <w:rPr>
                          <w:color w:val="000000" w:themeColor="text1"/>
                          <w:sz w:val="18"/>
                          <w:szCs w:val="20"/>
                        </w:rPr>
                        <w:t>:</w:t>
                      </w:r>
                    </w:p>
                    <w:p w14:paraId="2BF475F1" w14:textId="3ED311F7" w:rsidR="00782DF6" w:rsidRDefault="00782DF6" w:rsidP="00782DF6">
                      <w:pPr>
                        <w:spacing w:line="240" w:lineRule="auto"/>
                        <w:ind w:left="284"/>
                        <w:rPr>
                          <w:color w:val="000000" w:themeColor="text1"/>
                          <w:sz w:val="18"/>
                          <w:szCs w:val="20"/>
                        </w:rPr>
                      </w:pPr>
                      <w:r>
                        <w:rPr>
                          <w:color w:val="000000" w:themeColor="text1"/>
                          <w:sz w:val="18"/>
                          <w:szCs w:val="20"/>
                        </w:rPr>
                        <w:t xml:space="preserve">Duplicate records removed  (n = </w:t>
                      </w:r>
                      <w:r w:rsidR="00EF7AA2">
                        <w:rPr>
                          <w:color w:val="000000" w:themeColor="text1"/>
                          <w:sz w:val="18"/>
                          <w:szCs w:val="20"/>
                        </w:rPr>
                        <w:t>119</w:t>
                      </w:r>
                      <w:r>
                        <w:rPr>
                          <w:color w:val="000000" w:themeColor="text1"/>
                          <w:sz w:val="18"/>
                          <w:szCs w:val="20"/>
                        </w:rPr>
                        <w:t>)</w:t>
                      </w:r>
                    </w:p>
                    <w:p w14:paraId="5C5D70F8" w14:textId="4E8E4D5B" w:rsidR="00782DF6" w:rsidRDefault="00782DF6" w:rsidP="00782DF6">
                      <w:pPr>
                        <w:spacing w:line="240" w:lineRule="auto"/>
                        <w:ind w:left="284"/>
                        <w:rPr>
                          <w:color w:val="000000" w:themeColor="text1"/>
                          <w:sz w:val="18"/>
                          <w:szCs w:val="20"/>
                        </w:rPr>
                      </w:pPr>
                      <w:r>
                        <w:rPr>
                          <w:color w:val="000000" w:themeColor="text1"/>
                          <w:sz w:val="18"/>
                          <w:szCs w:val="20"/>
                        </w:rPr>
                        <w:t xml:space="preserve">Records marked as ineligible by automation tools (n = </w:t>
                      </w:r>
                      <w:r w:rsidR="00EF7AA2">
                        <w:rPr>
                          <w:color w:val="000000" w:themeColor="text1"/>
                          <w:sz w:val="18"/>
                          <w:szCs w:val="20"/>
                        </w:rPr>
                        <w:t>139</w:t>
                      </w:r>
                      <w:r>
                        <w:rPr>
                          <w:color w:val="000000" w:themeColor="text1"/>
                          <w:sz w:val="18"/>
                          <w:szCs w:val="20"/>
                        </w:rPr>
                        <w:t>)</w:t>
                      </w:r>
                    </w:p>
                    <w:p w14:paraId="07C3D2CF" w14:textId="3C3558A3" w:rsidR="00782DF6" w:rsidRPr="00560609" w:rsidRDefault="00782DF6" w:rsidP="00782DF6">
                      <w:pPr>
                        <w:spacing w:line="240" w:lineRule="auto"/>
                        <w:ind w:left="284"/>
                        <w:rPr>
                          <w:color w:val="000000" w:themeColor="text1"/>
                          <w:sz w:val="18"/>
                          <w:szCs w:val="20"/>
                        </w:rPr>
                      </w:pPr>
                      <w:r>
                        <w:rPr>
                          <w:color w:val="000000" w:themeColor="text1"/>
                          <w:sz w:val="18"/>
                          <w:szCs w:val="20"/>
                        </w:rPr>
                        <w:t xml:space="preserve">Records removed for other reasons (n = </w:t>
                      </w:r>
                      <w:r w:rsidR="00EF7AA2">
                        <w:rPr>
                          <w:color w:val="000000" w:themeColor="text1"/>
                          <w:sz w:val="18"/>
                          <w:szCs w:val="20"/>
                        </w:rPr>
                        <w:t>205</w:t>
                      </w:r>
                      <w:r>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67456" behindDoc="0" locked="0" layoutInCell="1" allowOverlap="1" wp14:anchorId="5D99E111" wp14:editId="735C2975">
                <wp:simplePos x="0" y="0"/>
                <wp:positionH relativeFrom="column">
                  <wp:posOffset>6314135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F7B17B"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identified from:</w:t>
                            </w:r>
                          </w:p>
                          <w:p w14:paraId="32608AE2" w14:textId="65964A24" w:rsidR="00782DF6" w:rsidRDefault="00782DF6" w:rsidP="00782DF6">
                            <w:pPr>
                              <w:spacing w:line="240" w:lineRule="auto"/>
                              <w:ind w:left="284"/>
                              <w:rPr>
                                <w:color w:val="000000" w:themeColor="text1"/>
                                <w:sz w:val="18"/>
                                <w:szCs w:val="20"/>
                              </w:rPr>
                            </w:pPr>
                            <w:r>
                              <w:rPr>
                                <w:color w:val="000000" w:themeColor="text1"/>
                                <w:sz w:val="18"/>
                                <w:szCs w:val="20"/>
                              </w:rPr>
                              <w:t xml:space="preserve">Websites (n = </w:t>
                            </w:r>
                            <w:r w:rsidR="00EF7AA2">
                              <w:rPr>
                                <w:color w:val="000000" w:themeColor="text1"/>
                                <w:sz w:val="18"/>
                                <w:szCs w:val="20"/>
                              </w:rPr>
                              <w:t>0</w:t>
                            </w:r>
                            <w:r>
                              <w:rPr>
                                <w:color w:val="000000" w:themeColor="text1"/>
                                <w:sz w:val="18"/>
                                <w:szCs w:val="20"/>
                              </w:rPr>
                              <w:t>)</w:t>
                            </w:r>
                          </w:p>
                          <w:p w14:paraId="3CBCD9B7" w14:textId="51A73A9E" w:rsidR="00782DF6" w:rsidRDefault="00782DF6" w:rsidP="00782DF6">
                            <w:pPr>
                              <w:spacing w:line="240" w:lineRule="auto"/>
                              <w:ind w:left="284"/>
                              <w:rPr>
                                <w:color w:val="000000" w:themeColor="text1"/>
                                <w:sz w:val="18"/>
                                <w:szCs w:val="20"/>
                              </w:rPr>
                            </w:pPr>
                            <w:r>
                              <w:rPr>
                                <w:color w:val="000000" w:themeColor="text1"/>
                                <w:sz w:val="18"/>
                                <w:szCs w:val="20"/>
                              </w:rPr>
                              <w:t xml:space="preserve">Organisations (n = </w:t>
                            </w:r>
                            <w:r w:rsidR="00EF7AA2">
                              <w:rPr>
                                <w:color w:val="000000" w:themeColor="text1"/>
                                <w:sz w:val="18"/>
                                <w:szCs w:val="20"/>
                              </w:rPr>
                              <w:t>0</w:t>
                            </w:r>
                            <w:r>
                              <w:rPr>
                                <w:color w:val="000000" w:themeColor="text1"/>
                                <w:sz w:val="18"/>
                                <w:szCs w:val="20"/>
                              </w:rPr>
                              <w:t>)</w:t>
                            </w:r>
                          </w:p>
                          <w:p w14:paraId="33F9249D" w14:textId="17809CB0" w:rsidR="00782DF6" w:rsidRDefault="00782DF6" w:rsidP="00782DF6">
                            <w:pPr>
                              <w:spacing w:line="240" w:lineRule="auto"/>
                              <w:ind w:left="284"/>
                              <w:rPr>
                                <w:color w:val="000000" w:themeColor="text1"/>
                                <w:sz w:val="18"/>
                                <w:szCs w:val="20"/>
                              </w:rPr>
                            </w:pPr>
                            <w:r>
                              <w:rPr>
                                <w:color w:val="000000" w:themeColor="text1"/>
                                <w:sz w:val="18"/>
                                <w:szCs w:val="20"/>
                              </w:rPr>
                              <w:t xml:space="preserve">Citation searching (n = </w:t>
                            </w:r>
                            <w:r w:rsidR="00EF7AA2">
                              <w:rPr>
                                <w:color w:val="000000" w:themeColor="text1"/>
                                <w:sz w:val="18"/>
                                <w:szCs w:val="20"/>
                              </w:rPr>
                              <w:t>0</w:t>
                            </w:r>
                            <w:r>
                              <w:rPr>
                                <w:color w:val="000000" w:themeColor="text1"/>
                                <w:sz w:val="18"/>
                                <w:szCs w:val="20"/>
                              </w:rPr>
                              <w:t>)</w:t>
                            </w:r>
                          </w:p>
                          <w:p w14:paraId="77FE5A6C" w14:textId="77777777" w:rsidR="00782DF6" w:rsidRPr="00560609" w:rsidRDefault="00782DF6" w:rsidP="00782DF6">
                            <w:pPr>
                              <w:spacing w:line="240" w:lineRule="auto"/>
                              <w:ind w:left="284"/>
                              <w:rPr>
                                <w:color w:val="000000" w:themeColor="text1"/>
                                <w:sz w:val="18"/>
                                <w:szCs w:val="20"/>
                              </w:rPr>
                            </w:pPr>
                            <w:r>
                              <w:rPr>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99E111" id="Rectangle 10" o:spid="_x0000_s1029" style="position:absolute;margin-left:497.2pt;margin-top:6.2pt;width:148.6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" filled="f" strokecolor="black [3213]" strokeweight="2pt">
                <v:textbox>
                  <w:txbxContent>
                    <w:p w14:paraId="4DF7B17B"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identified from:</w:t>
                      </w:r>
                    </w:p>
                    <w:p w14:paraId="32608AE2" w14:textId="65964A24" w:rsidR="00782DF6" w:rsidRDefault="00782DF6" w:rsidP="00782DF6">
                      <w:pPr>
                        <w:spacing w:line="240" w:lineRule="auto"/>
                        <w:ind w:left="284"/>
                        <w:rPr>
                          <w:color w:val="000000" w:themeColor="text1"/>
                          <w:sz w:val="18"/>
                          <w:szCs w:val="20"/>
                        </w:rPr>
                      </w:pPr>
                      <w:r>
                        <w:rPr>
                          <w:color w:val="000000" w:themeColor="text1"/>
                          <w:sz w:val="18"/>
                          <w:szCs w:val="20"/>
                        </w:rPr>
                        <w:t xml:space="preserve">Websites (n = </w:t>
                      </w:r>
                      <w:r w:rsidR="00EF7AA2">
                        <w:rPr>
                          <w:color w:val="000000" w:themeColor="text1"/>
                          <w:sz w:val="18"/>
                          <w:szCs w:val="20"/>
                        </w:rPr>
                        <w:t>0</w:t>
                      </w:r>
                      <w:r>
                        <w:rPr>
                          <w:color w:val="000000" w:themeColor="text1"/>
                          <w:sz w:val="18"/>
                          <w:szCs w:val="20"/>
                        </w:rPr>
                        <w:t>)</w:t>
                      </w:r>
                    </w:p>
                    <w:p w14:paraId="3CBCD9B7" w14:textId="51A73A9E" w:rsidR="00782DF6" w:rsidRDefault="00782DF6" w:rsidP="00782DF6">
                      <w:pPr>
                        <w:spacing w:line="240" w:lineRule="auto"/>
                        <w:ind w:left="284"/>
                        <w:rPr>
                          <w:color w:val="000000" w:themeColor="text1"/>
                          <w:sz w:val="18"/>
                          <w:szCs w:val="20"/>
                        </w:rPr>
                      </w:pPr>
                      <w:r>
                        <w:rPr>
                          <w:color w:val="000000" w:themeColor="text1"/>
                          <w:sz w:val="18"/>
                          <w:szCs w:val="20"/>
                        </w:rPr>
                        <w:t xml:space="preserve">Organisations (n = </w:t>
                      </w:r>
                      <w:r w:rsidR="00EF7AA2">
                        <w:rPr>
                          <w:color w:val="000000" w:themeColor="text1"/>
                          <w:sz w:val="18"/>
                          <w:szCs w:val="20"/>
                        </w:rPr>
                        <w:t>0</w:t>
                      </w:r>
                      <w:r>
                        <w:rPr>
                          <w:color w:val="000000" w:themeColor="text1"/>
                          <w:sz w:val="18"/>
                          <w:szCs w:val="20"/>
                        </w:rPr>
                        <w:t>)</w:t>
                      </w:r>
                    </w:p>
                    <w:p w14:paraId="33F9249D" w14:textId="17809CB0" w:rsidR="00782DF6" w:rsidRDefault="00782DF6" w:rsidP="00782DF6">
                      <w:pPr>
                        <w:spacing w:line="240" w:lineRule="auto"/>
                        <w:ind w:left="284"/>
                        <w:rPr>
                          <w:color w:val="000000" w:themeColor="text1"/>
                          <w:sz w:val="18"/>
                          <w:szCs w:val="20"/>
                        </w:rPr>
                      </w:pPr>
                      <w:r>
                        <w:rPr>
                          <w:color w:val="000000" w:themeColor="text1"/>
                          <w:sz w:val="18"/>
                          <w:szCs w:val="20"/>
                        </w:rPr>
                        <w:t xml:space="preserve">Citation searching (n = </w:t>
                      </w:r>
                      <w:r w:rsidR="00EF7AA2">
                        <w:rPr>
                          <w:color w:val="000000" w:themeColor="text1"/>
                          <w:sz w:val="18"/>
                          <w:szCs w:val="20"/>
                        </w:rPr>
                        <w:t>0</w:t>
                      </w:r>
                      <w:r>
                        <w:rPr>
                          <w:color w:val="000000" w:themeColor="text1"/>
                          <w:sz w:val="18"/>
                          <w:szCs w:val="20"/>
                        </w:rPr>
                        <w:t>)</w:t>
                      </w:r>
                    </w:p>
                    <w:p w14:paraId="77FE5A6C" w14:textId="77777777" w:rsidR="00782DF6" w:rsidRPr="00560609" w:rsidRDefault="00782DF6" w:rsidP="00782DF6">
                      <w:pPr>
                        <w:spacing w:line="240" w:lineRule="auto"/>
                        <w:ind w:left="284"/>
                        <w:rPr>
                          <w:color w:val="000000" w:themeColor="text1"/>
                          <w:sz w:val="18"/>
                          <w:szCs w:val="20"/>
                        </w:rPr>
                      </w:pPr>
                      <w:r>
                        <w:rPr>
                          <w:color w:val="000000" w:themeColor="text1"/>
                          <w:sz w:val="18"/>
                          <w:szCs w:val="20"/>
                        </w:rPr>
                        <w:t>etc.</w:t>
                      </w:r>
                    </w:p>
                  </w:txbxContent>
                </v:textbox>
              </v:rect>
            </w:pict>
          </mc:Fallback>
        </mc:AlternateContent>
      </w:r>
    </w:p>
    <w:p w14:paraId="3950873E" w14:textId="77777777" w:rsidR="00782DF6" w:rsidRPr="00710DFA" w:rsidRDefault="00782DF6" w:rsidP="00782DF6">
      <w:pPr>
        <w:spacing w:line="240" w:lineRule="auto"/>
        <w:rPr>
          <w:color w:val="000000" w:themeColor="text1"/>
          <w:sz w:val="24"/>
          <w:szCs w:val="24"/>
          <w:lang w:val="en-GB"/>
        </w:rPr>
      </w:pPr>
    </w:p>
    <w:p w14:paraId="61612C70" w14:textId="7777777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75648" behindDoc="0" locked="0" layoutInCell="1" allowOverlap="1" wp14:anchorId="31AF5701" wp14:editId="2EA9919D">
                <wp:simplePos x="0" y="0"/>
                <wp:positionH relativeFrom="column">
                  <wp:posOffset>-755810</wp:posOffset>
                </wp:positionH>
                <wp:positionV relativeFrom="paragraph">
                  <wp:posOffset>238285</wp:posOffset>
                </wp:positionV>
                <wp:extent cx="1283655" cy="262890"/>
                <wp:effectExtent l="0" t="4127" r="26987" b="26988"/>
                <wp:wrapNone/>
                <wp:docPr id="31" name="Flowchart: Alternate Process 31"/>
                <wp:cNvGraphicFramePr/>
                <a:graphic xmlns:a="http://schemas.openxmlformats.org/drawingml/2006/main">
                  <a:graphicData uri="http://schemas.microsoft.com/office/word/2010/wordprocessingShape">
                    <wps:wsp>
                      <wps:cNvSpPr/>
                      <wps:spPr>
                        <a:xfrm rot="16200000">
                          <a:off x="0" y="0"/>
                          <a:ext cx="128365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CEFAD6B" w14:textId="77777777" w:rsidR="00782DF6" w:rsidRPr="001502CF" w:rsidRDefault="00782DF6" w:rsidP="00782DF6">
                            <w:pPr>
                              <w:spacing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AF570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30" type="#_x0000_t176" style="position:absolute;margin-left:-59.5pt;margin-top:18.75pt;width:101.1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" fillcolor="#92cddc [1944]" strokecolor="black [3213]" strokeweight="2pt">
                <v:textbox>
                  <w:txbxContent>
                    <w:p w14:paraId="6CEFAD6B" w14:textId="77777777" w:rsidR="00782DF6" w:rsidRPr="001502CF" w:rsidRDefault="00782DF6" w:rsidP="00782DF6">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14:paraId="67F2B980" w14:textId="77777777" w:rsidR="00782DF6" w:rsidRPr="00710DFA" w:rsidRDefault="00782DF6" w:rsidP="00782DF6">
      <w:pPr>
        <w:spacing w:line="240" w:lineRule="auto"/>
        <w:rPr>
          <w:color w:val="000000" w:themeColor="text1"/>
          <w:sz w:val="24"/>
          <w:szCs w:val="24"/>
          <w:lang w:val="en-GB"/>
        </w:rPr>
      </w:pPr>
    </w:p>
    <w:p w14:paraId="65C34428" w14:textId="7777777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71552" behindDoc="0" locked="0" layoutInCell="1" allowOverlap="1" wp14:anchorId="3A43FC1E" wp14:editId="5D2BDAB2">
                <wp:simplePos x="0" y="0"/>
                <wp:positionH relativeFrom="column">
                  <wp:posOffset>3661105</wp:posOffset>
                </wp:positionH>
                <wp:positionV relativeFrom="paragraph">
                  <wp:posOffset>9525</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AA57AF9" id="_x0000_t32" coordsize="21600,21600" o:spt="32" o:oned="t" path="m,l21600,21600e" filled="f">
                <v:path arrowok="t" fillok="f" o:connecttype="none"/>
                <o:lock v:ext="edit" shapetype="t"/>
              </v:shapetype>
              <v:shape id="Straight Arrow Connector 14" o:spid="_x0000_s1026" type="#_x0000_t32" style="position:absolute;margin-left:288.3pt;margin-top:.7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" strokecolor="black [3213]">
                <v:stroke endarrow="block"/>
              </v:shape>
            </w:pict>
          </mc:Fallback>
        </mc:AlternateContent>
      </w:r>
    </w:p>
    <w:p w14:paraId="0F1A9883" w14:textId="77777777" w:rsidR="00782DF6" w:rsidRPr="00710DFA" w:rsidRDefault="00782DF6" w:rsidP="00782DF6">
      <w:pPr>
        <w:spacing w:line="240" w:lineRule="auto"/>
        <w:rPr>
          <w:color w:val="000000" w:themeColor="text1"/>
          <w:sz w:val="24"/>
          <w:szCs w:val="24"/>
          <w:lang w:val="en-GB"/>
        </w:rPr>
      </w:pPr>
    </w:p>
    <w:p w14:paraId="0A59953D" w14:textId="77777777" w:rsidR="00782DF6" w:rsidRPr="00710DFA" w:rsidRDefault="00782DF6" w:rsidP="00782DF6">
      <w:pPr>
        <w:spacing w:line="240" w:lineRule="auto"/>
        <w:rPr>
          <w:color w:val="000000" w:themeColor="text1"/>
          <w:sz w:val="24"/>
          <w:szCs w:val="24"/>
          <w:lang w:val="en-GB"/>
        </w:rPr>
      </w:pPr>
    </w:p>
    <w:p w14:paraId="29BEE8C1" w14:textId="7777777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92032" behindDoc="0" locked="0" layoutInCell="1" allowOverlap="1" wp14:anchorId="7671C9A9" wp14:editId="065240EC">
                <wp:simplePos x="0" y="0"/>
                <wp:positionH relativeFrom="column">
                  <wp:posOffset>7188200</wp:posOffset>
                </wp:positionH>
                <wp:positionV relativeFrom="paragraph">
                  <wp:posOffset>125094</wp:posOffset>
                </wp:positionV>
                <wp:extent cx="0" cy="1094105"/>
                <wp:effectExtent l="76200" t="0" r="57150" b="48895"/>
                <wp:wrapNone/>
                <wp:docPr id="34" name="Straight Arrow Connector 34"/>
                <wp:cNvGraphicFramePr/>
                <a:graphic xmlns:a="http://schemas.openxmlformats.org/drawingml/2006/main">
                  <a:graphicData uri="http://schemas.microsoft.com/office/word/2010/wordprocessingShape">
                    <wps:wsp>
                      <wps:cNvCnPr/>
                      <wps:spPr>
                        <a:xfrm>
                          <a:off x="0" y="0"/>
                          <a:ext cx="0" cy="10941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031F68" id="Straight Arrow Connector 34" o:spid="_x0000_s1026" type="#_x0000_t32" style="position:absolute;margin-left:566pt;margin-top:9.85pt;width:0;height:86.1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"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87936" behindDoc="0" locked="0" layoutInCell="1" allowOverlap="1" wp14:anchorId="1C916033" wp14:editId="10243C6D">
                <wp:simplePos x="0" y="0"/>
                <wp:positionH relativeFrom="column">
                  <wp:posOffset>749808</wp:posOffset>
                </wp:positionH>
                <wp:positionV relativeFrom="paragraph">
                  <wp:posOffset>136855</wp:posOffset>
                </wp:positionV>
                <wp:extent cx="914400" cy="4491533"/>
                <wp:effectExtent l="0" t="0" r="76200" b="99695"/>
                <wp:wrapNone/>
                <wp:docPr id="26" name="Connector: Elbow 26"/>
                <wp:cNvGraphicFramePr/>
                <a:graphic xmlns:a="http://schemas.openxmlformats.org/drawingml/2006/main">
                  <a:graphicData uri="http://schemas.microsoft.com/office/word/2010/wordprocessingShape">
                    <wps:wsp>
                      <wps:cNvCnPr/>
                      <wps:spPr>
                        <a:xfrm>
                          <a:off x="0" y="0"/>
                          <a:ext cx="914400" cy="4491533"/>
                        </a:xfrm>
                        <a:prstGeom prst="bentConnector3">
                          <a:avLst>
                            <a:gd name="adj1" fmla="val 176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1200B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6" o:spid="_x0000_s1026" type="#_x0000_t34" style="position:absolute;margin-left:59.05pt;margin-top:10.8pt;width:1in;height:353.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" adj="382"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78720" behindDoc="0" locked="0" layoutInCell="1" allowOverlap="1" wp14:anchorId="592EE867" wp14:editId="7796AA34">
                <wp:simplePos x="0" y="0"/>
                <wp:positionH relativeFrom="column">
                  <wp:posOffset>2607640</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E1B451" id="Straight Arrow Connector 27" o:spid="_x0000_s1026" type="#_x0000_t32" style="position:absolute;margin-left:205.35pt;margin-top:10.1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" strokecolor="black [3213]">
                <v:stroke endarrow="block"/>
              </v:shape>
            </w:pict>
          </mc:Fallback>
        </mc:AlternateContent>
      </w:r>
    </w:p>
    <w:p w14:paraId="1BF3F24E" w14:textId="77777777" w:rsidR="00782DF6" w:rsidRPr="00710DFA" w:rsidRDefault="00782DF6" w:rsidP="00782DF6">
      <w:pPr>
        <w:spacing w:line="240" w:lineRule="auto"/>
        <w:rPr>
          <w:color w:val="000000" w:themeColor="text1"/>
          <w:sz w:val="24"/>
          <w:szCs w:val="24"/>
          <w:lang w:val="en-GB"/>
        </w:rPr>
      </w:pPr>
    </w:p>
    <w:p w14:paraId="78A36B08" w14:textId="7777777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83840" behindDoc="0" locked="0" layoutInCell="1" allowOverlap="1" wp14:anchorId="6A0C9795" wp14:editId="0020115D">
                <wp:simplePos x="0" y="0"/>
                <wp:positionH relativeFrom="column">
                  <wp:posOffset>1722755</wp:posOffset>
                </wp:positionH>
                <wp:positionV relativeFrom="paragraph">
                  <wp:posOffset>3924300</wp:posOffset>
                </wp:positionV>
                <wp:extent cx="1887220" cy="723900"/>
                <wp:effectExtent l="0" t="0" r="17780" b="19050"/>
                <wp:wrapNone/>
                <wp:docPr id="7" name="Rectangle 7"/>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982A27" w14:textId="77777777" w:rsidR="00782DF6" w:rsidRDefault="00782DF6" w:rsidP="00782DF6">
                            <w:pPr>
                              <w:spacing w:line="240" w:lineRule="auto"/>
                              <w:rPr>
                                <w:color w:val="000000" w:themeColor="text1"/>
                                <w:sz w:val="18"/>
                                <w:szCs w:val="20"/>
                              </w:rPr>
                            </w:pPr>
                            <w:r>
                              <w:rPr>
                                <w:color w:val="000000" w:themeColor="text1"/>
                                <w:sz w:val="18"/>
                                <w:szCs w:val="20"/>
                              </w:rPr>
                              <w:t>Total studies included in review</w:t>
                            </w:r>
                          </w:p>
                          <w:p w14:paraId="3E96005F" w14:textId="3F832BB6" w:rsidR="00782DF6" w:rsidRDefault="00782DF6" w:rsidP="00782DF6">
                            <w:pPr>
                              <w:spacing w:line="240" w:lineRule="auto"/>
                              <w:rPr>
                                <w:color w:val="000000" w:themeColor="text1"/>
                                <w:sz w:val="18"/>
                                <w:szCs w:val="20"/>
                              </w:rPr>
                            </w:pPr>
                            <w:r>
                              <w:rPr>
                                <w:color w:val="000000" w:themeColor="text1"/>
                                <w:sz w:val="18"/>
                                <w:szCs w:val="20"/>
                              </w:rPr>
                              <w:t xml:space="preserve">(n = </w:t>
                            </w:r>
                            <w:r w:rsidR="009736AC">
                              <w:rPr>
                                <w:color w:val="000000" w:themeColor="text1"/>
                                <w:sz w:val="18"/>
                                <w:szCs w:val="20"/>
                              </w:rPr>
                              <w:t>5</w:t>
                            </w:r>
                            <w:r w:rsidR="00EF7AA2">
                              <w:rPr>
                                <w:color w:val="000000" w:themeColor="text1"/>
                                <w:sz w:val="18"/>
                                <w:szCs w:val="20"/>
                              </w:rPr>
                              <w:t>0</w:t>
                            </w:r>
                            <w:r>
                              <w:rPr>
                                <w:color w:val="000000" w:themeColor="text1"/>
                                <w:sz w:val="18"/>
                                <w:szCs w:val="20"/>
                              </w:rPr>
                              <w:t>)</w:t>
                            </w:r>
                          </w:p>
                          <w:p w14:paraId="1B990D10" w14:textId="77777777" w:rsidR="00782DF6" w:rsidRDefault="00782DF6" w:rsidP="00782DF6">
                            <w:pPr>
                              <w:spacing w:line="240" w:lineRule="auto"/>
                              <w:rPr>
                                <w:color w:val="000000" w:themeColor="text1"/>
                                <w:sz w:val="18"/>
                                <w:szCs w:val="20"/>
                              </w:rPr>
                            </w:pPr>
                            <w:r>
                              <w:rPr>
                                <w:color w:val="000000" w:themeColor="text1"/>
                                <w:sz w:val="18"/>
                                <w:szCs w:val="20"/>
                              </w:rPr>
                              <w:t>Reports of total included studies</w:t>
                            </w:r>
                          </w:p>
                          <w:p w14:paraId="5996DC67" w14:textId="5FA023C0"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C9795" id="Rectangle 7" o:spid="_x0000_s1031" style="position:absolute;margin-left:135.65pt;margin-top:309pt;width:148.6pt;height:5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RMEiQIAAHA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" filled="f" strokecolor="black [3213]" strokeweight="2pt">
                <v:textbox>
                  <w:txbxContent>
                    <w:p w14:paraId="4E982A27" w14:textId="77777777" w:rsidR="00782DF6" w:rsidRDefault="00782DF6" w:rsidP="00782DF6">
                      <w:pPr>
                        <w:spacing w:line="240" w:lineRule="auto"/>
                        <w:rPr>
                          <w:color w:val="000000" w:themeColor="text1"/>
                          <w:sz w:val="18"/>
                          <w:szCs w:val="20"/>
                        </w:rPr>
                      </w:pPr>
                      <w:r>
                        <w:rPr>
                          <w:color w:val="000000" w:themeColor="text1"/>
                          <w:sz w:val="18"/>
                          <w:szCs w:val="20"/>
                        </w:rPr>
                        <w:t>Total studies included in review</w:t>
                      </w:r>
                    </w:p>
                    <w:p w14:paraId="3E96005F" w14:textId="3F832BB6" w:rsidR="00782DF6" w:rsidRDefault="00782DF6" w:rsidP="00782DF6">
                      <w:pPr>
                        <w:spacing w:line="240" w:lineRule="auto"/>
                        <w:rPr>
                          <w:color w:val="000000" w:themeColor="text1"/>
                          <w:sz w:val="18"/>
                          <w:szCs w:val="20"/>
                        </w:rPr>
                      </w:pPr>
                      <w:r>
                        <w:rPr>
                          <w:color w:val="000000" w:themeColor="text1"/>
                          <w:sz w:val="18"/>
                          <w:szCs w:val="20"/>
                        </w:rPr>
                        <w:t xml:space="preserve">(n = </w:t>
                      </w:r>
                      <w:r w:rsidR="009736AC">
                        <w:rPr>
                          <w:color w:val="000000" w:themeColor="text1"/>
                          <w:sz w:val="18"/>
                          <w:szCs w:val="20"/>
                        </w:rPr>
                        <w:t>5</w:t>
                      </w:r>
                      <w:r w:rsidR="00EF7AA2">
                        <w:rPr>
                          <w:color w:val="000000" w:themeColor="text1"/>
                          <w:sz w:val="18"/>
                          <w:szCs w:val="20"/>
                        </w:rPr>
                        <w:t>0</w:t>
                      </w:r>
                      <w:r>
                        <w:rPr>
                          <w:color w:val="000000" w:themeColor="text1"/>
                          <w:sz w:val="18"/>
                          <w:szCs w:val="20"/>
                        </w:rPr>
                        <w:t>)</w:t>
                      </w:r>
                    </w:p>
                    <w:p w14:paraId="1B990D10" w14:textId="77777777" w:rsidR="00782DF6" w:rsidRDefault="00782DF6" w:rsidP="00782DF6">
                      <w:pPr>
                        <w:spacing w:line="240" w:lineRule="auto"/>
                        <w:rPr>
                          <w:color w:val="000000" w:themeColor="text1"/>
                          <w:sz w:val="18"/>
                          <w:szCs w:val="20"/>
                        </w:rPr>
                      </w:pPr>
                      <w:r>
                        <w:rPr>
                          <w:color w:val="000000" w:themeColor="text1"/>
                          <w:sz w:val="18"/>
                          <w:szCs w:val="20"/>
                        </w:rPr>
                        <w:t>Reports of total included studies</w:t>
                      </w:r>
                    </w:p>
                    <w:p w14:paraId="5996DC67" w14:textId="5FA023C0"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81792" behindDoc="0" locked="0" layoutInCell="1" allowOverlap="1" wp14:anchorId="6946D547" wp14:editId="5D710359">
                <wp:simplePos x="0" y="0"/>
                <wp:positionH relativeFrom="column">
                  <wp:posOffset>2635885</wp:posOffset>
                </wp:positionH>
                <wp:positionV relativeFrom="paragraph">
                  <wp:posOffset>2252345</wp:posOffset>
                </wp:positionV>
                <wp:extent cx="0" cy="616585"/>
                <wp:effectExtent l="76200" t="0" r="57150" b="50165"/>
                <wp:wrapNone/>
                <wp:docPr id="37" name="Straight Arrow Connector 37"/>
                <wp:cNvGraphicFramePr/>
                <a:graphic xmlns:a="http://schemas.openxmlformats.org/drawingml/2006/main">
                  <a:graphicData uri="http://schemas.microsoft.com/office/word/2010/wordprocessingShape">
                    <wps:wsp>
                      <wps:cNvCnPr/>
                      <wps:spPr>
                        <a:xfrm>
                          <a:off x="0" y="0"/>
                          <a:ext cx="0" cy="6165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FB1871" id="Straight Arrow Connector 37" o:spid="_x0000_s1026" type="#_x0000_t32" style="position:absolute;margin-left:207.55pt;margin-top:177.35pt;width:0;height:48.5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"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65408" behindDoc="0" locked="0" layoutInCell="1" allowOverlap="1" wp14:anchorId="539A4D8A" wp14:editId="619D89A9">
                <wp:simplePos x="0" y="0"/>
                <wp:positionH relativeFrom="column">
                  <wp:posOffset>1769110</wp:posOffset>
                </wp:positionH>
                <wp:positionV relativeFrom="paragraph">
                  <wp:posOffset>1718945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D82238"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assessed for eligibility</w:t>
                            </w:r>
                          </w:p>
                          <w:p w14:paraId="72A5726B" w14:textId="1365C4AF"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9736AC">
                              <w:rPr>
                                <w:color w:val="000000" w:themeColor="text1"/>
                                <w:sz w:val="18"/>
                                <w:szCs w:val="20"/>
                              </w:rPr>
                              <w:t>102</w:t>
                            </w:r>
                            <w:r w:rsidRPr="00CF16A4">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A4D8A" id="Rectangle 8" o:spid="_x0000_s1032" style="position:absolute;margin-left:139.3pt;margin-top:135.3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" filled="f" strokecolor="black [3213]" strokeweight="2pt">
                <v:textbox>
                  <w:txbxContent>
                    <w:p w14:paraId="04D82238"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assessed for eligibility</w:t>
                      </w:r>
                    </w:p>
                    <w:p w14:paraId="72A5726B" w14:textId="1365C4AF"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9736AC">
                        <w:rPr>
                          <w:color w:val="000000" w:themeColor="text1"/>
                          <w:sz w:val="18"/>
                          <w:szCs w:val="20"/>
                        </w:rPr>
                        <w:t>102</w:t>
                      </w:r>
                      <w:r w:rsidRPr="00CF16A4">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74624" behindDoc="0" locked="0" layoutInCell="1" allowOverlap="1" wp14:anchorId="73B71320" wp14:editId="5165A0B2">
                <wp:simplePos x="0" y="0"/>
                <wp:positionH relativeFrom="column">
                  <wp:posOffset>3683635</wp:posOffset>
                </wp:positionH>
                <wp:positionV relativeFrom="paragraph">
                  <wp:posOffset>2000250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786C0C" id="Straight Arrow Connector 17" o:spid="_x0000_s1026" type="#_x0000_t32" style="position:absolute;margin-left:290.05pt;margin-top:157.5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"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73600" behindDoc="0" locked="0" layoutInCell="1" allowOverlap="1" wp14:anchorId="42D2A00F" wp14:editId="25533FA9">
                <wp:simplePos x="0" y="0"/>
                <wp:positionH relativeFrom="column">
                  <wp:posOffset>3670300</wp:posOffset>
                </wp:positionH>
                <wp:positionV relativeFrom="paragraph">
                  <wp:posOffset>1173480</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7F8A1A" id="Straight Arrow Connector 16" o:spid="_x0000_s1026" type="#_x0000_t32" style="position:absolute;margin-left:289pt;margin-top:92.4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"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63360" behindDoc="0" locked="0" layoutInCell="1" allowOverlap="1" wp14:anchorId="05BDF291" wp14:editId="630F52AE">
                <wp:simplePos x="0" y="0"/>
                <wp:positionH relativeFrom="column">
                  <wp:posOffset>1767840</wp:posOffset>
                </wp:positionH>
                <wp:positionV relativeFrom="paragraph">
                  <wp:posOffset>900430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A44407"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sought for retrieval</w:t>
                            </w:r>
                          </w:p>
                          <w:p w14:paraId="16D2C611" w14:textId="1DB7DD04"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124</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BDF291" id="Rectangle 5" o:spid="_x0000_s1033" style="position:absolute;margin-left:139.2pt;margin-top:70.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" filled="f" strokecolor="black [3213]" strokeweight="2pt">
                <v:textbox>
                  <w:txbxContent>
                    <w:p w14:paraId="76A44407"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sought for retrieval</w:t>
                      </w:r>
                    </w:p>
                    <w:p w14:paraId="16D2C611" w14:textId="1DB7DD04"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124</w:t>
                      </w:r>
                      <w:r>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61312" behindDoc="0" locked="0" layoutInCell="1" allowOverlap="1" wp14:anchorId="5DE3CB47" wp14:editId="06FA5C7B">
                <wp:simplePos x="0" y="0"/>
                <wp:positionH relativeFrom="column">
                  <wp:posOffset>1766570</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A903D0"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screened</w:t>
                            </w:r>
                          </w:p>
                          <w:p w14:paraId="07044983" w14:textId="04654B1F"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337</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3CB47" id="Rectangle 3" o:spid="_x0000_s1034" style="position:absolute;margin-left:139.1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" filled="f" strokecolor="black [3213]" strokeweight="2pt">
                <v:textbox>
                  <w:txbxContent>
                    <w:p w14:paraId="78A903D0"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screened</w:t>
                      </w:r>
                    </w:p>
                    <w:p w14:paraId="07044983" w14:textId="04654B1F"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337</w:t>
                      </w:r>
                      <w:r>
                        <w:rPr>
                          <w:color w:val="000000" w:themeColor="text1"/>
                          <w:sz w:val="18"/>
                          <w:szCs w:val="20"/>
                        </w:rPr>
                        <w:t>)</w:t>
                      </w:r>
                    </w:p>
                  </w:txbxContent>
                </v:textbox>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72576" behindDoc="0" locked="0" layoutInCell="1" allowOverlap="1" wp14:anchorId="4DBA8D8F" wp14:editId="08D58D9B">
                <wp:simplePos x="0" y="0"/>
                <wp:positionH relativeFrom="column">
                  <wp:posOffset>3660775</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B4C60C" id="Straight Arrow Connector 15" o:spid="_x0000_s1026" type="#_x0000_t32" style="position:absolute;margin-left:288.25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"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62336" behindDoc="0" locked="0" layoutInCell="1" allowOverlap="1" wp14:anchorId="03A620F2" wp14:editId="174A88C8">
                <wp:simplePos x="0" y="0"/>
                <wp:positionH relativeFrom="column">
                  <wp:posOffset>4228160</wp:posOffset>
                </wp:positionH>
                <wp:positionV relativeFrom="paragraph">
                  <wp:posOffset>74930</wp:posOffset>
                </wp:positionV>
                <wp:extent cx="1887220" cy="526415"/>
                <wp:effectExtent l="0" t="0" r="17780" b="26035"/>
                <wp:wrapNone/>
                <wp:docPr id="395805425" name="Rectangle 39580542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77C6CB"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excluded**</w:t>
                            </w:r>
                          </w:p>
                          <w:p w14:paraId="1C124592" w14:textId="4A4F164F"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213</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A620F2" id="Rectangle 395805425" o:spid="_x0000_s1035" style="position:absolute;margin-left:332.95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" filled="f" strokecolor="black [3213]" strokeweight="2pt">
                <v:textbox>
                  <w:txbxContent>
                    <w:p w14:paraId="6677C6CB" w14:textId="77777777" w:rsidR="00782DF6" w:rsidRDefault="00782DF6" w:rsidP="00782DF6">
                      <w:pPr>
                        <w:spacing w:line="240" w:lineRule="auto"/>
                        <w:rPr>
                          <w:color w:val="000000" w:themeColor="text1"/>
                          <w:sz w:val="18"/>
                          <w:szCs w:val="20"/>
                        </w:rPr>
                      </w:pPr>
                      <w:r w:rsidRPr="00560609">
                        <w:rPr>
                          <w:color w:val="000000" w:themeColor="text1"/>
                          <w:sz w:val="18"/>
                          <w:szCs w:val="20"/>
                        </w:rPr>
                        <w:t>Records</w:t>
                      </w:r>
                      <w:r>
                        <w:rPr>
                          <w:color w:val="000000" w:themeColor="text1"/>
                          <w:sz w:val="18"/>
                          <w:szCs w:val="20"/>
                        </w:rPr>
                        <w:t xml:space="preserve"> excluded**</w:t>
                      </w:r>
                    </w:p>
                    <w:p w14:paraId="1C124592" w14:textId="4A4F164F"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213</w:t>
                      </w:r>
                      <w:r>
                        <w:rPr>
                          <w:color w:val="000000" w:themeColor="text1"/>
                          <w:sz w:val="18"/>
                          <w:szCs w:val="20"/>
                        </w:rPr>
                        <w:t>)</w:t>
                      </w:r>
                    </w:p>
                  </w:txbxContent>
                </v:textbox>
              </v:rect>
            </w:pict>
          </mc:Fallback>
        </mc:AlternateContent>
      </w:r>
    </w:p>
    <w:p w14:paraId="304E03CC" w14:textId="5EDBDB17" w:rsidR="00782DF6" w:rsidRPr="00710DFA" w:rsidRDefault="00782DF6" w:rsidP="00782DF6">
      <w:pPr>
        <w:spacing w:line="240" w:lineRule="auto"/>
        <w:rPr>
          <w:color w:val="000000" w:themeColor="text1"/>
          <w:sz w:val="24"/>
          <w:szCs w:val="24"/>
          <w:lang w:val="en-GB"/>
        </w:rPr>
      </w:pPr>
    </w:p>
    <w:p w14:paraId="3BF4868C" w14:textId="0B86CED9" w:rsidR="00782DF6" w:rsidRPr="00710DFA" w:rsidRDefault="00782DF6" w:rsidP="00782DF6">
      <w:pPr>
        <w:spacing w:line="240" w:lineRule="auto"/>
        <w:rPr>
          <w:color w:val="000000" w:themeColor="text1"/>
          <w:sz w:val="24"/>
          <w:szCs w:val="24"/>
          <w:lang w:val="en-GB"/>
        </w:rPr>
      </w:pPr>
    </w:p>
    <w:p w14:paraId="2EDA6FBE" w14:textId="4D1A0DF8"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79744" behindDoc="0" locked="0" layoutInCell="1" allowOverlap="1" wp14:anchorId="216E2238" wp14:editId="192395B6">
                <wp:simplePos x="0" y="0"/>
                <wp:positionH relativeFrom="column">
                  <wp:posOffset>2607640</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63566C" id="Straight Arrow Connector 35" o:spid="_x0000_s1026" type="#_x0000_t32" style="position:absolute;margin-left:205.35pt;margin-top:7.85pt;width:0;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" strokecolor="black [3213]">
                <v:stroke endarrow="block"/>
              </v:shape>
            </w:pict>
          </mc:Fallback>
        </mc:AlternateContent>
      </w:r>
    </w:p>
    <w:p w14:paraId="0CFD9F6C" w14:textId="3940540A" w:rsidR="00782DF6" w:rsidRPr="00710DFA" w:rsidRDefault="00782DF6" w:rsidP="00782DF6">
      <w:pPr>
        <w:spacing w:line="240" w:lineRule="auto"/>
        <w:rPr>
          <w:color w:val="000000" w:themeColor="text1"/>
          <w:sz w:val="24"/>
          <w:szCs w:val="24"/>
          <w:lang w:val="en-GB"/>
        </w:rPr>
      </w:pPr>
    </w:p>
    <w:p w14:paraId="78D9AC13" w14:textId="3370E93F" w:rsidR="00782DF6" w:rsidRPr="00710DFA" w:rsidRDefault="00622C88"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89984" behindDoc="0" locked="0" layoutInCell="1" allowOverlap="1" wp14:anchorId="05333905" wp14:editId="785C1DAA">
                <wp:simplePos x="0" y="0"/>
                <wp:positionH relativeFrom="page">
                  <wp:posOffset>8862060</wp:posOffset>
                </wp:positionH>
                <wp:positionV relativeFrom="paragraph">
                  <wp:posOffset>15240</wp:posOffset>
                </wp:positionV>
                <wp:extent cx="1051560" cy="541655"/>
                <wp:effectExtent l="0" t="0" r="15240" b="10795"/>
                <wp:wrapNone/>
                <wp:docPr id="21" name="Rectangle 21"/>
                <wp:cNvGraphicFramePr/>
                <a:graphic xmlns:a="http://schemas.openxmlformats.org/drawingml/2006/main">
                  <a:graphicData uri="http://schemas.microsoft.com/office/word/2010/wordprocessingShape">
                    <wps:wsp>
                      <wps:cNvSpPr/>
                      <wps:spPr>
                        <a:xfrm>
                          <a:off x="0" y="0"/>
                          <a:ext cx="1051560" cy="5416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221169"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not retrieved</w:t>
                            </w:r>
                          </w:p>
                          <w:p w14:paraId="3F029E32" w14:textId="12BA2BD6"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333905" id="Rectangle 21" o:spid="_x0000_s1036" style="position:absolute;margin-left:697.8pt;margin-top:1.2pt;width:82.8pt;height:42.65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" filled="f" strokecolor="black [3213]" strokeweight="2pt">
                <v:textbox>
                  <w:txbxContent>
                    <w:p w14:paraId="1D221169"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not retrieved</w:t>
                      </w:r>
                    </w:p>
                    <w:p w14:paraId="3F029E32" w14:textId="12BA2BD6"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v:textbox>
                <w10:wrap anchorx="page"/>
              </v:rect>
            </w:pict>
          </mc:Fallback>
        </mc:AlternateContent>
      </w:r>
      <w:r w:rsidRPr="00710DFA">
        <w:rPr>
          <w:noProof/>
          <w:color w:val="000000" w:themeColor="text1"/>
          <w:sz w:val="24"/>
          <w:szCs w:val="24"/>
          <w:lang w:val="en-GB"/>
        </w:rPr>
        <mc:AlternateContent>
          <mc:Choice Requires="wps">
            <w:drawing>
              <wp:anchor distT="0" distB="0" distL="114300" distR="114300" simplePos="0" relativeHeight="251688960" behindDoc="0" locked="0" layoutInCell="1" allowOverlap="1" wp14:anchorId="58AA95D3" wp14:editId="10F990A7">
                <wp:simplePos x="0" y="0"/>
                <wp:positionH relativeFrom="column">
                  <wp:posOffset>6637020</wp:posOffset>
                </wp:positionH>
                <wp:positionV relativeFrom="paragraph">
                  <wp:posOffset>46355</wp:posOffset>
                </wp:positionV>
                <wp:extent cx="1120140" cy="526415"/>
                <wp:effectExtent l="0" t="0" r="22860" b="26035"/>
                <wp:wrapNone/>
                <wp:docPr id="18" name="Rectangle 18"/>
                <wp:cNvGraphicFramePr/>
                <a:graphic xmlns:a="http://schemas.openxmlformats.org/drawingml/2006/main">
                  <a:graphicData uri="http://schemas.microsoft.com/office/word/2010/wordprocessingShape">
                    <wps:wsp>
                      <wps:cNvSpPr/>
                      <wps:spPr>
                        <a:xfrm>
                          <a:off x="0" y="0"/>
                          <a:ext cx="112014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EA986B"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sought for retrieval</w:t>
                            </w:r>
                          </w:p>
                          <w:p w14:paraId="6BE616F6" w14:textId="7116CCC2"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A95D3" id="Rectangle 18" o:spid="_x0000_s1037" style="position:absolute;margin-left:522.6pt;margin-top:3.65pt;width:88.2pt;height:41.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" filled="f" strokecolor="black [3213]" strokeweight="2pt">
                <v:textbox>
                  <w:txbxContent>
                    <w:p w14:paraId="3DEA986B"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sought for retrieval</w:t>
                      </w:r>
                    </w:p>
                    <w:p w14:paraId="6BE616F6" w14:textId="7116CCC2"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p>
                  </w:txbxContent>
                </v:textbox>
              </v:rect>
            </w:pict>
          </mc:Fallback>
        </mc:AlternateContent>
      </w:r>
      <w:r w:rsidR="00782DF6" w:rsidRPr="00710DFA">
        <w:rPr>
          <w:noProof/>
          <w:color w:val="000000" w:themeColor="text1"/>
          <w:sz w:val="24"/>
          <w:szCs w:val="24"/>
          <w:lang w:val="en-GB"/>
        </w:rPr>
        <mc:AlternateContent>
          <mc:Choice Requires="wps">
            <w:drawing>
              <wp:anchor distT="0" distB="0" distL="114300" distR="114300" simplePos="0" relativeHeight="251664384" behindDoc="0" locked="0" layoutInCell="1" allowOverlap="1" wp14:anchorId="50D5BC9A" wp14:editId="32B14FBD">
                <wp:simplePos x="0" y="0"/>
                <wp:positionH relativeFrom="column">
                  <wp:posOffset>4229430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41353D"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not retrieved</w:t>
                            </w:r>
                          </w:p>
                          <w:p w14:paraId="1DA44718" w14:textId="36AD9B41"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9736AC">
                              <w:rPr>
                                <w:color w:val="000000" w:themeColor="text1"/>
                                <w:sz w:val="18"/>
                                <w:szCs w:val="20"/>
                              </w:rPr>
                              <w:t>22</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D5BC9A" id="Rectangle 6" o:spid="_x0000_s1038" style="position:absolute;margin-left:333.05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" filled="f" strokecolor="black [3213]" strokeweight="2pt">
                <v:textbox>
                  <w:txbxContent>
                    <w:p w14:paraId="6141353D"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not retrieved</w:t>
                      </w:r>
                    </w:p>
                    <w:p w14:paraId="1DA44718" w14:textId="36AD9B41"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9736AC">
                        <w:rPr>
                          <w:color w:val="000000" w:themeColor="text1"/>
                          <w:sz w:val="18"/>
                          <w:szCs w:val="20"/>
                        </w:rPr>
                        <w:t>22</w:t>
                      </w:r>
                      <w:r>
                        <w:rPr>
                          <w:color w:val="000000" w:themeColor="text1"/>
                          <w:sz w:val="18"/>
                          <w:szCs w:val="20"/>
                        </w:rPr>
                        <w:t>)</w:t>
                      </w:r>
                    </w:p>
                  </w:txbxContent>
                </v:textbox>
              </v:rect>
            </w:pict>
          </mc:Fallback>
        </mc:AlternateContent>
      </w:r>
    </w:p>
    <w:p w14:paraId="51AB5DCC" w14:textId="5F31718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76672" behindDoc="0" locked="0" layoutInCell="1" allowOverlap="1" wp14:anchorId="1BCB2FF0" wp14:editId="5B5DBD76">
                <wp:simplePos x="0" y="0"/>
                <wp:positionH relativeFrom="column">
                  <wp:posOffset>-1454163</wp:posOffset>
                </wp:positionH>
                <wp:positionV relativeFrom="paragraph">
                  <wp:posOffset>247968</wp:posOffset>
                </wp:positionV>
                <wp:extent cx="2666365" cy="262890"/>
                <wp:effectExtent l="1588" t="0" r="21272" b="21273"/>
                <wp:wrapNone/>
                <wp:docPr id="32" name="Flowchart: Alternate Process 32"/>
                <wp:cNvGraphicFramePr/>
                <a:graphic xmlns:a="http://schemas.openxmlformats.org/drawingml/2006/main">
                  <a:graphicData uri="http://schemas.microsoft.com/office/word/2010/wordprocessingShape">
                    <wps:wsp>
                      <wps:cNvSpPr/>
                      <wps:spPr>
                        <a:xfrm rot="16200000">
                          <a:off x="0" y="0"/>
                          <a:ext cx="266636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501B010" w14:textId="77777777" w:rsidR="00782DF6" w:rsidRDefault="00782DF6" w:rsidP="00782DF6">
                            <w:pPr>
                              <w:spacing w:line="240" w:lineRule="auto"/>
                              <w:jc w:val="center"/>
                              <w:rPr>
                                <w:b/>
                                <w:color w:val="000000" w:themeColor="text1"/>
                                <w:sz w:val="18"/>
                                <w:szCs w:val="18"/>
                              </w:rPr>
                            </w:pPr>
                            <w:r>
                              <w:rPr>
                                <w:b/>
                                <w:color w:val="000000" w:themeColor="text1"/>
                                <w:sz w:val="18"/>
                                <w:szCs w:val="18"/>
                              </w:rPr>
                              <w:t>Screening</w:t>
                            </w:r>
                          </w:p>
                          <w:p w14:paraId="0CCC4C81" w14:textId="77777777" w:rsidR="00782DF6" w:rsidRPr="001502CF" w:rsidRDefault="00782DF6" w:rsidP="00782DF6">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B2FF0" id="Flowchart: Alternate Process 32" o:spid="_x0000_s1039" type="#_x0000_t176" style="position:absolute;margin-left:-114.5pt;margin-top:19.55pt;width:209.9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" fillcolor="#92cddc [1944]" strokecolor="black [3213]" strokeweight="2pt">
                <v:textbox>
                  <w:txbxContent>
                    <w:p w14:paraId="6501B010" w14:textId="77777777" w:rsidR="00782DF6" w:rsidRDefault="00782DF6" w:rsidP="00782DF6">
                      <w:pPr>
                        <w:spacing w:line="240" w:lineRule="auto"/>
                        <w:jc w:val="center"/>
                        <w:rPr>
                          <w:b/>
                          <w:color w:val="000000" w:themeColor="text1"/>
                          <w:sz w:val="18"/>
                          <w:szCs w:val="18"/>
                        </w:rPr>
                      </w:pPr>
                      <w:r>
                        <w:rPr>
                          <w:b/>
                          <w:color w:val="000000" w:themeColor="text1"/>
                          <w:sz w:val="18"/>
                          <w:szCs w:val="18"/>
                        </w:rPr>
                        <w:t>Screening</w:t>
                      </w:r>
                    </w:p>
                    <w:p w14:paraId="0CCC4C81" w14:textId="77777777" w:rsidR="00782DF6" w:rsidRPr="001502CF" w:rsidRDefault="00782DF6" w:rsidP="00782DF6">
                      <w:pPr>
                        <w:spacing w:line="240" w:lineRule="auto"/>
                        <w:rPr>
                          <w:b/>
                          <w:color w:val="000000" w:themeColor="text1"/>
                          <w:sz w:val="18"/>
                          <w:szCs w:val="18"/>
                        </w:rPr>
                      </w:pPr>
                    </w:p>
                  </w:txbxContent>
                </v:textbox>
              </v:shape>
            </w:pict>
          </mc:Fallback>
        </mc:AlternateContent>
      </w:r>
    </w:p>
    <w:p w14:paraId="363A2F8E" w14:textId="06DD227C" w:rsidR="00782DF6" w:rsidRPr="00710DFA" w:rsidRDefault="00622C88"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91008" behindDoc="0" locked="0" layoutInCell="1" allowOverlap="1" wp14:anchorId="574CDFCC" wp14:editId="02DEC29E">
                <wp:simplePos x="0" y="0"/>
                <wp:positionH relativeFrom="column">
                  <wp:posOffset>7774940</wp:posOffset>
                </wp:positionH>
                <wp:positionV relativeFrom="paragraph">
                  <wp:posOffset>22225</wp:posOffset>
                </wp:positionV>
                <wp:extent cx="219075" cy="0"/>
                <wp:effectExtent l="0" t="76200" r="9525" b="95250"/>
                <wp:wrapNone/>
                <wp:docPr id="24" name="Straight Arrow Connector 24"/>
                <wp:cNvGraphicFramePr/>
                <a:graphic xmlns:a="http://schemas.openxmlformats.org/drawingml/2006/main">
                  <a:graphicData uri="http://schemas.microsoft.com/office/word/2010/wordprocessingShape">
                    <wps:wsp>
                      <wps:cNvCnPr/>
                      <wps:spPr>
                        <a:xfrm>
                          <a:off x="0" y="0"/>
                          <a:ext cx="2190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49F48D" id="Straight Arrow Connector 24" o:spid="_x0000_s1026" type="#_x0000_t32" style="position:absolute;margin-left:612.2pt;margin-top:1.75pt;width:17.25pt;height: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" strokecolor="black [3213]">
                <v:stroke endarrow="block"/>
              </v:shape>
            </w:pict>
          </mc:Fallback>
        </mc:AlternateContent>
      </w:r>
    </w:p>
    <w:p w14:paraId="713F2942" w14:textId="7777777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93056" behindDoc="0" locked="0" layoutInCell="1" allowOverlap="1" wp14:anchorId="1E86A3AD" wp14:editId="2E41EA22">
                <wp:simplePos x="0" y="0"/>
                <wp:positionH relativeFrom="column">
                  <wp:posOffset>7200900</wp:posOffset>
                </wp:positionH>
                <wp:positionV relativeFrom="paragraph">
                  <wp:posOffset>72390</wp:posOffset>
                </wp:positionV>
                <wp:extent cx="0" cy="281305"/>
                <wp:effectExtent l="76200" t="0" r="57150" b="61595"/>
                <wp:wrapNone/>
                <wp:docPr id="38" name="Straight Arrow Connector 3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09B286" id="Straight Arrow Connector 38" o:spid="_x0000_s1026" type="#_x0000_t32" style="position:absolute;margin-left:567pt;margin-top:5.7pt;width:0;height:22.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" strokecolor="black [3213]">
                <v:stroke endarrow="block"/>
              </v:shape>
            </w:pict>
          </mc:Fallback>
        </mc:AlternateContent>
      </w:r>
      <w:r w:rsidRPr="00710DFA">
        <w:rPr>
          <w:noProof/>
          <w:color w:val="000000" w:themeColor="text1"/>
          <w:sz w:val="24"/>
          <w:szCs w:val="24"/>
          <w:lang w:val="en-GB"/>
        </w:rPr>
        <mc:AlternateContent>
          <mc:Choice Requires="wps">
            <w:drawing>
              <wp:anchor distT="0" distB="0" distL="114300" distR="114300" simplePos="0" relativeHeight="251680768" behindDoc="0" locked="0" layoutInCell="1" allowOverlap="1" wp14:anchorId="31BFDC5D" wp14:editId="2875B69A">
                <wp:simplePos x="0" y="0"/>
                <wp:positionH relativeFrom="column">
                  <wp:posOffset>2616835</wp:posOffset>
                </wp:positionH>
                <wp:positionV relativeFrom="paragraph">
                  <wp:posOffset>62865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4C55A3" id="Straight Arrow Connector 36" o:spid="_x0000_s1026" type="#_x0000_t32" style="position:absolute;margin-left:206.05pt;margin-top:4.95pt;width:0;height:22.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" strokecolor="black [3213]">
                <v:stroke endarrow="block"/>
              </v:shape>
            </w:pict>
          </mc:Fallback>
        </mc:AlternateContent>
      </w:r>
    </w:p>
    <w:p w14:paraId="1F1EBE8B" w14:textId="62A7A812" w:rsidR="00782DF6" w:rsidRPr="00710DFA" w:rsidRDefault="00622C88"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69504" behindDoc="0" locked="0" layoutInCell="1" allowOverlap="1" wp14:anchorId="46EAEB1E" wp14:editId="6BE575D8">
                <wp:simplePos x="0" y="0"/>
                <wp:positionH relativeFrom="page">
                  <wp:posOffset>8709660</wp:posOffset>
                </wp:positionH>
                <wp:positionV relativeFrom="paragraph">
                  <wp:posOffset>81915</wp:posOffset>
                </wp:positionV>
                <wp:extent cx="1196340" cy="1173480"/>
                <wp:effectExtent l="0" t="0" r="22860" b="26670"/>
                <wp:wrapNone/>
                <wp:docPr id="12" name="Rectangle 12"/>
                <wp:cNvGraphicFramePr/>
                <a:graphic xmlns:a="http://schemas.openxmlformats.org/drawingml/2006/main">
                  <a:graphicData uri="http://schemas.microsoft.com/office/word/2010/wordprocessingShape">
                    <wps:wsp>
                      <wps:cNvSpPr/>
                      <wps:spPr>
                        <a:xfrm>
                          <a:off x="0" y="0"/>
                          <a:ext cx="1196340" cy="11734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D281E6" w14:textId="59DAD184"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excluded:</w:t>
                            </w:r>
                            <w:r w:rsidR="00EF7AA2">
                              <w:rPr>
                                <w:color w:val="000000" w:themeColor="text1"/>
                                <w:sz w:val="18"/>
                                <w:szCs w:val="20"/>
                              </w:rPr>
                              <w:t>0</w:t>
                            </w:r>
                          </w:p>
                          <w:p w14:paraId="42735B05" w14:textId="4D7DB7FB" w:rsidR="00782DF6" w:rsidRPr="00560609" w:rsidRDefault="00782DF6" w:rsidP="00782DF6">
                            <w:pPr>
                              <w:spacing w:line="240" w:lineRule="auto"/>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EAEB1E" id="Rectangle 12" o:spid="_x0000_s1040" style="position:absolute;margin-left:685.8pt;margin-top:6.45pt;width:94.2pt;height:92.4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" filled="f" strokecolor="black [3213]" strokeweight="2pt">
                <v:textbox>
                  <w:txbxContent>
                    <w:p w14:paraId="49D281E6" w14:textId="59DAD184"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excluded:</w:t>
                      </w:r>
                      <w:r w:rsidR="00EF7AA2">
                        <w:rPr>
                          <w:color w:val="000000" w:themeColor="text1"/>
                          <w:sz w:val="18"/>
                          <w:szCs w:val="20"/>
                        </w:rPr>
                        <w:t>0</w:t>
                      </w:r>
                    </w:p>
                    <w:p w14:paraId="42735B05" w14:textId="4D7DB7FB" w:rsidR="00782DF6" w:rsidRPr="00560609" w:rsidRDefault="00782DF6" w:rsidP="00782DF6">
                      <w:pPr>
                        <w:spacing w:line="240" w:lineRule="auto"/>
                        <w:ind w:left="284"/>
                        <w:rPr>
                          <w:color w:val="000000" w:themeColor="text1"/>
                          <w:sz w:val="18"/>
                          <w:szCs w:val="20"/>
                        </w:rPr>
                      </w:pPr>
                    </w:p>
                  </w:txbxContent>
                </v:textbox>
                <w10:wrap anchorx="page"/>
              </v:rect>
            </w:pict>
          </mc:Fallback>
        </mc:AlternateContent>
      </w:r>
    </w:p>
    <w:p w14:paraId="79808DD2" w14:textId="5E6E6DF8" w:rsidR="00782DF6" w:rsidRPr="00710DFA" w:rsidRDefault="00EF7AA2"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66432" behindDoc="0" locked="0" layoutInCell="1" allowOverlap="1" wp14:anchorId="741EDA5C" wp14:editId="73035751">
                <wp:simplePos x="0" y="0"/>
                <wp:positionH relativeFrom="column">
                  <wp:posOffset>4236720</wp:posOffset>
                </wp:positionH>
                <wp:positionV relativeFrom="paragraph">
                  <wp:posOffset>12700</wp:posOffset>
                </wp:positionV>
                <wp:extent cx="1887220" cy="762000"/>
                <wp:effectExtent l="0" t="0" r="17780" b="19050"/>
                <wp:wrapNone/>
                <wp:docPr id="9" name="Rectangle 9"/>
                <wp:cNvGraphicFramePr/>
                <a:graphic xmlns:a="http://schemas.openxmlformats.org/drawingml/2006/main">
                  <a:graphicData uri="http://schemas.microsoft.com/office/word/2010/wordprocessingShape">
                    <wps:wsp>
                      <wps:cNvSpPr/>
                      <wps:spPr>
                        <a:xfrm>
                          <a:off x="0" y="0"/>
                          <a:ext cx="1887220" cy="762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6E3C9E" w14:textId="2F270886"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excluded:</w:t>
                            </w:r>
                            <w:r w:rsidR="009736AC">
                              <w:rPr>
                                <w:color w:val="000000" w:themeColor="text1"/>
                                <w:sz w:val="18"/>
                                <w:szCs w:val="20"/>
                              </w:rPr>
                              <w:t>52</w:t>
                            </w:r>
                          </w:p>
                          <w:p w14:paraId="0B56DB3E" w14:textId="05D382F2" w:rsidR="00782DF6" w:rsidRPr="00560609" w:rsidRDefault="00782DF6" w:rsidP="00782DF6">
                            <w:pPr>
                              <w:spacing w:line="240" w:lineRule="auto"/>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1EDA5C" id="Rectangle 9" o:spid="_x0000_s1041" style="position:absolute;margin-left:333.6pt;margin-top:1pt;width:148.6pt;height:6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" filled="f" strokecolor="black [3213]" strokeweight="2pt">
                <v:textbox>
                  <w:txbxContent>
                    <w:p w14:paraId="306E3C9E" w14:textId="2F270886"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excluded:</w:t>
                      </w:r>
                      <w:r w:rsidR="009736AC">
                        <w:rPr>
                          <w:color w:val="000000" w:themeColor="text1"/>
                          <w:sz w:val="18"/>
                          <w:szCs w:val="20"/>
                        </w:rPr>
                        <w:t>52</w:t>
                      </w:r>
                    </w:p>
                    <w:p w14:paraId="0B56DB3E" w14:textId="05D382F2" w:rsidR="00782DF6" w:rsidRPr="00560609" w:rsidRDefault="00782DF6" w:rsidP="00782DF6">
                      <w:pPr>
                        <w:spacing w:line="240" w:lineRule="auto"/>
                        <w:ind w:left="284"/>
                        <w:rPr>
                          <w:color w:val="000000" w:themeColor="text1"/>
                          <w:sz w:val="18"/>
                          <w:szCs w:val="20"/>
                        </w:rPr>
                      </w:pPr>
                    </w:p>
                  </w:txbxContent>
                </v:textbox>
              </v:rect>
            </w:pict>
          </mc:Fallback>
        </mc:AlternateContent>
      </w:r>
      <w:r w:rsidR="00622C88" w:rsidRPr="00710DFA">
        <w:rPr>
          <w:noProof/>
          <w:color w:val="000000" w:themeColor="text1"/>
          <w:sz w:val="24"/>
          <w:szCs w:val="24"/>
          <w:lang w:val="en-GB"/>
        </w:rPr>
        <mc:AlternateContent>
          <mc:Choice Requires="wps">
            <w:drawing>
              <wp:anchor distT="0" distB="0" distL="114300" distR="114300" simplePos="0" relativeHeight="251668480" behindDoc="0" locked="0" layoutInCell="1" allowOverlap="1" wp14:anchorId="03A7FFEB" wp14:editId="3F0E3D9B">
                <wp:simplePos x="0" y="0"/>
                <wp:positionH relativeFrom="column">
                  <wp:posOffset>6438900</wp:posOffset>
                </wp:positionH>
                <wp:positionV relativeFrom="paragraph">
                  <wp:posOffset>34925</wp:posOffset>
                </wp:positionV>
                <wp:extent cx="1097280" cy="701040"/>
                <wp:effectExtent l="0" t="0" r="26670" b="22860"/>
                <wp:wrapNone/>
                <wp:docPr id="11" name="Rectangle 11"/>
                <wp:cNvGraphicFramePr/>
                <a:graphic xmlns:a="http://schemas.openxmlformats.org/drawingml/2006/main">
                  <a:graphicData uri="http://schemas.microsoft.com/office/word/2010/wordprocessingShape">
                    <wps:wsp>
                      <wps:cNvSpPr/>
                      <wps:spPr>
                        <a:xfrm>
                          <a:off x="0" y="0"/>
                          <a:ext cx="1097280" cy="70104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938B31"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assessed for eligibility</w:t>
                            </w:r>
                          </w:p>
                          <w:p w14:paraId="344F9A50" w14:textId="0B305FE0"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A7FFEB" id="Rectangle 11" o:spid="_x0000_s1042" style="position:absolute;margin-left:507pt;margin-top:2.75pt;width:86.4pt;height:5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" filled="f" strokecolor="black [3213]" strokeweight="2pt">
                <v:textbox>
                  <w:txbxContent>
                    <w:p w14:paraId="21938B31" w14:textId="77777777" w:rsidR="00782DF6" w:rsidRDefault="00782DF6" w:rsidP="00782DF6">
                      <w:pPr>
                        <w:spacing w:line="240" w:lineRule="auto"/>
                        <w:rPr>
                          <w:color w:val="000000" w:themeColor="text1"/>
                          <w:sz w:val="18"/>
                          <w:szCs w:val="20"/>
                        </w:rPr>
                      </w:pPr>
                      <w:r w:rsidRPr="00560609">
                        <w:rPr>
                          <w:color w:val="000000" w:themeColor="text1"/>
                          <w:sz w:val="18"/>
                          <w:szCs w:val="20"/>
                        </w:rPr>
                        <w:t>Re</w:t>
                      </w:r>
                      <w:r>
                        <w:rPr>
                          <w:color w:val="000000" w:themeColor="text1"/>
                          <w:sz w:val="18"/>
                          <w:szCs w:val="20"/>
                        </w:rPr>
                        <w:t>p</w:t>
                      </w:r>
                      <w:r w:rsidRPr="00560609">
                        <w:rPr>
                          <w:color w:val="000000" w:themeColor="text1"/>
                          <w:sz w:val="18"/>
                          <w:szCs w:val="20"/>
                        </w:rPr>
                        <w:t>or</w:t>
                      </w:r>
                      <w:r>
                        <w:rPr>
                          <w:color w:val="000000" w:themeColor="text1"/>
                          <w:sz w:val="18"/>
                          <w:szCs w:val="20"/>
                        </w:rPr>
                        <w:t>t</w:t>
                      </w:r>
                      <w:r w:rsidRPr="00560609">
                        <w:rPr>
                          <w:color w:val="000000" w:themeColor="text1"/>
                          <w:sz w:val="18"/>
                          <w:szCs w:val="20"/>
                        </w:rPr>
                        <w:t>s</w:t>
                      </w:r>
                      <w:r>
                        <w:rPr>
                          <w:color w:val="000000" w:themeColor="text1"/>
                          <w:sz w:val="18"/>
                          <w:szCs w:val="20"/>
                        </w:rPr>
                        <w:t xml:space="preserve"> assessed for eligibility</w:t>
                      </w:r>
                    </w:p>
                    <w:p w14:paraId="344F9A50" w14:textId="0B305FE0"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v:textbox>
              </v:rect>
            </w:pict>
          </mc:Fallback>
        </mc:AlternateContent>
      </w:r>
    </w:p>
    <w:p w14:paraId="53CD9B63" w14:textId="3BD088CA"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86912" behindDoc="0" locked="0" layoutInCell="1" allowOverlap="1" wp14:anchorId="3E703B88" wp14:editId="3810BA1E">
                <wp:simplePos x="0" y="0"/>
                <wp:positionH relativeFrom="column">
                  <wp:posOffset>7573010</wp:posOffset>
                </wp:positionH>
                <wp:positionV relativeFrom="paragraph">
                  <wp:posOffset>153035</wp:posOffset>
                </wp:positionV>
                <wp:extent cx="219558" cy="0"/>
                <wp:effectExtent l="0" t="76200" r="9525" b="95250"/>
                <wp:wrapNone/>
                <wp:docPr id="23" name="Straight Arrow Connector 23"/>
                <wp:cNvGraphicFramePr/>
                <a:graphic xmlns:a="http://schemas.openxmlformats.org/drawingml/2006/main">
                  <a:graphicData uri="http://schemas.microsoft.com/office/word/2010/wordprocessingShape">
                    <wps:wsp>
                      <wps:cNvCnPr/>
                      <wps:spPr>
                        <a:xfrm>
                          <a:off x="0" y="0"/>
                          <a:ext cx="219558"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3D7353" id="Straight Arrow Connector 23" o:spid="_x0000_s1026" type="#_x0000_t32" style="position:absolute;margin-left:596.3pt;margin-top:12.05pt;width:17.3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" strokecolor="black [3213]">
                <v:stroke endarrow="block"/>
              </v:shape>
            </w:pict>
          </mc:Fallback>
        </mc:AlternateContent>
      </w:r>
    </w:p>
    <w:p w14:paraId="11CF0699" w14:textId="588A8564" w:rsidR="00782DF6" w:rsidRPr="00710DFA" w:rsidRDefault="00782DF6" w:rsidP="00782DF6">
      <w:pPr>
        <w:spacing w:line="240" w:lineRule="auto"/>
        <w:rPr>
          <w:color w:val="000000" w:themeColor="text1"/>
          <w:sz w:val="24"/>
          <w:szCs w:val="24"/>
          <w:lang w:val="en-GB"/>
        </w:rPr>
      </w:pPr>
    </w:p>
    <w:p w14:paraId="4E3CE90F" w14:textId="39B9951C" w:rsidR="00782DF6" w:rsidRPr="00710DFA" w:rsidRDefault="00782DF6" w:rsidP="00782DF6">
      <w:pPr>
        <w:spacing w:line="240" w:lineRule="auto"/>
        <w:rPr>
          <w:color w:val="000000" w:themeColor="text1"/>
          <w:sz w:val="24"/>
          <w:szCs w:val="24"/>
          <w:lang w:val="en-GB"/>
        </w:rPr>
      </w:pPr>
    </w:p>
    <w:p w14:paraId="11C5B740" w14:textId="421C51D2" w:rsidR="00782DF6" w:rsidRPr="00710DFA" w:rsidRDefault="00622C88"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82816" behindDoc="0" locked="0" layoutInCell="1" allowOverlap="1" wp14:anchorId="4B7865FB" wp14:editId="4EE43533">
                <wp:simplePos x="0" y="0"/>
                <wp:positionH relativeFrom="column">
                  <wp:posOffset>3642360</wp:posOffset>
                </wp:positionH>
                <wp:positionV relativeFrom="paragraph">
                  <wp:posOffset>109220</wp:posOffset>
                </wp:positionV>
                <wp:extent cx="3619500" cy="845820"/>
                <wp:effectExtent l="38100" t="0" r="38100" b="87630"/>
                <wp:wrapNone/>
                <wp:docPr id="42" name="Connector: Elbow 42"/>
                <wp:cNvGraphicFramePr/>
                <a:graphic xmlns:a="http://schemas.openxmlformats.org/drawingml/2006/main">
                  <a:graphicData uri="http://schemas.microsoft.com/office/word/2010/wordprocessingShape">
                    <wps:wsp>
                      <wps:cNvCnPr/>
                      <wps:spPr>
                        <a:xfrm flipH="1">
                          <a:off x="0" y="0"/>
                          <a:ext cx="3619500" cy="845820"/>
                        </a:xfrm>
                        <a:prstGeom prst="bentConnector3">
                          <a:avLst>
                            <a:gd name="adj1" fmla="val -144"/>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A85B5C" id="Connector: Elbow 42" o:spid="_x0000_s1026" type="#_x0000_t34" style="position:absolute;margin-left:286.8pt;margin-top:8.6pt;width:285pt;height:66.6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" adj="-31" strokecolor="black [3213]">
                <v:stroke endarrow="block"/>
              </v:shape>
            </w:pict>
          </mc:Fallback>
        </mc:AlternateContent>
      </w:r>
    </w:p>
    <w:p w14:paraId="6913BAB6" w14:textId="5E4F970F" w:rsidR="00782DF6" w:rsidRPr="00710DFA" w:rsidRDefault="00782DF6" w:rsidP="00782DF6">
      <w:pPr>
        <w:spacing w:line="240" w:lineRule="auto"/>
        <w:rPr>
          <w:color w:val="000000" w:themeColor="text1"/>
          <w:sz w:val="24"/>
          <w:szCs w:val="24"/>
          <w:lang w:val="en-GB"/>
        </w:rPr>
      </w:pPr>
    </w:p>
    <w:p w14:paraId="34EEB541" w14:textId="5DF56519" w:rsidR="00782DF6" w:rsidRPr="00710DFA" w:rsidRDefault="00782DF6" w:rsidP="00782DF6">
      <w:pPr>
        <w:spacing w:line="240" w:lineRule="auto"/>
        <w:rPr>
          <w:color w:val="000000" w:themeColor="text1"/>
          <w:sz w:val="24"/>
          <w:szCs w:val="24"/>
          <w:lang w:val="en-GB"/>
        </w:rPr>
      </w:pPr>
    </w:p>
    <w:p w14:paraId="44AC4FFC" w14:textId="6E94EF27"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70528" behindDoc="0" locked="0" layoutInCell="1" allowOverlap="1" wp14:anchorId="7A223478" wp14:editId="0D43CDF7">
                <wp:simplePos x="0" y="0"/>
                <wp:positionH relativeFrom="column">
                  <wp:posOffset>1732610</wp:posOffset>
                </wp:positionH>
                <wp:positionV relativeFrom="paragraph">
                  <wp:posOffset>2540</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340E38" w14:textId="77777777" w:rsidR="00782DF6" w:rsidRDefault="00782DF6" w:rsidP="00782DF6">
                            <w:pPr>
                              <w:spacing w:line="240" w:lineRule="auto"/>
                              <w:rPr>
                                <w:color w:val="000000" w:themeColor="text1"/>
                                <w:sz w:val="18"/>
                                <w:szCs w:val="20"/>
                              </w:rPr>
                            </w:pPr>
                            <w:r>
                              <w:rPr>
                                <w:color w:val="000000" w:themeColor="text1"/>
                                <w:sz w:val="18"/>
                                <w:szCs w:val="20"/>
                              </w:rPr>
                              <w:t>New studies included in review</w:t>
                            </w:r>
                          </w:p>
                          <w:p w14:paraId="0E127275" w14:textId="5907155E" w:rsidR="00782DF6" w:rsidRDefault="00782DF6" w:rsidP="00782DF6">
                            <w:pPr>
                              <w:spacing w:line="240" w:lineRule="auto"/>
                              <w:rPr>
                                <w:color w:val="000000" w:themeColor="text1"/>
                                <w:sz w:val="18"/>
                                <w:szCs w:val="20"/>
                              </w:rPr>
                            </w:pPr>
                            <w:r w:rsidRPr="00CF16A4">
                              <w:rPr>
                                <w:color w:val="000000" w:themeColor="text1"/>
                                <w:sz w:val="18"/>
                                <w:szCs w:val="20"/>
                              </w:rPr>
                              <w:t xml:space="preserve">(n = </w:t>
                            </w:r>
                            <w:r w:rsidR="009736AC">
                              <w:rPr>
                                <w:color w:val="000000" w:themeColor="text1"/>
                                <w:sz w:val="18"/>
                                <w:szCs w:val="20"/>
                              </w:rPr>
                              <w:t>5</w:t>
                            </w:r>
                            <w:r w:rsidR="00660680" w:rsidRPr="00CF16A4">
                              <w:rPr>
                                <w:color w:val="000000" w:themeColor="text1"/>
                                <w:sz w:val="18"/>
                                <w:szCs w:val="20"/>
                              </w:rPr>
                              <w:t>0</w:t>
                            </w:r>
                            <w:r w:rsidRPr="00CF16A4">
                              <w:rPr>
                                <w:color w:val="000000" w:themeColor="text1"/>
                                <w:sz w:val="18"/>
                                <w:szCs w:val="20"/>
                              </w:rPr>
                              <w:t>)</w:t>
                            </w:r>
                          </w:p>
                          <w:p w14:paraId="74BDAC7F" w14:textId="77777777" w:rsidR="00782DF6" w:rsidRDefault="00782DF6" w:rsidP="00782DF6">
                            <w:pPr>
                              <w:spacing w:line="240" w:lineRule="auto"/>
                              <w:rPr>
                                <w:color w:val="000000" w:themeColor="text1"/>
                                <w:sz w:val="18"/>
                                <w:szCs w:val="20"/>
                              </w:rPr>
                            </w:pPr>
                            <w:r>
                              <w:rPr>
                                <w:color w:val="000000" w:themeColor="text1"/>
                                <w:sz w:val="18"/>
                                <w:szCs w:val="20"/>
                              </w:rPr>
                              <w:t>Reports of new included studies</w:t>
                            </w:r>
                          </w:p>
                          <w:p w14:paraId="2B8F749B" w14:textId="2FD61D9E"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223478" id="Rectangle 13" o:spid="_x0000_s1043" style="position:absolute;margin-left:136.45pt;margin-top:.2pt;width:148.6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" filled="f" strokecolor="black [3213]" strokeweight="2pt">
                <v:textbox>
                  <w:txbxContent>
                    <w:p w14:paraId="5E340E38" w14:textId="77777777" w:rsidR="00782DF6" w:rsidRDefault="00782DF6" w:rsidP="00782DF6">
                      <w:pPr>
                        <w:spacing w:line="240" w:lineRule="auto"/>
                        <w:rPr>
                          <w:color w:val="000000" w:themeColor="text1"/>
                          <w:sz w:val="18"/>
                          <w:szCs w:val="20"/>
                        </w:rPr>
                      </w:pPr>
                      <w:r>
                        <w:rPr>
                          <w:color w:val="000000" w:themeColor="text1"/>
                          <w:sz w:val="18"/>
                          <w:szCs w:val="20"/>
                        </w:rPr>
                        <w:t>New studies included in review</w:t>
                      </w:r>
                    </w:p>
                    <w:p w14:paraId="0E127275" w14:textId="5907155E" w:rsidR="00782DF6" w:rsidRDefault="00782DF6" w:rsidP="00782DF6">
                      <w:pPr>
                        <w:spacing w:line="240" w:lineRule="auto"/>
                        <w:rPr>
                          <w:color w:val="000000" w:themeColor="text1"/>
                          <w:sz w:val="18"/>
                          <w:szCs w:val="20"/>
                        </w:rPr>
                      </w:pPr>
                      <w:r w:rsidRPr="00CF16A4">
                        <w:rPr>
                          <w:color w:val="000000" w:themeColor="text1"/>
                          <w:sz w:val="18"/>
                          <w:szCs w:val="20"/>
                        </w:rPr>
                        <w:t xml:space="preserve">(n = </w:t>
                      </w:r>
                      <w:r w:rsidR="009736AC">
                        <w:rPr>
                          <w:color w:val="000000" w:themeColor="text1"/>
                          <w:sz w:val="18"/>
                          <w:szCs w:val="20"/>
                        </w:rPr>
                        <w:t>5</w:t>
                      </w:r>
                      <w:r w:rsidR="00660680" w:rsidRPr="00CF16A4">
                        <w:rPr>
                          <w:color w:val="000000" w:themeColor="text1"/>
                          <w:sz w:val="18"/>
                          <w:szCs w:val="20"/>
                        </w:rPr>
                        <w:t>0</w:t>
                      </w:r>
                      <w:r w:rsidRPr="00CF16A4">
                        <w:rPr>
                          <w:color w:val="000000" w:themeColor="text1"/>
                          <w:sz w:val="18"/>
                          <w:szCs w:val="20"/>
                        </w:rPr>
                        <w:t>)</w:t>
                      </w:r>
                    </w:p>
                    <w:p w14:paraId="74BDAC7F" w14:textId="77777777" w:rsidR="00782DF6" w:rsidRDefault="00782DF6" w:rsidP="00782DF6">
                      <w:pPr>
                        <w:spacing w:line="240" w:lineRule="auto"/>
                        <w:rPr>
                          <w:color w:val="000000" w:themeColor="text1"/>
                          <w:sz w:val="18"/>
                          <w:szCs w:val="20"/>
                        </w:rPr>
                      </w:pPr>
                      <w:r>
                        <w:rPr>
                          <w:color w:val="000000" w:themeColor="text1"/>
                          <w:sz w:val="18"/>
                          <w:szCs w:val="20"/>
                        </w:rPr>
                        <w:t>Reports of new included studies</w:t>
                      </w:r>
                    </w:p>
                    <w:p w14:paraId="2B8F749B" w14:textId="2FD61D9E" w:rsidR="00782DF6" w:rsidRPr="00560609" w:rsidRDefault="00782DF6" w:rsidP="00782DF6">
                      <w:pPr>
                        <w:spacing w:line="240" w:lineRule="auto"/>
                        <w:rPr>
                          <w:color w:val="000000" w:themeColor="text1"/>
                          <w:sz w:val="18"/>
                          <w:szCs w:val="20"/>
                        </w:rPr>
                      </w:pPr>
                      <w:r>
                        <w:rPr>
                          <w:color w:val="000000" w:themeColor="text1"/>
                          <w:sz w:val="18"/>
                          <w:szCs w:val="20"/>
                        </w:rPr>
                        <w:t xml:space="preserve">(n = </w:t>
                      </w:r>
                      <w:r w:rsidR="00EF7AA2">
                        <w:rPr>
                          <w:color w:val="000000" w:themeColor="text1"/>
                          <w:sz w:val="18"/>
                          <w:szCs w:val="20"/>
                        </w:rPr>
                        <w:t>0</w:t>
                      </w:r>
                      <w:r>
                        <w:rPr>
                          <w:color w:val="000000" w:themeColor="text1"/>
                          <w:sz w:val="18"/>
                          <w:szCs w:val="20"/>
                        </w:rPr>
                        <w:t>)</w:t>
                      </w:r>
                    </w:p>
                  </w:txbxContent>
                </v:textbox>
              </v:rect>
            </w:pict>
          </mc:Fallback>
        </mc:AlternateContent>
      </w:r>
    </w:p>
    <w:p w14:paraId="21855A6E" w14:textId="77777777" w:rsidR="00782DF6" w:rsidRPr="00710DFA" w:rsidRDefault="00782DF6" w:rsidP="00782DF6">
      <w:pPr>
        <w:spacing w:line="240" w:lineRule="auto"/>
        <w:rPr>
          <w:color w:val="000000" w:themeColor="text1"/>
          <w:sz w:val="24"/>
          <w:szCs w:val="24"/>
          <w:lang w:val="en-GB"/>
        </w:rPr>
      </w:pPr>
    </w:p>
    <w:p w14:paraId="13EAE64F" w14:textId="77777777" w:rsidR="00782DF6" w:rsidRPr="00710DFA" w:rsidRDefault="00782DF6" w:rsidP="00782DF6">
      <w:pPr>
        <w:spacing w:line="240" w:lineRule="auto"/>
        <w:rPr>
          <w:color w:val="000000" w:themeColor="text1"/>
          <w:sz w:val="24"/>
          <w:szCs w:val="24"/>
          <w:lang w:val="en-GB"/>
        </w:rPr>
      </w:pPr>
    </w:p>
    <w:p w14:paraId="78A11A1E" w14:textId="2404F23D" w:rsidR="00782DF6" w:rsidRPr="00710DFA" w:rsidRDefault="00782DF6" w:rsidP="00782DF6">
      <w:pPr>
        <w:spacing w:line="240" w:lineRule="auto"/>
        <w:rPr>
          <w:color w:val="000000" w:themeColor="text1"/>
          <w:sz w:val="24"/>
          <w:szCs w:val="24"/>
          <w:lang w:val="en-GB"/>
        </w:rPr>
      </w:pPr>
      <w:r w:rsidRPr="00710DFA">
        <w:rPr>
          <w:noProof/>
          <w:color w:val="000000" w:themeColor="text1"/>
          <w:sz w:val="24"/>
          <w:szCs w:val="24"/>
          <w:lang w:val="en-GB"/>
        </w:rPr>
        <mc:AlternateContent>
          <mc:Choice Requires="wps">
            <w:drawing>
              <wp:anchor distT="0" distB="0" distL="114300" distR="114300" simplePos="0" relativeHeight="251677696" behindDoc="0" locked="0" layoutInCell="1" allowOverlap="1" wp14:anchorId="7D4145A2" wp14:editId="4C194DF0">
                <wp:simplePos x="0" y="0"/>
                <wp:positionH relativeFrom="column">
                  <wp:posOffset>-995998</wp:posOffset>
                </wp:positionH>
                <wp:positionV relativeFrom="paragraph">
                  <wp:posOffset>224473</wp:posOffset>
                </wp:positionV>
                <wp:extent cx="1776095" cy="262890"/>
                <wp:effectExtent l="0" t="5397" r="28257" b="28258"/>
                <wp:wrapNone/>
                <wp:docPr id="33" name="Flowchart: Alternate Process 33"/>
                <wp:cNvGraphicFramePr/>
                <a:graphic xmlns:a="http://schemas.openxmlformats.org/drawingml/2006/main">
                  <a:graphicData uri="http://schemas.microsoft.com/office/word/2010/wordprocessingShape">
                    <wps:wsp>
                      <wps:cNvSpPr/>
                      <wps:spPr>
                        <a:xfrm rot="16200000">
                          <a:off x="0" y="0"/>
                          <a:ext cx="177609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860B303" w14:textId="77777777" w:rsidR="00782DF6" w:rsidRPr="001502CF" w:rsidRDefault="00782DF6" w:rsidP="00782DF6">
                            <w:pPr>
                              <w:spacing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145A2" id="Flowchart: Alternate Process 33" o:spid="_x0000_s1044" type="#_x0000_t176" style="position:absolute;margin-left:-78.45pt;margin-top:17.7pt;width:139.85pt;height:20.7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" fillcolor="#92cddc [1944]" strokecolor="black [3213]" strokeweight="2pt">
                <v:textbox>
                  <w:txbxContent>
                    <w:p w14:paraId="7860B303" w14:textId="77777777" w:rsidR="00782DF6" w:rsidRPr="001502CF" w:rsidRDefault="00782DF6" w:rsidP="00782DF6">
                      <w:pPr>
                        <w:spacing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14:paraId="7E78002C" w14:textId="77777777" w:rsidR="00782DF6" w:rsidRPr="00710DFA" w:rsidRDefault="00782DF6" w:rsidP="00265226">
      <w:pPr>
        <w:spacing w:line="360" w:lineRule="auto"/>
        <w:jc w:val="both"/>
        <w:rPr>
          <w:b/>
          <w:bCs/>
          <w:color w:val="000000" w:themeColor="text1"/>
          <w:sz w:val="24"/>
          <w:szCs w:val="24"/>
          <w:highlight w:val="yellow"/>
          <w:lang w:val="en-GB"/>
        </w:rPr>
        <w:sectPr w:rsidR="00782DF6" w:rsidRPr="00710DFA" w:rsidSect="00626108">
          <w:footerReference w:type="default" r:id="rId20"/>
          <w:pgSz w:w="15840" w:h="12240" w:orient="landscape"/>
          <w:pgMar w:top="1440" w:right="1440" w:bottom="1440" w:left="1440" w:header="720" w:footer="720" w:gutter="0"/>
          <w:cols w:space="720"/>
        </w:sectPr>
      </w:pPr>
    </w:p>
    <w:p w14:paraId="74E50261" w14:textId="77777777" w:rsidR="00782DF6" w:rsidRPr="00710DFA" w:rsidRDefault="00782DF6" w:rsidP="00265226">
      <w:pPr>
        <w:spacing w:line="360" w:lineRule="auto"/>
        <w:jc w:val="both"/>
        <w:rPr>
          <w:b/>
          <w:bCs/>
          <w:color w:val="000000" w:themeColor="text1"/>
          <w:sz w:val="24"/>
          <w:szCs w:val="24"/>
          <w:highlight w:val="yellow"/>
          <w:lang w:val="en-GB"/>
        </w:rPr>
      </w:pPr>
    </w:p>
    <w:p w14:paraId="23FF92DA" w14:textId="1D3FCCC0" w:rsidR="00F436CA" w:rsidRPr="00710DFA" w:rsidRDefault="00883309" w:rsidP="00883309">
      <w:pPr>
        <w:pStyle w:val="Heading2"/>
        <w:rPr>
          <w:szCs w:val="24"/>
          <w:lang w:val="en-GB"/>
        </w:rPr>
      </w:pPr>
      <w:bookmarkStart w:id="32" w:name="_Toc228921274"/>
      <w:r w:rsidRPr="00710DFA">
        <w:rPr>
          <w:szCs w:val="24"/>
          <w:lang w:val="en-GB"/>
        </w:rPr>
        <w:t xml:space="preserve">3.6 </w:t>
      </w:r>
      <w:r w:rsidR="00F436CA" w:rsidRPr="00710DFA">
        <w:rPr>
          <w:szCs w:val="24"/>
          <w:lang w:val="en-GB"/>
        </w:rPr>
        <w:t>Inclusion and exclusion criteria</w:t>
      </w:r>
      <w:bookmarkEnd w:id="32"/>
    </w:p>
    <w:tbl>
      <w:tblPr>
        <w:tblStyle w:val="TableGrid"/>
        <w:tblW w:w="0" w:type="auto"/>
        <w:tblLook w:val="04A0" w:firstRow="1" w:lastRow="0" w:firstColumn="1" w:lastColumn="0" w:noHBand="0" w:noVBand="1"/>
      </w:tblPr>
      <w:tblGrid>
        <w:gridCol w:w="2122"/>
        <w:gridCol w:w="3402"/>
        <w:gridCol w:w="3826"/>
      </w:tblGrid>
      <w:tr w:rsidR="00FD3B9B" w:rsidRPr="00710DFA" w14:paraId="00E8E8A7" w14:textId="77777777" w:rsidTr="00FD3B9B">
        <w:tc>
          <w:tcPr>
            <w:tcW w:w="2122" w:type="dxa"/>
          </w:tcPr>
          <w:p w14:paraId="0A346126" w14:textId="1F35C17C" w:rsidR="00FD3B9B" w:rsidRPr="00710DFA" w:rsidRDefault="00FD3B9B" w:rsidP="00FD3B9B">
            <w:pPr>
              <w:jc w:val="center"/>
              <w:rPr>
                <w:b/>
                <w:bCs/>
                <w:color w:val="000000" w:themeColor="text1"/>
                <w:sz w:val="24"/>
                <w:szCs w:val="24"/>
                <w:lang w:val="en-GB"/>
              </w:rPr>
            </w:pPr>
            <w:r w:rsidRPr="00710DFA">
              <w:rPr>
                <w:b/>
                <w:bCs/>
                <w:color w:val="000000" w:themeColor="text1"/>
                <w:sz w:val="24"/>
                <w:szCs w:val="24"/>
                <w:lang w:val="en-GB"/>
              </w:rPr>
              <w:t>Criteria</w:t>
            </w:r>
          </w:p>
        </w:tc>
        <w:tc>
          <w:tcPr>
            <w:tcW w:w="3402" w:type="dxa"/>
          </w:tcPr>
          <w:p w14:paraId="167FB5FD" w14:textId="6C4C65D2" w:rsidR="00FD3B9B" w:rsidRPr="00710DFA" w:rsidRDefault="00FD3B9B" w:rsidP="00FD3B9B">
            <w:pPr>
              <w:jc w:val="center"/>
              <w:rPr>
                <w:b/>
                <w:bCs/>
                <w:color w:val="000000" w:themeColor="text1"/>
                <w:sz w:val="24"/>
                <w:szCs w:val="24"/>
                <w:lang w:val="en-GB"/>
              </w:rPr>
            </w:pPr>
            <w:r w:rsidRPr="00710DFA">
              <w:rPr>
                <w:b/>
                <w:bCs/>
                <w:color w:val="000000" w:themeColor="text1"/>
                <w:sz w:val="24"/>
                <w:szCs w:val="24"/>
                <w:lang w:val="en-GB"/>
              </w:rPr>
              <w:t>Inclusion</w:t>
            </w:r>
          </w:p>
        </w:tc>
        <w:tc>
          <w:tcPr>
            <w:tcW w:w="3826" w:type="dxa"/>
          </w:tcPr>
          <w:p w14:paraId="3C7573D1" w14:textId="49EB16D5" w:rsidR="00FD3B9B" w:rsidRPr="00710DFA" w:rsidRDefault="00FD3B9B" w:rsidP="00FD3B9B">
            <w:pPr>
              <w:jc w:val="center"/>
              <w:rPr>
                <w:b/>
                <w:bCs/>
                <w:color w:val="000000" w:themeColor="text1"/>
                <w:sz w:val="24"/>
                <w:szCs w:val="24"/>
                <w:lang w:val="en-GB"/>
              </w:rPr>
            </w:pPr>
            <w:r w:rsidRPr="00710DFA">
              <w:rPr>
                <w:b/>
                <w:bCs/>
                <w:color w:val="000000" w:themeColor="text1"/>
                <w:sz w:val="24"/>
                <w:szCs w:val="24"/>
                <w:lang w:val="en-GB"/>
              </w:rPr>
              <w:t>Exclusion</w:t>
            </w:r>
          </w:p>
        </w:tc>
      </w:tr>
      <w:tr w:rsidR="00FD3B9B" w:rsidRPr="00710DFA" w14:paraId="3596EF15" w14:textId="77777777" w:rsidTr="00FD3B9B">
        <w:tc>
          <w:tcPr>
            <w:tcW w:w="2122" w:type="dxa"/>
          </w:tcPr>
          <w:p w14:paraId="02320C57" w14:textId="7B5FB28D"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Publication period </w:t>
            </w:r>
          </w:p>
        </w:tc>
        <w:tc>
          <w:tcPr>
            <w:tcW w:w="3402" w:type="dxa"/>
          </w:tcPr>
          <w:p w14:paraId="55100586" w14:textId="548395B8"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2020-2025 year </w:t>
            </w:r>
          </w:p>
        </w:tc>
        <w:tc>
          <w:tcPr>
            <w:tcW w:w="3826" w:type="dxa"/>
          </w:tcPr>
          <w:p w14:paraId="62B0D98D" w14:textId="0DE5B440"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Pre-2020 publication </w:t>
            </w:r>
          </w:p>
        </w:tc>
      </w:tr>
      <w:tr w:rsidR="00FD3B9B" w:rsidRPr="00710DFA" w14:paraId="5049C665" w14:textId="77777777" w:rsidTr="00FD3B9B">
        <w:tc>
          <w:tcPr>
            <w:tcW w:w="2122" w:type="dxa"/>
          </w:tcPr>
          <w:p w14:paraId="7A5ED1F1" w14:textId="3B545FB7"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Language </w:t>
            </w:r>
          </w:p>
        </w:tc>
        <w:tc>
          <w:tcPr>
            <w:tcW w:w="3402" w:type="dxa"/>
          </w:tcPr>
          <w:p w14:paraId="22A8F82C" w14:textId="43FAB221"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Only English publications </w:t>
            </w:r>
          </w:p>
        </w:tc>
        <w:tc>
          <w:tcPr>
            <w:tcW w:w="3826" w:type="dxa"/>
          </w:tcPr>
          <w:p w14:paraId="47457FEF" w14:textId="0791D224"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Non-English publication </w:t>
            </w:r>
          </w:p>
        </w:tc>
      </w:tr>
      <w:tr w:rsidR="00FD3B9B" w:rsidRPr="00710DFA" w14:paraId="55A301B1" w14:textId="77777777" w:rsidTr="00FD3B9B">
        <w:tc>
          <w:tcPr>
            <w:tcW w:w="2122" w:type="dxa"/>
          </w:tcPr>
          <w:p w14:paraId="394CF0FA" w14:textId="65CE70CA"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Source type </w:t>
            </w:r>
          </w:p>
        </w:tc>
        <w:tc>
          <w:tcPr>
            <w:tcW w:w="3402" w:type="dxa"/>
          </w:tcPr>
          <w:p w14:paraId="57C569F4" w14:textId="6D436CFF"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Published organisational case studies, Peer reviewed journal articles, systematic reviews </w:t>
            </w:r>
          </w:p>
        </w:tc>
        <w:tc>
          <w:tcPr>
            <w:tcW w:w="3826" w:type="dxa"/>
          </w:tcPr>
          <w:p w14:paraId="4B7EAC40" w14:textId="47BACB9F"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Opinion pieces, grey literatures, non-peer reviewed articles </w:t>
            </w:r>
          </w:p>
        </w:tc>
      </w:tr>
      <w:tr w:rsidR="00FD3B9B" w:rsidRPr="00710DFA" w14:paraId="0CE379F4" w14:textId="77777777" w:rsidTr="00FD3B9B">
        <w:tc>
          <w:tcPr>
            <w:tcW w:w="2122" w:type="dxa"/>
          </w:tcPr>
          <w:p w14:paraId="6984D976" w14:textId="298A0138"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Journal quality </w:t>
            </w:r>
          </w:p>
        </w:tc>
        <w:tc>
          <w:tcPr>
            <w:tcW w:w="3402" w:type="dxa"/>
          </w:tcPr>
          <w:p w14:paraId="28976EDE" w14:textId="127F563B"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A-listed articles are prioritised </w:t>
            </w:r>
          </w:p>
        </w:tc>
        <w:tc>
          <w:tcPr>
            <w:tcW w:w="3826" w:type="dxa"/>
          </w:tcPr>
          <w:p w14:paraId="5484FCCF" w14:textId="2CBDB332"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Unranked journals, non-clear peer review process</w:t>
            </w:r>
          </w:p>
        </w:tc>
      </w:tr>
      <w:tr w:rsidR="00FD3B9B" w:rsidRPr="00710DFA" w14:paraId="2357224B" w14:textId="77777777" w:rsidTr="00FD3B9B">
        <w:tc>
          <w:tcPr>
            <w:tcW w:w="2122" w:type="dxa"/>
          </w:tcPr>
          <w:p w14:paraId="0DCA3692" w14:textId="5A50A694"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Relevance </w:t>
            </w:r>
          </w:p>
        </w:tc>
        <w:tc>
          <w:tcPr>
            <w:tcW w:w="3402" w:type="dxa"/>
          </w:tcPr>
          <w:p w14:paraId="219C49F8" w14:textId="15056EFD"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Articles that are directly linked to the topic </w:t>
            </w:r>
          </w:p>
        </w:tc>
        <w:tc>
          <w:tcPr>
            <w:tcW w:w="3826" w:type="dxa"/>
          </w:tcPr>
          <w:p w14:paraId="03CE7B26" w14:textId="60330D1D"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Articles that are not linked to the current research topic</w:t>
            </w:r>
          </w:p>
        </w:tc>
      </w:tr>
      <w:tr w:rsidR="00FD3B9B" w:rsidRPr="00710DFA" w14:paraId="6FFB78DF" w14:textId="77777777" w:rsidTr="00FD3B9B">
        <w:tc>
          <w:tcPr>
            <w:tcW w:w="2122" w:type="dxa"/>
          </w:tcPr>
          <w:p w14:paraId="6524E5D7" w14:textId="52F4B25A"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 xml:space="preserve">Accessibility </w:t>
            </w:r>
          </w:p>
        </w:tc>
        <w:tc>
          <w:tcPr>
            <w:tcW w:w="3402" w:type="dxa"/>
          </w:tcPr>
          <w:p w14:paraId="539250A8" w14:textId="5AB51A08"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Only full text available articles are allowed</w:t>
            </w:r>
          </w:p>
        </w:tc>
        <w:tc>
          <w:tcPr>
            <w:tcW w:w="3826" w:type="dxa"/>
          </w:tcPr>
          <w:p w14:paraId="2F2D17EC" w14:textId="0F416E8A" w:rsidR="00FD3B9B" w:rsidRPr="00710DFA" w:rsidRDefault="00FD3B9B" w:rsidP="00FD3B9B">
            <w:pPr>
              <w:spacing w:line="360" w:lineRule="auto"/>
              <w:jc w:val="both"/>
              <w:rPr>
                <w:color w:val="000000" w:themeColor="text1"/>
                <w:sz w:val="24"/>
                <w:szCs w:val="24"/>
                <w:lang w:val="en-GB"/>
              </w:rPr>
            </w:pPr>
            <w:r w:rsidRPr="00710DFA">
              <w:rPr>
                <w:color w:val="000000" w:themeColor="text1"/>
                <w:sz w:val="24"/>
                <w:szCs w:val="24"/>
                <w:lang w:val="en-GB"/>
              </w:rPr>
              <w:t>Articles those does not have any open access are not included within the study</w:t>
            </w:r>
          </w:p>
        </w:tc>
      </w:tr>
    </w:tbl>
    <w:p w14:paraId="2170727A" w14:textId="67CD9351" w:rsidR="003D08C4" w:rsidRPr="00710DFA" w:rsidRDefault="003D08C4" w:rsidP="003D08C4">
      <w:pPr>
        <w:pStyle w:val="Heading5"/>
      </w:pPr>
      <w:bookmarkStart w:id="33" w:name="_Toc228921431"/>
      <w:r w:rsidRPr="00710DFA">
        <w:t>Table 3.1: Inclusion exclusion criteria</w:t>
      </w:r>
      <w:bookmarkEnd w:id="33"/>
      <w:r w:rsidRPr="00710DFA">
        <w:t xml:space="preserve"> </w:t>
      </w:r>
    </w:p>
    <w:p w14:paraId="21F3BC3E" w14:textId="70EF2522" w:rsidR="00F436CA" w:rsidRPr="00710DFA" w:rsidRDefault="00883309" w:rsidP="00883309">
      <w:pPr>
        <w:pStyle w:val="Heading2"/>
        <w:rPr>
          <w:szCs w:val="24"/>
          <w:lang w:val="en-GB"/>
        </w:rPr>
      </w:pPr>
      <w:bookmarkStart w:id="34" w:name="_Toc228921275"/>
      <w:r w:rsidRPr="00710DFA">
        <w:rPr>
          <w:szCs w:val="24"/>
          <w:lang w:val="en-GB"/>
        </w:rPr>
        <w:t xml:space="preserve">3.7 </w:t>
      </w:r>
      <w:r w:rsidR="00F436CA" w:rsidRPr="00710DFA">
        <w:rPr>
          <w:szCs w:val="24"/>
          <w:lang w:val="en-GB"/>
        </w:rPr>
        <w:t>keywords</w:t>
      </w:r>
      <w:bookmarkEnd w:id="34"/>
    </w:p>
    <w:p w14:paraId="2A9B7497" w14:textId="6E04D153" w:rsidR="00AA148B" w:rsidRPr="00710DFA" w:rsidRDefault="00910761" w:rsidP="00910761">
      <w:pPr>
        <w:spacing w:line="360" w:lineRule="auto"/>
        <w:jc w:val="both"/>
        <w:rPr>
          <w:color w:val="000000" w:themeColor="text1"/>
          <w:sz w:val="24"/>
          <w:szCs w:val="24"/>
          <w:lang w:val="en-GB"/>
        </w:rPr>
      </w:pPr>
      <w:r w:rsidRPr="00710DFA">
        <w:rPr>
          <w:color w:val="000000" w:themeColor="text1"/>
          <w:sz w:val="24"/>
          <w:szCs w:val="24"/>
          <w:lang w:val="en-GB"/>
        </w:rPr>
        <w:t xml:space="preserve">In order to ensure targeted and comprehensive retrieval of the most relevant journal articles keywords with Boolean operator are used. The primary search term includes covid 19 supply chain, supply chain disruption, supply chain resilience and configuration, organisational response, recovery strategies of the companies. Along with this, the Boolean operator the search has developed maximum precision. For instance, supply chain disruption AND covid 19; Organisational resilience AND reconfiguration are predominant to ensure the pertinent result. The strategy based on the keyword search and PRISMA has been explicitly applicable for the better findings in the study. </w:t>
      </w:r>
    </w:p>
    <w:p w14:paraId="61D8BC60" w14:textId="7E8FEA3A" w:rsidR="00042410" w:rsidRPr="00710DFA" w:rsidRDefault="00265226" w:rsidP="00852206">
      <w:pPr>
        <w:pStyle w:val="Heading2"/>
        <w:rPr>
          <w:szCs w:val="24"/>
          <w:lang w:val="en-GB"/>
        </w:rPr>
      </w:pPr>
      <w:bookmarkStart w:id="35" w:name="_Toc228921276"/>
      <w:r w:rsidRPr="00710DFA">
        <w:rPr>
          <w:szCs w:val="24"/>
          <w:lang w:val="en-GB"/>
        </w:rPr>
        <w:lastRenderedPageBreak/>
        <w:t>3.</w:t>
      </w:r>
      <w:r w:rsidR="00883309" w:rsidRPr="00710DFA">
        <w:rPr>
          <w:szCs w:val="24"/>
          <w:lang w:val="en-GB"/>
        </w:rPr>
        <w:t>8</w:t>
      </w:r>
      <w:r w:rsidRPr="00710DFA">
        <w:rPr>
          <w:szCs w:val="24"/>
          <w:lang w:val="en-GB"/>
        </w:rPr>
        <w:t xml:space="preserve"> </w:t>
      </w:r>
      <w:r w:rsidR="00B50ECC" w:rsidRPr="00710DFA">
        <w:rPr>
          <w:szCs w:val="24"/>
          <w:lang w:val="en-GB"/>
        </w:rPr>
        <w:t>Data analysis method</w:t>
      </w:r>
      <w:bookmarkEnd w:id="35"/>
    </w:p>
    <w:p w14:paraId="4B29DF73" w14:textId="77777777" w:rsidR="001930FA" w:rsidRPr="00710DFA" w:rsidRDefault="001930FA" w:rsidP="009F0724">
      <w:pPr>
        <w:spacing w:line="360" w:lineRule="auto"/>
        <w:jc w:val="both"/>
        <w:rPr>
          <w:color w:val="000000" w:themeColor="text1"/>
          <w:sz w:val="24"/>
          <w:szCs w:val="24"/>
          <w:lang w:val="en-GB"/>
        </w:rPr>
      </w:pPr>
      <w:r w:rsidRPr="00710DFA">
        <w:rPr>
          <w:color w:val="000000" w:themeColor="text1"/>
          <w:sz w:val="24"/>
          <w:szCs w:val="24"/>
          <w:lang w:val="en-GB"/>
        </w:rPr>
        <w:t>The paper uses thematic analysis as the main tool of analysing the secondary qualitative data gathered. The analysis based on the six-phase model suggested by Braun and Clarke (2022) was inductive, and it included familiarisation with the data, the creation of initial codes, the search of the themes, the review, the definition, and the naming of the themes. The choice of literature used to identify codes and themes was not predetermined but emerged as a result of the content of the chosen literature. This inductive method is aligned with the interpretivist philosophical position taken in this research.</w:t>
      </w:r>
    </w:p>
    <w:p w14:paraId="3BB63542" w14:textId="0E6D65D8" w:rsidR="00852206" w:rsidRPr="00710DFA" w:rsidRDefault="001930FA" w:rsidP="00660680">
      <w:pPr>
        <w:spacing w:line="360" w:lineRule="auto"/>
        <w:jc w:val="both"/>
        <w:rPr>
          <w:color w:val="000000" w:themeColor="text1"/>
          <w:sz w:val="24"/>
          <w:szCs w:val="24"/>
          <w:lang w:val="en-GB"/>
        </w:rPr>
      </w:pPr>
      <w:r w:rsidRPr="00710DFA">
        <w:rPr>
          <w:color w:val="000000" w:themeColor="text1"/>
          <w:sz w:val="24"/>
          <w:szCs w:val="24"/>
          <w:lang w:val="en-GB"/>
        </w:rPr>
        <w:t xml:space="preserve">In order to increase methodological rigour and transparency, a set of Gioia methodology (Gioia, Corley and Hamilton, 2013) is also used, consisting of a systematic arrangement of data into 1st order themes (based on the language of the data) and 2nd order themes (created by the researcher). The derivation of the themes based on the evidence base is shown in </w:t>
      </w:r>
      <w:r w:rsidR="00660680" w:rsidRPr="00710DFA">
        <w:rPr>
          <w:color w:val="000000" w:themeColor="text1"/>
          <w:sz w:val="24"/>
          <w:szCs w:val="24"/>
          <w:lang w:val="en-GB"/>
        </w:rPr>
        <w:t xml:space="preserve">table </w:t>
      </w:r>
      <w:r w:rsidRPr="00710DFA">
        <w:rPr>
          <w:color w:val="000000" w:themeColor="text1"/>
          <w:sz w:val="24"/>
          <w:szCs w:val="24"/>
          <w:lang w:val="en-GB"/>
        </w:rPr>
        <w:t>below.</w:t>
      </w:r>
    </w:p>
    <w:tbl>
      <w:tblPr>
        <w:tblStyle w:val="TableGrid"/>
        <w:tblW w:w="0" w:type="auto"/>
        <w:tblLayout w:type="fixed"/>
        <w:tblLook w:val="04A0" w:firstRow="1" w:lastRow="0" w:firstColumn="1" w:lastColumn="0" w:noHBand="0" w:noVBand="1"/>
      </w:tblPr>
      <w:tblGrid>
        <w:gridCol w:w="2120"/>
        <w:gridCol w:w="1844"/>
        <w:gridCol w:w="5386"/>
      </w:tblGrid>
      <w:tr w:rsidR="005D2C98" w:rsidRPr="00710DFA" w14:paraId="3C983335" w14:textId="77777777" w:rsidTr="001D609F">
        <w:tc>
          <w:tcPr>
            <w:tcW w:w="2120" w:type="dxa"/>
          </w:tcPr>
          <w:p w14:paraId="4868EFE9" w14:textId="73AC8762" w:rsidR="00042410" w:rsidRPr="00710DFA" w:rsidRDefault="00042410" w:rsidP="00660680">
            <w:pPr>
              <w:spacing w:line="360" w:lineRule="auto"/>
              <w:jc w:val="center"/>
              <w:rPr>
                <w:b/>
                <w:bCs/>
                <w:color w:val="000000" w:themeColor="text1"/>
                <w:sz w:val="24"/>
                <w:szCs w:val="24"/>
                <w:lang w:val="en-GB"/>
              </w:rPr>
            </w:pPr>
            <w:r w:rsidRPr="00710DFA">
              <w:rPr>
                <w:b/>
                <w:bCs/>
                <w:color w:val="000000" w:themeColor="text1"/>
                <w:sz w:val="24"/>
                <w:szCs w:val="24"/>
                <w:lang w:val="en-GB"/>
              </w:rPr>
              <w:t>2</w:t>
            </w:r>
            <w:r w:rsidRPr="00710DFA">
              <w:rPr>
                <w:b/>
                <w:bCs/>
                <w:color w:val="000000" w:themeColor="text1"/>
                <w:sz w:val="24"/>
                <w:szCs w:val="24"/>
                <w:vertAlign w:val="superscript"/>
                <w:lang w:val="en-GB"/>
              </w:rPr>
              <w:t>nd</w:t>
            </w:r>
            <w:r w:rsidRPr="00710DFA">
              <w:rPr>
                <w:b/>
                <w:bCs/>
                <w:color w:val="000000" w:themeColor="text1"/>
                <w:sz w:val="24"/>
                <w:szCs w:val="24"/>
                <w:lang w:val="en-GB"/>
              </w:rPr>
              <w:t xml:space="preserve"> order theme</w:t>
            </w:r>
          </w:p>
        </w:tc>
        <w:tc>
          <w:tcPr>
            <w:tcW w:w="1844" w:type="dxa"/>
          </w:tcPr>
          <w:p w14:paraId="7CC8AC29" w14:textId="77728ABE" w:rsidR="00042410" w:rsidRPr="00710DFA" w:rsidRDefault="00042410" w:rsidP="00660680">
            <w:pPr>
              <w:spacing w:line="360" w:lineRule="auto"/>
              <w:jc w:val="center"/>
              <w:rPr>
                <w:b/>
                <w:bCs/>
                <w:color w:val="000000" w:themeColor="text1"/>
                <w:sz w:val="24"/>
                <w:szCs w:val="24"/>
                <w:lang w:val="en-GB"/>
              </w:rPr>
            </w:pPr>
            <w:r w:rsidRPr="00710DFA">
              <w:rPr>
                <w:b/>
                <w:bCs/>
                <w:color w:val="000000" w:themeColor="text1"/>
                <w:sz w:val="24"/>
                <w:szCs w:val="24"/>
                <w:lang w:val="en-GB"/>
              </w:rPr>
              <w:t>1 st order theme</w:t>
            </w:r>
          </w:p>
        </w:tc>
        <w:tc>
          <w:tcPr>
            <w:tcW w:w="5386" w:type="dxa"/>
          </w:tcPr>
          <w:p w14:paraId="39819E07" w14:textId="3EB2D378" w:rsidR="00042410" w:rsidRPr="00710DFA" w:rsidRDefault="00042410" w:rsidP="00660680">
            <w:pPr>
              <w:spacing w:line="360" w:lineRule="auto"/>
              <w:jc w:val="center"/>
              <w:rPr>
                <w:b/>
                <w:bCs/>
                <w:color w:val="000000" w:themeColor="text1"/>
                <w:sz w:val="24"/>
                <w:szCs w:val="24"/>
                <w:lang w:val="en-GB"/>
              </w:rPr>
            </w:pPr>
            <w:r w:rsidRPr="00710DFA">
              <w:rPr>
                <w:b/>
                <w:bCs/>
                <w:color w:val="000000" w:themeColor="text1"/>
                <w:sz w:val="24"/>
                <w:szCs w:val="24"/>
                <w:lang w:val="en-GB"/>
              </w:rPr>
              <w:t>Exemplary verbatim</w:t>
            </w:r>
          </w:p>
        </w:tc>
      </w:tr>
      <w:tr w:rsidR="005D2C98" w:rsidRPr="00710DFA" w14:paraId="198B6CBA" w14:textId="77777777" w:rsidTr="001D609F">
        <w:tc>
          <w:tcPr>
            <w:tcW w:w="2120" w:type="dxa"/>
            <w:vMerge w:val="restart"/>
          </w:tcPr>
          <w:p w14:paraId="676241CA" w14:textId="36F77119" w:rsidR="00042410" w:rsidRPr="00710DFA" w:rsidRDefault="00042410" w:rsidP="00660680">
            <w:pPr>
              <w:spacing w:line="360" w:lineRule="auto"/>
              <w:rPr>
                <w:color w:val="000000" w:themeColor="text1"/>
                <w:sz w:val="24"/>
                <w:szCs w:val="24"/>
                <w:lang w:val="en-GB"/>
              </w:rPr>
            </w:pPr>
            <w:r w:rsidRPr="00710DFA">
              <w:rPr>
                <w:color w:val="000000" w:themeColor="text1"/>
                <w:sz w:val="24"/>
                <w:szCs w:val="24"/>
                <w:lang w:val="en-GB"/>
              </w:rPr>
              <w:t>Covid-19 has revealed structural vulnerabilities in global supply chains</w:t>
            </w:r>
          </w:p>
          <w:p w14:paraId="35F148BA" w14:textId="77777777" w:rsidR="00042410" w:rsidRPr="00710DFA" w:rsidRDefault="00042410" w:rsidP="00660680">
            <w:pPr>
              <w:spacing w:line="360" w:lineRule="auto"/>
              <w:rPr>
                <w:color w:val="000000" w:themeColor="text1"/>
                <w:sz w:val="24"/>
                <w:szCs w:val="24"/>
                <w:lang w:val="en-GB"/>
              </w:rPr>
            </w:pPr>
          </w:p>
        </w:tc>
        <w:tc>
          <w:tcPr>
            <w:tcW w:w="1844" w:type="dxa"/>
          </w:tcPr>
          <w:p w14:paraId="047FE48F" w14:textId="7CBCECDF" w:rsidR="00042410" w:rsidRPr="00710DFA" w:rsidRDefault="00137B8C" w:rsidP="00660680">
            <w:pPr>
              <w:spacing w:line="360" w:lineRule="auto"/>
              <w:rPr>
                <w:color w:val="000000" w:themeColor="text1"/>
                <w:sz w:val="24"/>
                <w:szCs w:val="24"/>
                <w:lang w:val="en-GB"/>
              </w:rPr>
            </w:pPr>
            <w:r w:rsidRPr="00710DFA">
              <w:rPr>
                <w:color w:val="000000" w:themeColor="text1"/>
                <w:sz w:val="24"/>
                <w:szCs w:val="24"/>
                <w:lang w:val="en-GB"/>
              </w:rPr>
              <w:t>Heavy-reliance on lean/JIT prototypes</w:t>
            </w:r>
          </w:p>
        </w:tc>
        <w:tc>
          <w:tcPr>
            <w:tcW w:w="5386" w:type="dxa"/>
          </w:tcPr>
          <w:p w14:paraId="39700563" w14:textId="4599BD07" w:rsidR="00042410" w:rsidRPr="00710DFA" w:rsidRDefault="00640400" w:rsidP="00EA661C">
            <w:pPr>
              <w:spacing w:line="360" w:lineRule="auto"/>
              <w:jc w:val="both"/>
              <w:rPr>
                <w:color w:val="000000" w:themeColor="text1"/>
                <w:sz w:val="24"/>
                <w:szCs w:val="24"/>
                <w:lang w:val="en-GB"/>
              </w:rPr>
            </w:pPr>
            <w:r w:rsidRPr="00710DFA">
              <w:rPr>
                <w:color w:val="000000" w:themeColor="text1"/>
                <w:sz w:val="24"/>
                <w:szCs w:val="24"/>
                <w:lang w:val="en-GB"/>
              </w:rPr>
              <w:t xml:space="preserve">“Companies that thrived on lean and just-in-time </w:t>
            </w:r>
            <w:r w:rsidR="00932373" w:rsidRPr="00710DFA">
              <w:rPr>
                <w:color w:val="000000" w:themeColor="text1"/>
                <w:sz w:val="24"/>
                <w:szCs w:val="24"/>
                <w:lang w:val="en-GB"/>
              </w:rPr>
              <w:t>processes</w:t>
            </w:r>
            <w:r w:rsidR="003901D7" w:rsidRPr="00710DFA">
              <w:rPr>
                <w:color w:val="000000" w:themeColor="text1"/>
                <w:sz w:val="24"/>
                <w:szCs w:val="24"/>
                <w:lang w:val="en-GB"/>
              </w:rPr>
              <w:t xml:space="preserve"> were </w:t>
            </w:r>
            <w:r w:rsidR="00932373" w:rsidRPr="00710DFA">
              <w:rPr>
                <w:color w:val="000000" w:themeColor="text1"/>
                <w:sz w:val="24"/>
                <w:szCs w:val="24"/>
                <w:lang w:val="en-GB"/>
              </w:rPr>
              <w:t>overloaded</w:t>
            </w:r>
            <w:r w:rsidR="003901D7" w:rsidRPr="00710DFA">
              <w:rPr>
                <w:color w:val="000000" w:themeColor="text1"/>
                <w:sz w:val="24"/>
                <w:szCs w:val="24"/>
                <w:lang w:val="en-GB"/>
              </w:rPr>
              <w:t xml:space="preserve"> by such ripple effects (Ivanov,2020).” </w:t>
            </w:r>
          </w:p>
        </w:tc>
      </w:tr>
      <w:tr w:rsidR="005D2C98" w:rsidRPr="00710DFA" w14:paraId="7C69E1FC" w14:textId="77777777" w:rsidTr="001D609F">
        <w:tc>
          <w:tcPr>
            <w:tcW w:w="2120" w:type="dxa"/>
            <w:vMerge/>
          </w:tcPr>
          <w:p w14:paraId="14D6D32C" w14:textId="77777777" w:rsidR="00042410" w:rsidRPr="00710DFA" w:rsidRDefault="00042410" w:rsidP="00660680">
            <w:pPr>
              <w:spacing w:line="360" w:lineRule="auto"/>
              <w:rPr>
                <w:color w:val="000000" w:themeColor="text1"/>
                <w:sz w:val="24"/>
                <w:szCs w:val="24"/>
                <w:lang w:val="en-GB"/>
              </w:rPr>
            </w:pPr>
          </w:p>
        </w:tc>
        <w:tc>
          <w:tcPr>
            <w:tcW w:w="1844" w:type="dxa"/>
          </w:tcPr>
          <w:p w14:paraId="106FE9EC" w14:textId="4423997A" w:rsidR="00042410" w:rsidRPr="00710DFA" w:rsidRDefault="00137B8C" w:rsidP="00660680">
            <w:pPr>
              <w:spacing w:line="360" w:lineRule="auto"/>
              <w:rPr>
                <w:color w:val="000000" w:themeColor="text1"/>
                <w:sz w:val="24"/>
                <w:szCs w:val="24"/>
                <w:lang w:val="en-GB"/>
              </w:rPr>
            </w:pPr>
            <w:r w:rsidRPr="00710DFA">
              <w:rPr>
                <w:color w:val="000000" w:themeColor="text1"/>
                <w:sz w:val="24"/>
                <w:szCs w:val="24"/>
                <w:lang w:val="en-GB"/>
              </w:rPr>
              <w:t xml:space="preserve">Lack of multi-tier supply chain </w:t>
            </w:r>
            <w:r w:rsidR="00095CF2" w:rsidRPr="00710DFA">
              <w:rPr>
                <w:color w:val="000000" w:themeColor="text1"/>
                <w:sz w:val="24"/>
                <w:szCs w:val="24"/>
                <w:lang w:val="en-GB"/>
              </w:rPr>
              <w:t>noticeability</w:t>
            </w:r>
          </w:p>
        </w:tc>
        <w:tc>
          <w:tcPr>
            <w:tcW w:w="5386" w:type="dxa"/>
          </w:tcPr>
          <w:p w14:paraId="306DB949" w14:textId="1097B717" w:rsidR="00042410" w:rsidRPr="00710DFA" w:rsidRDefault="003901D7" w:rsidP="00EA661C">
            <w:pPr>
              <w:spacing w:line="360" w:lineRule="auto"/>
              <w:jc w:val="both"/>
              <w:rPr>
                <w:color w:val="000000" w:themeColor="text1"/>
                <w:sz w:val="24"/>
                <w:szCs w:val="24"/>
                <w:lang w:val="en-GB"/>
              </w:rPr>
            </w:pPr>
            <w:r w:rsidRPr="00710DFA">
              <w:rPr>
                <w:color w:val="000000" w:themeColor="text1"/>
                <w:sz w:val="24"/>
                <w:szCs w:val="24"/>
                <w:lang w:val="en-GB"/>
              </w:rPr>
              <w:t xml:space="preserve">The </w:t>
            </w:r>
            <w:r w:rsidR="00932373" w:rsidRPr="00710DFA">
              <w:rPr>
                <w:color w:val="000000" w:themeColor="text1"/>
                <w:sz w:val="24"/>
                <w:szCs w:val="24"/>
                <w:lang w:val="en-GB"/>
              </w:rPr>
              <w:t>bulk</w:t>
            </w:r>
            <w:r w:rsidRPr="00710DFA">
              <w:rPr>
                <w:color w:val="000000" w:themeColor="text1"/>
                <w:sz w:val="24"/>
                <w:szCs w:val="24"/>
                <w:lang w:val="en-GB"/>
              </w:rPr>
              <w:t xml:space="preserve"> of multinational </w:t>
            </w:r>
            <w:r w:rsidR="00932373" w:rsidRPr="00710DFA">
              <w:rPr>
                <w:color w:val="000000" w:themeColor="text1"/>
                <w:sz w:val="24"/>
                <w:szCs w:val="24"/>
                <w:lang w:val="en-GB"/>
              </w:rPr>
              <w:t>companies</w:t>
            </w:r>
            <w:r w:rsidRPr="00710DFA">
              <w:rPr>
                <w:color w:val="000000" w:themeColor="text1"/>
                <w:sz w:val="24"/>
                <w:szCs w:val="24"/>
                <w:lang w:val="en-GB"/>
              </w:rPr>
              <w:t xml:space="preserve"> did not have </w:t>
            </w:r>
            <w:r w:rsidR="00932373" w:rsidRPr="00710DFA">
              <w:rPr>
                <w:color w:val="000000" w:themeColor="text1"/>
                <w:sz w:val="24"/>
                <w:szCs w:val="24"/>
                <w:lang w:val="en-GB"/>
              </w:rPr>
              <w:t>adequate</w:t>
            </w:r>
            <w:r w:rsidRPr="00710DFA">
              <w:rPr>
                <w:color w:val="000000" w:themeColor="text1"/>
                <w:sz w:val="24"/>
                <w:szCs w:val="24"/>
                <w:lang w:val="en-GB"/>
              </w:rPr>
              <w:t xml:space="preserve"> visibility beyond their tier-one </w:t>
            </w:r>
            <w:r w:rsidR="00095CF2" w:rsidRPr="00710DFA">
              <w:rPr>
                <w:color w:val="000000" w:themeColor="text1"/>
                <w:sz w:val="24"/>
                <w:szCs w:val="24"/>
                <w:lang w:val="en-GB"/>
              </w:rPr>
              <w:t>vendors</w:t>
            </w:r>
            <w:r w:rsidRPr="00710DFA">
              <w:rPr>
                <w:color w:val="000000" w:themeColor="text1"/>
                <w:sz w:val="24"/>
                <w:szCs w:val="24"/>
                <w:lang w:val="en-GB"/>
              </w:rPr>
              <w:t xml:space="preserve"> (Choi </w:t>
            </w:r>
            <w:r w:rsidRPr="00710DFA">
              <w:rPr>
                <w:i/>
                <w:iCs/>
                <w:color w:val="000000" w:themeColor="text1"/>
                <w:sz w:val="24"/>
                <w:szCs w:val="24"/>
                <w:lang w:val="en-GB"/>
              </w:rPr>
              <w:t>et al.,</w:t>
            </w:r>
            <w:r w:rsidRPr="00710DFA">
              <w:rPr>
                <w:color w:val="000000" w:themeColor="text1"/>
                <w:sz w:val="24"/>
                <w:szCs w:val="24"/>
                <w:lang w:val="en-GB"/>
              </w:rPr>
              <w:t xml:space="preserve"> 2020).” </w:t>
            </w:r>
          </w:p>
        </w:tc>
      </w:tr>
      <w:tr w:rsidR="00394A7C" w:rsidRPr="00710DFA" w14:paraId="65F14C7C" w14:textId="77777777" w:rsidTr="001D609F">
        <w:tc>
          <w:tcPr>
            <w:tcW w:w="2120" w:type="dxa"/>
            <w:vMerge/>
          </w:tcPr>
          <w:p w14:paraId="124AD551" w14:textId="77777777" w:rsidR="00394A7C" w:rsidRPr="00710DFA" w:rsidRDefault="00394A7C" w:rsidP="00660680">
            <w:pPr>
              <w:spacing w:line="360" w:lineRule="auto"/>
              <w:rPr>
                <w:color w:val="000000" w:themeColor="text1"/>
                <w:sz w:val="24"/>
                <w:szCs w:val="24"/>
                <w:lang w:val="en-GB"/>
              </w:rPr>
            </w:pPr>
          </w:p>
        </w:tc>
        <w:tc>
          <w:tcPr>
            <w:tcW w:w="1844" w:type="dxa"/>
          </w:tcPr>
          <w:p w14:paraId="5BE646D0" w14:textId="569A78C1" w:rsidR="00394A7C" w:rsidRPr="00710DFA" w:rsidRDefault="00394A7C" w:rsidP="00660680">
            <w:pPr>
              <w:spacing w:line="360" w:lineRule="auto"/>
              <w:rPr>
                <w:color w:val="000000" w:themeColor="text1"/>
                <w:sz w:val="24"/>
                <w:szCs w:val="24"/>
                <w:lang w:val="en-GB"/>
              </w:rPr>
            </w:pPr>
            <w:r w:rsidRPr="00710DFA">
              <w:rPr>
                <w:color w:val="000000" w:themeColor="text1"/>
                <w:sz w:val="24"/>
                <w:szCs w:val="24"/>
                <w:lang w:val="en-GB"/>
              </w:rPr>
              <w:t xml:space="preserve">Disconnected strategies </w:t>
            </w:r>
          </w:p>
        </w:tc>
        <w:tc>
          <w:tcPr>
            <w:tcW w:w="5386" w:type="dxa"/>
          </w:tcPr>
          <w:p w14:paraId="2C3770DB" w14:textId="55C3063B" w:rsidR="00394A7C" w:rsidRPr="00710DFA" w:rsidRDefault="00394A7C" w:rsidP="00EA661C">
            <w:pPr>
              <w:spacing w:line="360" w:lineRule="auto"/>
              <w:jc w:val="both"/>
              <w:rPr>
                <w:color w:val="000000" w:themeColor="text1"/>
                <w:sz w:val="24"/>
                <w:szCs w:val="24"/>
                <w:lang w:val="en-GB"/>
              </w:rPr>
            </w:pPr>
            <w:r w:rsidRPr="00710DFA">
              <w:rPr>
                <w:color w:val="000000" w:themeColor="text1"/>
                <w:sz w:val="24"/>
                <w:szCs w:val="24"/>
                <w:lang w:val="en-GB"/>
              </w:rPr>
              <w:t xml:space="preserve">Sarkar </w:t>
            </w:r>
            <w:r w:rsidRPr="00710DFA">
              <w:rPr>
                <w:i/>
                <w:iCs/>
                <w:color w:val="000000" w:themeColor="text1"/>
                <w:sz w:val="24"/>
                <w:szCs w:val="24"/>
                <w:lang w:val="en-GB"/>
              </w:rPr>
              <w:t>et al.</w:t>
            </w:r>
            <w:r w:rsidRPr="00710DFA">
              <w:rPr>
                <w:color w:val="000000" w:themeColor="text1"/>
                <w:sz w:val="24"/>
                <w:szCs w:val="24"/>
                <w:lang w:val="en-GB"/>
              </w:rPr>
              <w:t xml:space="preserve"> (2022) elaborated that there is a strong disconnect between theoretical and practical aspects of resilience strategies.</w:t>
            </w:r>
          </w:p>
        </w:tc>
      </w:tr>
      <w:tr w:rsidR="003A0CF6" w:rsidRPr="00710DFA" w14:paraId="28D76D32" w14:textId="77777777" w:rsidTr="001D609F">
        <w:tc>
          <w:tcPr>
            <w:tcW w:w="2120" w:type="dxa"/>
            <w:vMerge/>
          </w:tcPr>
          <w:p w14:paraId="68713DE2" w14:textId="77777777" w:rsidR="003A0CF6" w:rsidRPr="00710DFA" w:rsidRDefault="003A0CF6" w:rsidP="00660680">
            <w:pPr>
              <w:spacing w:line="360" w:lineRule="auto"/>
              <w:rPr>
                <w:color w:val="000000" w:themeColor="text1"/>
                <w:sz w:val="24"/>
                <w:szCs w:val="24"/>
                <w:lang w:val="en-GB"/>
              </w:rPr>
            </w:pPr>
          </w:p>
        </w:tc>
        <w:tc>
          <w:tcPr>
            <w:tcW w:w="1844" w:type="dxa"/>
          </w:tcPr>
          <w:p w14:paraId="5B5FE4FC" w14:textId="5B7AD996" w:rsidR="003A0CF6" w:rsidRPr="00710DFA" w:rsidRDefault="003A0CF6" w:rsidP="00660680">
            <w:pPr>
              <w:spacing w:line="360" w:lineRule="auto"/>
              <w:rPr>
                <w:color w:val="000000" w:themeColor="text1"/>
                <w:sz w:val="24"/>
                <w:szCs w:val="24"/>
                <w:lang w:val="en-GB"/>
              </w:rPr>
            </w:pPr>
            <w:r w:rsidRPr="00710DFA">
              <w:rPr>
                <w:color w:val="000000" w:themeColor="text1"/>
                <w:sz w:val="24"/>
                <w:szCs w:val="24"/>
                <w:lang w:val="en-GB"/>
              </w:rPr>
              <w:t xml:space="preserve">Interdependence complexities </w:t>
            </w:r>
          </w:p>
        </w:tc>
        <w:tc>
          <w:tcPr>
            <w:tcW w:w="5386" w:type="dxa"/>
          </w:tcPr>
          <w:p w14:paraId="08E0883E" w14:textId="39754428" w:rsidR="003A0CF6" w:rsidRPr="00710DFA" w:rsidRDefault="003A0CF6" w:rsidP="00EA661C">
            <w:pPr>
              <w:spacing w:line="360" w:lineRule="auto"/>
              <w:jc w:val="both"/>
              <w:rPr>
                <w:color w:val="000000" w:themeColor="text1"/>
                <w:sz w:val="24"/>
                <w:szCs w:val="24"/>
                <w:lang w:val="en-GB"/>
              </w:rPr>
            </w:pPr>
            <w:r w:rsidRPr="00710DFA">
              <w:rPr>
                <w:color w:val="000000" w:themeColor="text1"/>
                <w:sz w:val="24"/>
                <w:szCs w:val="24"/>
                <w:lang w:val="en-GB"/>
              </w:rPr>
              <w:t>Systemic risks and interdependencies enhance the complexity of management of supply chain disruptions (Farrukh and Sajjad, 2025).</w:t>
            </w:r>
          </w:p>
        </w:tc>
      </w:tr>
      <w:tr w:rsidR="005D2C98" w:rsidRPr="00710DFA" w14:paraId="485ED7F1" w14:textId="77777777" w:rsidTr="001D609F">
        <w:tc>
          <w:tcPr>
            <w:tcW w:w="2120" w:type="dxa"/>
            <w:vMerge/>
          </w:tcPr>
          <w:p w14:paraId="050F70CB" w14:textId="77777777" w:rsidR="00042410" w:rsidRPr="00710DFA" w:rsidRDefault="00042410" w:rsidP="00660680">
            <w:pPr>
              <w:spacing w:line="360" w:lineRule="auto"/>
              <w:rPr>
                <w:color w:val="000000" w:themeColor="text1"/>
                <w:sz w:val="24"/>
                <w:szCs w:val="24"/>
                <w:lang w:val="en-GB"/>
              </w:rPr>
            </w:pPr>
          </w:p>
        </w:tc>
        <w:tc>
          <w:tcPr>
            <w:tcW w:w="1844" w:type="dxa"/>
          </w:tcPr>
          <w:p w14:paraId="3C66D31E" w14:textId="48110603" w:rsidR="00042410" w:rsidRPr="00710DFA" w:rsidRDefault="000A6E69" w:rsidP="00660680">
            <w:pPr>
              <w:spacing w:line="360" w:lineRule="auto"/>
              <w:rPr>
                <w:color w:val="000000" w:themeColor="text1"/>
                <w:sz w:val="24"/>
                <w:szCs w:val="24"/>
                <w:lang w:val="en-GB"/>
              </w:rPr>
            </w:pPr>
            <w:r w:rsidRPr="00710DFA">
              <w:rPr>
                <w:color w:val="000000" w:themeColor="text1"/>
                <w:sz w:val="24"/>
                <w:szCs w:val="24"/>
                <w:lang w:val="en-GB"/>
              </w:rPr>
              <w:t>Geographic cluster vulnerability</w:t>
            </w:r>
          </w:p>
        </w:tc>
        <w:tc>
          <w:tcPr>
            <w:tcW w:w="5386" w:type="dxa"/>
          </w:tcPr>
          <w:p w14:paraId="4FBE08A7" w14:textId="55C67016" w:rsidR="00042410" w:rsidRPr="00710DFA" w:rsidRDefault="003901D7" w:rsidP="00EA661C">
            <w:pPr>
              <w:spacing w:line="360" w:lineRule="auto"/>
              <w:jc w:val="both"/>
              <w:rPr>
                <w:color w:val="000000" w:themeColor="text1"/>
                <w:sz w:val="24"/>
                <w:szCs w:val="24"/>
                <w:lang w:val="en-GB"/>
              </w:rPr>
            </w:pPr>
            <w:r w:rsidRPr="00710DFA">
              <w:rPr>
                <w:color w:val="000000" w:themeColor="text1"/>
                <w:sz w:val="24"/>
                <w:szCs w:val="24"/>
                <w:lang w:val="en-GB"/>
              </w:rPr>
              <w:t xml:space="preserve">The lack of </w:t>
            </w:r>
            <w:r w:rsidR="00095CF2" w:rsidRPr="00710DFA">
              <w:rPr>
                <w:color w:val="000000" w:themeColor="text1"/>
                <w:sz w:val="24"/>
                <w:szCs w:val="24"/>
                <w:lang w:val="en-GB"/>
              </w:rPr>
              <w:t>variety</w:t>
            </w:r>
            <w:r w:rsidRPr="00710DFA">
              <w:rPr>
                <w:color w:val="000000" w:themeColor="text1"/>
                <w:sz w:val="24"/>
                <w:szCs w:val="24"/>
                <w:lang w:val="en-GB"/>
              </w:rPr>
              <w:t xml:space="preserve"> of sourcing…increased </w:t>
            </w:r>
            <w:r w:rsidR="00095CF2" w:rsidRPr="00710DFA">
              <w:rPr>
                <w:color w:val="000000" w:themeColor="text1"/>
                <w:sz w:val="24"/>
                <w:szCs w:val="24"/>
                <w:lang w:val="en-GB"/>
              </w:rPr>
              <w:t>susceptibility</w:t>
            </w:r>
            <w:r w:rsidRPr="00710DFA">
              <w:rPr>
                <w:color w:val="000000" w:themeColor="text1"/>
                <w:sz w:val="24"/>
                <w:szCs w:val="24"/>
                <w:lang w:val="en-GB"/>
              </w:rPr>
              <w:t xml:space="preserve"> to the early phase of the pandemic (Choi </w:t>
            </w:r>
            <w:r w:rsidRPr="00710DFA">
              <w:rPr>
                <w:i/>
                <w:iCs/>
                <w:color w:val="000000" w:themeColor="text1"/>
                <w:sz w:val="24"/>
                <w:szCs w:val="24"/>
                <w:lang w:val="en-GB"/>
              </w:rPr>
              <w:t>et al.</w:t>
            </w:r>
            <w:r w:rsidRPr="00710DFA">
              <w:rPr>
                <w:color w:val="000000" w:themeColor="text1"/>
                <w:sz w:val="24"/>
                <w:szCs w:val="24"/>
                <w:lang w:val="en-GB"/>
              </w:rPr>
              <w:t>, 2020).”</w:t>
            </w:r>
          </w:p>
        </w:tc>
      </w:tr>
      <w:tr w:rsidR="00B17794" w:rsidRPr="00710DFA" w14:paraId="2EC4CE26" w14:textId="77777777" w:rsidTr="001D609F">
        <w:tc>
          <w:tcPr>
            <w:tcW w:w="2120" w:type="dxa"/>
            <w:vMerge/>
          </w:tcPr>
          <w:p w14:paraId="03739348" w14:textId="77777777" w:rsidR="00B17794" w:rsidRPr="00710DFA" w:rsidRDefault="00B17794" w:rsidP="00660680">
            <w:pPr>
              <w:spacing w:line="360" w:lineRule="auto"/>
              <w:rPr>
                <w:color w:val="000000" w:themeColor="text1"/>
                <w:sz w:val="24"/>
                <w:szCs w:val="24"/>
                <w:lang w:val="en-GB"/>
              </w:rPr>
            </w:pPr>
          </w:p>
        </w:tc>
        <w:tc>
          <w:tcPr>
            <w:tcW w:w="1844" w:type="dxa"/>
          </w:tcPr>
          <w:p w14:paraId="03E5E336" w14:textId="634D0EA6" w:rsidR="00B17794" w:rsidRPr="00710DFA" w:rsidRDefault="00B17794" w:rsidP="00660680">
            <w:pPr>
              <w:spacing w:line="360" w:lineRule="auto"/>
              <w:rPr>
                <w:color w:val="000000" w:themeColor="text1"/>
                <w:sz w:val="24"/>
                <w:szCs w:val="24"/>
                <w:lang w:val="en-GB"/>
              </w:rPr>
            </w:pPr>
            <w:r w:rsidRPr="00710DFA">
              <w:rPr>
                <w:color w:val="000000" w:themeColor="text1"/>
                <w:sz w:val="24"/>
                <w:szCs w:val="24"/>
                <w:lang w:val="en-GB"/>
              </w:rPr>
              <w:t xml:space="preserve">Geo-political vulnerabilities </w:t>
            </w:r>
          </w:p>
        </w:tc>
        <w:tc>
          <w:tcPr>
            <w:tcW w:w="5386" w:type="dxa"/>
          </w:tcPr>
          <w:p w14:paraId="254A4EFC" w14:textId="28FEBC7F" w:rsidR="00B17794" w:rsidRPr="00710DFA" w:rsidRDefault="00B17794" w:rsidP="00EA661C">
            <w:pPr>
              <w:spacing w:line="360" w:lineRule="auto"/>
              <w:jc w:val="both"/>
              <w:rPr>
                <w:color w:val="000000" w:themeColor="text1"/>
                <w:sz w:val="24"/>
                <w:szCs w:val="24"/>
                <w:lang w:val="en-GB"/>
              </w:rPr>
            </w:pPr>
            <w:r w:rsidRPr="00710DFA">
              <w:rPr>
                <w:color w:val="000000" w:themeColor="text1"/>
                <w:sz w:val="24"/>
                <w:szCs w:val="24"/>
                <w:lang w:val="en-GB"/>
              </w:rPr>
              <w:t xml:space="preserve">The geopolitical risks have a significant impact on the stability of global supply chains networks (Li </w:t>
            </w:r>
            <w:r w:rsidRPr="00710DFA">
              <w:rPr>
                <w:i/>
                <w:iCs/>
                <w:color w:val="000000" w:themeColor="text1"/>
                <w:sz w:val="24"/>
                <w:szCs w:val="24"/>
                <w:lang w:val="en-GB"/>
              </w:rPr>
              <w:t>et al</w:t>
            </w:r>
            <w:r w:rsidRPr="00710DFA">
              <w:rPr>
                <w:color w:val="000000" w:themeColor="text1"/>
                <w:sz w:val="24"/>
                <w:szCs w:val="24"/>
                <w:lang w:val="en-GB"/>
              </w:rPr>
              <w:t>., 2026).</w:t>
            </w:r>
          </w:p>
        </w:tc>
      </w:tr>
      <w:tr w:rsidR="005D2C98" w:rsidRPr="00710DFA" w14:paraId="2F127CB8" w14:textId="77777777" w:rsidTr="001D609F">
        <w:tc>
          <w:tcPr>
            <w:tcW w:w="2120" w:type="dxa"/>
            <w:vMerge/>
          </w:tcPr>
          <w:p w14:paraId="798F1A41" w14:textId="77777777" w:rsidR="00042410" w:rsidRPr="00710DFA" w:rsidRDefault="00042410" w:rsidP="00660680">
            <w:pPr>
              <w:spacing w:line="360" w:lineRule="auto"/>
              <w:rPr>
                <w:color w:val="000000" w:themeColor="text1"/>
                <w:sz w:val="24"/>
                <w:szCs w:val="24"/>
                <w:lang w:val="en-GB"/>
              </w:rPr>
            </w:pPr>
          </w:p>
        </w:tc>
        <w:tc>
          <w:tcPr>
            <w:tcW w:w="1844" w:type="dxa"/>
          </w:tcPr>
          <w:p w14:paraId="01EF2A6D" w14:textId="30E9A0A6" w:rsidR="00042410" w:rsidRPr="00710DFA" w:rsidRDefault="000A6E69" w:rsidP="00660680">
            <w:pPr>
              <w:spacing w:line="360" w:lineRule="auto"/>
              <w:rPr>
                <w:color w:val="000000" w:themeColor="text1"/>
                <w:sz w:val="24"/>
                <w:szCs w:val="24"/>
                <w:lang w:val="en-GB"/>
              </w:rPr>
            </w:pPr>
            <w:r w:rsidRPr="00710DFA">
              <w:rPr>
                <w:color w:val="000000" w:themeColor="text1"/>
                <w:sz w:val="24"/>
                <w:szCs w:val="24"/>
                <w:lang w:val="en-GB"/>
              </w:rPr>
              <w:t>Demand foretelling failure/bullwhip result</w:t>
            </w:r>
          </w:p>
        </w:tc>
        <w:tc>
          <w:tcPr>
            <w:tcW w:w="5386" w:type="dxa"/>
          </w:tcPr>
          <w:p w14:paraId="4F3B3FFC" w14:textId="193D14DA" w:rsidR="00042410" w:rsidRPr="00710DFA" w:rsidRDefault="003901D7" w:rsidP="00EA661C">
            <w:pPr>
              <w:spacing w:line="360" w:lineRule="auto"/>
              <w:jc w:val="both"/>
              <w:rPr>
                <w:color w:val="000000" w:themeColor="text1"/>
                <w:sz w:val="24"/>
                <w:szCs w:val="24"/>
                <w:lang w:val="en-GB"/>
              </w:rPr>
            </w:pPr>
            <w:r w:rsidRPr="00710DFA">
              <w:rPr>
                <w:color w:val="000000" w:themeColor="text1"/>
                <w:sz w:val="24"/>
                <w:szCs w:val="24"/>
                <w:lang w:val="en-GB"/>
              </w:rPr>
              <w:t xml:space="preserve">The high </w:t>
            </w:r>
            <w:r w:rsidR="00626589" w:rsidRPr="00710DFA">
              <w:rPr>
                <w:color w:val="000000" w:themeColor="text1"/>
                <w:sz w:val="24"/>
                <w:szCs w:val="24"/>
                <w:lang w:val="en-GB"/>
              </w:rPr>
              <w:t>instability</w:t>
            </w:r>
            <w:r w:rsidRPr="00710DFA">
              <w:rPr>
                <w:color w:val="000000" w:themeColor="text1"/>
                <w:sz w:val="24"/>
                <w:szCs w:val="24"/>
                <w:lang w:val="en-GB"/>
              </w:rPr>
              <w:t xml:space="preserve"> of </w:t>
            </w:r>
            <w:r w:rsidR="00095CF2" w:rsidRPr="00710DFA">
              <w:rPr>
                <w:color w:val="000000" w:themeColor="text1"/>
                <w:sz w:val="24"/>
                <w:szCs w:val="24"/>
                <w:lang w:val="en-GB"/>
              </w:rPr>
              <w:t>customer</w:t>
            </w:r>
            <w:r w:rsidRPr="00710DFA">
              <w:rPr>
                <w:color w:val="000000" w:themeColor="text1"/>
                <w:sz w:val="24"/>
                <w:szCs w:val="24"/>
                <w:lang w:val="en-GB"/>
              </w:rPr>
              <w:t xml:space="preserve"> demand made traditional fore</w:t>
            </w:r>
            <w:r w:rsidR="00095CF2" w:rsidRPr="00710DFA">
              <w:rPr>
                <w:color w:val="000000" w:themeColor="text1"/>
                <w:sz w:val="24"/>
                <w:szCs w:val="24"/>
                <w:lang w:val="en-GB"/>
              </w:rPr>
              <w:t>telling</w:t>
            </w:r>
            <w:r w:rsidRPr="00710DFA">
              <w:rPr>
                <w:color w:val="000000" w:themeColor="text1"/>
                <w:sz w:val="24"/>
                <w:szCs w:val="24"/>
                <w:lang w:val="en-GB"/>
              </w:rPr>
              <w:t xml:space="preserve"> models mostly </w:t>
            </w:r>
            <w:r w:rsidR="00095CF2" w:rsidRPr="00710DFA">
              <w:rPr>
                <w:color w:val="000000" w:themeColor="text1"/>
                <w:sz w:val="24"/>
                <w:szCs w:val="24"/>
                <w:lang w:val="en-GB"/>
              </w:rPr>
              <w:t>purposeless</w:t>
            </w:r>
            <w:r w:rsidRPr="00710DFA">
              <w:rPr>
                <w:color w:val="000000" w:themeColor="text1"/>
                <w:sz w:val="24"/>
                <w:szCs w:val="24"/>
                <w:lang w:val="en-GB"/>
              </w:rPr>
              <w:t xml:space="preserve"> (Queiroz </w:t>
            </w:r>
            <w:r w:rsidRPr="00710DFA">
              <w:rPr>
                <w:i/>
                <w:iCs/>
                <w:color w:val="000000" w:themeColor="text1"/>
                <w:sz w:val="24"/>
                <w:szCs w:val="24"/>
                <w:lang w:val="en-GB"/>
              </w:rPr>
              <w:t>et al.,</w:t>
            </w:r>
            <w:r w:rsidRPr="00710DFA">
              <w:rPr>
                <w:color w:val="000000" w:themeColor="text1"/>
                <w:sz w:val="24"/>
                <w:szCs w:val="24"/>
                <w:lang w:val="en-GB"/>
              </w:rPr>
              <w:t xml:space="preserve"> 2020).”</w:t>
            </w:r>
          </w:p>
        </w:tc>
      </w:tr>
      <w:tr w:rsidR="00954658" w:rsidRPr="00710DFA" w14:paraId="68B45FF1" w14:textId="77777777" w:rsidTr="001D609F">
        <w:trPr>
          <w:trHeight w:val="346"/>
        </w:trPr>
        <w:tc>
          <w:tcPr>
            <w:tcW w:w="2120" w:type="dxa"/>
            <w:vMerge w:val="restart"/>
          </w:tcPr>
          <w:p w14:paraId="6E0741FD" w14:textId="4635BF56"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Multidimensional Organisational Responses to Supply Chain Stress during a pandemic</w:t>
            </w:r>
          </w:p>
        </w:tc>
        <w:tc>
          <w:tcPr>
            <w:tcW w:w="1844" w:type="dxa"/>
          </w:tcPr>
          <w:p w14:paraId="277B73A2" w14:textId="0E69105A"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Digital change acceleration</w:t>
            </w:r>
          </w:p>
        </w:tc>
        <w:tc>
          <w:tcPr>
            <w:tcW w:w="5386" w:type="dxa"/>
          </w:tcPr>
          <w:p w14:paraId="460FD6E8" w14:textId="40143804"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Covid-19 accelerated digital supply chain transfiguration by many years (Remko, 2020).”</w:t>
            </w:r>
          </w:p>
        </w:tc>
      </w:tr>
      <w:tr w:rsidR="00954658" w:rsidRPr="00710DFA" w14:paraId="5ED6A6B9" w14:textId="77777777" w:rsidTr="001D609F">
        <w:trPr>
          <w:trHeight w:val="334"/>
        </w:trPr>
        <w:tc>
          <w:tcPr>
            <w:tcW w:w="2120" w:type="dxa"/>
            <w:vMerge/>
          </w:tcPr>
          <w:p w14:paraId="4BBBFB98" w14:textId="77777777" w:rsidR="00954658" w:rsidRPr="00710DFA" w:rsidRDefault="00954658" w:rsidP="00660680">
            <w:pPr>
              <w:spacing w:line="360" w:lineRule="auto"/>
              <w:rPr>
                <w:color w:val="000000" w:themeColor="text1"/>
                <w:sz w:val="24"/>
                <w:szCs w:val="24"/>
                <w:lang w:val="en-GB"/>
              </w:rPr>
            </w:pPr>
          </w:p>
        </w:tc>
        <w:tc>
          <w:tcPr>
            <w:tcW w:w="1844" w:type="dxa"/>
          </w:tcPr>
          <w:p w14:paraId="05AFC9D8" w14:textId="4025B525"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Implementation of real-time visibility utensils</w:t>
            </w:r>
          </w:p>
        </w:tc>
        <w:tc>
          <w:tcPr>
            <w:tcW w:w="5386" w:type="dxa"/>
          </w:tcPr>
          <w:p w14:paraId="43DF0BDB" w14:textId="4F771DC0"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 xml:space="preserve">Digital platforms permitted digital real-time tracking and enhanced responsiveness (Huan </w:t>
            </w:r>
            <w:r w:rsidRPr="00710DFA">
              <w:rPr>
                <w:i/>
                <w:iCs/>
                <w:color w:val="000000" w:themeColor="text1"/>
                <w:sz w:val="24"/>
                <w:szCs w:val="24"/>
                <w:lang w:val="en-GB"/>
              </w:rPr>
              <w:t>e</w:t>
            </w:r>
            <w:r w:rsidRPr="00710DFA">
              <w:rPr>
                <w:color w:val="000000" w:themeColor="text1"/>
                <w:sz w:val="24"/>
                <w:szCs w:val="24"/>
                <w:lang w:val="en-GB"/>
              </w:rPr>
              <w:t xml:space="preserve">t </w:t>
            </w:r>
            <w:r w:rsidRPr="00710DFA">
              <w:rPr>
                <w:i/>
                <w:iCs/>
                <w:color w:val="000000" w:themeColor="text1"/>
                <w:sz w:val="24"/>
                <w:szCs w:val="24"/>
                <w:lang w:val="en-GB"/>
              </w:rPr>
              <w:t>al.,</w:t>
            </w:r>
            <w:r w:rsidRPr="00710DFA">
              <w:rPr>
                <w:color w:val="000000" w:themeColor="text1"/>
                <w:sz w:val="24"/>
                <w:szCs w:val="24"/>
                <w:lang w:val="en-GB"/>
              </w:rPr>
              <w:t xml:space="preserve"> 2023).”</w:t>
            </w:r>
          </w:p>
        </w:tc>
      </w:tr>
      <w:tr w:rsidR="00954658" w:rsidRPr="00710DFA" w14:paraId="6DF7BA04" w14:textId="77777777" w:rsidTr="001D609F">
        <w:trPr>
          <w:trHeight w:val="372"/>
        </w:trPr>
        <w:tc>
          <w:tcPr>
            <w:tcW w:w="2120" w:type="dxa"/>
            <w:vMerge/>
          </w:tcPr>
          <w:p w14:paraId="13DD536F" w14:textId="77777777" w:rsidR="00954658" w:rsidRPr="00710DFA" w:rsidRDefault="00954658" w:rsidP="00660680">
            <w:pPr>
              <w:spacing w:line="360" w:lineRule="auto"/>
              <w:rPr>
                <w:color w:val="000000" w:themeColor="text1"/>
                <w:sz w:val="24"/>
                <w:szCs w:val="24"/>
                <w:lang w:val="en-GB"/>
              </w:rPr>
            </w:pPr>
          </w:p>
        </w:tc>
        <w:tc>
          <w:tcPr>
            <w:tcW w:w="1844" w:type="dxa"/>
          </w:tcPr>
          <w:p w14:paraId="2CD69767" w14:textId="79385C7E"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Sourcing reconstruction(nearshoring/reshoring)</w:t>
            </w:r>
          </w:p>
        </w:tc>
        <w:tc>
          <w:tcPr>
            <w:tcW w:w="5386" w:type="dxa"/>
          </w:tcPr>
          <w:p w14:paraId="783D052A" w14:textId="43B63FC0"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Firms re-evaluate global sourcing and shifted towards regional supply arrangements (Sarkis, 2020).”</w:t>
            </w:r>
          </w:p>
          <w:p w14:paraId="3F7B083C" w14:textId="77777777" w:rsidR="00954658" w:rsidRPr="00710DFA" w:rsidRDefault="00954658" w:rsidP="00EA661C">
            <w:pPr>
              <w:spacing w:line="360" w:lineRule="auto"/>
              <w:jc w:val="both"/>
              <w:rPr>
                <w:color w:val="000000" w:themeColor="text1"/>
                <w:sz w:val="24"/>
                <w:szCs w:val="24"/>
                <w:lang w:val="en-GB"/>
              </w:rPr>
            </w:pPr>
          </w:p>
        </w:tc>
      </w:tr>
      <w:tr w:rsidR="00954658" w:rsidRPr="00710DFA" w14:paraId="59894AEF" w14:textId="77777777" w:rsidTr="001D609F">
        <w:trPr>
          <w:trHeight w:val="336"/>
        </w:trPr>
        <w:tc>
          <w:tcPr>
            <w:tcW w:w="2120" w:type="dxa"/>
            <w:vMerge/>
          </w:tcPr>
          <w:p w14:paraId="164B8A24" w14:textId="77777777" w:rsidR="00954658" w:rsidRPr="00710DFA" w:rsidRDefault="00954658" w:rsidP="00660680">
            <w:pPr>
              <w:spacing w:line="360" w:lineRule="auto"/>
              <w:rPr>
                <w:color w:val="000000" w:themeColor="text1"/>
                <w:sz w:val="24"/>
                <w:szCs w:val="24"/>
                <w:lang w:val="en-GB"/>
              </w:rPr>
            </w:pPr>
          </w:p>
        </w:tc>
        <w:tc>
          <w:tcPr>
            <w:tcW w:w="1844" w:type="dxa"/>
          </w:tcPr>
          <w:p w14:paraId="6AFF4AA9" w14:textId="1F1F84B8"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Dual sourcing policies</w:t>
            </w:r>
          </w:p>
        </w:tc>
        <w:tc>
          <w:tcPr>
            <w:tcW w:w="5386" w:type="dxa"/>
          </w:tcPr>
          <w:p w14:paraId="5EE02F73" w14:textId="793D57BB"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 xml:space="preserve">Companies branched out suppliers to reduce dependency vulnerabilities (Barbieri </w:t>
            </w:r>
            <w:r w:rsidRPr="00710DFA">
              <w:rPr>
                <w:i/>
                <w:iCs/>
                <w:color w:val="000000" w:themeColor="text1"/>
                <w:sz w:val="24"/>
                <w:szCs w:val="24"/>
                <w:lang w:val="en-GB"/>
              </w:rPr>
              <w:t>et al.,</w:t>
            </w:r>
            <w:r w:rsidRPr="00710DFA">
              <w:rPr>
                <w:color w:val="000000" w:themeColor="text1"/>
                <w:sz w:val="24"/>
                <w:szCs w:val="24"/>
                <w:lang w:val="en-GB"/>
              </w:rPr>
              <w:t xml:space="preserve"> 2020).”</w:t>
            </w:r>
          </w:p>
        </w:tc>
      </w:tr>
      <w:tr w:rsidR="00954658" w:rsidRPr="00710DFA" w14:paraId="58A4ADA8" w14:textId="77777777" w:rsidTr="001D609F">
        <w:trPr>
          <w:trHeight w:val="336"/>
        </w:trPr>
        <w:tc>
          <w:tcPr>
            <w:tcW w:w="2120" w:type="dxa"/>
            <w:vMerge/>
          </w:tcPr>
          <w:p w14:paraId="0B6A9E00" w14:textId="77777777" w:rsidR="00954658" w:rsidRPr="00710DFA" w:rsidRDefault="00954658" w:rsidP="00660680">
            <w:pPr>
              <w:spacing w:line="360" w:lineRule="auto"/>
              <w:rPr>
                <w:color w:val="000000" w:themeColor="text1"/>
                <w:sz w:val="24"/>
                <w:szCs w:val="24"/>
                <w:lang w:val="en-GB"/>
              </w:rPr>
            </w:pPr>
          </w:p>
        </w:tc>
        <w:tc>
          <w:tcPr>
            <w:tcW w:w="1844" w:type="dxa"/>
          </w:tcPr>
          <w:p w14:paraId="143C0FE3" w14:textId="7A61B53C"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Developing flexibility in multidimensional aspect</w:t>
            </w:r>
          </w:p>
        </w:tc>
        <w:tc>
          <w:tcPr>
            <w:tcW w:w="5386" w:type="dxa"/>
          </w:tcPr>
          <w:p w14:paraId="5F3A3F8B" w14:textId="5C0F346D"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Multi-dimensional flexibility decreases vulnerability and increases resilience performance (</w:t>
            </w:r>
            <w:proofErr w:type="spellStart"/>
            <w:r w:rsidRPr="00710DFA">
              <w:rPr>
                <w:color w:val="000000" w:themeColor="text1"/>
                <w:sz w:val="24"/>
                <w:szCs w:val="24"/>
                <w:lang w:val="en-GB"/>
              </w:rPr>
              <w:t>Piprani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2022).</w:t>
            </w:r>
          </w:p>
        </w:tc>
      </w:tr>
      <w:tr w:rsidR="00954658" w:rsidRPr="00710DFA" w14:paraId="381074D3" w14:textId="77777777" w:rsidTr="001D609F">
        <w:trPr>
          <w:trHeight w:val="480"/>
        </w:trPr>
        <w:tc>
          <w:tcPr>
            <w:tcW w:w="2120" w:type="dxa"/>
            <w:vMerge/>
          </w:tcPr>
          <w:p w14:paraId="679AB6B7" w14:textId="77777777" w:rsidR="00954658" w:rsidRPr="00710DFA" w:rsidRDefault="00954658" w:rsidP="00660680">
            <w:pPr>
              <w:spacing w:line="360" w:lineRule="auto"/>
              <w:rPr>
                <w:color w:val="000000" w:themeColor="text1"/>
                <w:sz w:val="24"/>
                <w:szCs w:val="24"/>
                <w:lang w:val="en-GB"/>
              </w:rPr>
            </w:pPr>
          </w:p>
        </w:tc>
        <w:tc>
          <w:tcPr>
            <w:tcW w:w="1844" w:type="dxa"/>
          </w:tcPr>
          <w:p w14:paraId="35606E36" w14:textId="321B00CF"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Strengthening supplier connection</w:t>
            </w:r>
          </w:p>
        </w:tc>
        <w:tc>
          <w:tcPr>
            <w:tcW w:w="5386" w:type="dxa"/>
          </w:tcPr>
          <w:p w14:paraId="4F70DE64" w14:textId="037F05A8"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Collaborative relationships enhanced adaptability during disturbance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w:t>
            </w:r>
          </w:p>
        </w:tc>
      </w:tr>
      <w:tr w:rsidR="00954658" w:rsidRPr="00710DFA" w14:paraId="34AE00B3" w14:textId="77777777" w:rsidTr="001D609F">
        <w:trPr>
          <w:trHeight w:val="288"/>
        </w:trPr>
        <w:tc>
          <w:tcPr>
            <w:tcW w:w="2120" w:type="dxa"/>
            <w:vMerge/>
          </w:tcPr>
          <w:p w14:paraId="07B8488B" w14:textId="77777777" w:rsidR="00954658" w:rsidRPr="00710DFA" w:rsidRDefault="00954658" w:rsidP="00660680">
            <w:pPr>
              <w:spacing w:line="360" w:lineRule="auto"/>
              <w:rPr>
                <w:color w:val="000000" w:themeColor="text1"/>
                <w:sz w:val="24"/>
                <w:szCs w:val="24"/>
                <w:lang w:val="en-GB"/>
              </w:rPr>
            </w:pPr>
          </w:p>
        </w:tc>
        <w:tc>
          <w:tcPr>
            <w:tcW w:w="1844" w:type="dxa"/>
          </w:tcPr>
          <w:p w14:paraId="43C3BD76" w14:textId="57BF2941" w:rsidR="00954658" w:rsidRPr="00710DFA" w:rsidRDefault="00954658" w:rsidP="00660680">
            <w:pPr>
              <w:spacing w:line="360" w:lineRule="auto"/>
              <w:rPr>
                <w:color w:val="000000" w:themeColor="text1"/>
                <w:sz w:val="24"/>
                <w:szCs w:val="24"/>
                <w:lang w:val="en-GB"/>
              </w:rPr>
            </w:pPr>
            <w:r w:rsidRPr="00710DFA">
              <w:rPr>
                <w:color w:val="000000" w:themeColor="text1"/>
                <w:sz w:val="24"/>
                <w:szCs w:val="24"/>
                <w:lang w:val="en-GB"/>
              </w:rPr>
              <w:t>Growth of relational assets</w:t>
            </w:r>
          </w:p>
        </w:tc>
        <w:tc>
          <w:tcPr>
            <w:tcW w:w="5386" w:type="dxa"/>
          </w:tcPr>
          <w:p w14:paraId="47481DDA" w14:textId="0DF2BA34" w:rsidR="00954658" w:rsidRPr="00710DFA" w:rsidRDefault="00954658" w:rsidP="00EA661C">
            <w:pPr>
              <w:spacing w:line="360" w:lineRule="auto"/>
              <w:jc w:val="both"/>
              <w:rPr>
                <w:color w:val="000000" w:themeColor="text1"/>
                <w:sz w:val="24"/>
                <w:szCs w:val="24"/>
                <w:lang w:val="en-GB"/>
              </w:rPr>
            </w:pPr>
            <w:r w:rsidRPr="00710DFA">
              <w:rPr>
                <w:color w:val="000000" w:themeColor="text1"/>
                <w:sz w:val="24"/>
                <w:szCs w:val="24"/>
                <w:lang w:val="en-GB"/>
              </w:rPr>
              <w:t xml:space="preserve">Trust-based supplier associations improved resilience capacity (Dango </w:t>
            </w:r>
            <w:r w:rsidRPr="00710DFA">
              <w:rPr>
                <w:i/>
                <w:iCs/>
                <w:color w:val="000000" w:themeColor="text1"/>
                <w:sz w:val="24"/>
                <w:szCs w:val="24"/>
                <w:lang w:val="en-GB"/>
              </w:rPr>
              <w:t>et al.,</w:t>
            </w:r>
            <w:r w:rsidRPr="00710DFA">
              <w:rPr>
                <w:color w:val="000000" w:themeColor="text1"/>
                <w:sz w:val="24"/>
                <w:szCs w:val="24"/>
                <w:lang w:val="en-GB"/>
              </w:rPr>
              <w:t xml:space="preserve"> 2024).”</w:t>
            </w:r>
          </w:p>
        </w:tc>
      </w:tr>
      <w:tr w:rsidR="00954658" w:rsidRPr="00710DFA" w14:paraId="30FABD59" w14:textId="77777777" w:rsidTr="001D609F">
        <w:trPr>
          <w:trHeight w:val="288"/>
        </w:trPr>
        <w:tc>
          <w:tcPr>
            <w:tcW w:w="2120" w:type="dxa"/>
            <w:vMerge/>
          </w:tcPr>
          <w:p w14:paraId="55130CB9" w14:textId="77777777" w:rsidR="00954658" w:rsidRPr="00710DFA" w:rsidRDefault="00954658" w:rsidP="00B67670">
            <w:pPr>
              <w:spacing w:line="360" w:lineRule="auto"/>
              <w:rPr>
                <w:color w:val="000000" w:themeColor="text1"/>
                <w:sz w:val="24"/>
                <w:szCs w:val="24"/>
                <w:lang w:val="en-GB"/>
              </w:rPr>
            </w:pPr>
          </w:p>
        </w:tc>
        <w:tc>
          <w:tcPr>
            <w:tcW w:w="1844" w:type="dxa"/>
          </w:tcPr>
          <w:p w14:paraId="56DBF5DD" w14:textId="7EB8FFBC" w:rsidR="00954658" w:rsidRPr="00710DFA" w:rsidRDefault="00954658" w:rsidP="00B67670">
            <w:pPr>
              <w:spacing w:line="360" w:lineRule="auto"/>
              <w:rPr>
                <w:color w:val="000000" w:themeColor="text1"/>
                <w:sz w:val="24"/>
                <w:szCs w:val="24"/>
                <w:lang w:val="en-GB"/>
              </w:rPr>
            </w:pPr>
            <w:r w:rsidRPr="00710DFA">
              <w:rPr>
                <w:color w:val="000000" w:themeColor="text1"/>
                <w:sz w:val="24"/>
                <w:szCs w:val="24"/>
                <w:lang w:val="en-GB"/>
              </w:rPr>
              <w:t xml:space="preserve">Developing organisational capabilities </w:t>
            </w:r>
          </w:p>
        </w:tc>
        <w:tc>
          <w:tcPr>
            <w:tcW w:w="5386" w:type="dxa"/>
          </w:tcPr>
          <w:p w14:paraId="4F740543" w14:textId="1A37CAC8" w:rsidR="00954658" w:rsidRPr="00710DFA" w:rsidRDefault="00954658" w:rsidP="00B67670">
            <w:pPr>
              <w:spacing w:line="360" w:lineRule="auto"/>
              <w:jc w:val="both"/>
              <w:rPr>
                <w:color w:val="000000" w:themeColor="text1"/>
                <w:sz w:val="24"/>
                <w:szCs w:val="24"/>
                <w:lang w:val="en-GB"/>
              </w:rPr>
            </w:pPr>
            <w:r w:rsidRPr="00710DFA">
              <w:rPr>
                <w:color w:val="000000" w:themeColor="text1"/>
                <w:sz w:val="24"/>
                <w:szCs w:val="24"/>
                <w:lang w:val="en-GB"/>
              </w:rPr>
              <w:t xml:space="preserve">New organisational capabilities are developed as a result of crisis events like COVID-19 (Kähkönen </w:t>
            </w:r>
            <w:r w:rsidRPr="00710DFA">
              <w:rPr>
                <w:i/>
                <w:iCs/>
                <w:color w:val="000000" w:themeColor="text1"/>
                <w:sz w:val="24"/>
                <w:szCs w:val="24"/>
                <w:lang w:val="en-GB"/>
              </w:rPr>
              <w:t>et al.,</w:t>
            </w:r>
            <w:r w:rsidRPr="00710DFA">
              <w:rPr>
                <w:color w:val="000000" w:themeColor="text1"/>
                <w:sz w:val="24"/>
                <w:szCs w:val="24"/>
                <w:lang w:val="en-GB"/>
              </w:rPr>
              <w:t xml:space="preserve"> 2023).</w:t>
            </w:r>
          </w:p>
        </w:tc>
      </w:tr>
      <w:tr w:rsidR="00954658" w:rsidRPr="00710DFA" w14:paraId="00B124C1" w14:textId="77777777" w:rsidTr="001D609F">
        <w:trPr>
          <w:trHeight w:val="288"/>
        </w:trPr>
        <w:tc>
          <w:tcPr>
            <w:tcW w:w="2120" w:type="dxa"/>
            <w:vMerge/>
          </w:tcPr>
          <w:p w14:paraId="0ACC35F4" w14:textId="77777777" w:rsidR="00954658" w:rsidRPr="00710DFA" w:rsidRDefault="00954658" w:rsidP="00B67670">
            <w:pPr>
              <w:spacing w:line="360" w:lineRule="auto"/>
              <w:rPr>
                <w:color w:val="000000" w:themeColor="text1"/>
                <w:sz w:val="24"/>
                <w:szCs w:val="24"/>
                <w:lang w:val="en-GB"/>
              </w:rPr>
            </w:pPr>
          </w:p>
        </w:tc>
        <w:tc>
          <w:tcPr>
            <w:tcW w:w="1844" w:type="dxa"/>
          </w:tcPr>
          <w:p w14:paraId="573E9766" w14:textId="59C0A0A7" w:rsidR="00954658" w:rsidRPr="00710DFA" w:rsidRDefault="00954658" w:rsidP="00B67670">
            <w:pPr>
              <w:spacing w:line="360" w:lineRule="auto"/>
              <w:rPr>
                <w:color w:val="000000" w:themeColor="text1"/>
                <w:sz w:val="24"/>
                <w:szCs w:val="24"/>
                <w:lang w:val="en-GB"/>
              </w:rPr>
            </w:pPr>
            <w:r w:rsidRPr="00710DFA">
              <w:rPr>
                <w:color w:val="000000" w:themeColor="text1"/>
                <w:sz w:val="24"/>
                <w:szCs w:val="24"/>
                <w:lang w:val="en-GB"/>
              </w:rPr>
              <w:t xml:space="preserve">Developing flexibility as strategic response </w:t>
            </w:r>
          </w:p>
        </w:tc>
        <w:tc>
          <w:tcPr>
            <w:tcW w:w="5386" w:type="dxa"/>
          </w:tcPr>
          <w:p w14:paraId="17430204" w14:textId="6D9743D2" w:rsidR="00954658" w:rsidRPr="00710DFA" w:rsidRDefault="00954658" w:rsidP="00B67670">
            <w:pPr>
              <w:spacing w:line="360" w:lineRule="auto"/>
              <w:jc w:val="both"/>
              <w:rPr>
                <w:color w:val="000000" w:themeColor="text1"/>
                <w:sz w:val="24"/>
                <w:szCs w:val="24"/>
                <w:lang w:val="en-GB"/>
              </w:rPr>
            </w:pPr>
            <w:r w:rsidRPr="00710DFA">
              <w:rPr>
                <w:color w:val="000000" w:themeColor="text1"/>
                <w:sz w:val="24"/>
                <w:szCs w:val="24"/>
                <w:lang w:val="en-GB"/>
              </w:rPr>
              <w:t>Redundancy and flexibility are examples of adaptive strategies that can greatly enhance the resilience of supply chains (</w:t>
            </w:r>
            <w:proofErr w:type="spellStart"/>
            <w:r w:rsidRPr="00710DFA">
              <w:rPr>
                <w:color w:val="000000" w:themeColor="text1"/>
                <w:sz w:val="24"/>
                <w:szCs w:val="24"/>
                <w:lang w:val="en-GB"/>
              </w:rPr>
              <w:t>Nibbrig</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2025).</w:t>
            </w:r>
          </w:p>
        </w:tc>
      </w:tr>
      <w:tr w:rsidR="00954658" w:rsidRPr="00710DFA" w14:paraId="70844BEF" w14:textId="77777777" w:rsidTr="001D609F">
        <w:trPr>
          <w:trHeight w:val="288"/>
        </w:trPr>
        <w:tc>
          <w:tcPr>
            <w:tcW w:w="2120" w:type="dxa"/>
            <w:vMerge/>
          </w:tcPr>
          <w:p w14:paraId="54458A36" w14:textId="77777777" w:rsidR="00954658" w:rsidRPr="00710DFA" w:rsidRDefault="00954658" w:rsidP="00B67670">
            <w:pPr>
              <w:spacing w:line="360" w:lineRule="auto"/>
              <w:rPr>
                <w:color w:val="000000" w:themeColor="text1"/>
                <w:sz w:val="24"/>
                <w:szCs w:val="24"/>
                <w:lang w:val="en-GB"/>
              </w:rPr>
            </w:pPr>
          </w:p>
        </w:tc>
        <w:tc>
          <w:tcPr>
            <w:tcW w:w="1844" w:type="dxa"/>
          </w:tcPr>
          <w:p w14:paraId="0AD429F0" w14:textId="228804B9" w:rsidR="00954658" w:rsidRPr="00710DFA" w:rsidRDefault="00954658" w:rsidP="00B67670">
            <w:pPr>
              <w:spacing w:line="360" w:lineRule="auto"/>
              <w:rPr>
                <w:color w:val="000000" w:themeColor="text1"/>
                <w:sz w:val="24"/>
                <w:szCs w:val="24"/>
                <w:lang w:val="en-GB"/>
              </w:rPr>
            </w:pPr>
            <w:r w:rsidRPr="00710DFA">
              <w:rPr>
                <w:color w:val="000000" w:themeColor="text1"/>
                <w:sz w:val="24"/>
                <w:szCs w:val="24"/>
                <w:lang w:val="en-GB"/>
              </w:rPr>
              <w:t>Offering systematic mathematical procedure</w:t>
            </w:r>
          </w:p>
        </w:tc>
        <w:tc>
          <w:tcPr>
            <w:tcW w:w="5386" w:type="dxa"/>
          </w:tcPr>
          <w:p w14:paraId="08599A62" w14:textId="5CDD4C45" w:rsidR="00954658" w:rsidRPr="00710DFA" w:rsidRDefault="00954658" w:rsidP="00B67670">
            <w:pPr>
              <w:spacing w:line="360" w:lineRule="auto"/>
              <w:jc w:val="both"/>
              <w:rPr>
                <w:color w:val="000000" w:themeColor="text1"/>
                <w:sz w:val="24"/>
                <w:szCs w:val="24"/>
                <w:lang w:val="en-GB"/>
              </w:rPr>
            </w:pPr>
            <w:r w:rsidRPr="00710DFA">
              <w:rPr>
                <w:color w:val="000000" w:themeColor="text1"/>
                <w:sz w:val="24"/>
                <w:szCs w:val="24"/>
                <w:lang w:val="en-GB"/>
              </w:rPr>
              <w:t xml:space="preserve">Mathematical models offer systematic ways of dealing with pandemic-related disturbances (Paul </w:t>
            </w:r>
            <w:r w:rsidRPr="00710DFA">
              <w:rPr>
                <w:i/>
                <w:iCs/>
                <w:color w:val="000000" w:themeColor="text1"/>
                <w:sz w:val="24"/>
                <w:szCs w:val="24"/>
                <w:lang w:val="en-GB"/>
              </w:rPr>
              <w:t>et al</w:t>
            </w:r>
            <w:r w:rsidRPr="00710DFA">
              <w:rPr>
                <w:color w:val="000000" w:themeColor="text1"/>
                <w:sz w:val="24"/>
                <w:szCs w:val="24"/>
                <w:lang w:val="en-GB"/>
              </w:rPr>
              <w:t>., 2022).</w:t>
            </w:r>
          </w:p>
        </w:tc>
      </w:tr>
      <w:tr w:rsidR="004C3C53" w:rsidRPr="00710DFA" w14:paraId="0C504254" w14:textId="77777777" w:rsidTr="001D609F">
        <w:trPr>
          <w:trHeight w:val="333"/>
        </w:trPr>
        <w:tc>
          <w:tcPr>
            <w:tcW w:w="2120" w:type="dxa"/>
            <w:vMerge w:val="restart"/>
          </w:tcPr>
          <w:p w14:paraId="78F0B8BA" w14:textId="53A48E6E"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Reconfiguration of supply chain resilience as an outcome of adaptive organisational action</w:t>
            </w:r>
          </w:p>
        </w:tc>
        <w:tc>
          <w:tcPr>
            <w:tcW w:w="1844" w:type="dxa"/>
          </w:tcPr>
          <w:p w14:paraId="45EBAEC8" w14:textId="1ED04591"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Significance of adaptability</w:t>
            </w:r>
          </w:p>
        </w:tc>
        <w:tc>
          <w:tcPr>
            <w:tcW w:w="5386" w:type="dxa"/>
          </w:tcPr>
          <w:p w14:paraId="7D9D0831" w14:textId="176DA09A"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Adaptiveness turned up as the most crucial resilience dimensions (</w:t>
            </w:r>
            <w:proofErr w:type="spellStart"/>
            <w:r w:rsidRPr="00710DFA">
              <w:rPr>
                <w:color w:val="000000" w:themeColor="text1"/>
                <w:sz w:val="24"/>
                <w:szCs w:val="24"/>
                <w:lang w:val="en-GB"/>
              </w:rPr>
              <w:t>Barmour</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2024).”</w:t>
            </w:r>
          </w:p>
        </w:tc>
      </w:tr>
      <w:tr w:rsidR="004C3C53" w:rsidRPr="00710DFA" w14:paraId="3DAC28D0" w14:textId="77777777" w:rsidTr="001D609F">
        <w:trPr>
          <w:trHeight w:val="334"/>
        </w:trPr>
        <w:tc>
          <w:tcPr>
            <w:tcW w:w="2120" w:type="dxa"/>
            <w:vMerge/>
          </w:tcPr>
          <w:p w14:paraId="0277A98C" w14:textId="77777777" w:rsidR="004C3C53" w:rsidRPr="00710DFA" w:rsidRDefault="004C3C53" w:rsidP="00B67670">
            <w:pPr>
              <w:spacing w:line="360" w:lineRule="auto"/>
              <w:rPr>
                <w:color w:val="000000" w:themeColor="text1"/>
                <w:sz w:val="24"/>
                <w:szCs w:val="24"/>
                <w:lang w:val="en-GB"/>
              </w:rPr>
            </w:pPr>
          </w:p>
        </w:tc>
        <w:tc>
          <w:tcPr>
            <w:tcW w:w="1844" w:type="dxa"/>
          </w:tcPr>
          <w:p w14:paraId="43B01B47" w14:textId="00C75272"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Purpose of industry 4.0 machineries</w:t>
            </w:r>
          </w:p>
        </w:tc>
        <w:tc>
          <w:tcPr>
            <w:tcW w:w="5386" w:type="dxa"/>
          </w:tcPr>
          <w:p w14:paraId="56134E35" w14:textId="6AEFDCCC"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Technologies including IoT and analytics enabled anticipating and adaptive supply chains (Huan </w:t>
            </w:r>
            <w:r w:rsidRPr="00710DFA">
              <w:rPr>
                <w:i/>
                <w:iCs/>
                <w:color w:val="000000" w:themeColor="text1"/>
                <w:sz w:val="24"/>
                <w:szCs w:val="24"/>
                <w:lang w:val="en-GB"/>
              </w:rPr>
              <w:t>et al.,</w:t>
            </w:r>
            <w:r w:rsidRPr="00710DFA">
              <w:rPr>
                <w:color w:val="000000" w:themeColor="text1"/>
                <w:sz w:val="24"/>
                <w:szCs w:val="24"/>
                <w:lang w:val="en-GB"/>
              </w:rPr>
              <w:t xml:space="preserve"> 2023).”</w:t>
            </w:r>
          </w:p>
        </w:tc>
      </w:tr>
      <w:tr w:rsidR="004C3C53" w:rsidRPr="00710DFA" w14:paraId="7BF4AE24" w14:textId="77777777" w:rsidTr="001D609F">
        <w:trPr>
          <w:trHeight w:val="334"/>
        </w:trPr>
        <w:tc>
          <w:tcPr>
            <w:tcW w:w="2120" w:type="dxa"/>
            <w:vMerge/>
          </w:tcPr>
          <w:p w14:paraId="7BFC2F64" w14:textId="77777777" w:rsidR="004C3C53" w:rsidRPr="00710DFA" w:rsidRDefault="004C3C53" w:rsidP="00B67670">
            <w:pPr>
              <w:spacing w:line="360" w:lineRule="auto"/>
              <w:rPr>
                <w:color w:val="000000" w:themeColor="text1"/>
                <w:sz w:val="24"/>
                <w:szCs w:val="24"/>
                <w:lang w:val="en-GB"/>
              </w:rPr>
            </w:pPr>
          </w:p>
        </w:tc>
        <w:tc>
          <w:tcPr>
            <w:tcW w:w="1844" w:type="dxa"/>
          </w:tcPr>
          <w:p w14:paraId="14B2FF59" w14:textId="0EEF3E02"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Reconfiguration of supply chain model</w:t>
            </w:r>
          </w:p>
        </w:tc>
        <w:tc>
          <w:tcPr>
            <w:tcW w:w="5386" w:type="dxa"/>
          </w:tcPr>
          <w:p w14:paraId="31FAC217" w14:textId="6B11C909"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Reconfigurable supply chains enable companies to swiftly change structures as a response to environmental uncertainty (Zidi </w:t>
            </w:r>
            <w:r w:rsidRPr="00710DFA">
              <w:rPr>
                <w:i/>
                <w:iCs/>
                <w:color w:val="000000" w:themeColor="text1"/>
                <w:sz w:val="24"/>
                <w:szCs w:val="24"/>
                <w:lang w:val="en-GB"/>
              </w:rPr>
              <w:t>et al.,</w:t>
            </w:r>
            <w:r w:rsidRPr="00710DFA">
              <w:rPr>
                <w:color w:val="000000" w:themeColor="text1"/>
                <w:sz w:val="24"/>
                <w:szCs w:val="24"/>
                <w:lang w:val="en-GB"/>
              </w:rPr>
              <w:t xml:space="preserve"> 2023).</w:t>
            </w:r>
          </w:p>
        </w:tc>
      </w:tr>
      <w:tr w:rsidR="004C3C53" w:rsidRPr="00710DFA" w14:paraId="5E1E9CC5" w14:textId="77777777" w:rsidTr="001D609F">
        <w:trPr>
          <w:trHeight w:val="444"/>
        </w:trPr>
        <w:tc>
          <w:tcPr>
            <w:tcW w:w="2120" w:type="dxa"/>
            <w:vMerge/>
          </w:tcPr>
          <w:p w14:paraId="11680EA4" w14:textId="77777777" w:rsidR="004C3C53" w:rsidRPr="00710DFA" w:rsidRDefault="004C3C53" w:rsidP="00B67670">
            <w:pPr>
              <w:spacing w:line="360" w:lineRule="auto"/>
              <w:rPr>
                <w:color w:val="000000" w:themeColor="text1"/>
                <w:sz w:val="24"/>
                <w:szCs w:val="24"/>
                <w:lang w:val="en-GB"/>
              </w:rPr>
            </w:pPr>
          </w:p>
        </w:tc>
        <w:tc>
          <w:tcPr>
            <w:tcW w:w="1844" w:type="dxa"/>
          </w:tcPr>
          <w:p w14:paraId="60065902" w14:textId="3F22B963"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Integration of electronic resilience</w:t>
            </w:r>
          </w:p>
        </w:tc>
        <w:tc>
          <w:tcPr>
            <w:tcW w:w="5386" w:type="dxa"/>
          </w:tcPr>
          <w:p w14:paraId="6E917ABD" w14:textId="1530C637"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Digital mature companies demonstrated condescending resilience outcomes (Remko, 2020).”</w:t>
            </w:r>
          </w:p>
        </w:tc>
      </w:tr>
      <w:tr w:rsidR="004C3C53" w:rsidRPr="00710DFA" w14:paraId="0B8B22DE" w14:textId="77777777" w:rsidTr="001D609F">
        <w:trPr>
          <w:trHeight w:val="444"/>
        </w:trPr>
        <w:tc>
          <w:tcPr>
            <w:tcW w:w="2120" w:type="dxa"/>
            <w:vMerge/>
          </w:tcPr>
          <w:p w14:paraId="525C2826" w14:textId="77777777" w:rsidR="004C3C53" w:rsidRPr="00710DFA" w:rsidRDefault="004C3C53" w:rsidP="00B67670">
            <w:pPr>
              <w:spacing w:line="360" w:lineRule="auto"/>
              <w:rPr>
                <w:color w:val="000000" w:themeColor="text1"/>
                <w:sz w:val="24"/>
                <w:szCs w:val="24"/>
                <w:lang w:val="en-GB"/>
              </w:rPr>
            </w:pPr>
          </w:p>
        </w:tc>
        <w:tc>
          <w:tcPr>
            <w:tcW w:w="1844" w:type="dxa"/>
          </w:tcPr>
          <w:p w14:paraId="347D1358" w14:textId="6A150286"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 xml:space="preserve">Organisational strategic transformation </w:t>
            </w:r>
          </w:p>
        </w:tc>
        <w:tc>
          <w:tcPr>
            <w:tcW w:w="5386" w:type="dxa"/>
          </w:tcPr>
          <w:p w14:paraId="3D5BF322" w14:textId="14741C9F"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The importance of transformation and service reconfiguration in the building of long-term resilience is clear (Nair </w:t>
            </w:r>
            <w:r w:rsidRPr="00710DFA">
              <w:rPr>
                <w:i/>
                <w:iCs/>
                <w:color w:val="000000" w:themeColor="text1"/>
                <w:sz w:val="24"/>
                <w:szCs w:val="24"/>
                <w:lang w:val="en-GB"/>
              </w:rPr>
              <w:t>et al.,</w:t>
            </w:r>
            <w:r w:rsidRPr="00710DFA">
              <w:rPr>
                <w:color w:val="000000" w:themeColor="text1"/>
                <w:sz w:val="24"/>
                <w:szCs w:val="24"/>
                <w:lang w:val="en-GB"/>
              </w:rPr>
              <w:t xml:space="preserve"> 2024).</w:t>
            </w:r>
          </w:p>
        </w:tc>
      </w:tr>
      <w:tr w:rsidR="004C3C53" w:rsidRPr="00710DFA" w14:paraId="63EDB688" w14:textId="77777777" w:rsidTr="00022638">
        <w:trPr>
          <w:trHeight w:val="1092"/>
        </w:trPr>
        <w:tc>
          <w:tcPr>
            <w:tcW w:w="2120" w:type="dxa"/>
            <w:vMerge/>
          </w:tcPr>
          <w:p w14:paraId="4664097B" w14:textId="77777777" w:rsidR="004C3C53" w:rsidRPr="00710DFA" w:rsidRDefault="004C3C53" w:rsidP="00B67670">
            <w:pPr>
              <w:spacing w:line="360" w:lineRule="auto"/>
              <w:rPr>
                <w:color w:val="000000" w:themeColor="text1"/>
                <w:sz w:val="24"/>
                <w:szCs w:val="24"/>
                <w:lang w:val="en-GB"/>
              </w:rPr>
            </w:pPr>
          </w:p>
        </w:tc>
        <w:tc>
          <w:tcPr>
            <w:tcW w:w="1844" w:type="dxa"/>
          </w:tcPr>
          <w:p w14:paraId="06CC8D44" w14:textId="6A34E916"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Disclosure of new digital risks</w:t>
            </w:r>
          </w:p>
        </w:tc>
        <w:tc>
          <w:tcPr>
            <w:tcW w:w="5386" w:type="dxa"/>
          </w:tcPr>
          <w:p w14:paraId="70540FC4" w14:textId="2BAAEAC9"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Increased dependency on digital structures created new cyber vulnerabilities (Queiroz </w:t>
            </w:r>
            <w:r w:rsidRPr="00710DFA">
              <w:rPr>
                <w:i/>
                <w:iCs/>
                <w:color w:val="000000" w:themeColor="text1"/>
                <w:sz w:val="24"/>
                <w:szCs w:val="24"/>
                <w:lang w:val="en-GB"/>
              </w:rPr>
              <w:t>et al.,</w:t>
            </w:r>
            <w:r w:rsidRPr="00710DFA">
              <w:rPr>
                <w:color w:val="000000" w:themeColor="text1"/>
                <w:sz w:val="24"/>
                <w:szCs w:val="24"/>
                <w:lang w:val="en-GB"/>
              </w:rPr>
              <w:t xml:space="preserve"> 2022).”</w:t>
            </w:r>
          </w:p>
        </w:tc>
      </w:tr>
      <w:tr w:rsidR="004C3C53" w:rsidRPr="00710DFA" w14:paraId="4B8507DB" w14:textId="77777777" w:rsidTr="00022638">
        <w:trPr>
          <w:trHeight w:val="1092"/>
        </w:trPr>
        <w:tc>
          <w:tcPr>
            <w:tcW w:w="2120" w:type="dxa"/>
            <w:vMerge/>
          </w:tcPr>
          <w:p w14:paraId="78910298" w14:textId="77777777" w:rsidR="004C3C53" w:rsidRPr="00710DFA" w:rsidRDefault="004C3C53" w:rsidP="00B67670">
            <w:pPr>
              <w:spacing w:line="360" w:lineRule="auto"/>
              <w:rPr>
                <w:color w:val="000000" w:themeColor="text1"/>
                <w:sz w:val="24"/>
                <w:szCs w:val="24"/>
                <w:lang w:val="en-GB"/>
              </w:rPr>
            </w:pPr>
          </w:p>
        </w:tc>
        <w:tc>
          <w:tcPr>
            <w:tcW w:w="1844" w:type="dxa"/>
          </w:tcPr>
          <w:p w14:paraId="6E1D6AA4" w14:textId="796E3D82"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 xml:space="preserve">Digital transformation for strategic resilient </w:t>
            </w:r>
          </w:p>
        </w:tc>
        <w:tc>
          <w:tcPr>
            <w:tcW w:w="5386" w:type="dxa"/>
          </w:tcPr>
          <w:p w14:paraId="7991054B" w14:textId="4DD5F643"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Digital transformation allows making decisions in a real-time fashion, and enhances resilience outcomes (Long </w:t>
            </w:r>
            <w:r w:rsidRPr="00710DFA">
              <w:rPr>
                <w:i/>
                <w:iCs/>
                <w:color w:val="000000" w:themeColor="text1"/>
                <w:sz w:val="24"/>
                <w:szCs w:val="24"/>
                <w:lang w:val="en-GB"/>
              </w:rPr>
              <w:t>et al.,</w:t>
            </w:r>
            <w:r w:rsidRPr="00710DFA">
              <w:rPr>
                <w:color w:val="000000" w:themeColor="text1"/>
                <w:sz w:val="24"/>
                <w:szCs w:val="24"/>
                <w:lang w:val="en-GB"/>
              </w:rPr>
              <w:t xml:space="preserve"> 2025).</w:t>
            </w:r>
          </w:p>
        </w:tc>
      </w:tr>
      <w:tr w:rsidR="004C3C53" w:rsidRPr="00710DFA" w14:paraId="77320EBF" w14:textId="77777777" w:rsidTr="00022638">
        <w:trPr>
          <w:trHeight w:val="1092"/>
        </w:trPr>
        <w:tc>
          <w:tcPr>
            <w:tcW w:w="2120" w:type="dxa"/>
            <w:vMerge/>
          </w:tcPr>
          <w:p w14:paraId="7B969B7A" w14:textId="77777777" w:rsidR="004C3C53" w:rsidRPr="00710DFA" w:rsidRDefault="004C3C53" w:rsidP="00B67670">
            <w:pPr>
              <w:spacing w:line="360" w:lineRule="auto"/>
              <w:rPr>
                <w:color w:val="000000" w:themeColor="text1"/>
                <w:sz w:val="24"/>
                <w:szCs w:val="24"/>
                <w:lang w:val="en-GB"/>
              </w:rPr>
            </w:pPr>
          </w:p>
        </w:tc>
        <w:tc>
          <w:tcPr>
            <w:tcW w:w="1844" w:type="dxa"/>
          </w:tcPr>
          <w:p w14:paraId="5BD798F2" w14:textId="1293384A"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 xml:space="preserve">Using predictive analytics as a tool to forecast </w:t>
            </w:r>
          </w:p>
        </w:tc>
        <w:tc>
          <w:tcPr>
            <w:tcW w:w="5386" w:type="dxa"/>
          </w:tcPr>
          <w:p w14:paraId="79135F0B" w14:textId="5757939A"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AI-driven tools will improve the predictive ability and will aid in decision making in the event of disruption (Salehi </w:t>
            </w:r>
            <w:r w:rsidRPr="00710DFA">
              <w:rPr>
                <w:i/>
                <w:iCs/>
                <w:color w:val="000000" w:themeColor="text1"/>
                <w:sz w:val="24"/>
                <w:szCs w:val="24"/>
                <w:lang w:val="en-GB"/>
              </w:rPr>
              <w:t>et al.,</w:t>
            </w:r>
            <w:r w:rsidRPr="00710DFA">
              <w:rPr>
                <w:color w:val="000000" w:themeColor="text1"/>
                <w:sz w:val="24"/>
                <w:szCs w:val="24"/>
                <w:lang w:val="en-GB"/>
              </w:rPr>
              <w:t xml:space="preserve"> 2026).</w:t>
            </w:r>
          </w:p>
        </w:tc>
      </w:tr>
      <w:tr w:rsidR="004C3C53" w:rsidRPr="00710DFA" w14:paraId="2E0B5E36" w14:textId="77777777" w:rsidTr="00022638">
        <w:trPr>
          <w:trHeight w:val="1092"/>
        </w:trPr>
        <w:tc>
          <w:tcPr>
            <w:tcW w:w="2120" w:type="dxa"/>
            <w:vMerge/>
          </w:tcPr>
          <w:p w14:paraId="067270B6" w14:textId="77777777" w:rsidR="004C3C53" w:rsidRPr="00710DFA" w:rsidRDefault="004C3C53" w:rsidP="00B67670">
            <w:pPr>
              <w:spacing w:line="360" w:lineRule="auto"/>
              <w:rPr>
                <w:color w:val="000000" w:themeColor="text1"/>
                <w:sz w:val="24"/>
                <w:szCs w:val="24"/>
                <w:lang w:val="en-GB"/>
              </w:rPr>
            </w:pPr>
          </w:p>
        </w:tc>
        <w:tc>
          <w:tcPr>
            <w:tcW w:w="1844" w:type="dxa"/>
          </w:tcPr>
          <w:p w14:paraId="6F5A9CA1" w14:textId="012161CC"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 xml:space="preserve">Suing Big data analytics for reconfiguration </w:t>
            </w:r>
          </w:p>
        </w:tc>
        <w:tc>
          <w:tcPr>
            <w:tcW w:w="5386" w:type="dxa"/>
          </w:tcPr>
          <w:p w14:paraId="0237B445" w14:textId="4F696A28"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Big data analytics enhances visibility and responsiveness of supply chains (Bag </w:t>
            </w:r>
            <w:r w:rsidRPr="00710DFA">
              <w:rPr>
                <w:i/>
                <w:iCs/>
                <w:color w:val="000000" w:themeColor="text1"/>
                <w:sz w:val="24"/>
                <w:szCs w:val="24"/>
                <w:lang w:val="en-GB"/>
              </w:rPr>
              <w:t>et al.,</w:t>
            </w:r>
            <w:r w:rsidRPr="00710DFA">
              <w:rPr>
                <w:color w:val="000000" w:themeColor="text1"/>
                <w:sz w:val="24"/>
                <w:szCs w:val="24"/>
                <w:lang w:val="en-GB"/>
              </w:rPr>
              <w:t xml:space="preserve"> 2021).</w:t>
            </w:r>
          </w:p>
        </w:tc>
      </w:tr>
      <w:tr w:rsidR="004C3C53" w:rsidRPr="00710DFA" w14:paraId="0F905A7A" w14:textId="77777777" w:rsidTr="00022638">
        <w:trPr>
          <w:trHeight w:val="1092"/>
        </w:trPr>
        <w:tc>
          <w:tcPr>
            <w:tcW w:w="2120" w:type="dxa"/>
            <w:vMerge/>
          </w:tcPr>
          <w:p w14:paraId="6869EF56" w14:textId="77777777" w:rsidR="004C3C53" w:rsidRPr="00710DFA" w:rsidRDefault="004C3C53" w:rsidP="00B67670">
            <w:pPr>
              <w:spacing w:line="360" w:lineRule="auto"/>
              <w:rPr>
                <w:color w:val="000000" w:themeColor="text1"/>
                <w:sz w:val="24"/>
                <w:szCs w:val="24"/>
                <w:lang w:val="en-GB"/>
              </w:rPr>
            </w:pPr>
          </w:p>
        </w:tc>
        <w:tc>
          <w:tcPr>
            <w:tcW w:w="1844" w:type="dxa"/>
          </w:tcPr>
          <w:p w14:paraId="430FB0E6" w14:textId="16AF0839"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 xml:space="preserve">Resource reconfiguration </w:t>
            </w:r>
          </w:p>
        </w:tc>
        <w:tc>
          <w:tcPr>
            <w:tcW w:w="5386" w:type="dxa"/>
          </w:tcPr>
          <w:p w14:paraId="4C024EA8" w14:textId="2F406AAB"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Resource reconfiguration and risk management and resilience (Chen</w:t>
            </w:r>
            <w:r w:rsidRPr="00710DFA">
              <w:rPr>
                <w:i/>
                <w:iCs/>
                <w:color w:val="000000" w:themeColor="text1"/>
                <w:sz w:val="24"/>
                <w:szCs w:val="24"/>
                <w:lang w:val="en-GB"/>
              </w:rPr>
              <w:t xml:space="preserve"> et al. </w:t>
            </w:r>
            <w:r w:rsidRPr="00710DFA">
              <w:rPr>
                <w:color w:val="000000" w:themeColor="text1"/>
                <w:sz w:val="24"/>
                <w:szCs w:val="24"/>
                <w:lang w:val="en-GB"/>
              </w:rPr>
              <w:t>2026).</w:t>
            </w:r>
          </w:p>
        </w:tc>
      </w:tr>
      <w:tr w:rsidR="004C3C53" w:rsidRPr="00710DFA" w14:paraId="6F433EC4" w14:textId="77777777" w:rsidTr="001D609F">
        <w:trPr>
          <w:trHeight w:val="432"/>
        </w:trPr>
        <w:tc>
          <w:tcPr>
            <w:tcW w:w="2120" w:type="dxa"/>
            <w:vMerge/>
          </w:tcPr>
          <w:p w14:paraId="08D14CAF" w14:textId="77777777" w:rsidR="004C3C53" w:rsidRPr="00710DFA" w:rsidRDefault="004C3C53" w:rsidP="00B67670">
            <w:pPr>
              <w:spacing w:line="360" w:lineRule="auto"/>
              <w:rPr>
                <w:color w:val="000000" w:themeColor="text1"/>
                <w:sz w:val="24"/>
                <w:szCs w:val="24"/>
                <w:lang w:val="en-GB"/>
              </w:rPr>
            </w:pPr>
          </w:p>
        </w:tc>
        <w:tc>
          <w:tcPr>
            <w:tcW w:w="1844" w:type="dxa"/>
          </w:tcPr>
          <w:p w14:paraId="60778527" w14:textId="38D4399E"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Social and administrative resilience</w:t>
            </w:r>
          </w:p>
        </w:tc>
        <w:tc>
          <w:tcPr>
            <w:tcW w:w="5386" w:type="dxa"/>
          </w:tcPr>
          <w:p w14:paraId="643C101E" w14:textId="5878ED74"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Expenditure in employees and supplier prosperity strengthened flexibility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2022).”</w:t>
            </w:r>
          </w:p>
        </w:tc>
      </w:tr>
      <w:tr w:rsidR="004C3C53" w:rsidRPr="00710DFA" w14:paraId="2F3B15C9" w14:textId="77777777" w:rsidTr="001D609F">
        <w:trPr>
          <w:trHeight w:val="432"/>
        </w:trPr>
        <w:tc>
          <w:tcPr>
            <w:tcW w:w="2120" w:type="dxa"/>
            <w:vMerge/>
          </w:tcPr>
          <w:p w14:paraId="61321366" w14:textId="77777777" w:rsidR="004C3C53" w:rsidRPr="00710DFA" w:rsidRDefault="004C3C53" w:rsidP="00B67670">
            <w:pPr>
              <w:spacing w:line="360" w:lineRule="auto"/>
              <w:rPr>
                <w:color w:val="000000" w:themeColor="text1"/>
                <w:sz w:val="24"/>
                <w:szCs w:val="24"/>
                <w:lang w:val="en-GB"/>
              </w:rPr>
            </w:pPr>
          </w:p>
        </w:tc>
        <w:tc>
          <w:tcPr>
            <w:tcW w:w="1844" w:type="dxa"/>
          </w:tcPr>
          <w:p w14:paraId="591F25EA" w14:textId="79E40E25" w:rsidR="004C3C53" w:rsidRPr="00710DFA" w:rsidRDefault="004C3C53" w:rsidP="00B67670">
            <w:pPr>
              <w:spacing w:line="360" w:lineRule="auto"/>
              <w:rPr>
                <w:color w:val="000000" w:themeColor="text1"/>
                <w:sz w:val="24"/>
                <w:szCs w:val="24"/>
                <w:lang w:val="en-GB"/>
              </w:rPr>
            </w:pPr>
            <w:r w:rsidRPr="00710DFA">
              <w:rPr>
                <w:color w:val="000000" w:themeColor="text1"/>
                <w:sz w:val="24"/>
                <w:szCs w:val="24"/>
                <w:lang w:val="en-GB"/>
              </w:rPr>
              <w:t xml:space="preserve">Organisational reconfiguration </w:t>
            </w:r>
          </w:p>
        </w:tc>
        <w:tc>
          <w:tcPr>
            <w:tcW w:w="5386" w:type="dxa"/>
          </w:tcPr>
          <w:p w14:paraId="1AFE777F" w14:textId="04290AB6" w:rsidR="004C3C53" w:rsidRPr="00710DFA" w:rsidRDefault="004C3C53" w:rsidP="00B67670">
            <w:pPr>
              <w:spacing w:line="360" w:lineRule="auto"/>
              <w:jc w:val="both"/>
              <w:rPr>
                <w:color w:val="000000" w:themeColor="text1"/>
                <w:sz w:val="24"/>
                <w:szCs w:val="24"/>
                <w:lang w:val="en-GB"/>
              </w:rPr>
            </w:pPr>
            <w:r w:rsidRPr="00710DFA">
              <w:rPr>
                <w:color w:val="000000" w:themeColor="text1"/>
                <w:sz w:val="24"/>
                <w:szCs w:val="24"/>
                <w:lang w:val="en-GB"/>
              </w:rPr>
              <w:t xml:space="preserve">Dynamic capabilities allow organisations to sense, seize and reconfigure resources to effectively deal with disruptions (Alzate </w:t>
            </w:r>
            <w:r w:rsidRPr="00710DFA">
              <w:rPr>
                <w:i/>
                <w:iCs/>
                <w:color w:val="000000" w:themeColor="text1"/>
                <w:sz w:val="24"/>
                <w:szCs w:val="24"/>
                <w:lang w:val="en-GB"/>
              </w:rPr>
              <w:t>et al.,</w:t>
            </w:r>
            <w:r w:rsidRPr="00710DFA">
              <w:rPr>
                <w:color w:val="000000" w:themeColor="text1"/>
                <w:sz w:val="24"/>
                <w:szCs w:val="24"/>
                <w:lang w:val="en-GB"/>
              </w:rPr>
              <w:t xml:space="preserve"> 2024).</w:t>
            </w:r>
          </w:p>
        </w:tc>
      </w:tr>
      <w:tr w:rsidR="00B67670" w:rsidRPr="00710DFA" w14:paraId="1B7C0F0C" w14:textId="77777777" w:rsidTr="00BB195B">
        <w:trPr>
          <w:trHeight w:val="612"/>
        </w:trPr>
        <w:tc>
          <w:tcPr>
            <w:tcW w:w="2120" w:type="dxa"/>
            <w:vMerge w:val="restart"/>
          </w:tcPr>
          <w:p w14:paraId="60DBDF17" w14:textId="189ED71B" w:rsidR="00B67670" w:rsidRPr="00710DFA" w:rsidRDefault="00B67670" w:rsidP="00B67670">
            <w:pPr>
              <w:spacing w:line="360" w:lineRule="auto"/>
              <w:rPr>
                <w:color w:val="000000" w:themeColor="text1"/>
                <w:sz w:val="24"/>
                <w:szCs w:val="24"/>
                <w:lang w:val="en-GB"/>
              </w:rPr>
            </w:pPr>
            <w:r w:rsidRPr="00710DFA">
              <w:rPr>
                <w:color w:val="000000" w:themeColor="text1"/>
                <w:sz w:val="24"/>
                <w:szCs w:val="24"/>
                <w:lang w:val="en-GB"/>
              </w:rPr>
              <w:t>Industry-Specific Vulnerability, Response and the Generalised Resilience Paradigm</w:t>
            </w:r>
          </w:p>
        </w:tc>
        <w:tc>
          <w:tcPr>
            <w:tcW w:w="1844" w:type="dxa"/>
          </w:tcPr>
          <w:p w14:paraId="6E0A5FC0" w14:textId="66E27D66" w:rsidR="00B67670" w:rsidRPr="00710DFA" w:rsidRDefault="00B67670" w:rsidP="00B67670">
            <w:pPr>
              <w:spacing w:line="360" w:lineRule="auto"/>
              <w:rPr>
                <w:color w:val="000000" w:themeColor="text1"/>
                <w:sz w:val="24"/>
                <w:szCs w:val="24"/>
                <w:lang w:val="en-GB"/>
              </w:rPr>
            </w:pPr>
            <w:r w:rsidRPr="00710DFA">
              <w:rPr>
                <w:color w:val="000000" w:themeColor="text1"/>
                <w:sz w:val="24"/>
                <w:szCs w:val="24"/>
                <w:lang w:val="en-GB"/>
              </w:rPr>
              <w:t>Supply chain performance deterioration within the industry</w:t>
            </w:r>
          </w:p>
        </w:tc>
        <w:tc>
          <w:tcPr>
            <w:tcW w:w="5386" w:type="dxa"/>
          </w:tcPr>
          <w:p w14:paraId="1F084642" w14:textId="66A55693" w:rsidR="00B67670" w:rsidRPr="00710DFA" w:rsidRDefault="00B67670" w:rsidP="00B67670">
            <w:pPr>
              <w:spacing w:line="360" w:lineRule="auto"/>
              <w:jc w:val="both"/>
              <w:rPr>
                <w:color w:val="000000" w:themeColor="text1"/>
                <w:sz w:val="24"/>
                <w:szCs w:val="24"/>
                <w:lang w:val="en-GB"/>
              </w:rPr>
            </w:pPr>
            <w:r w:rsidRPr="00710DFA">
              <w:rPr>
                <w:color w:val="000000" w:themeColor="text1"/>
                <w:sz w:val="24"/>
                <w:szCs w:val="24"/>
                <w:lang w:val="en-GB"/>
              </w:rPr>
              <w:t xml:space="preserve">"United Kingdom food supply chains were left precariously vulnerable during the Covid-19 pandemic by the triple threat of persistent labour shortages. The halt in seasonal migrant worker arrivals, and the simultaneous onset of panic-buying, all of which were unforeseen by generic supply chain risk models (Garnett </w:t>
            </w:r>
            <w:r w:rsidRPr="00710DFA">
              <w:rPr>
                <w:i/>
                <w:iCs/>
                <w:color w:val="000000" w:themeColor="text1"/>
                <w:sz w:val="24"/>
                <w:szCs w:val="24"/>
                <w:lang w:val="en-GB"/>
              </w:rPr>
              <w:t>et al.,</w:t>
            </w:r>
            <w:r w:rsidRPr="00710DFA">
              <w:rPr>
                <w:color w:val="000000" w:themeColor="text1"/>
                <w:sz w:val="24"/>
                <w:szCs w:val="24"/>
                <w:lang w:val="en-GB"/>
              </w:rPr>
              <w:t xml:space="preserve"> 2020)."</w:t>
            </w:r>
          </w:p>
        </w:tc>
      </w:tr>
      <w:tr w:rsidR="00B67670" w:rsidRPr="00710DFA" w14:paraId="3CD046A5" w14:textId="77777777" w:rsidTr="00BB195B">
        <w:trPr>
          <w:trHeight w:val="732"/>
        </w:trPr>
        <w:tc>
          <w:tcPr>
            <w:tcW w:w="2120" w:type="dxa"/>
            <w:vMerge/>
          </w:tcPr>
          <w:p w14:paraId="5A31D64A" w14:textId="77777777" w:rsidR="00B67670" w:rsidRPr="00710DFA" w:rsidRDefault="00B67670" w:rsidP="00B67670">
            <w:pPr>
              <w:spacing w:line="360" w:lineRule="auto"/>
              <w:rPr>
                <w:color w:val="000000" w:themeColor="text1"/>
                <w:sz w:val="24"/>
                <w:szCs w:val="24"/>
                <w:lang w:val="en-GB"/>
              </w:rPr>
            </w:pPr>
          </w:p>
        </w:tc>
        <w:tc>
          <w:tcPr>
            <w:tcW w:w="1844" w:type="dxa"/>
          </w:tcPr>
          <w:p w14:paraId="25E0F2A4" w14:textId="77777777" w:rsidR="00B67670" w:rsidRPr="00710DFA" w:rsidRDefault="00B67670" w:rsidP="00B67670">
            <w:pPr>
              <w:spacing w:line="360" w:lineRule="auto"/>
              <w:rPr>
                <w:color w:val="000000" w:themeColor="text1"/>
                <w:sz w:val="24"/>
                <w:szCs w:val="24"/>
                <w:lang w:val="en-GB"/>
              </w:rPr>
            </w:pPr>
          </w:p>
          <w:p w14:paraId="44F6B1CB" w14:textId="41C935C6" w:rsidR="00B67670" w:rsidRPr="00710DFA" w:rsidRDefault="00B67670" w:rsidP="00B67670">
            <w:pPr>
              <w:spacing w:line="360" w:lineRule="auto"/>
              <w:rPr>
                <w:color w:val="000000" w:themeColor="text1"/>
                <w:sz w:val="24"/>
                <w:szCs w:val="24"/>
                <w:lang w:val="en-GB"/>
              </w:rPr>
            </w:pPr>
            <w:r w:rsidRPr="00710DFA">
              <w:rPr>
                <w:color w:val="000000" w:themeColor="text1"/>
                <w:sz w:val="24"/>
                <w:szCs w:val="24"/>
                <w:lang w:val="en-GB"/>
              </w:rPr>
              <w:lastRenderedPageBreak/>
              <w:t>Resilience strategies of SMEs</w:t>
            </w:r>
          </w:p>
        </w:tc>
        <w:tc>
          <w:tcPr>
            <w:tcW w:w="5386" w:type="dxa"/>
          </w:tcPr>
          <w:p w14:paraId="470F9B94" w14:textId="2EA10633" w:rsidR="00B67670" w:rsidRPr="00710DFA" w:rsidRDefault="00B67670" w:rsidP="00B67670">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"Global risks linked to Covid-19 significantly diminished supply chain performance reveals that the inherent incompatibility of generic supply </w:t>
            </w:r>
            <w:r w:rsidRPr="00710DFA">
              <w:rPr>
                <w:color w:val="000000" w:themeColor="text1"/>
                <w:sz w:val="24"/>
                <w:szCs w:val="24"/>
                <w:lang w:val="en-GB"/>
              </w:rPr>
              <w:lastRenderedPageBreak/>
              <w:t xml:space="preserve">chain resilience models in project-based, contract-bound and geographically constrained industries (Pham </w:t>
            </w:r>
            <w:r w:rsidRPr="00710DFA">
              <w:rPr>
                <w:i/>
                <w:iCs/>
                <w:color w:val="000000" w:themeColor="text1"/>
                <w:sz w:val="24"/>
                <w:szCs w:val="24"/>
                <w:lang w:val="en-GB"/>
              </w:rPr>
              <w:t>et al.,</w:t>
            </w:r>
            <w:r w:rsidRPr="00710DFA">
              <w:rPr>
                <w:color w:val="000000" w:themeColor="text1"/>
                <w:sz w:val="24"/>
                <w:szCs w:val="24"/>
                <w:lang w:val="en-GB"/>
              </w:rPr>
              <w:t xml:space="preserve"> 2023)."</w:t>
            </w:r>
          </w:p>
        </w:tc>
      </w:tr>
      <w:tr w:rsidR="00394A7C" w:rsidRPr="00710DFA" w14:paraId="5EFB604C" w14:textId="77777777" w:rsidTr="00BB195B">
        <w:trPr>
          <w:trHeight w:val="732"/>
        </w:trPr>
        <w:tc>
          <w:tcPr>
            <w:tcW w:w="2120" w:type="dxa"/>
            <w:vMerge/>
          </w:tcPr>
          <w:p w14:paraId="3AB24266" w14:textId="77777777" w:rsidR="00394A7C" w:rsidRPr="00710DFA" w:rsidRDefault="00394A7C" w:rsidP="00B67670">
            <w:pPr>
              <w:spacing w:line="360" w:lineRule="auto"/>
              <w:rPr>
                <w:color w:val="000000" w:themeColor="text1"/>
                <w:sz w:val="24"/>
                <w:szCs w:val="24"/>
                <w:lang w:val="en-GB"/>
              </w:rPr>
            </w:pPr>
          </w:p>
        </w:tc>
        <w:tc>
          <w:tcPr>
            <w:tcW w:w="1844" w:type="dxa"/>
          </w:tcPr>
          <w:p w14:paraId="63AA1B18" w14:textId="4260EDF2" w:rsidR="00394A7C" w:rsidRPr="00710DFA" w:rsidRDefault="00394A7C" w:rsidP="00B67670">
            <w:pPr>
              <w:spacing w:line="360" w:lineRule="auto"/>
              <w:rPr>
                <w:color w:val="000000" w:themeColor="text1"/>
                <w:sz w:val="24"/>
                <w:szCs w:val="24"/>
                <w:lang w:val="en-GB"/>
              </w:rPr>
            </w:pPr>
            <w:r w:rsidRPr="00710DFA">
              <w:rPr>
                <w:color w:val="000000" w:themeColor="text1"/>
                <w:sz w:val="24"/>
                <w:szCs w:val="24"/>
                <w:lang w:val="en-GB"/>
              </w:rPr>
              <w:t xml:space="preserve">Competency enhancement of organisation </w:t>
            </w:r>
          </w:p>
        </w:tc>
        <w:tc>
          <w:tcPr>
            <w:tcW w:w="5386" w:type="dxa"/>
          </w:tcPr>
          <w:p w14:paraId="0FDE51F8" w14:textId="79BF841D" w:rsidR="00394A7C" w:rsidRPr="00710DFA" w:rsidRDefault="00394A7C" w:rsidP="00B67670">
            <w:pPr>
              <w:spacing w:line="360" w:lineRule="auto"/>
              <w:jc w:val="both"/>
              <w:rPr>
                <w:color w:val="000000" w:themeColor="text1"/>
                <w:sz w:val="24"/>
                <w:szCs w:val="24"/>
                <w:lang w:val="en-GB"/>
              </w:rPr>
            </w:pPr>
            <w:r w:rsidRPr="00710DFA">
              <w:rPr>
                <w:color w:val="000000" w:themeColor="text1"/>
                <w:sz w:val="24"/>
                <w:szCs w:val="24"/>
                <w:lang w:val="en-GB"/>
              </w:rPr>
              <w:t xml:space="preserve"> Islam </w:t>
            </w:r>
            <w:r w:rsidRPr="00710DFA">
              <w:rPr>
                <w:i/>
                <w:iCs/>
                <w:color w:val="000000" w:themeColor="text1"/>
                <w:sz w:val="24"/>
                <w:szCs w:val="24"/>
                <w:lang w:val="en-GB"/>
              </w:rPr>
              <w:t>et al.</w:t>
            </w:r>
            <w:r w:rsidRPr="00710DFA">
              <w:rPr>
                <w:color w:val="000000" w:themeColor="text1"/>
                <w:sz w:val="24"/>
                <w:szCs w:val="24"/>
                <w:lang w:val="en-GB"/>
              </w:rPr>
              <w:t xml:space="preserve"> (2023) suggested that competencies in supply chain play a significant role in enhancing resiliency in the garment industry.</w:t>
            </w:r>
          </w:p>
        </w:tc>
      </w:tr>
      <w:tr w:rsidR="00B67670" w:rsidRPr="00710DFA" w14:paraId="4CA5A25C" w14:textId="77777777" w:rsidTr="00BB195B">
        <w:trPr>
          <w:trHeight w:val="564"/>
        </w:trPr>
        <w:tc>
          <w:tcPr>
            <w:tcW w:w="2120" w:type="dxa"/>
            <w:vMerge/>
          </w:tcPr>
          <w:p w14:paraId="4020582C" w14:textId="77777777" w:rsidR="00B67670" w:rsidRPr="00710DFA" w:rsidRDefault="00B67670" w:rsidP="00B67670">
            <w:pPr>
              <w:spacing w:line="360" w:lineRule="auto"/>
              <w:rPr>
                <w:color w:val="000000" w:themeColor="text1"/>
                <w:sz w:val="24"/>
                <w:szCs w:val="24"/>
                <w:lang w:val="en-GB"/>
              </w:rPr>
            </w:pPr>
          </w:p>
        </w:tc>
        <w:tc>
          <w:tcPr>
            <w:tcW w:w="1844" w:type="dxa"/>
          </w:tcPr>
          <w:p w14:paraId="33E374EA" w14:textId="59FD0F08" w:rsidR="00B67670" w:rsidRPr="00710DFA" w:rsidRDefault="00B67670" w:rsidP="00B67670">
            <w:pPr>
              <w:spacing w:line="360" w:lineRule="auto"/>
              <w:rPr>
                <w:color w:val="000000" w:themeColor="text1"/>
                <w:sz w:val="24"/>
                <w:szCs w:val="24"/>
                <w:lang w:val="en-GB"/>
              </w:rPr>
            </w:pPr>
            <w:r w:rsidRPr="00710DFA">
              <w:rPr>
                <w:color w:val="000000" w:themeColor="text1"/>
                <w:sz w:val="24"/>
                <w:szCs w:val="24"/>
                <w:lang w:val="en-GB"/>
              </w:rPr>
              <w:t>Implication of diversification for strategic recovery</w:t>
            </w:r>
          </w:p>
        </w:tc>
        <w:tc>
          <w:tcPr>
            <w:tcW w:w="5386" w:type="dxa"/>
          </w:tcPr>
          <w:p w14:paraId="3809022F" w14:textId="1CFF63A2" w:rsidR="00B67670" w:rsidRPr="00710DFA" w:rsidRDefault="00B67670" w:rsidP="00B67670">
            <w:pPr>
              <w:spacing w:line="360" w:lineRule="auto"/>
              <w:jc w:val="both"/>
              <w:rPr>
                <w:color w:val="000000" w:themeColor="text1"/>
                <w:sz w:val="24"/>
                <w:szCs w:val="24"/>
                <w:lang w:val="en-GB"/>
              </w:rPr>
            </w:pPr>
            <w:r w:rsidRPr="00710DFA">
              <w:rPr>
                <w:color w:val="000000" w:themeColor="text1"/>
                <w:sz w:val="24"/>
                <w:szCs w:val="24"/>
                <w:lang w:val="en-GB"/>
              </w:rPr>
              <w:t>"Companies that adopted a comprehensive approach of supplier diversification and digitalisation as recovery strategies following a major disruption exhibited more comprehensive and longer-lasting supply chain recovery patterns than firms opting for single-dimensional strategies (Holgado and Niess, 2023)."</w:t>
            </w:r>
          </w:p>
        </w:tc>
      </w:tr>
      <w:tr w:rsidR="00394A7C" w:rsidRPr="00710DFA" w14:paraId="3E1AEBEA" w14:textId="77777777" w:rsidTr="00BB195B">
        <w:trPr>
          <w:trHeight w:val="564"/>
        </w:trPr>
        <w:tc>
          <w:tcPr>
            <w:tcW w:w="2120" w:type="dxa"/>
            <w:vMerge/>
          </w:tcPr>
          <w:p w14:paraId="21F881E5" w14:textId="77777777" w:rsidR="00394A7C" w:rsidRPr="00710DFA" w:rsidRDefault="00394A7C" w:rsidP="00B67670">
            <w:pPr>
              <w:spacing w:line="360" w:lineRule="auto"/>
              <w:rPr>
                <w:color w:val="000000" w:themeColor="text1"/>
                <w:sz w:val="24"/>
                <w:szCs w:val="24"/>
                <w:lang w:val="en-GB"/>
              </w:rPr>
            </w:pPr>
          </w:p>
        </w:tc>
        <w:tc>
          <w:tcPr>
            <w:tcW w:w="1844" w:type="dxa"/>
          </w:tcPr>
          <w:p w14:paraId="559BFDEA" w14:textId="1101D34C" w:rsidR="00394A7C" w:rsidRPr="00710DFA" w:rsidRDefault="00394A7C" w:rsidP="00B67670">
            <w:pPr>
              <w:spacing w:line="360" w:lineRule="auto"/>
              <w:rPr>
                <w:color w:val="000000" w:themeColor="text1"/>
                <w:sz w:val="24"/>
                <w:szCs w:val="24"/>
                <w:lang w:val="en-GB"/>
              </w:rPr>
            </w:pPr>
            <w:r w:rsidRPr="00710DFA">
              <w:rPr>
                <w:color w:val="000000" w:themeColor="text1"/>
                <w:sz w:val="24"/>
                <w:szCs w:val="24"/>
                <w:lang w:val="en-GB"/>
              </w:rPr>
              <w:t xml:space="preserve">Diversification strategies </w:t>
            </w:r>
          </w:p>
        </w:tc>
        <w:tc>
          <w:tcPr>
            <w:tcW w:w="5386" w:type="dxa"/>
          </w:tcPr>
          <w:p w14:paraId="5C68DE09" w14:textId="4B636779" w:rsidR="00394A7C" w:rsidRPr="00710DFA" w:rsidRDefault="00394A7C" w:rsidP="00B67670">
            <w:pPr>
              <w:spacing w:line="360" w:lineRule="auto"/>
              <w:jc w:val="both"/>
              <w:rPr>
                <w:color w:val="000000" w:themeColor="text1"/>
                <w:sz w:val="24"/>
                <w:szCs w:val="24"/>
                <w:lang w:val="en-GB"/>
              </w:rPr>
            </w:pPr>
            <w:r w:rsidRPr="00710DFA">
              <w:rPr>
                <w:color w:val="000000" w:themeColor="text1"/>
                <w:sz w:val="24"/>
                <w:szCs w:val="24"/>
                <w:lang w:val="en-GB"/>
              </w:rPr>
              <w:t>Retail companies have embraced diversification and agility to overcome the disruptions caused by the pandemic (Butt, 2022).</w:t>
            </w:r>
          </w:p>
        </w:tc>
      </w:tr>
      <w:tr w:rsidR="00B67670" w:rsidRPr="00710DFA" w14:paraId="140F4B10" w14:textId="77777777" w:rsidTr="001D609F">
        <w:trPr>
          <w:trHeight w:val="540"/>
        </w:trPr>
        <w:tc>
          <w:tcPr>
            <w:tcW w:w="2120" w:type="dxa"/>
            <w:vMerge/>
          </w:tcPr>
          <w:p w14:paraId="4983EE03" w14:textId="77777777" w:rsidR="00B67670" w:rsidRPr="00710DFA" w:rsidRDefault="00B67670" w:rsidP="00B67670">
            <w:pPr>
              <w:spacing w:line="360" w:lineRule="auto"/>
              <w:rPr>
                <w:color w:val="000000" w:themeColor="text1"/>
                <w:sz w:val="24"/>
                <w:szCs w:val="24"/>
                <w:lang w:val="en-GB"/>
              </w:rPr>
            </w:pPr>
          </w:p>
        </w:tc>
        <w:tc>
          <w:tcPr>
            <w:tcW w:w="1844" w:type="dxa"/>
          </w:tcPr>
          <w:p w14:paraId="654ECB9E" w14:textId="5B0B41B0" w:rsidR="00B67670" w:rsidRPr="00710DFA" w:rsidRDefault="00B67670" w:rsidP="00B67670">
            <w:pPr>
              <w:spacing w:line="360" w:lineRule="auto"/>
              <w:rPr>
                <w:color w:val="000000" w:themeColor="text1"/>
                <w:sz w:val="24"/>
                <w:szCs w:val="24"/>
                <w:lang w:val="en-GB"/>
              </w:rPr>
            </w:pPr>
            <w:r w:rsidRPr="00710DFA">
              <w:rPr>
                <w:color w:val="000000" w:themeColor="text1"/>
                <w:sz w:val="24"/>
                <w:szCs w:val="24"/>
                <w:lang w:val="en-GB"/>
              </w:rPr>
              <w:t>Resilience strategies of SMEs</w:t>
            </w:r>
          </w:p>
        </w:tc>
        <w:tc>
          <w:tcPr>
            <w:tcW w:w="5386" w:type="dxa"/>
          </w:tcPr>
          <w:p w14:paraId="1AE66722" w14:textId="53EEF6B7" w:rsidR="00B67670" w:rsidRPr="00710DFA" w:rsidRDefault="00B67670" w:rsidP="00B67670">
            <w:pPr>
              <w:spacing w:line="360" w:lineRule="auto"/>
              <w:jc w:val="both"/>
              <w:rPr>
                <w:color w:val="000000" w:themeColor="text1"/>
                <w:sz w:val="24"/>
                <w:szCs w:val="24"/>
                <w:lang w:val="en-GB"/>
              </w:rPr>
            </w:pPr>
            <w:r w:rsidRPr="00710DFA">
              <w:rPr>
                <w:color w:val="000000" w:themeColor="text1"/>
                <w:sz w:val="24"/>
                <w:szCs w:val="24"/>
                <w:lang w:val="en-GB"/>
              </w:rPr>
              <w:t xml:space="preserve">"Supply chain resilience is best achieved not at the individual firm level but through industry-specific combinations and interactions of flexibility, redundancy and inter-organisational collaboration which are dependent on the firm's operational context (Gaudenzi </w:t>
            </w:r>
            <w:r w:rsidRPr="00710DFA">
              <w:rPr>
                <w:i/>
                <w:iCs/>
                <w:color w:val="000000" w:themeColor="text1"/>
                <w:sz w:val="24"/>
                <w:szCs w:val="24"/>
                <w:lang w:val="en-GB"/>
              </w:rPr>
              <w:t>et al.,</w:t>
            </w:r>
            <w:r w:rsidRPr="00710DFA">
              <w:rPr>
                <w:color w:val="000000" w:themeColor="text1"/>
                <w:sz w:val="24"/>
                <w:szCs w:val="24"/>
                <w:lang w:val="en-GB"/>
              </w:rPr>
              <w:t xml:space="preserve"> 2023)."</w:t>
            </w:r>
          </w:p>
        </w:tc>
      </w:tr>
      <w:tr w:rsidR="00394A7C" w:rsidRPr="00710DFA" w14:paraId="0C322DEC" w14:textId="77777777" w:rsidTr="001D609F">
        <w:trPr>
          <w:trHeight w:val="540"/>
        </w:trPr>
        <w:tc>
          <w:tcPr>
            <w:tcW w:w="2120" w:type="dxa"/>
            <w:vMerge/>
          </w:tcPr>
          <w:p w14:paraId="21BB7C46" w14:textId="77777777" w:rsidR="00394A7C" w:rsidRPr="00710DFA" w:rsidRDefault="00394A7C" w:rsidP="00B67670">
            <w:pPr>
              <w:spacing w:line="360" w:lineRule="auto"/>
              <w:rPr>
                <w:color w:val="000000" w:themeColor="text1"/>
                <w:sz w:val="24"/>
                <w:szCs w:val="24"/>
                <w:lang w:val="en-GB"/>
              </w:rPr>
            </w:pPr>
          </w:p>
        </w:tc>
        <w:tc>
          <w:tcPr>
            <w:tcW w:w="1844" w:type="dxa"/>
          </w:tcPr>
          <w:p w14:paraId="309B5914" w14:textId="7AFC0FA1" w:rsidR="00394A7C" w:rsidRPr="00710DFA" w:rsidRDefault="00394A7C" w:rsidP="00B67670">
            <w:pPr>
              <w:spacing w:line="360" w:lineRule="auto"/>
              <w:rPr>
                <w:color w:val="000000" w:themeColor="text1"/>
                <w:sz w:val="24"/>
                <w:szCs w:val="24"/>
                <w:lang w:val="en-GB"/>
              </w:rPr>
            </w:pPr>
            <w:r w:rsidRPr="00710DFA">
              <w:rPr>
                <w:color w:val="000000" w:themeColor="text1"/>
                <w:sz w:val="24"/>
                <w:szCs w:val="24"/>
                <w:lang w:val="en-GB"/>
              </w:rPr>
              <w:t xml:space="preserve">Resilient through flexibility </w:t>
            </w:r>
          </w:p>
        </w:tc>
        <w:tc>
          <w:tcPr>
            <w:tcW w:w="5386" w:type="dxa"/>
          </w:tcPr>
          <w:p w14:paraId="52B53153" w14:textId="4229DD27" w:rsidR="00394A7C" w:rsidRPr="00710DFA" w:rsidRDefault="00394A7C" w:rsidP="00B67670">
            <w:pPr>
              <w:spacing w:line="360" w:lineRule="auto"/>
              <w:jc w:val="both"/>
              <w:rPr>
                <w:color w:val="000000" w:themeColor="text1"/>
                <w:sz w:val="24"/>
                <w:szCs w:val="24"/>
                <w:lang w:val="en-GB"/>
              </w:rPr>
            </w:pPr>
            <w:r w:rsidRPr="00710DFA">
              <w:rPr>
                <w:color w:val="000000" w:themeColor="text1"/>
                <w:sz w:val="24"/>
                <w:szCs w:val="24"/>
                <w:lang w:val="en-GB"/>
              </w:rPr>
              <w:t xml:space="preserve">Herold </w:t>
            </w:r>
            <w:r w:rsidRPr="00710DFA">
              <w:rPr>
                <w:i/>
                <w:iCs/>
                <w:color w:val="000000" w:themeColor="text1"/>
                <w:sz w:val="24"/>
                <w:szCs w:val="24"/>
                <w:lang w:val="en-GB"/>
              </w:rPr>
              <w:t>et al.</w:t>
            </w:r>
            <w:r w:rsidRPr="00710DFA">
              <w:rPr>
                <w:color w:val="000000" w:themeColor="text1"/>
                <w:sz w:val="24"/>
                <w:szCs w:val="24"/>
                <w:lang w:val="en-GB"/>
              </w:rPr>
              <w:t xml:space="preserve"> (2021) elaborated resilience through flexibility, collaboration, and innovation during the COVID-19 crisis.</w:t>
            </w:r>
          </w:p>
        </w:tc>
      </w:tr>
      <w:tr w:rsidR="00B67670" w:rsidRPr="00710DFA" w14:paraId="07E06C61" w14:textId="77777777" w:rsidTr="001D609F">
        <w:trPr>
          <w:trHeight w:val="540"/>
        </w:trPr>
        <w:tc>
          <w:tcPr>
            <w:tcW w:w="2120" w:type="dxa"/>
            <w:vMerge/>
          </w:tcPr>
          <w:p w14:paraId="655986DC" w14:textId="77777777" w:rsidR="00B67670" w:rsidRPr="00710DFA" w:rsidRDefault="00B67670" w:rsidP="00B67670">
            <w:pPr>
              <w:spacing w:line="360" w:lineRule="auto"/>
              <w:rPr>
                <w:color w:val="000000" w:themeColor="text1"/>
                <w:sz w:val="24"/>
                <w:szCs w:val="24"/>
                <w:lang w:val="en-GB"/>
              </w:rPr>
            </w:pPr>
          </w:p>
        </w:tc>
        <w:tc>
          <w:tcPr>
            <w:tcW w:w="1844" w:type="dxa"/>
          </w:tcPr>
          <w:p w14:paraId="36978BD3" w14:textId="34932E33" w:rsidR="00B67670" w:rsidRPr="00710DFA" w:rsidRDefault="00B67670" w:rsidP="00B67670">
            <w:pPr>
              <w:spacing w:line="360" w:lineRule="auto"/>
              <w:rPr>
                <w:color w:val="000000" w:themeColor="text1"/>
                <w:sz w:val="24"/>
                <w:szCs w:val="24"/>
                <w:lang w:val="en-GB"/>
              </w:rPr>
            </w:pPr>
            <w:r w:rsidRPr="00710DFA">
              <w:rPr>
                <w:color w:val="000000" w:themeColor="text1"/>
                <w:sz w:val="24"/>
                <w:szCs w:val="24"/>
                <w:lang w:val="en-GB"/>
              </w:rPr>
              <w:t>Labour and logistics vulnerabilities in the food supply chain</w:t>
            </w:r>
          </w:p>
        </w:tc>
        <w:tc>
          <w:tcPr>
            <w:tcW w:w="5386" w:type="dxa"/>
          </w:tcPr>
          <w:p w14:paraId="6EDBF8B0" w14:textId="0513D937" w:rsidR="00B67670" w:rsidRPr="00710DFA" w:rsidRDefault="00B67670" w:rsidP="00B67670">
            <w:pPr>
              <w:spacing w:line="360" w:lineRule="auto"/>
              <w:jc w:val="both"/>
              <w:rPr>
                <w:color w:val="000000" w:themeColor="text1"/>
                <w:sz w:val="24"/>
                <w:szCs w:val="24"/>
                <w:lang w:val="en-GB"/>
              </w:rPr>
            </w:pPr>
            <w:r w:rsidRPr="00710DFA">
              <w:rPr>
                <w:color w:val="000000" w:themeColor="text1"/>
                <w:sz w:val="24"/>
                <w:szCs w:val="24"/>
                <w:lang w:val="en-GB"/>
              </w:rPr>
              <w:t xml:space="preserve">"Food SMEs employed reactive resilience measures in the form of opportunistic supplier substitution, shadow inventories and localised sourcing networks to maintain supply chain continuity during the pandemic (Ali </w:t>
            </w:r>
            <w:r w:rsidRPr="00710DFA">
              <w:rPr>
                <w:i/>
                <w:iCs/>
                <w:color w:val="000000" w:themeColor="text1"/>
                <w:sz w:val="24"/>
                <w:szCs w:val="24"/>
                <w:lang w:val="en-GB"/>
              </w:rPr>
              <w:t>et al.,</w:t>
            </w:r>
            <w:r w:rsidRPr="00710DFA">
              <w:rPr>
                <w:color w:val="000000" w:themeColor="text1"/>
                <w:sz w:val="24"/>
                <w:szCs w:val="24"/>
                <w:lang w:val="en-GB"/>
              </w:rPr>
              <w:t xml:space="preserve"> 2021)."</w:t>
            </w:r>
          </w:p>
        </w:tc>
      </w:tr>
    </w:tbl>
    <w:p w14:paraId="5EFA3BF6" w14:textId="5BB1A862" w:rsidR="00042410" w:rsidRPr="00710DFA" w:rsidRDefault="003D08C4" w:rsidP="003D08C4">
      <w:pPr>
        <w:pStyle w:val="Heading5"/>
      </w:pPr>
      <w:bookmarkStart w:id="36" w:name="_Toc228921432"/>
      <w:r w:rsidRPr="00710DFA">
        <w:lastRenderedPageBreak/>
        <w:t xml:space="preserve">Table 3.2: </w:t>
      </w:r>
      <w:r w:rsidR="00634B09" w:rsidRPr="00710DFA">
        <w:t xml:space="preserve">Example of </w:t>
      </w:r>
      <w:r w:rsidRPr="00710DFA">
        <w:t>Data analysis</w:t>
      </w:r>
      <w:r w:rsidR="00634B09" w:rsidRPr="00710DFA">
        <w:t>/ Extraction</w:t>
      </w:r>
      <w:bookmarkEnd w:id="36"/>
    </w:p>
    <w:p w14:paraId="61E90A24" w14:textId="48926392" w:rsidR="00265226" w:rsidRPr="00710DFA" w:rsidRDefault="00B50ECC" w:rsidP="00D41688">
      <w:pPr>
        <w:pStyle w:val="Heading2"/>
        <w:rPr>
          <w:szCs w:val="24"/>
          <w:lang w:val="en-GB"/>
        </w:rPr>
      </w:pPr>
      <w:bookmarkStart w:id="37" w:name="_Toc228921277"/>
      <w:r w:rsidRPr="00710DFA">
        <w:rPr>
          <w:szCs w:val="24"/>
          <w:lang w:val="en-GB"/>
        </w:rPr>
        <w:t xml:space="preserve">3.9 </w:t>
      </w:r>
      <w:r w:rsidR="00265226" w:rsidRPr="00710DFA">
        <w:rPr>
          <w:szCs w:val="24"/>
          <w:lang w:val="en-GB"/>
        </w:rPr>
        <w:t>Ethical Considerations</w:t>
      </w:r>
      <w:bookmarkEnd w:id="37"/>
    </w:p>
    <w:p w14:paraId="44370123" w14:textId="084CA390" w:rsidR="00265226" w:rsidRPr="00710DFA" w:rsidRDefault="00265226" w:rsidP="00265226">
      <w:pPr>
        <w:spacing w:line="360" w:lineRule="auto"/>
        <w:jc w:val="both"/>
        <w:rPr>
          <w:color w:val="000000" w:themeColor="text1"/>
          <w:sz w:val="24"/>
          <w:szCs w:val="24"/>
          <w:lang w:val="en-GB"/>
        </w:rPr>
      </w:pPr>
      <w:r w:rsidRPr="00710DFA">
        <w:rPr>
          <w:color w:val="000000" w:themeColor="text1"/>
          <w:sz w:val="24"/>
          <w:szCs w:val="24"/>
          <w:lang w:val="en-GB"/>
        </w:rPr>
        <w:t xml:space="preserve">Since this paper is completely based on published secondary sources, there are no standard ethical measures relevant to primary qualitative studies, including informed consent, anonymity, and institutional ethical approval. Nevertheless, moral accountability is also important. British Sociological Association (2017) stresses that intellectual integrity among researchers who gather secondary data should be rigorous in terms of proper citation, clear interaction with the sources, and no selective or misrepresentative reporting desired. This research is within these standards in totality. A reference to all sources is made appropriately in order to protect the intellectual input of original authors. The analysis will be done in a reflexive manner, whereby the researcher will realise the limitation of working with existing textual information, where publication bias is likely to occur and whereby successful organisational responses have a </w:t>
      </w:r>
      <w:r w:rsidR="00D41688" w:rsidRPr="00710DFA">
        <w:rPr>
          <w:color w:val="000000" w:themeColor="text1"/>
          <w:sz w:val="24"/>
          <w:szCs w:val="24"/>
          <w:lang w:val="en-GB"/>
        </w:rPr>
        <w:t>higher chance</w:t>
      </w:r>
      <w:r w:rsidRPr="00710DFA">
        <w:rPr>
          <w:color w:val="000000" w:themeColor="text1"/>
          <w:sz w:val="24"/>
          <w:szCs w:val="24"/>
          <w:lang w:val="en-GB"/>
        </w:rPr>
        <w:t xml:space="preserve"> of being recorded compared to failures. No reproduction, distortion, or other fabrication of copyrighted work is done. The research hence satisfies the ethical based considerations of secondary qualitative research and also adheres to the standards of good research </w:t>
      </w:r>
      <w:r w:rsidR="00D41688" w:rsidRPr="00710DFA">
        <w:rPr>
          <w:color w:val="000000" w:themeColor="text1"/>
          <w:sz w:val="24"/>
          <w:szCs w:val="24"/>
          <w:lang w:val="en-GB"/>
        </w:rPr>
        <w:t>behaviour</w:t>
      </w:r>
      <w:r w:rsidRPr="00710DFA">
        <w:rPr>
          <w:color w:val="000000" w:themeColor="text1"/>
          <w:sz w:val="24"/>
          <w:szCs w:val="24"/>
          <w:lang w:val="en-GB"/>
        </w:rPr>
        <w:t xml:space="preserve"> as stipulated by research ethics policies of the university itself.</w:t>
      </w:r>
    </w:p>
    <w:p w14:paraId="09938160" w14:textId="27420CCC" w:rsidR="00265226" w:rsidRPr="00710DFA" w:rsidRDefault="00265226" w:rsidP="00D41688">
      <w:pPr>
        <w:pStyle w:val="Heading2"/>
        <w:rPr>
          <w:szCs w:val="24"/>
          <w:lang w:val="en-GB"/>
        </w:rPr>
      </w:pPr>
      <w:bookmarkStart w:id="38" w:name="_Toc228921278"/>
      <w:r w:rsidRPr="00710DFA">
        <w:rPr>
          <w:szCs w:val="24"/>
          <w:lang w:val="en-GB"/>
        </w:rPr>
        <w:t>3.</w:t>
      </w:r>
      <w:r w:rsidR="009F0724" w:rsidRPr="00710DFA">
        <w:rPr>
          <w:szCs w:val="24"/>
          <w:lang w:val="en-GB"/>
        </w:rPr>
        <w:t xml:space="preserve">10 </w:t>
      </w:r>
      <w:r w:rsidRPr="00710DFA">
        <w:rPr>
          <w:szCs w:val="24"/>
          <w:lang w:val="en-GB"/>
        </w:rPr>
        <w:t>Conclusion</w:t>
      </w:r>
      <w:bookmarkEnd w:id="38"/>
      <w:r w:rsidR="009F0724" w:rsidRPr="00710DFA">
        <w:rPr>
          <w:szCs w:val="24"/>
          <w:lang w:val="en-GB"/>
        </w:rPr>
        <w:t xml:space="preserve"> </w:t>
      </w:r>
    </w:p>
    <w:p w14:paraId="7AD6EF60" w14:textId="77777777" w:rsidR="00265226" w:rsidRPr="00710DFA" w:rsidRDefault="00265226" w:rsidP="00265226">
      <w:pPr>
        <w:spacing w:line="360" w:lineRule="auto"/>
        <w:jc w:val="both"/>
        <w:rPr>
          <w:color w:val="000000" w:themeColor="text1"/>
          <w:sz w:val="24"/>
          <w:szCs w:val="24"/>
          <w:lang w:val="en-GB"/>
        </w:rPr>
      </w:pPr>
      <w:r w:rsidRPr="00710DFA">
        <w:rPr>
          <w:color w:val="000000" w:themeColor="text1"/>
          <w:sz w:val="24"/>
          <w:szCs w:val="24"/>
          <w:lang w:val="en-GB"/>
        </w:rPr>
        <w:t>The methodology decisions at each level of the research design have been justified in this chapter. The philosophy of interpretivism, secondary qualitative design, inductive approach, and systematic secondary collection of data are harmoniously coordinated with each other and with the objective of the research. The combination of them offers a methodologically sound and philosophically consistent framework in terms of which it is possible to critically analyse the supply chain organisational responses and resilience reconfiguration. The results obtained using the analytical framework given here are provided in the next chapter.</w:t>
      </w:r>
    </w:p>
    <w:p w14:paraId="38D6159B" w14:textId="77777777" w:rsidR="004E362D" w:rsidRPr="00710DFA" w:rsidRDefault="002F3DAF" w:rsidP="004E362D">
      <w:pPr>
        <w:pStyle w:val="Heading1"/>
      </w:pPr>
      <w:bookmarkStart w:id="39" w:name="_dn8dzuklkkio" w:colFirst="0" w:colLast="0"/>
      <w:bookmarkEnd w:id="39"/>
      <w:r w:rsidRPr="00710DFA">
        <w:br w:type="page"/>
      </w:r>
      <w:bookmarkStart w:id="40" w:name="_Toc228921279"/>
      <w:r w:rsidR="004E362D" w:rsidRPr="00710DFA">
        <w:lastRenderedPageBreak/>
        <w:t>Chapter 4: Findings, discussion and analysis</w:t>
      </w:r>
      <w:bookmarkEnd w:id="40"/>
    </w:p>
    <w:p w14:paraId="5F57A018" w14:textId="017C085A" w:rsidR="00F44817" w:rsidRPr="00710DFA" w:rsidRDefault="00F44817" w:rsidP="002851B1">
      <w:pPr>
        <w:pStyle w:val="Heading2"/>
        <w:rPr>
          <w:szCs w:val="24"/>
          <w:lang w:val="en-GB"/>
        </w:rPr>
      </w:pPr>
      <w:bookmarkStart w:id="41" w:name="_Toc228921280"/>
      <w:r w:rsidRPr="00710DFA">
        <w:rPr>
          <w:szCs w:val="24"/>
          <w:lang w:val="en-GB"/>
        </w:rPr>
        <w:t xml:space="preserve">4.1 Chapter </w:t>
      </w:r>
      <w:r w:rsidR="002851B1" w:rsidRPr="00710DFA">
        <w:rPr>
          <w:szCs w:val="24"/>
          <w:lang w:val="en-GB"/>
        </w:rPr>
        <w:t>introduction</w:t>
      </w:r>
      <w:bookmarkEnd w:id="41"/>
      <w:r w:rsidR="002851B1" w:rsidRPr="00710DFA">
        <w:rPr>
          <w:szCs w:val="24"/>
          <w:lang w:val="en-GB"/>
        </w:rPr>
        <w:t xml:space="preserve"> </w:t>
      </w:r>
    </w:p>
    <w:p w14:paraId="3FA5A524"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This chapter provides, examines, and critically discusses the results of the systematic secondary qualitative review of the peer-reviewed literature published. The results are organised in thematic categories, and are directly related to the three research issues, namely, (1) to explore the high-level supply chain shocks and weak points exposed by Covid-19; (2) to explore the organisational responses implemented by firms to respond to supply chain stress; and (3) to explore how these responses lead to supply chain resilience reconfiguring. All of the themes are examined concerning the “Dynamic Capabilities Theory (DCT)” and the current literature to make sure of the theoretical coherence. The discussion measures how close to, adds to, or challenges previous academic standpoints, hence contextualizing the findings in the larger academic and managerial discussion.</w:t>
      </w:r>
    </w:p>
    <w:p w14:paraId="0C24BBF3" w14:textId="391A303A" w:rsidR="00042410" w:rsidRPr="00710DFA" w:rsidRDefault="00B91FDB" w:rsidP="001E33EC">
      <w:pPr>
        <w:pStyle w:val="Heading2"/>
        <w:rPr>
          <w:highlight w:val="yellow"/>
          <w:lang w:val="en-GB"/>
        </w:rPr>
      </w:pPr>
      <w:bookmarkStart w:id="42" w:name="_Toc228921281"/>
      <w:r w:rsidRPr="00710DFA">
        <w:rPr>
          <w:lang w:val="en-GB"/>
        </w:rPr>
        <w:t>4.</w:t>
      </w:r>
      <w:r w:rsidR="00F90942">
        <w:rPr>
          <w:lang w:val="en-GB"/>
        </w:rPr>
        <w:t>2</w:t>
      </w:r>
      <w:r w:rsidRPr="00710DFA">
        <w:rPr>
          <w:lang w:val="en-GB"/>
        </w:rPr>
        <w:t xml:space="preserve"> </w:t>
      </w:r>
      <w:r w:rsidR="00CB3ED3">
        <w:rPr>
          <w:lang w:val="en-GB"/>
        </w:rPr>
        <w:t>Summary of 50 articles</w:t>
      </w:r>
      <w:bookmarkEnd w:id="42"/>
    </w:p>
    <w:tbl>
      <w:tblPr>
        <w:tblStyle w:val="TableGrid"/>
        <w:tblW w:w="9586" w:type="dxa"/>
        <w:tblLayout w:type="fixed"/>
        <w:tblLook w:val="04A0" w:firstRow="1" w:lastRow="0" w:firstColumn="1" w:lastColumn="0" w:noHBand="0" w:noVBand="1"/>
      </w:tblPr>
      <w:tblGrid>
        <w:gridCol w:w="583"/>
        <w:gridCol w:w="1760"/>
        <w:gridCol w:w="2283"/>
        <w:gridCol w:w="1417"/>
        <w:gridCol w:w="2268"/>
        <w:gridCol w:w="1275"/>
      </w:tblGrid>
      <w:tr w:rsidR="00361F0A" w:rsidRPr="00710DFA" w14:paraId="58FC1E89" w14:textId="77777777" w:rsidTr="00093F9B">
        <w:tc>
          <w:tcPr>
            <w:tcW w:w="583" w:type="dxa"/>
          </w:tcPr>
          <w:p w14:paraId="398B1052" w14:textId="30C2A3EC" w:rsidR="00042410" w:rsidRPr="00710DFA" w:rsidRDefault="001E33EC" w:rsidP="00361F0A">
            <w:pPr>
              <w:spacing w:line="360" w:lineRule="auto"/>
              <w:jc w:val="center"/>
              <w:rPr>
                <w:b/>
                <w:bCs/>
                <w:color w:val="000000" w:themeColor="text1"/>
                <w:sz w:val="24"/>
                <w:szCs w:val="24"/>
                <w:lang w:val="en-GB"/>
              </w:rPr>
            </w:pPr>
            <w:r w:rsidRPr="00710DFA">
              <w:rPr>
                <w:b/>
                <w:bCs/>
                <w:color w:val="000000" w:themeColor="text1"/>
                <w:sz w:val="24"/>
                <w:szCs w:val="24"/>
                <w:lang w:val="en-GB"/>
              </w:rPr>
              <w:t xml:space="preserve">Sl. </w:t>
            </w:r>
            <w:r w:rsidR="00042410" w:rsidRPr="00710DFA">
              <w:rPr>
                <w:b/>
                <w:bCs/>
                <w:color w:val="000000" w:themeColor="text1"/>
                <w:sz w:val="24"/>
                <w:szCs w:val="24"/>
                <w:lang w:val="en-GB"/>
              </w:rPr>
              <w:t>No</w:t>
            </w:r>
          </w:p>
        </w:tc>
        <w:tc>
          <w:tcPr>
            <w:tcW w:w="1760" w:type="dxa"/>
          </w:tcPr>
          <w:p w14:paraId="26FDE70B" w14:textId="7A9AA40B" w:rsidR="00042410" w:rsidRPr="00710DFA" w:rsidRDefault="00042410" w:rsidP="00361F0A">
            <w:pPr>
              <w:spacing w:line="360" w:lineRule="auto"/>
              <w:jc w:val="center"/>
              <w:rPr>
                <w:b/>
                <w:bCs/>
                <w:color w:val="000000" w:themeColor="text1"/>
                <w:sz w:val="24"/>
                <w:szCs w:val="24"/>
                <w:lang w:val="en-GB"/>
              </w:rPr>
            </w:pPr>
            <w:r w:rsidRPr="00710DFA">
              <w:rPr>
                <w:b/>
                <w:bCs/>
                <w:color w:val="000000" w:themeColor="text1"/>
                <w:sz w:val="24"/>
                <w:szCs w:val="24"/>
                <w:lang w:val="en-GB"/>
              </w:rPr>
              <w:t>Author, year</w:t>
            </w:r>
          </w:p>
        </w:tc>
        <w:tc>
          <w:tcPr>
            <w:tcW w:w="2283" w:type="dxa"/>
          </w:tcPr>
          <w:p w14:paraId="75954EE2" w14:textId="50234705" w:rsidR="00042410" w:rsidRPr="00710DFA" w:rsidRDefault="001E33EC" w:rsidP="00361F0A">
            <w:pPr>
              <w:spacing w:line="360" w:lineRule="auto"/>
              <w:jc w:val="center"/>
              <w:rPr>
                <w:b/>
                <w:bCs/>
                <w:color w:val="000000" w:themeColor="text1"/>
                <w:sz w:val="24"/>
                <w:szCs w:val="24"/>
                <w:lang w:val="en-GB"/>
              </w:rPr>
            </w:pPr>
            <w:r w:rsidRPr="00710DFA">
              <w:rPr>
                <w:b/>
                <w:bCs/>
                <w:color w:val="000000" w:themeColor="text1"/>
                <w:sz w:val="24"/>
                <w:szCs w:val="24"/>
                <w:lang w:val="en-GB"/>
              </w:rPr>
              <w:t>T</w:t>
            </w:r>
            <w:r w:rsidR="00042410" w:rsidRPr="00710DFA">
              <w:rPr>
                <w:b/>
                <w:bCs/>
                <w:color w:val="000000" w:themeColor="text1"/>
                <w:sz w:val="24"/>
                <w:szCs w:val="24"/>
                <w:lang w:val="en-GB"/>
              </w:rPr>
              <w:t>itle</w:t>
            </w:r>
          </w:p>
        </w:tc>
        <w:tc>
          <w:tcPr>
            <w:tcW w:w="1417" w:type="dxa"/>
          </w:tcPr>
          <w:p w14:paraId="7C0035A6" w14:textId="629721F6" w:rsidR="00042410" w:rsidRPr="00710DFA" w:rsidRDefault="001E33EC" w:rsidP="00361F0A">
            <w:pPr>
              <w:spacing w:line="360" w:lineRule="auto"/>
              <w:jc w:val="center"/>
              <w:rPr>
                <w:b/>
                <w:bCs/>
                <w:color w:val="000000" w:themeColor="text1"/>
                <w:sz w:val="24"/>
                <w:szCs w:val="24"/>
                <w:lang w:val="en-GB"/>
              </w:rPr>
            </w:pPr>
            <w:r w:rsidRPr="00710DFA">
              <w:rPr>
                <w:b/>
                <w:bCs/>
                <w:color w:val="000000" w:themeColor="text1"/>
                <w:sz w:val="24"/>
                <w:szCs w:val="24"/>
                <w:lang w:val="en-GB"/>
              </w:rPr>
              <w:t>M</w:t>
            </w:r>
            <w:r w:rsidR="00042410" w:rsidRPr="00710DFA">
              <w:rPr>
                <w:b/>
                <w:bCs/>
                <w:color w:val="000000" w:themeColor="text1"/>
                <w:sz w:val="24"/>
                <w:szCs w:val="24"/>
                <w:lang w:val="en-GB"/>
              </w:rPr>
              <w:t>ethod</w:t>
            </w:r>
          </w:p>
        </w:tc>
        <w:tc>
          <w:tcPr>
            <w:tcW w:w="2268" w:type="dxa"/>
          </w:tcPr>
          <w:p w14:paraId="2F1723C2" w14:textId="7C257AF4" w:rsidR="00042410" w:rsidRPr="00710DFA" w:rsidRDefault="001E33EC" w:rsidP="00361F0A">
            <w:pPr>
              <w:spacing w:line="360" w:lineRule="auto"/>
              <w:jc w:val="center"/>
              <w:rPr>
                <w:b/>
                <w:bCs/>
                <w:color w:val="000000" w:themeColor="text1"/>
                <w:sz w:val="24"/>
                <w:szCs w:val="24"/>
                <w:lang w:val="en-GB"/>
              </w:rPr>
            </w:pPr>
            <w:r w:rsidRPr="00710DFA">
              <w:rPr>
                <w:b/>
                <w:bCs/>
                <w:color w:val="000000" w:themeColor="text1"/>
                <w:sz w:val="24"/>
                <w:szCs w:val="24"/>
                <w:lang w:val="en-GB"/>
              </w:rPr>
              <w:t>F</w:t>
            </w:r>
            <w:r w:rsidR="00042410" w:rsidRPr="00710DFA">
              <w:rPr>
                <w:b/>
                <w:bCs/>
                <w:color w:val="000000" w:themeColor="text1"/>
                <w:sz w:val="24"/>
                <w:szCs w:val="24"/>
                <w:lang w:val="en-GB"/>
              </w:rPr>
              <w:t>indings</w:t>
            </w:r>
          </w:p>
        </w:tc>
        <w:tc>
          <w:tcPr>
            <w:tcW w:w="1275" w:type="dxa"/>
          </w:tcPr>
          <w:p w14:paraId="25C38618" w14:textId="33F39E06" w:rsidR="00042410" w:rsidRPr="00710DFA" w:rsidRDefault="00042410" w:rsidP="00361F0A">
            <w:pPr>
              <w:spacing w:line="360" w:lineRule="auto"/>
              <w:jc w:val="center"/>
              <w:rPr>
                <w:b/>
                <w:bCs/>
                <w:color w:val="000000" w:themeColor="text1"/>
                <w:sz w:val="24"/>
                <w:szCs w:val="24"/>
                <w:lang w:val="en-GB"/>
              </w:rPr>
            </w:pPr>
            <w:r w:rsidRPr="00710DFA">
              <w:rPr>
                <w:b/>
                <w:bCs/>
                <w:color w:val="000000" w:themeColor="text1"/>
                <w:sz w:val="24"/>
                <w:szCs w:val="24"/>
                <w:lang w:val="en-GB"/>
              </w:rPr>
              <w:t>1</w:t>
            </w:r>
            <w:r w:rsidRPr="00710DFA">
              <w:rPr>
                <w:b/>
                <w:bCs/>
                <w:color w:val="000000" w:themeColor="text1"/>
                <w:sz w:val="24"/>
                <w:szCs w:val="24"/>
                <w:vertAlign w:val="superscript"/>
                <w:lang w:val="en-GB"/>
              </w:rPr>
              <w:t>st</w:t>
            </w:r>
            <w:r w:rsidRPr="00710DFA">
              <w:rPr>
                <w:b/>
                <w:bCs/>
                <w:color w:val="000000" w:themeColor="text1"/>
                <w:sz w:val="24"/>
                <w:szCs w:val="24"/>
                <w:lang w:val="en-GB"/>
              </w:rPr>
              <w:t xml:space="preserve"> order theme</w:t>
            </w:r>
          </w:p>
        </w:tc>
      </w:tr>
      <w:tr w:rsidR="00361F0A" w:rsidRPr="00710DFA" w14:paraId="3883BD37" w14:textId="77777777" w:rsidTr="00093F9B">
        <w:tc>
          <w:tcPr>
            <w:tcW w:w="583" w:type="dxa"/>
          </w:tcPr>
          <w:p w14:paraId="5B2C431D" w14:textId="24022160" w:rsidR="00042410" w:rsidRPr="00710DFA" w:rsidRDefault="00042410" w:rsidP="00361F0A">
            <w:pPr>
              <w:spacing w:line="360" w:lineRule="auto"/>
              <w:jc w:val="both"/>
              <w:rPr>
                <w:color w:val="000000" w:themeColor="text1"/>
                <w:sz w:val="24"/>
                <w:szCs w:val="24"/>
                <w:lang w:val="en-GB"/>
              </w:rPr>
            </w:pPr>
            <w:r w:rsidRPr="00710DFA">
              <w:rPr>
                <w:color w:val="000000" w:themeColor="text1"/>
                <w:sz w:val="24"/>
                <w:szCs w:val="24"/>
                <w:lang w:val="en-GB"/>
              </w:rPr>
              <w:t>1</w:t>
            </w:r>
          </w:p>
        </w:tc>
        <w:tc>
          <w:tcPr>
            <w:tcW w:w="1760" w:type="dxa"/>
          </w:tcPr>
          <w:p w14:paraId="4C17851A" w14:textId="22C7F729" w:rsidR="00042410" w:rsidRPr="00710DFA" w:rsidRDefault="00BD6CC3" w:rsidP="00361F0A">
            <w:pPr>
              <w:spacing w:line="360" w:lineRule="auto"/>
              <w:jc w:val="both"/>
              <w:rPr>
                <w:color w:val="000000" w:themeColor="text1"/>
                <w:sz w:val="24"/>
                <w:szCs w:val="24"/>
                <w:lang w:val="en-GB"/>
              </w:rPr>
            </w:pPr>
            <w:r w:rsidRPr="00710DFA">
              <w:rPr>
                <w:color w:val="000000" w:themeColor="text1"/>
                <w:sz w:val="24"/>
                <w:szCs w:val="24"/>
                <w:lang w:val="en-GB"/>
              </w:rPr>
              <w:t>Ivanov,2020</w:t>
            </w:r>
          </w:p>
        </w:tc>
        <w:tc>
          <w:tcPr>
            <w:tcW w:w="2283" w:type="dxa"/>
          </w:tcPr>
          <w:p w14:paraId="3D5A20EB" w14:textId="622DDDE1" w:rsidR="00042410"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“Predicting the Impacts of Epidemic Outbreaks on Global Supply chains: a simulation-based Analysis on the Coronavirus Outbreak (COVID-19/SARS-CoV-2) Case.”</w:t>
            </w:r>
          </w:p>
        </w:tc>
        <w:tc>
          <w:tcPr>
            <w:tcW w:w="1417" w:type="dxa"/>
          </w:tcPr>
          <w:p w14:paraId="45ADB57B" w14:textId="01AACB28" w:rsidR="00042410"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Simulation modelling </w:t>
            </w:r>
          </w:p>
        </w:tc>
        <w:tc>
          <w:tcPr>
            <w:tcW w:w="2268" w:type="dxa"/>
          </w:tcPr>
          <w:p w14:paraId="34180EEB" w14:textId="0B584837" w:rsidR="00042410" w:rsidRPr="00710DFA" w:rsidRDefault="00095C01" w:rsidP="00361F0A">
            <w:pPr>
              <w:spacing w:line="360" w:lineRule="auto"/>
              <w:jc w:val="both"/>
              <w:rPr>
                <w:color w:val="000000" w:themeColor="text1"/>
                <w:sz w:val="24"/>
                <w:szCs w:val="24"/>
                <w:lang w:val="en-GB"/>
              </w:rPr>
            </w:pPr>
            <w:r w:rsidRPr="00710DFA">
              <w:rPr>
                <w:color w:val="000000" w:themeColor="text1"/>
                <w:sz w:val="24"/>
                <w:szCs w:val="24"/>
                <w:lang w:val="en-GB"/>
              </w:rPr>
              <w:t>COVID-19 shocks revealed vulnerability of lean/JIT systems, which resulted in severe breakdowns when subjected to shocks in supply and demand.</w:t>
            </w:r>
          </w:p>
        </w:tc>
        <w:tc>
          <w:tcPr>
            <w:tcW w:w="1275" w:type="dxa"/>
          </w:tcPr>
          <w:p w14:paraId="1A01220B" w14:textId="63562C1A" w:rsidR="00042410" w:rsidRPr="00710DFA" w:rsidRDefault="00BD6CC3" w:rsidP="00361F0A">
            <w:pPr>
              <w:spacing w:line="360" w:lineRule="auto"/>
              <w:jc w:val="both"/>
              <w:rPr>
                <w:color w:val="000000" w:themeColor="text1"/>
                <w:sz w:val="24"/>
                <w:szCs w:val="24"/>
                <w:lang w:val="en-GB"/>
              </w:rPr>
            </w:pPr>
            <w:r w:rsidRPr="00710DFA">
              <w:rPr>
                <w:color w:val="000000" w:themeColor="text1"/>
                <w:sz w:val="24"/>
                <w:szCs w:val="24"/>
                <w:lang w:val="en-GB"/>
              </w:rPr>
              <w:t>Heavy-reliance on lean/JIT prototypes</w:t>
            </w:r>
          </w:p>
        </w:tc>
      </w:tr>
      <w:tr w:rsidR="00361F0A" w:rsidRPr="00710DFA" w14:paraId="5C960D55" w14:textId="77777777" w:rsidTr="00093F9B">
        <w:tc>
          <w:tcPr>
            <w:tcW w:w="583" w:type="dxa"/>
          </w:tcPr>
          <w:p w14:paraId="30FEA9D1" w14:textId="75BFD0F8" w:rsidR="00042410"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2</w:t>
            </w:r>
          </w:p>
        </w:tc>
        <w:tc>
          <w:tcPr>
            <w:tcW w:w="1760" w:type="dxa"/>
          </w:tcPr>
          <w:p w14:paraId="34C591AA" w14:textId="7B4677AA" w:rsidR="00042410" w:rsidRPr="00710DFA" w:rsidRDefault="00BD6CC3" w:rsidP="00361F0A">
            <w:pPr>
              <w:spacing w:line="360" w:lineRule="auto"/>
              <w:jc w:val="both"/>
              <w:rPr>
                <w:color w:val="000000" w:themeColor="text1"/>
                <w:sz w:val="24"/>
                <w:szCs w:val="24"/>
                <w:lang w:val="en-GB"/>
              </w:rPr>
            </w:pPr>
            <w:r w:rsidRPr="00710DFA">
              <w:rPr>
                <w:color w:val="000000" w:themeColor="text1"/>
                <w:sz w:val="24"/>
                <w:szCs w:val="24"/>
                <w:lang w:val="en-GB"/>
              </w:rPr>
              <w:t xml:space="preserve">Choi </w:t>
            </w:r>
            <w:r w:rsidRPr="00710DFA">
              <w:rPr>
                <w:i/>
                <w:iCs/>
                <w:color w:val="000000" w:themeColor="text1"/>
                <w:sz w:val="24"/>
                <w:szCs w:val="24"/>
                <w:lang w:val="en-GB"/>
              </w:rPr>
              <w:t>et al.,</w:t>
            </w:r>
            <w:r w:rsidRPr="00710DFA">
              <w:rPr>
                <w:color w:val="000000" w:themeColor="text1"/>
                <w:sz w:val="24"/>
                <w:szCs w:val="24"/>
                <w:lang w:val="en-GB"/>
              </w:rPr>
              <w:t xml:space="preserve"> 2020</w:t>
            </w:r>
          </w:p>
        </w:tc>
        <w:tc>
          <w:tcPr>
            <w:tcW w:w="2283" w:type="dxa"/>
          </w:tcPr>
          <w:p w14:paraId="1A71FF53" w14:textId="0B45D4DF" w:rsidR="00042410"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i/>
                <w:iCs/>
                <w:color w:val="000000" w:themeColor="text1"/>
                <w:sz w:val="24"/>
                <w:szCs w:val="24"/>
                <w:lang w:val="en-GB"/>
              </w:rPr>
              <w:t>Coronavirus Is a Wake-Up Call for Supply Chain Management</w:t>
            </w:r>
            <w:r w:rsidRPr="00710DFA">
              <w:rPr>
                <w:color w:val="000000" w:themeColor="text1"/>
                <w:sz w:val="24"/>
                <w:szCs w:val="24"/>
                <w:lang w:val="en-GB"/>
              </w:rPr>
              <w:t>. [online] Harvard Business Review”</w:t>
            </w:r>
          </w:p>
        </w:tc>
        <w:tc>
          <w:tcPr>
            <w:tcW w:w="1417" w:type="dxa"/>
          </w:tcPr>
          <w:p w14:paraId="225CE174" w14:textId="08DC6A6E" w:rsidR="00042410"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model </w:t>
            </w:r>
          </w:p>
        </w:tc>
        <w:tc>
          <w:tcPr>
            <w:tcW w:w="2268" w:type="dxa"/>
          </w:tcPr>
          <w:p w14:paraId="6041F1DC" w14:textId="0A51BD86" w:rsidR="00042410" w:rsidRPr="00710DFA" w:rsidRDefault="00095C01" w:rsidP="00361F0A">
            <w:pPr>
              <w:spacing w:line="360" w:lineRule="auto"/>
              <w:jc w:val="both"/>
              <w:rPr>
                <w:color w:val="000000" w:themeColor="text1"/>
                <w:sz w:val="24"/>
                <w:szCs w:val="24"/>
                <w:lang w:val="en-GB"/>
              </w:rPr>
            </w:pPr>
            <w:r w:rsidRPr="00710DFA">
              <w:rPr>
                <w:color w:val="000000" w:themeColor="text1"/>
                <w:sz w:val="24"/>
                <w:szCs w:val="24"/>
                <w:lang w:val="en-GB"/>
              </w:rPr>
              <w:t>Inability to see outside of the tier-1 suppliers hampered the capabilities of firms to predict disruptions and address them.</w:t>
            </w:r>
          </w:p>
        </w:tc>
        <w:tc>
          <w:tcPr>
            <w:tcW w:w="1275" w:type="dxa"/>
          </w:tcPr>
          <w:p w14:paraId="5CE87324" w14:textId="235D8080" w:rsidR="00042410" w:rsidRPr="00710DFA" w:rsidRDefault="00BD6CC3" w:rsidP="00361F0A">
            <w:pPr>
              <w:spacing w:line="360" w:lineRule="auto"/>
              <w:jc w:val="both"/>
              <w:rPr>
                <w:color w:val="000000" w:themeColor="text1"/>
                <w:sz w:val="24"/>
                <w:szCs w:val="24"/>
                <w:lang w:val="en-GB"/>
              </w:rPr>
            </w:pPr>
            <w:r w:rsidRPr="00710DFA">
              <w:rPr>
                <w:color w:val="000000" w:themeColor="text1"/>
                <w:sz w:val="24"/>
                <w:szCs w:val="24"/>
                <w:lang w:val="en-GB"/>
              </w:rPr>
              <w:t>Lack of multi-tier supply chain noticeability</w:t>
            </w:r>
          </w:p>
        </w:tc>
      </w:tr>
      <w:tr w:rsidR="00361F0A" w:rsidRPr="00710DFA" w14:paraId="60EE5E59" w14:textId="77777777" w:rsidTr="00093F9B">
        <w:tc>
          <w:tcPr>
            <w:tcW w:w="583" w:type="dxa"/>
          </w:tcPr>
          <w:p w14:paraId="038A6D3E" w14:textId="5AC0AEAE" w:rsidR="00042410"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3</w:t>
            </w:r>
          </w:p>
        </w:tc>
        <w:tc>
          <w:tcPr>
            <w:tcW w:w="1760" w:type="dxa"/>
          </w:tcPr>
          <w:p w14:paraId="708DA48F" w14:textId="2D4D1AB9" w:rsidR="00042410" w:rsidRPr="00710DFA" w:rsidRDefault="00BD6CC3"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Queiroz </w:t>
            </w:r>
            <w:r w:rsidRPr="00710DFA">
              <w:rPr>
                <w:i/>
                <w:iCs/>
                <w:color w:val="000000" w:themeColor="text1"/>
                <w:sz w:val="24"/>
                <w:szCs w:val="24"/>
                <w:lang w:val="en-GB"/>
              </w:rPr>
              <w:t>et al.,</w:t>
            </w:r>
            <w:r w:rsidRPr="00710DFA">
              <w:rPr>
                <w:color w:val="000000" w:themeColor="text1"/>
                <w:sz w:val="24"/>
                <w:szCs w:val="24"/>
                <w:lang w:val="en-GB"/>
              </w:rPr>
              <w:t xml:space="preserve"> 2020</w:t>
            </w:r>
          </w:p>
        </w:tc>
        <w:tc>
          <w:tcPr>
            <w:tcW w:w="2283" w:type="dxa"/>
          </w:tcPr>
          <w:p w14:paraId="04EEF545" w14:textId="79255A2C" w:rsidR="00042410"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“Impacts of Epidemic Outbreaks on Supply chains: Mapping a Research Agenda amid the COVID-19 Pandemic through a Structured Literature Review”</w:t>
            </w:r>
          </w:p>
        </w:tc>
        <w:tc>
          <w:tcPr>
            <w:tcW w:w="1417" w:type="dxa"/>
          </w:tcPr>
          <w:p w14:paraId="5E43FA28" w14:textId="58AE3C37" w:rsidR="00042410"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Structured literature review </w:t>
            </w:r>
          </w:p>
        </w:tc>
        <w:tc>
          <w:tcPr>
            <w:tcW w:w="2268" w:type="dxa"/>
          </w:tcPr>
          <w:p w14:paraId="70E0C32B" w14:textId="0FDBD11D" w:rsidR="00042410" w:rsidRPr="00710DFA" w:rsidRDefault="00095C01" w:rsidP="00361F0A">
            <w:pPr>
              <w:spacing w:line="360" w:lineRule="auto"/>
              <w:jc w:val="both"/>
              <w:rPr>
                <w:color w:val="000000" w:themeColor="text1"/>
                <w:sz w:val="24"/>
                <w:szCs w:val="24"/>
                <w:lang w:val="en-GB"/>
              </w:rPr>
            </w:pPr>
            <w:r w:rsidRPr="00710DFA">
              <w:rPr>
                <w:color w:val="000000" w:themeColor="text1"/>
                <w:sz w:val="24"/>
                <w:szCs w:val="24"/>
                <w:lang w:val="en-GB"/>
              </w:rPr>
              <w:t>Uncertainty in demand in the COVID-19 caused forecast errors and increased the bullwhip effect on supply chains.</w:t>
            </w:r>
          </w:p>
        </w:tc>
        <w:tc>
          <w:tcPr>
            <w:tcW w:w="1275" w:type="dxa"/>
          </w:tcPr>
          <w:p w14:paraId="79AC4560" w14:textId="2E56203B" w:rsidR="00042410" w:rsidRPr="00710DFA" w:rsidRDefault="00BD6CC3" w:rsidP="00361F0A">
            <w:pPr>
              <w:spacing w:line="360" w:lineRule="auto"/>
              <w:jc w:val="both"/>
              <w:rPr>
                <w:color w:val="000000" w:themeColor="text1"/>
                <w:sz w:val="24"/>
                <w:szCs w:val="24"/>
                <w:lang w:val="en-GB"/>
              </w:rPr>
            </w:pPr>
            <w:r w:rsidRPr="00710DFA">
              <w:rPr>
                <w:color w:val="000000" w:themeColor="text1"/>
                <w:sz w:val="24"/>
                <w:szCs w:val="24"/>
                <w:lang w:val="en-GB"/>
              </w:rPr>
              <w:t>Demand foretelling failure/bullwhip result</w:t>
            </w:r>
          </w:p>
        </w:tc>
      </w:tr>
      <w:tr w:rsidR="00361F0A" w:rsidRPr="00710DFA" w14:paraId="14A4BB81" w14:textId="77777777" w:rsidTr="00093F9B">
        <w:tc>
          <w:tcPr>
            <w:tcW w:w="583" w:type="dxa"/>
          </w:tcPr>
          <w:p w14:paraId="33A65A85" w14:textId="08574FDB" w:rsidR="00042410"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4</w:t>
            </w:r>
          </w:p>
        </w:tc>
        <w:tc>
          <w:tcPr>
            <w:tcW w:w="1760" w:type="dxa"/>
          </w:tcPr>
          <w:p w14:paraId="0FEB6029" w14:textId="669A080C" w:rsidR="00042410"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Remko, 2020</w:t>
            </w:r>
          </w:p>
        </w:tc>
        <w:tc>
          <w:tcPr>
            <w:tcW w:w="2283" w:type="dxa"/>
          </w:tcPr>
          <w:p w14:paraId="53D4AF14" w14:textId="58B4E43D" w:rsidR="00042410"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“Research Opportunities for a More Resilient post-COVID-19 Supply Chain – Closing the Gap between Research Findings and Industry Practice.”</w:t>
            </w:r>
          </w:p>
        </w:tc>
        <w:tc>
          <w:tcPr>
            <w:tcW w:w="1417" w:type="dxa"/>
          </w:tcPr>
          <w:p w14:paraId="214D7639" w14:textId="02FCDECB" w:rsidR="00042410"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model </w:t>
            </w:r>
          </w:p>
        </w:tc>
        <w:tc>
          <w:tcPr>
            <w:tcW w:w="2268" w:type="dxa"/>
          </w:tcPr>
          <w:p w14:paraId="33BD2806" w14:textId="07FC7941" w:rsidR="00042410" w:rsidRPr="00710DFA" w:rsidRDefault="00095C01" w:rsidP="00361F0A">
            <w:pPr>
              <w:spacing w:line="360" w:lineRule="auto"/>
              <w:jc w:val="both"/>
              <w:rPr>
                <w:color w:val="000000" w:themeColor="text1"/>
                <w:sz w:val="24"/>
                <w:szCs w:val="24"/>
                <w:lang w:val="en-GB"/>
              </w:rPr>
            </w:pPr>
            <w:r w:rsidRPr="00710DFA">
              <w:rPr>
                <w:color w:val="000000" w:themeColor="text1"/>
                <w:sz w:val="24"/>
                <w:szCs w:val="24"/>
                <w:lang w:val="en-GB"/>
              </w:rPr>
              <w:t>COVID-19 increased the pace of digital transformation, compelling companies to shift towards technologies which enhanced resilience and coordination.</w:t>
            </w:r>
          </w:p>
        </w:tc>
        <w:tc>
          <w:tcPr>
            <w:tcW w:w="1275" w:type="dxa"/>
          </w:tcPr>
          <w:p w14:paraId="7AB5344F" w14:textId="1E576217" w:rsidR="00042410"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Digital change acceleration</w:t>
            </w:r>
          </w:p>
        </w:tc>
      </w:tr>
      <w:tr w:rsidR="00361F0A" w:rsidRPr="00710DFA" w14:paraId="2735D2D7" w14:textId="77777777" w:rsidTr="00093F9B">
        <w:tc>
          <w:tcPr>
            <w:tcW w:w="583" w:type="dxa"/>
          </w:tcPr>
          <w:p w14:paraId="0EBA00A2" w14:textId="189F2D79" w:rsidR="00042410" w:rsidRPr="00710DFA" w:rsidRDefault="00042410"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5</w:t>
            </w:r>
          </w:p>
        </w:tc>
        <w:tc>
          <w:tcPr>
            <w:tcW w:w="1760" w:type="dxa"/>
          </w:tcPr>
          <w:p w14:paraId="10B7063E" w14:textId="443BDCB8" w:rsidR="00042410"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 xml:space="preserve">Huan </w:t>
            </w:r>
            <w:r w:rsidRPr="00710DFA">
              <w:rPr>
                <w:i/>
                <w:iCs/>
                <w:color w:val="000000" w:themeColor="text1"/>
                <w:sz w:val="24"/>
                <w:szCs w:val="24"/>
                <w:lang w:val="en-GB"/>
              </w:rPr>
              <w:t>e</w:t>
            </w:r>
            <w:r w:rsidRPr="00710DFA">
              <w:rPr>
                <w:color w:val="000000" w:themeColor="text1"/>
                <w:sz w:val="24"/>
                <w:szCs w:val="24"/>
                <w:lang w:val="en-GB"/>
              </w:rPr>
              <w:t xml:space="preserve">t </w:t>
            </w:r>
            <w:r w:rsidRPr="00710DFA">
              <w:rPr>
                <w:i/>
                <w:iCs/>
                <w:color w:val="000000" w:themeColor="text1"/>
                <w:sz w:val="24"/>
                <w:szCs w:val="24"/>
                <w:lang w:val="en-GB"/>
              </w:rPr>
              <w:t>al.,</w:t>
            </w:r>
            <w:r w:rsidRPr="00710DFA">
              <w:rPr>
                <w:color w:val="000000" w:themeColor="text1"/>
                <w:sz w:val="24"/>
                <w:szCs w:val="24"/>
                <w:lang w:val="en-GB"/>
              </w:rPr>
              <w:t xml:space="preserve"> 2023</w:t>
            </w:r>
          </w:p>
        </w:tc>
        <w:tc>
          <w:tcPr>
            <w:tcW w:w="2283" w:type="dxa"/>
          </w:tcPr>
          <w:p w14:paraId="587745A0" w14:textId="5520B994" w:rsidR="00042410"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“The impact of industry 4.0 on supply chain capability and supply chain resilience: A dynamic resource-based view.”</w:t>
            </w:r>
          </w:p>
        </w:tc>
        <w:tc>
          <w:tcPr>
            <w:tcW w:w="1417" w:type="dxa"/>
          </w:tcPr>
          <w:p w14:paraId="72B6E171" w14:textId="38F48124" w:rsidR="00042410"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Quantitative empirical study </w:t>
            </w:r>
          </w:p>
        </w:tc>
        <w:tc>
          <w:tcPr>
            <w:tcW w:w="2268" w:type="dxa"/>
          </w:tcPr>
          <w:p w14:paraId="1F296CDA" w14:textId="77777777" w:rsidR="003E12F6" w:rsidRPr="00710DFA" w:rsidRDefault="003E12F6" w:rsidP="003E12F6">
            <w:pPr>
              <w:spacing w:line="360" w:lineRule="auto"/>
              <w:jc w:val="both"/>
              <w:rPr>
                <w:color w:val="000000" w:themeColor="text1"/>
                <w:sz w:val="24"/>
                <w:szCs w:val="24"/>
                <w:lang w:val="en-GB"/>
              </w:rPr>
            </w:pPr>
            <w:r w:rsidRPr="00710DFA">
              <w:rPr>
                <w:color w:val="000000" w:themeColor="text1"/>
                <w:sz w:val="24"/>
                <w:szCs w:val="24"/>
                <w:lang w:val="en-GB"/>
              </w:rPr>
              <w:t>Industry 4.0 technologies enhanced the ability of the supply chain to be responsive and visible in real-time.</w:t>
            </w:r>
          </w:p>
          <w:p w14:paraId="6CF38F7A" w14:textId="77777777" w:rsidR="00042410" w:rsidRPr="00710DFA" w:rsidRDefault="00042410" w:rsidP="00361F0A">
            <w:pPr>
              <w:spacing w:line="360" w:lineRule="auto"/>
              <w:jc w:val="both"/>
              <w:rPr>
                <w:color w:val="000000" w:themeColor="text1"/>
                <w:sz w:val="24"/>
                <w:szCs w:val="24"/>
                <w:lang w:val="en-GB"/>
              </w:rPr>
            </w:pPr>
          </w:p>
        </w:tc>
        <w:tc>
          <w:tcPr>
            <w:tcW w:w="1275" w:type="dxa"/>
          </w:tcPr>
          <w:p w14:paraId="56D43D05" w14:textId="53E8383F" w:rsidR="00042410"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Implementation of real-time visibility utensils</w:t>
            </w:r>
          </w:p>
        </w:tc>
      </w:tr>
      <w:tr w:rsidR="00361F0A" w:rsidRPr="00710DFA" w14:paraId="1A8399D4" w14:textId="77777777" w:rsidTr="00093F9B">
        <w:tc>
          <w:tcPr>
            <w:tcW w:w="583" w:type="dxa"/>
          </w:tcPr>
          <w:p w14:paraId="24BF3690" w14:textId="2DA0352E"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6</w:t>
            </w:r>
          </w:p>
        </w:tc>
        <w:tc>
          <w:tcPr>
            <w:tcW w:w="1760" w:type="dxa"/>
          </w:tcPr>
          <w:p w14:paraId="569CFA05" w14:textId="1AAEF00D"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Sarkis, 2020</w:t>
            </w:r>
          </w:p>
        </w:tc>
        <w:tc>
          <w:tcPr>
            <w:tcW w:w="2283" w:type="dxa"/>
          </w:tcPr>
          <w:p w14:paraId="5F306523" w14:textId="33351297" w:rsidR="008335F7"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sustainability: learning from the COVID-19 pandemic. </w:t>
            </w:r>
            <w:r w:rsidRPr="00710DFA">
              <w:rPr>
                <w:i/>
                <w:iCs/>
                <w:color w:val="000000" w:themeColor="text1"/>
                <w:sz w:val="24"/>
                <w:szCs w:val="24"/>
                <w:lang w:val="en-GB"/>
              </w:rPr>
              <w:t>International Journal of Operations &amp; Production Management</w:t>
            </w:r>
            <w:r w:rsidRPr="00710DFA">
              <w:rPr>
                <w:color w:val="000000" w:themeColor="text1"/>
                <w:sz w:val="24"/>
                <w:szCs w:val="24"/>
                <w:lang w:val="en-GB"/>
              </w:rPr>
              <w:t>,”</w:t>
            </w:r>
          </w:p>
        </w:tc>
        <w:tc>
          <w:tcPr>
            <w:tcW w:w="1417" w:type="dxa"/>
          </w:tcPr>
          <w:p w14:paraId="5EA4C8F4" w14:textId="33298970" w:rsidR="008335F7"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analysis </w:t>
            </w:r>
          </w:p>
        </w:tc>
        <w:tc>
          <w:tcPr>
            <w:tcW w:w="2268" w:type="dxa"/>
          </w:tcPr>
          <w:p w14:paraId="72BE1F4A" w14:textId="21E68729"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Companies changed sourcing policies to nearshoring and reshoring to decrease risks of global dependence.</w:t>
            </w:r>
          </w:p>
        </w:tc>
        <w:tc>
          <w:tcPr>
            <w:tcW w:w="1275" w:type="dxa"/>
          </w:tcPr>
          <w:p w14:paraId="02C3543F" w14:textId="6B1480D4"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Sourcing reconstruction (nearshoring/reshoring)</w:t>
            </w:r>
          </w:p>
        </w:tc>
      </w:tr>
      <w:tr w:rsidR="00361F0A" w:rsidRPr="00710DFA" w14:paraId="1FF83F9D" w14:textId="77777777" w:rsidTr="00093F9B">
        <w:tc>
          <w:tcPr>
            <w:tcW w:w="583" w:type="dxa"/>
          </w:tcPr>
          <w:p w14:paraId="2BF2E13B" w14:textId="7624DE5B"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7</w:t>
            </w:r>
          </w:p>
        </w:tc>
        <w:tc>
          <w:tcPr>
            <w:tcW w:w="1760" w:type="dxa"/>
          </w:tcPr>
          <w:p w14:paraId="1FB769A1" w14:textId="0A6689EC"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 xml:space="preserve">Barbieri </w:t>
            </w:r>
            <w:r w:rsidRPr="00710DFA">
              <w:rPr>
                <w:i/>
                <w:iCs/>
                <w:color w:val="000000" w:themeColor="text1"/>
                <w:sz w:val="24"/>
                <w:szCs w:val="24"/>
                <w:lang w:val="en-GB"/>
              </w:rPr>
              <w:t>et al.,</w:t>
            </w:r>
            <w:r w:rsidRPr="00710DFA">
              <w:rPr>
                <w:color w:val="000000" w:themeColor="text1"/>
                <w:sz w:val="24"/>
                <w:szCs w:val="24"/>
                <w:lang w:val="en-GB"/>
              </w:rPr>
              <w:t xml:space="preserve"> 2020</w:t>
            </w:r>
          </w:p>
        </w:tc>
        <w:tc>
          <w:tcPr>
            <w:tcW w:w="2283" w:type="dxa"/>
          </w:tcPr>
          <w:p w14:paraId="5A5C0D1E" w14:textId="22131E1F"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 xml:space="preserve">“What do we know about manufacturing reshoring? </w:t>
            </w:r>
            <w:r w:rsidRPr="00710DFA">
              <w:rPr>
                <w:i/>
                <w:iCs/>
                <w:color w:val="000000" w:themeColor="text1"/>
                <w:sz w:val="24"/>
                <w:szCs w:val="24"/>
                <w:lang w:val="en-GB"/>
              </w:rPr>
              <w:t>Journal of Global Operations and Strategic Sourcing”</w:t>
            </w:r>
          </w:p>
        </w:tc>
        <w:tc>
          <w:tcPr>
            <w:tcW w:w="1417" w:type="dxa"/>
          </w:tcPr>
          <w:p w14:paraId="18702A9E" w14:textId="60F1EBBA" w:rsidR="008335F7"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Literature review </w:t>
            </w:r>
          </w:p>
        </w:tc>
        <w:tc>
          <w:tcPr>
            <w:tcW w:w="2268" w:type="dxa"/>
          </w:tcPr>
          <w:p w14:paraId="221FA666" w14:textId="66FA8BB7"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Resourcing and dual sourcing became relevant to increase flexibility and decrease the risks of disruption</w:t>
            </w:r>
          </w:p>
        </w:tc>
        <w:tc>
          <w:tcPr>
            <w:tcW w:w="1275" w:type="dxa"/>
          </w:tcPr>
          <w:p w14:paraId="333F56F8" w14:textId="61F66CA3"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Dual sourcing policies</w:t>
            </w:r>
          </w:p>
        </w:tc>
      </w:tr>
      <w:tr w:rsidR="00361F0A" w:rsidRPr="00710DFA" w14:paraId="3D434645" w14:textId="77777777" w:rsidTr="00093F9B">
        <w:tc>
          <w:tcPr>
            <w:tcW w:w="583" w:type="dxa"/>
          </w:tcPr>
          <w:p w14:paraId="11AD2382" w14:textId="7F732F2F"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8</w:t>
            </w:r>
          </w:p>
        </w:tc>
        <w:tc>
          <w:tcPr>
            <w:tcW w:w="1760" w:type="dxa"/>
          </w:tcPr>
          <w:p w14:paraId="3A37F1EB" w14:textId="2D087DEE" w:rsidR="008335F7" w:rsidRPr="00710DFA" w:rsidRDefault="00E07279"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w:t>
            </w:r>
          </w:p>
        </w:tc>
        <w:tc>
          <w:tcPr>
            <w:tcW w:w="2283" w:type="dxa"/>
          </w:tcPr>
          <w:p w14:paraId="0F4886FC" w14:textId="2B6DF7D0" w:rsidR="008335F7" w:rsidRPr="00710DFA" w:rsidRDefault="00CD18A3" w:rsidP="00361F0A">
            <w:pPr>
              <w:spacing w:line="360" w:lineRule="auto"/>
              <w:jc w:val="both"/>
              <w:rPr>
                <w:color w:val="000000" w:themeColor="text1"/>
                <w:sz w:val="24"/>
                <w:szCs w:val="24"/>
                <w:lang w:val="en-GB"/>
              </w:rPr>
            </w:pPr>
            <w:r w:rsidRPr="00710DFA">
              <w:rPr>
                <w:color w:val="000000" w:themeColor="text1"/>
                <w:sz w:val="24"/>
                <w:szCs w:val="24"/>
                <w:lang w:val="en-GB"/>
              </w:rPr>
              <w:t>“Organizational Resilience to Supply Chain Risks During the COVID</w:t>
            </w:r>
            <w:r w:rsidRPr="00710DFA">
              <w:rPr>
                <w:rFonts w:ascii="Cambria Math" w:hAnsi="Cambria Math" w:cs="Cambria Math"/>
                <w:color w:val="000000" w:themeColor="text1"/>
                <w:sz w:val="24"/>
                <w:szCs w:val="24"/>
                <w:lang w:val="en-GB"/>
              </w:rPr>
              <w:t>‐</w:t>
            </w:r>
            <w:r w:rsidRPr="00710DFA">
              <w:rPr>
                <w:color w:val="000000" w:themeColor="text1"/>
                <w:sz w:val="24"/>
                <w:szCs w:val="24"/>
                <w:lang w:val="en-GB"/>
              </w:rPr>
              <w:t>19 Pandemic”</w:t>
            </w:r>
          </w:p>
        </w:tc>
        <w:tc>
          <w:tcPr>
            <w:tcW w:w="1417" w:type="dxa"/>
          </w:tcPr>
          <w:p w14:paraId="6C6F3761" w14:textId="41D566A2" w:rsidR="008335F7"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Empirical study </w:t>
            </w:r>
          </w:p>
        </w:tc>
        <w:tc>
          <w:tcPr>
            <w:tcW w:w="2268" w:type="dxa"/>
          </w:tcPr>
          <w:p w14:paraId="01AC692C" w14:textId="72ED4AD2"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Excellent relations with suppliers and cooperation enhanced resilience to the organization in </w:t>
            </w:r>
            <w:r w:rsidRPr="00710DFA">
              <w:rPr>
                <w:color w:val="000000" w:themeColor="text1"/>
                <w:sz w:val="24"/>
                <w:szCs w:val="24"/>
                <w:lang w:val="en-GB"/>
              </w:rPr>
              <w:lastRenderedPageBreak/>
              <w:t>case of pandemic disruptions.</w:t>
            </w:r>
          </w:p>
        </w:tc>
        <w:tc>
          <w:tcPr>
            <w:tcW w:w="1275" w:type="dxa"/>
          </w:tcPr>
          <w:p w14:paraId="4E4B63DF" w14:textId="613AC7A4"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Strengthening supplier connection</w:t>
            </w:r>
          </w:p>
        </w:tc>
      </w:tr>
      <w:tr w:rsidR="00361F0A" w:rsidRPr="00710DFA" w14:paraId="5251B004" w14:textId="77777777" w:rsidTr="00093F9B">
        <w:tc>
          <w:tcPr>
            <w:tcW w:w="583" w:type="dxa"/>
          </w:tcPr>
          <w:p w14:paraId="58EB90E5" w14:textId="00E60E19"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9</w:t>
            </w:r>
          </w:p>
        </w:tc>
        <w:tc>
          <w:tcPr>
            <w:tcW w:w="1760" w:type="dxa"/>
          </w:tcPr>
          <w:p w14:paraId="60227423" w14:textId="5B6E7BEF"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 xml:space="preserve">Dango </w:t>
            </w:r>
            <w:r w:rsidRPr="00710DFA">
              <w:rPr>
                <w:i/>
                <w:iCs/>
                <w:color w:val="000000" w:themeColor="text1"/>
                <w:sz w:val="24"/>
                <w:szCs w:val="24"/>
                <w:lang w:val="en-GB"/>
              </w:rPr>
              <w:t>et al.,</w:t>
            </w:r>
            <w:r w:rsidRPr="00710DFA">
              <w:rPr>
                <w:color w:val="000000" w:themeColor="text1"/>
                <w:sz w:val="24"/>
                <w:szCs w:val="24"/>
                <w:lang w:val="en-GB"/>
              </w:rPr>
              <w:t xml:space="preserve"> 2024</w:t>
            </w:r>
          </w:p>
        </w:tc>
        <w:tc>
          <w:tcPr>
            <w:tcW w:w="2283" w:type="dxa"/>
          </w:tcPr>
          <w:p w14:paraId="24CE3F7A" w14:textId="0FD2599B"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“Aligning cooperative supply chain relationships with firm strategy: a cross-disciplinary analysis.”</w:t>
            </w:r>
          </w:p>
        </w:tc>
        <w:tc>
          <w:tcPr>
            <w:tcW w:w="1417" w:type="dxa"/>
          </w:tcPr>
          <w:p w14:paraId="17660038" w14:textId="750A41DA" w:rsidR="008335F7"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Cross- disciplinary analysis </w:t>
            </w:r>
          </w:p>
        </w:tc>
        <w:tc>
          <w:tcPr>
            <w:tcW w:w="2268" w:type="dxa"/>
          </w:tcPr>
          <w:p w14:paraId="3F23101A" w14:textId="5A9045EB"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Supply chain relations adjust to firm strategy promoted relational capabilities and resilience.</w:t>
            </w:r>
          </w:p>
        </w:tc>
        <w:tc>
          <w:tcPr>
            <w:tcW w:w="1275" w:type="dxa"/>
          </w:tcPr>
          <w:p w14:paraId="3F2D9248" w14:textId="16FEACB4"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Growth of relational assets</w:t>
            </w:r>
          </w:p>
        </w:tc>
      </w:tr>
      <w:tr w:rsidR="00361F0A" w:rsidRPr="00710DFA" w14:paraId="6D093507" w14:textId="77777777" w:rsidTr="00093F9B">
        <w:tc>
          <w:tcPr>
            <w:tcW w:w="583" w:type="dxa"/>
          </w:tcPr>
          <w:p w14:paraId="22DA7DD2" w14:textId="5D6F451B"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10</w:t>
            </w:r>
          </w:p>
        </w:tc>
        <w:tc>
          <w:tcPr>
            <w:tcW w:w="1760" w:type="dxa"/>
          </w:tcPr>
          <w:p w14:paraId="33199823" w14:textId="231D72C2" w:rsidR="008335F7" w:rsidRPr="00710DFA" w:rsidRDefault="00E07279"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Barmour</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2024</w:t>
            </w:r>
          </w:p>
        </w:tc>
        <w:tc>
          <w:tcPr>
            <w:tcW w:w="2283" w:type="dxa"/>
          </w:tcPr>
          <w:p w14:paraId="77EE4F0D" w14:textId="2B674861"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“Managing supply chain resilience assessment model-relevant factors and activities using an FCM-FBWM approach.”</w:t>
            </w:r>
          </w:p>
        </w:tc>
        <w:tc>
          <w:tcPr>
            <w:tcW w:w="1417" w:type="dxa"/>
          </w:tcPr>
          <w:p w14:paraId="0C5BABD9" w14:textId="1EF9D993" w:rsidR="008335F7" w:rsidRPr="00710DFA" w:rsidRDefault="001E6766" w:rsidP="00361F0A">
            <w:pPr>
              <w:spacing w:line="360" w:lineRule="auto"/>
              <w:jc w:val="both"/>
              <w:rPr>
                <w:color w:val="000000" w:themeColor="text1"/>
                <w:sz w:val="24"/>
                <w:szCs w:val="24"/>
                <w:lang w:val="en-GB"/>
              </w:rPr>
            </w:pPr>
            <w:r w:rsidRPr="00710DFA">
              <w:rPr>
                <w:color w:val="000000" w:themeColor="text1"/>
                <w:sz w:val="24"/>
                <w:szCs w:val="24"/>
                <w:lang w:val="en-GB"/>
              </w:rPr>
              <w:t xml:space="preserve">Model analysis </w:t>
            </w:r>
            <w:r w:rsidR="00BC57B2" w:rsidRPr="00710DFA">
              <w:rPr>
                <w:color w:val="000000" w:themeColor="text1"/>
                <w:sz w:val="24"/>
                <w:szCs w:val="24"/>
                <w:lang w:val="en-GB"/>
              </w:rPr>
              <w:t>+</w:t>
            </w:r>
          </w:p>
        </w:tc>
        <w:tc>
          <w:tcPr>
            <w:tcW w:w="2268" w:type="dxa"/>
          </w:tcPr>
          <w:p w14:paraId="33DC5CB4" w14:textId="3AD37232"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Adaptability and flexibility were found to be critical in evaluating and enhancing the resiliency of the supply chain.</w:t>
            </w:r>
          </w:p>
        </w:tc>
        <w:tc>
          <w:tcPr>
            <w:tcW w:w="1275" w:type="dxa"/>
          </w:tcPr>
          <w:p w14:paraId="27DD3A10" w14:textId="57E47EDC" w:rsidR="008335F7" w:rsidRPr="00710DFA" w:rsidRDefault="00E07279" w:rsidP="00361F0A">
            <w:pPr>
              <w:spacing w:line="360" w:lineRule="auto"/>
              <w:jc w:val="both"/>
              <w:rPr>
                <w:color w:val="000000" w:themeColor="text1"/>
                <w:sz w:val="24"/>
                <w:szCs w:val="24"/>
                <w:lang w:val="en-GB"/>
              </w:rPr>
            </w:pPr>
            <w:r w:rsidRPr="00710DFA">
              <w:rPr>
                <w:color w:val="000000" w:themeColor="text1"/>
                <w:sz w:val="24"/>
                <w:szCs w:val="24"/>
                <w:lang w:val="en-GB"/>
              </w:rPr>
              <w:t>Significance of adaptability</w:t>
            </w:r>
          </w:p>
        </w:tc>
      </w:tr>
      <w:tr w:rsidR="00361F0A" w:rsidRPr="00710DFA" w14:paraId="31E16AC7" w14:textId="77777777" w:rsidTr="00093F9B">
        <w:tc>
          <w:tcPr>
            <w:tcW w:w="583" w:type="dxa"/>
          </w:tcPr>
          <w:p w14:paraId="154436BF" w14:textId="74116C58"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11</w:t>
            </w:r>
          </w:p>
        </w:tc>
        <w:tc>
          <w:tcPr>
            <w:tcW w:w="1760" w:type="dxa"/>
          </w:tcPr>
          <w:p w14:paraId="74F4F1C2" w14:textId="50B46C22"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 xml:space="preserve">Guan </w:t>
            </w:r>
            <w:r w:rsidRPr="00710DFA">
              <w:rPr>
                <w:i/>
                <w:iCs/>
                <w:color w:val="000000" w:themeColor="text1"/>
                <w:sz w:val="24"/>
                <w:szCs w:val="24"/>
                <w:lang w:val="en-GB"/>
              </w:rPr>
              <w:t>et al.</w:t>
            </w:r>
            <w:r w:rsidRPr="00710DFA">
              <w:rPr>
                <w:color w:val="000000" w:themeColor="text1"/>
                <w:sz w:val="24"/>
                <w:szCs w:val="24"/>
                <w:lang w:val="en-GB"/>
              </w:rPr>
              <w:t xml:space="preserve"> 2020</w:t>
            </w:r>
          </w:p>
        </w:tc>
        <w:tc>
          <w:tcPr>
            <w:tcW w:w="2283" w:type="dxa"/>
          </w:tcPr>
          <w:p w14:paraId="73EB9E67" w14:textId="40513BC4"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“Global supply-chain effects of COVID-19 control measures”</w:t>
            </w:r>
          </w:p>
        </w:tc>
        <w:tc>
          <w:tcPr>
            <w:tcW w:w="1417" w:type="dxa"/>
          </w:tcPr>
          <w:p w14:paraId="3128CA3B" w14:textId="05123A66" w:rsidR="008335F7" w:rsidRPr="00710DFA" w:rsidRDefault="008F65E4" w:rsidP="00361F0A">
            <w:pPr>
              <w:spacing w:line="360" w:lineRule="auto"/>
              <w:jc w:val="both"/>
              <w:rPr>
                <w:color w:val="000000" w:themeColor="text1"/>
                <w:sz w:val="24"/>
                <w:szCs w:val="24"/>
                <w:lang w:val="en-GB"/>
              </w:rPr>
            </w:pPr>
            <w:r w:rsidRPr="00710DFA">
              <w:rPr>
                <w:color w:val="000000" w:themeColor="text1"/>
                <w:sz w:val="24"/>
                <w:szCs w:val="24"/>
                <w:lang w:val="en-GB"/>
              </w:rPr>
              <w:t>Empirical</w:t>
            </w:r>
            <w:r w:rsidR="00B225D3" w:rsidRPr="00710DFA">
              <w:rPr>
                <w:color w:val="000000" w:themeColor="text1"/>
                <w:sz w:val="24"/>
                <w:szCs w:val="24"/>
                <w:lang w:val="en-GB"/>
              </w:rPr>
              <w:t xml:space="preserve"> modelling </w:t>
            </w:r>
          </w:p>
        </w:tc>
        <w:tc>
          <w:tcPr>
            <w:tcW w:w="2268" w:type="dxa"/>
          </w:tcPr>
          <w:p w14:paraId="04E31A2C" w14:textId="66D2D3BC"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Cascading global disruptions were brought about by the COVID-19 control measures, curbing production and trade flows in interconnected economies.</w:t>
            </w:r>
          </w:p>
        </w:tc>
        <w:tc>
          <w:tcPr>
            <w:tcW w:w="1275" w:type="dxa"/>
          </w:tcPr>
          <w:p w14:paraId="176FAA35" w14:textId="651360FF" w:rsidR="008335F7" w:rsidRPr="00710DFA" w:rsidRDefault="00B225D3" w:rsidP="00361F0A">
            <w:pPr>
              <w:spacing w:line="360" w:lineRule="auto"/>
              <w:jc w:val="both"/>
              <w:rPr>
                <w:color w:val="000000" w:themeColor="text1"/>
                <w:sz w:val="24"/>
                <w:szCs w:val="24"/>
                <w:lang w:val="en-GB"/>
              </w:rPr>
            </w:pPr>
            <w:r w:rsidRPr="00710DFA">
              <w:rPr>
                <w:color w:val="000000" w:themeColor="text1"/>
                <w:sz w:val="24"/>
                <w:szCs w:val="24"/>
                <w:lang w:val="en-GB"/>
              </w:rPr>
              <w:t xml:space="preserve">Global disruption impact </w:t>
            </w:r>
          </w:p>
        </w:tc>
      </w:tr>
      <w:tr w:rsidR="00361F0A" w:rsidRPr="00710DFA" w14:paraId="2C886A00" w14:textId="77777777" w:rsidTr="00093F9B">
        <w:tc>
          <w:tcPr>
            <w:tcW w:w="583" w:type="dxa"/>
          </w:tcPr>
          <w:p w14:paraId="2FCA1EA0" w14:textId="6A121ADE"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12</w:t>
            </w:r>
          </w:p>
        </w:tc>
        <w:tc>
          <w:tcPr>
            <w:tcW w:w="1760" w:type="dxa"/>
          </w:tcPr>
          <w:p w14:paraId="78059ACA" w14:textId="65D636C6"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 xml:space="preserve">Ivanov, and </w:t>
            </w:r>
            <w:proofErr w:type="spellStart"/>
            <w:r w:rsidRPr="00710DFA">
              <w:rPr>
                <w:color w:val="000000" w:themeColor="text1"/>
                <w:sz w:val="24"/>
                <w:szCs w:val="24"/>
                <w:lang w:val="en-GB"/>
              </w:rPr>
              <w:t>Dolgui</w:t>
            </w:r>
            <w:proofErr w:type="spellEnd"/>
            <w:r w:rsidRPr="00710DFA">
              <w:rPr>
                <w:color w:val="000000" w:themeColor="text1"/>
                <w:sz w:val="24"/>
                <w:szCs w:val="24"/>
                <w:lang w:val="en-GB"/>
              </w:rPr>
              <w:t>, 2020</w:t>
            </w:r>
          </w:p>
        </w:tc>
        <w:tc>
          <w:tcPr>
            <w:tcW w:w="2283" w:type="dxa"/>
          </w:tcPr>
          <w:p w14:paraId="0A104035" w14:textId="43C2C219"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 xml:space="preserve">“OR-methods for coping with the ripple effect in supply chains during COVID-19 pandemic: Managerial insights </w:t>
            </w:r>
            <w:r w:rsidRPr="00710DFA">
              <w:rPr>
                <w:color w:val="000000" w:themeColor="text1"/>
                <w:sz w:val="24"/>
                <w:szCs w:val="24"/>
                <w:lang w:val="en-GB"/>
              </w:rPr>
              <w:lastRenderedPageBreak/>
              <w:t>and research implications.”</w:t>
            </w:r>
          </w:p>
        </w:tc>
        <w:tc>
          <w:tcPr>
            <w:tcW w:w="1417" w:type="dxa"/>
          </w:tcPr>
          <w:p w14:paraId="2C7BD871" w14:textId="01674C39" w:rsidR="008335F7" w:rsidRPr="00710DFA" w:rsidRDefault="00B81AB3"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Analytical modelling </w:t>
            </w:r>
          </w:p>
        </w:tc>
        <w:tc>
          <w:tcPr>
            <w:tcW w:w="2268" w:type="dxa"/>
          </w:tcPr>
          <w:p w14:paraId="262B40D1" w14:textId="2C7174B2"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disruptions were amplified and underscoring the need to take proactive risk </w:t>
            </w:r>
            <w:r w:rsidRPr="00710DFA">
              <w:rPr>
                <w:color w:val="000000" w:themeColor="text1"/>
                <w:sz w:val="24"/>
                <w:szCs w:val="24"/>
                <w:lang w:val="en-GB"/>
              </w:rPr>
              <w:lastRenderedPageBreak/>
              <w:t>mitigation measures.</w:t>
            </w:r>
          </w:p>
        </w:tc>
        <w:tc>
          <w:tcPr>
            <w:tcW w:w="1275" w:type="dxa"/>
          </w:tcPr>
          <w:p w14:paraId="64625CA1" w14:textId="4981ABD6" w:rsidR="008335F7" w:rsidRPr="00710DFA" w:rsidRDefault="00B81AB3"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Ripple effect risks</w:t>
            </w:r>
          </w:p>
        </w:tc>
      </w:tr>
      <w:tr w:rsidR="00361F0A" w:rsidRPr="00710DFA" w14:paraId="2CAB24B5" w14:textId="77777777" w:rsidTr="00093F9B">
        <w:tc>
          <w:tcPr>
            <w:tcW w:w="583" w:type="dxa"/>
          </w:tcPr>
          <w:p w14:paraId="17A6BFC8" w14:textId="10C07A47"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13</w:t>
            </w:r>
          </w:p>
        </w:tc>
        <w:tc>
          <w:tcPr>
            <w:tcW w:w="1760" w:type="dxa"/>
          </w:tcPr>
          <w:p w14:paraId="731817AC" w14:textId="44192542"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Kiyota, 2021</w:t>
            </w:r>
          </w:p>
        </w:tc>
        <w:tc>
          <w:tcPr>
            <w:tcW w:w="2283" w:type="dxa"/>
          </w:tcPr>
          <w:p w14:paraId="7E510E47" w14:textId="48436D3B" w:rsidR="008335F7" w:rsidRPr="00710DFA" w:rsidRDefault="00E76844" w:rsidP="00361F0A">
            <w:pPr>
              <w:spacing w:line="360" w:lineRule="auto"/>
              <w:jc w:val="both"/>
              <w:rPr>
                <w:color w:val="000000" w:themeColor="text1"/>
                <w:sz w:val="24"/>
                <w:szCs w:val="24"/>
                <w:lang w:val="en-GB"/>
              </w:rPr>
            </w:pPr>
            <w:r w:rsidRPr="00710DFA">
              <w:rPr>
                <w:color w:val="000000" w:themeColor="text1"/>
                <w:sz w:val="24"/>
                <w:szCs w:val="24"/>
                <w:lang w:val="en-GB"/>
              </w:rPr>
              <w:t>“The COVID-19 Pandemic and the World Trade Network”</w:t>
            </w:r>
          </w:p>
        </w:tc>
        <w:tc>
          <w:tcPr>
            <w:tcW w:w="1417" w:type="dxa"/>
          </w:tcPr>
          <w:p w14:paraId="069DB01C" w14:textId="4D12B0FD" w:rsidR="008335F7" w:rsidRPr="00710DFA" w:rsidRDefault="00B81AB3" w:rsidP="00361F0A">
            <w:pPr>
              <w:spacing w:line="360" w:lineRule="auto"/>
              <w:jc w:val="both"/>
              <w:rPr>
                <w:color w:val="000000" w:themeColor="text1"/>
                <w:sz w:val="24"/>
                <w:szCs w:val="24"/>
                <w:lang w:val="en-GB"/>
              </w:rPr>
            </w:pPr>
            <w:r w:rsidRPr="00710DFA">
              <w:rPr>
                <w:color w:val="000000" w:themeColor="text1"/>
                <w:sz w:val="24"/>
                <w:szCs w:val="24"/>
                <w:lang w:val="en-GB"/>
              </w:rPr>
              <w:t xml:space="preserve">Network analysis </w:t>
            </w:r>
          </w:p>
        </w:tc>
        <w:tc>
          <w:tcPr>
            <w:tcW w:w="2268" w:type="dxa"/>
          </w:tcPr>
          <w:p w14:paraId="6A79CE74" w14:textId="5B1DC7A1"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Pandemic altered the world trade systems, making connectivity less probable and making countries more dependent.</w:t>
            </w:r>
          </w:p>
        </w:tc>
        <w:tc>
          <w:tcPr>
            <w:tcW w:w="1275" w:type="dxa"/>
          </w:tcPr>
          <w:p w14:paraId="5DF21F64" w14:textId="53D8527B" w:rsidR="008335F7" w:rsidRPr="00710DFA" w:rsidRDefault="00B81AB3" w:rsidP="00361F0A">
            <w:pPr>
              <w:spacing w:line="360" w:lineRule="auto"/>
              <w:jc w:val="both"/>
              <w:rPr>
                <w:color w:val="000000" w:themeColor="text1"/>
                <w:sz w:val="24"/>
                <w:szCs w:val="24"/>
                <w:lang w:val="en-GB"/>
              </w:rPr>
            </w:pPr>
            <w:r w:rsidRPr="00710DFA">
              <w:rPr>
                <w:color w:val="000000" w:themeColor="text1"/>
                <w:sz w:val="24"/>
                <w:szCs w:val="24"/>
                <w:lang w:val="en-GB"/>
              </w:rPr>
              <w:t xml:space="preserve">Trade network shift </w:t>
            </w:r>
          </w:p>
        </w:tc>
      </w:tr>
      <w:tr w:rsidR="00361F0A" w:rsidRPr="00710DFA" w14:paraId="70AB892A" w14:textId="77777777" w:rsidTr="00093F9B">
        <w:tc>
          <w:tcPr>
            <w:tcW w:w="583" w:type="dxa"/>
          </w:tcPr>
          <w:p w14:paraId="3CAC0461" w14:textId="3422E5E8"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14</w:t>
            </w:r>
          </w:p>
        </w:tc>
        <w:tc>
          <w:tcPr>
            <w:tcW w:w="1760" w:type="dxa"/>
          </w:tcPr>
          <w:p w14:paraId="2E30C1CD" w14:textId="2AD17CF0" w:rsidR="008335F7"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1F8790AB" w14:textId="61896FC6" w:rsidR="008335F7"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“Developing capabilities for supply chain resilience in a post-COVID world: A machine learning-based thematic analysis”</w:t>
            </w:r>
          </w:p>
        </w:tc>
        <w:tc>
          <w:tcPr>
            <w:tcW w:w="1417" w:type="dxa"/>
          </w:tcPr>
          <w:p w14:paraId="2EC5B6A1" w14:textId="10410C88" w:rsidR="008335F7" w:rsidRPr="00710DFA" w:rsidRDefault="00B81AB3" w:rsidP="00361F0A">
            <w:pPr>
              <w:spacing w:line="360" w:lineRule="auto"/>
              <w:jc w:val="both"/>
              <w:rPr>
                <w:color w:val="000000" w:themeColor="text1"/>
                <w:sz w:val="24"/>
                <w:szCs w:val="24"/>
                <w:lang w:val="en-GB"/>
              </w:rPr>
            </w:pPr>
            <w:r w:rsidRPr="00710DFA">
              <w:rPr>
                <w:color w:val="000000" w:themeColor="text1"/>
                <w:sz w:val="24"/>
                <w:szCs w:val="24"/>
                <w:lang w:val="en-GB"/>
              </w:rPr>
              <w:t>Thematic analysis</w:t>
            </w:r>
          </w:p>
        </w:tc>
        <w:tc>
          <w:tcPr>
            <w:tcW w:w="2268" w:type="dxa"/>
          </w:tcPr>
          <w:p w14:paraId="71FC1567" w14:textId="5B29DA19"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Agility, redundancy, and the ability to integrate digitally helped firms to build resilience in the wake of COVID.</w:t>
            </w:r>
          </w:p>
        </w:tc>
        <w:tc>
          <w:tcPr>
            <w:tcW w:w="1275" w:type="dxa"/>
          </w:tcPr>
          <w:p w14:paraId="6ECE053B" w14:textId="35CCF7AF" w:rsidR="008335F7" w:rsidRPr="00710DFA" w:rsidRDefault="00B81AB3" w:rsidP="00361F0A">
            <w:pPr>
              <w:spacing w:line="360" w:lineRule="auto"/>
              <w:jc w:val="both"/>
              <w:rPr>
                <w:color w:val="000000" w:themeColor="text1"/>
                <w:sz w:val="24"/>
                <w:szCs w:val="24"/>
                <w:lang w:val="en-GB"/>
              </w:rPr>
            </w:pPr>
            <w:r w:rsidRPr="00710DFA">
              <w:rPr>
                <w:color w:val="000000" w:themeColor="text1"/>
                <w:sz w:val="24"/>
                <w:szCs w:val="24"/>
                <w:lang w:val="en-GB"/>
              </w:rPr>
              <w:t xml:space="preserve">Capability development </w:t>
            </w:r>
          </w:p>
        </w:tc>
      </w:tr>
      <w:tr w:rsidR="00361F0A" w:rsidRPr="00710DFA" w14:paraId="21F65674" w14:textId="77777777" w:rsidTr="00093F9B">
        <w:tc>
          <w:tcPr>
            <w:tcW w:w="583" w:type="dxa"/>
          </w:tcPr>
          <w:p w14:paraId="7FB9FD46" w14:textId="19B8F067"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15</w:t>
            </w:r>
          </w:p>
        </w:tc>
        <w:tc>
          <w:tcPr>
            <w:tcW w:w="1760" w:type="dxa"/>
          </w:tcPr>
          <w:p w14:paraId="1D3671B9" w14:textId="1425D1B8" w:rsidR="008335F7" w:rsidRPr="00710DFA" w:rsidRDefault="00B21417"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Magableh</w:t>
            </w:r>
            <w:proofErr w:type="spellEnd"/>
            <w:r w:rsidRPr="00710DFA">
              <w:rPr>
                <w:color w:val="000000" w:themeColor="text1"/>
                <w:sz w:val="24"/>
                <w:szCs w:val="24"/>
                <w:lang w:val="en-GB"/>
              </w:rPr>
              <w:t>, 2021</w:t>
            </w:r>
          </w:p>
        </w:tc>
        <w:tc>
          <w:tcPr>
            <w:tcW w:w="2283" w:type="dxa"/>
          </w:tcPr>
          <w:p w14:paraId="4CB59375" w14:textId="0E43B358" w:rsidR="008335F7"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“Supply Chains and the COVID</w:t>
            </w:r>
            <w:r w:rsidRPr="00710DFA">
              <w:rPr>
                <w:rFonts w:ascii="Cambria Math" w:hAnsi="Cambria Math" w:cs="Cambria Math"/>
                <w:color w:val="000000" w:themeColor="text1"/>
                <w:sz w:val="24"/>
                <w:szCs w:val="24"/>
                <w:lang w:val="en-GB"/>
              </w:rPr>
              <w:t>‐</w:t>
            </w:r>
            <w:r w:rsidRPr="00710DFA">
              <w:rPr>
                <w:color w:val="000000" w:themeColor="text1"/>
                <w:sz w:val="24"/>
                <w:szCs w:val="24"/>
                <w:lang w:val="en-GB"/>
              </w:rPr>
              <w:t>19 Pandemic: A Comprehensive Framework”</w:t>
            </w:r>
          </w:p>
        </w:tc>
        <w:tc>
          <w:tcPr>
            <w:tcW w:w="1417" w:type="dxa"/>
          </w:tcPr>
          <w:p w14:paraId="6CE6D3C1" w14:textId="5CE7764B" w:rsidR="008335F7" w:rsidRPr="00710DFA" w:rsidRDefault="00D525CA" w:rsidP="00361F0A">
            <w:pPr>
              <w:spacing w:line="360" w:lineRule="auto"/>
              <w:jc w:val="both"/>
              <w:rPr>
                <w:color w:val="000000" w:themeColor="text1"/>
                <w:sz w:val="24"/>
                <w:szCs w:val="24"/>
                <w:lang w:val="en-GB"/>
              </w:rPr>
            </w:pPr>
            <w:r w:rsidRPr="00710DFA">
              <w:rPr>
                <w:color w:val="000000" w:themeColor="text1"/>
                <w:sz w:val="24"/>
                <w:szCs w:val="24"/>
                <w:lang w:val="en-GB"/>
              </w:rPr>
              <w:t>Conceptual analysis</w:t>
            </w:r>
          </w:p>
        </w:tc>
        <w:tc>
          <w:tcPr>
            <w:tcW w:w="2268" w:type="dxa"/>
          </w:tcPr>
          <w:p w14:paraId="6E5694A9" w14:textId="0E4F7588"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Recommended combined framework focusing on preparedness, response, and recovery stages to supply chain resilience.</w:t>
            </w:r>
          </w:p>
        </w:tc>
        <w:tc>
          <w:tcPr>
            <w:tcW w:w="1275" w:type="dxa"/>
          </w:tcPr>
          <w:p w14:paraId="0A9219D9" w14:textId="50D04B87" w:rsidR="008335F7" w:rsidRPr="00710DFA" w:rsidRDefault="00D525CA" w:rsidP="00361F0A">
            <w:pPr>
              <w:spacing w:line="360" w:lineRule="auto"/>
              <w:jc w:val="both"/>
              <w:rPr>
                <w:color w:val="000000" w:themeColor="text1"/>
                <w:sz w:val="24"/>
                <w:szCs w:val="24"/>
                <w:lang w:val="en-GB"/>
              </w:rPr>
            </w:pPr>
            <w:r w:rsidRPr="00710DFA">
              <w:rPr>
                <w:color w:val="000000" w:themeColor="text1"/>
                <w:sz w:val="24"/>
                <w:szCs w:val="24"/>
                <w:lang w:val="en-GB"/>
              </w:rPr>
              <w:t xml:space="preserve">Resilience framework </w:t>
            </w:r>
          </w:p>
        </w:tc>
      </w:tr>
      <w:tr w:rsidR="00361F0A" w:rsidRPr="00710DFA" w14:paraId="2D7C7CC1" w14:textId="77777777" w:rsidTr="00093F9B">
        <w:tc>
          <w:tcPr>
            <w:tcW w:w="583" w:type="dxa"/>
          </w:tcPr>
          <w:p w14:paraId="025F5199" w14:textId="6EE8D511"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16</w:t>
            </w:r>
          </w:p>
        </w:tc>
        <w:tc>
          <w:tcPr>
            <w:tcW w:w="1760" w:type="dxa"/>
          </w:tcPr>
          <w:p w14:paraId="1DCA0991" w14:textId="7287D51A" w:rsidR="008335F7"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 xml:space="preserve">Niu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6ADDAEE1" w14:textId="51335105" w:rsidR="008335F7" w:rsidRPr="00710DFA" w:rsidRDefault="00B21417" w:rsidP="00361F0A">
            <w:pPr>
              <w:spacing w:line="360" w:lineRule="auto"/>
              <w:jc w:val="both"/>
              <w:rPr>
                <w:color w:val="000000" w:themeColor="text1"/>
                <w:sz w:val="24"/>
                <w:szCs w:val="24"/>
                <w:lang w:val="en-GB"/>
              </w:rPr>
            </w:pPr>
            <w:r w:rsidRPr="00710DFA">
              <w:rPr>
                <w:color w:val="000000" w:themeColor="text1"/>
                <w:sz w:val="24"/>
                <w:szCs w:val="24"/>
                <w:lang w:val="en-GB"/>
              </w:rPr>
              <w:t>“Global Supply Chain Restructuring During the Covid-19 Pandemic.”</w:t>
            </w:r>
          </w:p>
        </w:tc>
        <w:tc>
          <w:tcPr>
            <w:tcW w:w="1417" w:type="dxa"/>
          </w:tcPr>
          <w:p w14:paraId="558AEF37" w14:textId="36487376" w:rsidR="008335F7" w:rsidRPr="00710DFA" w:rsidRDefault="008829B3"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analysis </w:t>
            </w:r>
          </w:p>
        </w:tc>
        <w:tc>
          <w:tcPr>
            <w:tcW w:w="2268" w:type="dxa"/>
          </w:tcPr>
          <w:p w14:paraId="4E07E606" w14:textId="2642D215" w:rsidR="008335F7" w:rsidRPr="00710DFA" w:rsidRDefault="003E12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Companies reshaped their supply chains through supplier diversification and </w:t>
            </w:r>
            <w:r w:rsidRPr="00710DFA">
              <w:rPr>
                <w:color w:val="000000" w:themeColor="text1"/>
                <w:sz w:val="24"/>
                <w:szCs w:val="24"/>
                <w:lang w:val="en-GB"/>
              </w:rPr>
              <w:lastRenderedPageBreak/>
              <w:t>regionalisation to minimise risks.</w:t>
            </w:r>
          </w:p>
        </w:tc>
        <w:tc>
          <w:tcPr>
            <w:tcW w:w="1275" w:type="dxa"/>
          </w:tcPr>
          <w:p w14:paraId="2010543D" w14:textId="1DB6A8A1" w:rsidR="008335F7" w:rsidRPr="00710DFA" w:rsidRDefault="008829B3"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Supply chain restructuring </w:t>
            </w:r>
          </w:p>
        </w:tc>
      </w:tr>
      <w:tr w:rsidR="00361F0A" w:rsidRPr="00710DFA" w14:paraId="7AFB8EDC" w14:textId="77777777" w:rsidTr="00093F9B">
        <w:tc>
          <w:tcPr>
            <w:tcW w:w="583" w:type="dxa"/>
          </w:tcPr>
          <w:p w14:paraId="1BCAD4BA" w14:textId="1F216776"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17</w:t>
            </w:r>
          </w:p>
        </w:tc>
        <w:tc>
          <w:tcPr>
            <w:tcW w:w="1760" w:type="dxa"/>
          </w:tcPr>
          <w:p w14:paraId="4F4FAA87" w14:textId="60DB224F" w:rsidR="008335F7" w:rsidRPr="00710DFA" w:rsidRDefault="00CD18A3" w:rsidP="00361F0A">
            <w:pPr>
              <w:spacing w:line="360" w:lineRule="auto"/>
              <w:jc w:val="both"/>
              <w:rPr>
                <w:color w:val="000000" w:themeColor="text1"/>
                <w:sz w:val="24"/>
                <w:szCs w:val="24"/>
                <w:lang w:val="en-GB"/>
              </w:rPr>
            </w:pPr>
            <w:r w:rsidRPr="00710DFA">
              <w:rPr>
                <w:color w:val="000000" w:themeColor="text1"/>
                <w:sz w:val="24"/>
                <w:szCs w:val="24"/>
                <w:lang w:val="en-GB"/>
              </w:rPr>
              <w:t xml:space="preserve">Xu </w:t>
            </w:r>
            <w:r w:rsidRPr="00710DFA">
              <w:rPr>
                <w:i/>
                <w:iCs/>
                <w:color w:val="000000" w:themeColor="text1"/>
                <w:sz w:val="24"/>
                <w:szCs w:val="24"/>
                <w:lang w:val="en-GB"/>
              </w:rPr>
              <w:t>et al.,</w:t>
            </w:r>
            <w:r w:rsidRPr="00710DFA">
              <w:rPr>
                <w:color w:val="000000" w:themeColor="text1"/>
                <w:sz w:val="24"/>
                <w:szCs w:val="24"/>
                <w:lang w:val="en-GB"/>
              </w:rPr>
              <w:t xml:space="preserve"> 2020</w:t>
            </w:r>
          </w:p>
        </w:tc>
        <w:tc>
          <w:tcPr>
            <w:tcW w:w="2283" w:type="dxa"/>
          </w:tcPr>
          <w:p w14:paraId="3E4DD768" w14:textId="0B7A1319" w:rsidR="008335F7" w:rsidRPr="00710DFA" w:rsidRDefault="00CD18A3" w:rsidP="00361F0A">
            <w:pPr>
              <w:spacing w:line="360" w:lineRule="auto"/>
              <w:jc w:val="both"/>
              <w:rPr>
                <w:color w:val="000000" w:themeColor="text1"/>
                <w:sz w:val="24"/>
                <w:szCs w:val="24"/>
                <w:lang w:val="en-GB"/>
              </w:rPr>
            </w:pPr>
            <w:r w:rsidRPr="00710DFA">
              <w:rPr>
                <w:color w:val="000000" w:themeColor="text1"/>
                <w:sz w:val="24"/>
                <w:szCs w:val="24"/>
                <w:lang w:val="en-GB"/>
              </w:rPr>
              <w:t>“Impacts of COVID-19 on Global Supply Chains: Facts and Perspectives.”</w:t>
            </w:r>
          </w:p>
        </w:tc>
        <w:tc>
          <w:tcPr>
            <w:tcW w:w="1417" w:type="dxa"/>
          </w:tcPr>
          <w:p w14:paraId="4B4D8CDE" w14:textId="57B667CB" w:rsidR="008335F7" w:rsidRPr="00710DFA" w:rsidRDefault="001E6DD4"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Literature review </w:t>
            </w:r>
          </w:p>
        </w:tc>
        <w:tc>
          <w:tcPr>
            <w:tcW w:w="2268" w:type="dxa"/>
          </w:tcPr>
          <w:p w14:paraId="7922038D" w14:textId="1F19396F"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COVID-19 revealed such weaknesses as the inability to flex and reliance on global sourcing networks.</w:t>
            </w:r>
          </w:p>
        </w:tc>
        <w:tc>
          <w:tcPr>
            <w:tcW w:w="1275" w:type="dxa"/>
          </w:tcPr>
          <w:p w14:paraId="28EF2F6F" w14:textId="68F2B081" w:rsidR="008335F7" w:rsidRPr="00710DFA" w:rsidRDefault="001E6DD4" w:rsidP="00361F0A">
            <w:pPr>
              <w:spacing w:line="360" w:lineRule="auto"/>
              <w:jc w:val="both"/>
              <w:rPr>
                <w:color w:val="000000" w:themeColor="text1"/>
                <w:sz w:val="24"/>
                <w:szCs w:val="24"/>
                <w:lang w:val="en-GB"/>
              </w:rPr>
            </w:pPr>
            <w:r w:rsidRPr="00710DFA">
              <w:rPr>
                <w:color w:val="000000" w:themeColor="text1"/>
                <w:sz w:val="24"/>
                <w:szCs w:val="24"/>
                <w:lang w:val="en-GB"/>
              </w:rPr>
              <w:t xml:space="preserve">Structural vulnerabilities </w:t>
            </w:r>
          </w:p>
        </w:tc>
      </w:tr>
      <w:tr w:rsidR="00361F0A" w:rsidRPr="00710DFA" w14:paraId="454EB3F9" w14:textId="77777777" w:rsidTr="00093F9B">
        <w:tc>
          <w:tcPr>
            <w:tcW w:w="583" w:type="dxa"/>
          </w:tcPr>
          <w:p w14:paraId="1FA49073" w14:textId="6A873F8D"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18</w:t>
            </w:r>
          </w:p>
        </w:tc>
        <w:tc>
          <w:tcPr>
            <w:tcW w:w="1760" w:type="dxa"/>
          </w:tcPr>
          <w:p w14:paraId="07464F71" w14:textId="0F37CD69" w:rsidR="008335F7" w:rsidRPr="00710DFA" w:rsidRDefault="003D3177"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Gurbuz</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2F62565A" w14:textId="5FCEC801" w:rsidR="008335F7" w:rsidRPr="00710DFA" w:rsidRDefault="003D3177" w:rsidP="00361F0A">
            <w:pPr>
              <w:spacing w:line="360" w:lineRule="auto"/>
              <w:jc w:val="both"/>
              <w:rPr>
                <w:color w:val="000000" w:themeColor="text1"/>
                <w:sz w:val="24"/>
                <w:szCs w:val="24"/>
                <w:lang w:val="en-GB"/>
              </w:rPr>
            </w:pPr>
            <w:r w:rsidRPr="00710DFA">
              <w:rPr>
                <w:color w:val="000000" w:themeColor="text1"/>
                <w:sz w:val="24"/>
                <w:szCs w:val="24"/>
                <w:lang w:val="en-GB"/>
              </w:rPr>
              <w:t>“Global supply chains risks and COVID-19: Supply chain structure as a mitigating strategy for small and medium-sized enterprises.”</w:t>
            </w:r>
          </w:p>
        </w:tc>
        <w:tc>
          <w:tcPr>
            <w:tcW w:w="1417" w:type="dxa"/>
          </w:tcPr>
          <w:p w14:paraId="6A978C4A" w14:textId="66C99637"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Empirical study </w:t>
            </w:r>
          </w:p>
        </w:tc>
        <w:tc>
          <w:tcPr>
            <w:tcW w:w="2268" w:type="dxa"/>
          </w:tcPr>
          <w:p w14:paraId="52EDEBAB" w14:textId="598285AC"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SMEs also minimized risks due to the flexibility of their supply chain and local sourcing policies.</w:t>
            </w:r>
          </w:p>
        </w:tc>
        <w:tc>
          <w:tcPr>
            <w:tcW w:w="1275" w:type="dxa"/>
          </w:tcPr>
          <w:p w14:paraId="0C76D179" w14:textId="46FF2C5E"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SME adaptability </w:t>
            </w:r>
          </w:p>
        </w:tc>
      </w:tr>
      <w:tr w:rsidR="00361F0A" w:rsidRPr="00710DFA" w14:paraId="4261538E" w14:textId="77777777" w:rsidTr="00093F9B">
        <w:tc>
          <w:tcPr>
            <w:tcW w:w="583" w:type="dxa"/>
          </w:tcPr>
          <w:p w14:paraId="775B26F4" w14:textId="0684169E"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19</w:t>
            </w:r>
          </w:p>
        </w:tc>
        <w:tc>
          <w:tcPr>
            <w:tcW w:w="1760" w:type="dxa"/>
          </w:tcPr>
          <w:p w14:paraId="7EF25420" w14:textId="0D371BBC"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Yu </w:t>
            </w:r>
            <w:r w:rsidRPr="00710DFA">
              <w:rPr>
                <w:i/>
                <w:iCs/>
                <w:color w:val="000000" w:themeColor="text1"/>
                <w:sz w:val="24"/>
                <w:szCs w:val="24"/>
                <w:lang w:val="en-GB"/>
              </w:rPr>
              <w:t>et al.</w:t>
            </w:r>
            <w:r w:rsidRPr="00710DFA">
              <w:rPr>
                <w:color w:val="000000" w:themeColor="text1"/>
                <w:sz w:val="24"/>
                <w:szCs w:val="24"/>
                <w:lang w:val="en-GB"/>
              </w:rPr>
              <w:t xml:space="preserve"> 2022</w:t>
            </w:r>
          </w:p>
        </w:tc>
        <w:tc>
          <w:tcPr>
            <w:tcW w:w="2283" w:type="dxa"/>
          </w:tcPr>
          <w:p w14:paraId="319248A3" w14:textId="5B304490"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“Disruption in global supply chain and socio-economic shocks: a lesson from COVID-19 for sustainable production and consumption.”</w:t>
            </w:r>
          </w:p>
        </w:tc>
        <w:tc>
          <w:tcPr>
            <w:tcW w:w="1417" w:type="dxa"/>
          </w:tcPr>
          <w:p w14:paraId="53F9562D" w14:textId="74D8A38B"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analysis </w:t>
            </w:r>
          </w:p>
        </w:tc>
        <w:tc>
          <w:tcPr>
            <w:tcW w:w="2268" w:type="dxa"/>
          </w:tcPr>
          <w:p w14:paraId="1F6BE8B2" w14:textId="782A1096"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Pandemic brought about socio-economic shocks, driving firms to sustainable and resilient production models.</w:t>
            </w:r>
          </w:p>
        </w:tc>
        <w:tc>
          <w:tcPr>
            <w:tcW w:w="1275" w:type="dxa"/>
          </w:tcPr>
          <w:p w14:paraId="09CAC12B" w14:textId="0CCE1B55"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Sustainability shift </w:t>
            </w:r>
          </w:p>
        </w:tc>
      </w:tr>
      <w:tr w:rsidR="00361F0A" w:rsidRPr="00710DFA" w14:paraId="1C2C2580" w14:textId="77777777" w:rsidTr="00093F9B">
        <w:tc>
          <w:tcPr>
            <w:tcW w:w="583" w:type="dxa"/>
          </w:tcPr>
          <w:p w14:paraId="316103BE" w14:textId="6A4AC107"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20</w:t>
            </w:r>
          </w:p>
        </w:tc>
        <w:tc>
          <w:tcPr>
            <w:tcW w:w="1760" w:type="dxa"/>
          </w:tcPr>
          <w:p w14:paraId="71D96C68" w14:textId="6644E4E4"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Duong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3D20D08F" w14:textId="0DA0FC85"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“Risks and supply chain performance: globalization and COVID-19 perspectives.”</w:t>
            </w:r>
          </w:p>
        </w:tc>
        <w:tc>
          <w:tcPr>
            <w:tcW w:w="1417" w:type="dxa"/>
          </w:tcPr>
          <w:p w14:paraId="2EEDE4AD" w14:textId="56D3FE85"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Empirical study </w:t>
            </w:r>
          </w:p>
        </w:tc>
        <w:tc>
          <w:tcPr>
            <w:tcW w:w="2268" w:type="dxa"/>
          </w:tcPr>
          <w:p w14:paraId="776A9BCF" w14:textId="442C2623"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 xml:space="preserve">Global risks adversely affected the performance of supply chains, particularly in </w:t>
            </w:r>
            <w:r w:rsidRPr="00710DFA">
              <w:rPr>
                <w:color w:val="000000" w:themeColor="text1"/>
                <w:sz w:val="24"/>
                <w:szCs w:val="24"/>
                <w:lang w:val="en-GB"/>
              </w:rPr>
              <w:lastRenderedPageBreak/>
              <w:t>highly globalized systems.</w:t>
            </w:r>
          </w:p>
        </w:tc>
        <w:tc>
          <w:tcPr>
            <w:tcW w:w="1275" w:type="dxa"/>
          </w:tcPr>
          <w:p w14:paraId="4FE841AB" w14:textId="2739A719"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Risk performance link </w:t>
            </w:r>
          </w:p>
        </w:tc>
      </w:tr>
      <w:tr w:rsidR="00361F0A" w:rsidRPr="00710DFA" w14:paraId="45F6011A" w14:textId="77777777" w:rsidTr="00093F9B">
        <w:tc>
          <w:tcPr>
            <w:tcW w:w="583" w:type="dxa"/>
          </w:tcPr>
          <w:p w14:paraId="64A753F3" w14:textId="255D828C"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21</w:t>
            </w:r>
          </w:p>
        </w:tc>
        <w:tc>
          <w:tcPr>
            <w:tcW w:w="1760" w:type="dxa"/>
          </w:tcPr>
          <w:p w14:paraId="024C70D1" w14:textId="1A000B64"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Khan </w:t>
            </w:r>
            <w:r w:rsidRPr="00710DFA">
              <w:rPr>
                <w:i/>
                <w:iCs/>
                <w:color w:val="000000" w:themeColor="text1"/>
                <w:sz w:val="24"/>
                <w:szCs w:val="24"/>
                <w:lang w:val="en-GB"/>
              </w:rPr>
              <w:t>et al.</w:t>
            </w:r>
            <w:r w:rsidRPr="00710DFA">
              <w:rPr>
                <w:color w:val="000000" w:themeColor="text1"/>
                <w:sz w:val="24"/>
                <w:szCs w:val="24"/>
                <w:lang w:val="en-GB"/>
              </w:rPr>
              <w:t xml:space="preserve"> 2021</w:t>
            </w:r>
          </w:p>
        </w:tc>
        <w:tc>
          <w:tcPr>
            <w:tcW w:w="2283" w:type="dxa"/>
          </w:tcPr>
          <w:p w14:paraId="4990A5BE" w14:textId="4577A9D5"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“Exploring the impact of COVID-19 pandemic on medical supply chain disruption.”</w:t>
            </w:r>
          </w:p>
        </w:tc>
        <w:tc>
          <w:tcPr>
            <w:tcW w:w="1417" w:type="dxa"/>
          </w:tcPr>
          <w:p w14:paraId="4D333D1F" w14:textId="5E2D8EF5"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Case study </w:t>
            </w:r>
          </w:p>
        </w:tc>
        <w:tc>
          <w:tcPr>
            <w:tcW w:w="2268" w:type="dxa"/>
          </w:tcPr>
          <w:p w14:paraId="41BCA999" w14:textId="59B74E76"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The spike in demand and lack of capacity created severe shortages and disruptions in medical supply chains.</w:t>
            </w:r>
          </w:p>
        </w:tc>
        <w:tc>
          <w:tcPr>
            <w:tcW w:w="1275" w:type="dxa"/>
          </w:tcPr>
          <w:p w14:paraId="7DC33C87" w14:textId="6A77E155"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disruption </w:t>
            </w:r>
          </w:p>
        </w:tc>
      </w:tr>
      <w:tr w:rsidR="00361F0A" w:rsidRPr="00710DFA" w14:paraId="29EA9309" w14:textId="77777777" w:rsidTr="00093F9B">
        <w:tc>
          <w:tcPr>
            <w:tcW w:w="583" w:type="dxa"/>
          </w:tcPr>
          <w:p w14:paraId="0995183E" w14:textId="58F87E94"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22</w:t>
            </w:r>
          </w:p>
        </w:tc>
        <w:tc>
          <w:tcPr>
            <w:tcW w:w="1760" w:type="dxa"/>
          </w:tcPr>
          <w:p w14:paraId="37CFB52D" w14:textId="33645F39"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Frederico, 2021</w:t>
            </w:r>
          </w:p>
        </w:tc>
        <w:tc>
          <w:tcPr>
            <w:tcW w:w="2283" w:type="dxa"/>
          </w:tcPr>
          <w:p w14:paraId="36665118" w14:textId="6BDAEDAC"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“Towards a supply chain 4.0 on the post-COVID-19 pandemic: a conceptual and strategic discussion for more resilient supply chains.”</w:t>
            </w:r>
          </w:p>
        </w:tc>
        <w:tc>
          <w:tcPr>
            <w:tcW w:w="1417" w:type="dxa"/>
          </w:tcPr>
          <w:p w14:paraId="0E41E614" w14:textId="307E6874"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study </w:t>
            </w:r>
          </w:p>
        </w:tc>
        <w:tc>
          <w:tcPr>
            <w:tcW w:w="2268" w:type="dxa"/>
          </w:tcPr>
          <w:p w14:paraId="1124575F" w14:textId="39772B43"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Industry 4.0 technologies create resilience by automating, providing real-time data, and integrating.</w:t>
            </w:r>
          </w:p>
        </w:tc>
        <w:tc>
          <w:tcPr>
            <w:tcW w:w="1275" w:type="dxa"/>
          </w:tcPr>
          <w:p w14:paraId="3A38A3A4" w14:textId="277BB356"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Digital transformation </w:t>
            </w:r>
          </w:p>
        </w:tc>
      </w:tr>
      <w:tr w:rsidR="00361F0A" w:rsidRPr="00710DFA" w14:paraId="08AA1550" w14:textId="77777777" w:rsidTr="00093F9B">
        <w:tc>
          <w:tcPr>
            <w:tcW w:w="583" w:type="dxa"/>
          </w:tcPr>
          <w:p w14:paraId="27178C8C" w14:textId="7D3EF703"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23</w:t>
            </w:r>
          </w:p>
        </w:tc>
        <w:tc>
          <w:tcPr>
            <w:tcW w:w="1760" w:type="dxa"/>
          </w:tcPr>
          <w:p w14:paraId="4D77AD40" w14:textId="2CA5D2DE"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Hald, and </w:t>
            </w:r>
            <w:proofErr w:type="spellStart"/>
            <w:r w:rsidRPr="00710DFA">
              <w:rPr>
                <w:color w:val="000000" w:themeColor="text1"/>
                <w:sz w:val="24"/>
                <w:szCs w:val="24"/>
                <w:lang w:val="en-GB"/>
              </w:rPr>
              <w:t>Coslugeanu</w:t>
            </w:r>
            <w:proofErr w:type="spellEnd"/>
            <w:r w:rsidRPr="00710DFA">
              <w:rPr>
                <w:color w:val="000000" w:themeColor="text1"/>
                <w:sz w:val="24"/>
                <w:szCs w:val="24"/>
                <w:lang w:val="en-GB"/>
              </w:rPr>
              <w:t>, 2022</w:t>
            </w:r>
          </w:p>
        </w:tc>
        <w:tc>
          <w:tcPr>
            <w:tcW w:w="2283" w:type="dxa"/>
          </w:tcPr>
          <w:p w14:paraId="033E5AA7" w14:textId="6E4A56ED"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preliminary supply chain lessons of the COVID-19 disruption—What is the role of digital </w:t>
            </w:r>
            <w:proofErr w:type="gramStart"/>
            <w:r w:rsidRPr="00710DFA">
              <w:rPr>
                <w:color w:val="000000" w:themeColor="text1"/>
                <w:sz w:val="24"/>
                <w:szCs w:val="24"/>
                <w:lang w:val="en-GB"/>
              </w:rPr>
              <w:t>technologies?.</w:t>
            </w:r>
            <w:proofErr w:type="gramEnd"/>
            <w:r w:rsidRPr="00710DFA">
              <w:rPr>
                <w:color w:val="000000" w:themeColor="text1"/>
                <w:sz w:val="24"/>
                <w:szCs w:val="24"/>
                <w:lang w:val="en-GB"/>
              </w:rPr>
              <w:t>”</w:t>
            </w:r>
          </w:p>
        </w:tc>
        <w:tc>
          <w:tcPr>
            <w:tcW w:w="1417" w:type="dxa"/>
          </w:tcPr>
          <w:p w14:paraId="0A286973" w14:textId="14FAA55F"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Literature review</w:t>
            </w:r>
          </w:p>
        </w:tc>
        <w:tc>
          <w:tcPr>
            <w:tcW w:w="2268" w:type="dxa"/>
          </w:tcPr>
          <w:p w14:paraId="4B621DC5" w14:textId="6779C554"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Digital technologies enhanced visibility, coordination, and responsiveness in disruptions within supply chains.</w:t>
            </w:r>
          </w:p>
        </w:tc>
        <w:tc>
          <w:tcPr>
            <w:tcW w:w="1275" w:type="dxa"/>
          </w:tcPr>
          <w:p w14:paraId="0E1CF9DC" w14:textId="0D299A24"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Tech enabled resilience </w:t>
            </w:r>
          </w:p>
        </w:tc>
      </w:tr>
      <w:tr w:rsidR="00361F0A" w:rsidRPr="00710DFA" w14:paraId="00F4665C" w14:textId="77777777" w:rsidTr="00093F9B">
        <w:tc>
          <w:tcPr>
            <w:tcW w:w="583" w:type="dxa"/>
          </w:tcPr>
          <w:p w14:paraId="00004DDF" w14:textId="06512D9B"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24</w:t>
            </w:r>
          </w:p>
        </w:tc>
        <w:tc>
          <w:tcPr>
            <w:tcW w:w="1760" w:type="dxa"/>
          </w:tcPr>
          <w:p w14:paraId="26B81325" w14:textId="12FF3EB0"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Farooq </w:t>
            </w:r>
            <w:r w:rsidRPr="00710DFA">
              <w:rPr>
                <w:i/>
                <w:iCs/>
                <w:color w:val="000000" w:themeColor="text1"/>
                <w:sz w:val="24"/>
                <w:szCs w:val="24"/>
                <w:lang w:val="en-GB"/>
              </w:rPr>
              <w:t>et al.</w:t>
            </w:r>
            <w:r w:rsidRPr="00710DFA">
              <w:rPr>
                <w:color w:val="000000" w:themeColor="text1"/>
                <w:sz w:val="24"/>
                <w:szCs w:val="24"/>
                <w:lang w:val="en-GB"/>
              </w:rPr>
              <w:t xml:space="preserve"> 2021</w:t>
            </w:r>
          </w:p>
        </w:tc>
        <w:tc>
          <w:tcPr>
            <w:tcW w:w="2283" w:type="dxa"/>
          </w:tcPr>
          <w:p w14:paraId="7EC32F95" w14:textId="256E4D56"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operations management in pandemics: A state-of-the-art </w:t>
            </w:r>
            <w:r w:rsidRPr="00710DFA">
              <w:rPr>
                <w:color w:val="000000" w:themeColor="text1"/>
                <w:sz w:val="24"/>
                <w:szCs w:val="24"/>
                <w:lang w:val="en-GB"/>
              </w:rPr>
              <w:lastRenderedPageBreak/>
              <w:t>review inspired by COVID-19. “</w:t>
            </w:r>
          </w:p>
        </w:tc>
        <w:tc>
          <w:tcPr>
            <w:tcW w:w="1417" w:type="dxa"/>
          </w:tcPr>
          <w:p w14:paraId="21055726" w14:textId="25740801"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Systematic study </w:t>
            </w:r>
          </w:p>
        </w:tc>
        <w:tc>
          <w:tcPr>
            <w:tcW w:w="2268" w:type="dxa"/>
          </w:tcPr>
          <w:p w14:paraId="64ED158F" w14:textId="146A146A"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Operations must be coordinated, flexible and contingent to manage a pandemic.</w:t>
            </w:r>
          </w:p>
        </w:tc>
        <w:tc>
          <w:tcPr>
            <w:tcW w:w="1275" w:type="dxa"/>
          </w:tcPr>
          <w:p w14:paraId="7660F719" w14:textId="25FD2C32" w:rsidR="008335F7" w:rsidRPr="00710DFA" w:rsidRDefault="000925BB" w:rsidP="00361F0A">
            <w:pPr>
              <w:spacing w:line="360" w:lineRule="auto"/>
              <w:jc w:val="both"/>
              <w:rPr>
                <w:color w:val="000000" w:themeColor="text1"/>
                <w:sz w:val="24"/>
                <w:szCs w:val="24"/>
                <w:lang w:val="en-GB"/>
              </w:rPr>
            </w:pPr>
            <w:r w:rsidRPr="00710DFA">
              <w:rPr>
                <w:color w:val="000000" w:themeColor="text1"/>
                <w:sz w:val="24"/>
                <w:szCs w:val="24"/>
                <w:lang w:val="en-GB"/>
              </w:rPr>
              <w:t xml:space="preserve">Crisis management </w:t>
            </w:r>
          </w:p>
        </w:tc>
      </w:tr>
      <w:tr w:rsidR="00361F0A" w:rsidRPr="00710DFA" w14:paraId="28268676" w14:textId="77777777" w:rsidTr="00093F9B">
        <w:tc>
          <w:tcPr>
            <w:tcW w:w="583" w:type="dxa"/>
          </w:tcPr>
          <w:p w14:paraId="3B0776AB" w14:textId="42CBA528"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25</w:t>
            </w:r>
          </w:p>
        </w:tc>
        <w:tc>
          <w:tcPr>
            <w:tcW w:w="1760" w:type="dxa"/>
          </w:tcPr>
          <w:p w14:paraId="28604E26" w14:textId="21EA6317" w:rsidR="008335F7" w:rsidRPr="00710DFA" w:rsidRDefault="00BC7E75"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Ocicka</w:t>
            </w:r>
            <w:proofErr w:type="spellEnd"/>
            <w:r w:rsidRPr="00710DFA">
              <w:rPr>
                <w:color w:val="000000" w:themeColor="text1"/>
                <w:sz w:val="24"/>
                <w:szCs w:val="24"/>
                <w:lang w:val="en-GB"/>
              </w:rPr>
              <w:t xml:space="preserve">, Mierzejewska, and </w:t>
            </w:r>
            <w:proofErr w:type="spellStart"/>
            <w:r w:rsidRPr="00710DFA">
              <w:rPr>
                <w:color w:val="000000" w:themeColor="text1"/>
                <w:sz w:val="24"/>
                <w:szCs w:val="24"/>
                <w:lang w:val="en-GB"/>
              </w:rPr>
              <w:t>Brzeziński</w:t>
            </w:r>
            <w:proofErr w:type="spellEnd"/>
            <w:r w:rsidRPr="00710DFA">
              <w:rPr>
                <w:color w:val="000000" w:themeColor="text1"/>
                <w:sz w:val="24"/>
                <w:szCs w:val="24"/>
                <w:lang w:val="en-GB"/>
              </w:rPr>
              <w:t>, 2022</w:t>
            </w:r>
          </w:p>
        </w:tc>
        <w:tc>
          <w:tcPr>
            <w:tcW w:w="2283" w:type="dxa"/>
          </w:tcPr>
          <w:p w14:paraId="11A2C673" w14:textId="4AE9861F"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“Creating supply chain resilience during and post-COVID-19 outbreak: the organizational ambidexterity perspective.”</w:t>
            </w:r>
          </w:p>
        </w:tc>
        <w:tc>
          <w:tcPr>
            <w:tcW w:w="1417" w:type="dxa"/>
          </w:tcPr>
          <w:p w14:paraId="2CA3D78F" w14:textId="75642F22"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study </w:t>
            </w:r>
          </w:p>
        </w:tc>
        <w:tc>
          <w:tcPr>
            <w:tcW w:w="2268" w:type="dxa"/>
          </w:tcPr>
          <w:p w14:paraId="2491621E" w14:textId="44BC6135"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organizational ambidexterity (efficiency + flexibility) helps to endure disruptions.</w:t>
            </w:r>
          </w:p>
        </w:tc>
        <w:tc>
          <w:tcPr>
            <w:tcW w:w="1275" w:type="dxa"/>
          </w:tcPr>
          <w:p w14:paraId="786DD237" w14:textId="71F8965B"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Ambidexterity study </w:t>
            </w:r>
          </w:p>
        </w:tc>
      </w:tr>
      <w:tr w:rsidR="00361F0A" w:rsidRPr="00710DFA" w14:paraId="6C83A13B" w14:textId="77777777" w:rsidTr="00093F9B">
        <w:tc>
          <w:tcPr>
            <w:tcW w:w="583" w:type="dxa"/>
          </w:tcPr>
          <w:p w14:paraId="690127B8" w14:textId="24C9FB64"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26</w:t>
            </w:r>
          </w:p>
        </w:tc>
        <w:tc>
          <w:tcPr>
            <w:tcW w:w="1760" w:type="dxa"/>
          </w:tcPr>
          <w:p w14:paraId="6C5DA94A" w14:textId="3B4D3BE3"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Ali </w:t>
            </w:r>
            <w:r w:rsidRPr="00710DFA">
              <w:rPr>
                <w:i/>
                <w:iCs/>
                <w:color w:val="000000" w:themeColor="text1"/>
                <w:sz w:val="24"/>
                <w:szCs w:val="24"/>
                <w:lang w:val="en-GB"/>
              </w:rPr>
              <w:t>et al.</w:t>
            </w:r>
            <w:r w:rsidRPr="00710DFA">
              <w:rPr>
                <w:color w:val="000000" w:themeColor="text1"/>
                <w:sz w:val="24"/>
                <w:szCs w:val="24"/>
                <w:lang w:val="en-GB"/>
              </w:rPr>
              <w:t xml:space="preserve"> 2021</w:t>
            </w:r>
          </w:p>
        </w:tc>
        <w:tc>
          <w:tcPr>
            <w:tcW w:w="2283" w:type="dxa"/>
          </w:tcPr>
          <w:p w14:paraId="603467DA" w14:textId="3289A41A"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“Supply chain resilience reactive strategies for food SMEs in coping to COVID-19 crisis.”</w:t>
            </w:r>
          </w:p>
        </w:tc>
        <w:tc>
          <w:tcPr>
            <w:tcW w:w="1417" w:type="dxa"/>
          </w:tcPr>
          <w:p w14:paraId="55810CA8" w14:textId="1B7149B7"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Empirical study </w:t>
            </w:r>
          </w:p>
        </w:tc>
        <w:tc>
          <w:tcPr>
            <w:tcW w:w="2268" w:type="dxa"/>
          </w:tcPr>
          <w:p w14:paraId="52CF698A" w14:textId="3B5673CA"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Food SMEs used reactive strategies like supplier switching and inventory buffering to cope with disruptions.</w:t>
            </w:r>
          </w:p>
        </w:tc>
        <w:tc>
          <w:tcPr>
            <w:tcW w:w="1275" w:type="dxa"/>
          </w:tcPr>
          <w:p w14:paraId="7A10AB2C" w14:textId="5B42186C"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Reactive strategies </w:t>
            </w:r>
          </w:p>
        </w:tc>
      </w:tr>
      <w:tr w:rsidR="00361F0A" w:rsidRPr="00710DFA" w14:paraId="683B0700" w14:textId="77777777" w:rsidTr="00093F9B">
        <w:tc>
          <w:tcPr>
            <w:tcW w:w="583" w:type="dxa"/>
          </w:tcPr>
          <w:p w14:paraId="03E4DD2B" w14:textId="576107C3"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27</w:t>
            </w:r>
          </w:p>
        </w:tc>
        <w:tc>
          <w:tcPr>
            <w:tcW w:w="1760" w:type="dxa"/>
          </w:tcPr>
          <w:p w14:paraId="7E0570CA" w14:textId="4A8992E7"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Gaudenzi, Pellegrino, and </w:t>
            </w:r>
            <w:proofErr w:type="spellStart"/>
            <w:r w:rsidRPr="00710DFA">
              <w:rPr>
                <w:color w:val="000000" w:themeColor="text1"/>
                <w:sz w:val="24"/>
                <w:szCs w:val="24"/>
                <w:lang w:val="en-GB"/>
              </w:rPr>
              <w:t>Confente</w:t>
            </w:r>
            <w:proofErr w:type="spellEnd"/>
            <w:r w:rsidRPr="00710DFA">
              <w:rPr>
                <w:color w:val="000000" w:themeColor="text1"/>
                <w:sz w:val="24"/>
                <w:szCs w:val="24"/>
                <w:lang w:val="en-GB"/>
              </w:rPr>
              <w:t>, 2023</w:t>
            </w:r>
          </w:p>
        </w:tc>
        <w:tc>
          <w:tcPr>
            <w:tcW w:w="2283" w:type="dxa"/>
          </w:tcPr>
          <w:p w14:paraId="31C50219" w14:textId="110BE59A"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“Achieving supply chain resilience in an era of disruptions: a configuration approach of capacities and strategies.”</w:t>
            </w:r>
          </w:p>
        </w:tc>
        <w:tc>
          <w:tcPr>
            <w:tcW w:w="1417" w:type="dxa"/>
          </w:tcPr>
          <w:p w14:paraId="6DEE57B7" w14:textId="078FE98D"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Configuration analysis </w:t>
            </w:r>
          </w:p>
        </w:tc>
        <w:tc>
          <w:tcPr>
            <w:tcW w:w="2268" w:type="dxa"/>
          </w:tcPr>
          <w:p w14:paraId="6BA7F121" w14:textId="1B1C8468"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 Effectiveness of resilience through a combination of abilities such as flexibility, redundancy and collaboration.</w:t>
            </w:r>
          </w:p>
        </w:tc>
        <w:tc>
          <w:tcPr>
            <w:tcW w:w="1275" w:type="dxa"/>
          </w:tcPr>
          <w:p w14:paraId="24DA5D53" w14:textId="163FEC24"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Capability configuration </w:t>
            </w:r>
          </w:p>
        </w:tc>
      </w:tr>
      <w:tr w:rsidR="00361F0A" w:rsidRPr="00710DFA" w14:paraId="64D90A8B" w14:textId="77777777" w:rsidTr="00093F9B">
        <w:tc>
          <w:tcPr>
            <w:tcW w:w="583" w:type="dxa"/>
          </w:tcPr>
          <w:p w14:paraId="3B8880A3" w14:textId="32B93CBD"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28</w:t>
            </w:r>
          </w:p>
        </w:tc>
        <w:tc>
          <w:tcPr>
            <w:tcW w:w="1760" w:type="dxa"/>
          </w:tcPr>
          <w:p w14:paraId="7EBBCDCB" w14:textId="5E4A3AF0"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Holgado, and</w:t>
            </w:r>
            <w:r w:rsidR="00BC7E75" w:rsidRPr="00710DFA">
              <w:rPr>
                <w:color w:val="000000" w:themeColor="text1"/>
                <w:sz w:val="24"/>
                <w:szCs w:val="24"/>
                <w:lang w:val="en-GB"/>
              </w:rPr>
              <w:t xml:space="preserve"> Niess, 2023</w:t>
            </w:r>
          </w:p>
        </w:tc>
        <w:tc>
          <w:tcPr>
            <w:tcW w:w="2283" w:type="dxa"/>
          </w:tcPr>
          <w:p w14:paraId="05D2EA1F" w14:textId="35C5322E" w:rsidR="008335F7" w:rsidRPr="00710DFA" w:rsidRDefault="00BC7E75" w:rsidP="00361F0A">
            <w:pPr>
              <w:spacing w:line="360" w:lineRule="auto"/>
              <w:jc w:val="both"/>
              <w:rPr>
                <w:color w:val="000000" w:themeColor="text1"/>
                <w:sz w:val="24"/>
                <w:szCs w:val="24"/>
                <w:lang w:val="en-GB"/>
              </w:rPr>
            </w:pPr>
            <w:r w:rsidRPr="00710DFA">
              <w:rPr>
                <w:color w:val="000000" w:themeColor="text1"/>
                <w:sz w:val="24"/>
                <w:szCs w:val="24"/>
                <w:lang w:val="en-GB"/>
              </w:rPr>
              <w:t xml:space="preserve">“Resilience in global supply chains: analysis of responses, recovery actions and strategic </w:t>
            </w:r>
            <w:r w:rsidRPr="00710DFA">
              <w:rPr>
                <w:color w:val="000000" w:themeColor="text1"/>
                <w:sz w:val="24"/>
                <w:szCs w:val="24"/>
                <w:lang w:val="en-GB"/>
              </w:rPr>
              <w:lastRenderedPageBreak/>
              <w:t>changes triggered by major disruptions.”</w:t>
            </w:r>
          </w:p>
        </w:tc>
        <w:tc>
          <w:tcPr>
            <w:tcW w:w="1417" w:type="dxa"/>
          </w:tcPr>
          <w:p w14:paraId="076C6708" w14:textId="6E547D99"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Case study analysis </w:t>
            </w:r>
          </w:p>
        </w:tc>
        <w:tc>
          <w:tcPr>
            <w:tcW w:w="2268" w:type="dxa"/>
          </w:tcPr>
          <w:p w14:paraId="64B9411F" w14:textId="0194B4CF"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 xml:space="preserve">Recovery measures such as diversification and digitalization were embraced by firms </w:t>
            </w:r>
            <w:r w:rsidRPr="00710DFA">
              <w:rPr>
                <w:color w:val="000000" w:themeColor="text1"/>
                <w:sz w:val="24"/>
                <w:szCs w:val="24"/>
                <w:lang w:val="en-GB"/>
              </w:rPr>
              <w:lastRenderedPageBreak/>
              <w:t>after a significant disruption.</w:t>
            </w:r>
          </w:p>
        </w:tc>
        <w:tc>
          <w:tcPr>
            <w:tcW w:w="1275" w:type="dxa"/>
          </w:tcPr>
          <w:p w14:paraId="32042A57" w14:textId="5C501DFA"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Strategic recovery </w:t>
            </w:r>
          </w:p>
        </w:tc>
      </w:tr>
      <w:tr w:rsidR="00361F0A" w:rsidRPr="00710DFA" w14:paraId="67949D19" w14:textId="77777777" w:rsidTr="00093F9B">
        <w:tc>
          <w:tcPr>
            <w:tcW w:w="583" w:type="dxa"/>
          </w:tcPr>
          <w:p w14:paraId="75766683" w14:textId="6F504D0C"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29</w:t>
            </w:r>
          </w:p>
        </w:tc>
        <w:tc>
          <w:tcPr>
            <w:tcW w:w="1760" w:type="dxa"/>
          </w:tcPr>
          <w:p w14:paraId="5A479EA2" w14:textId="5E7BDA43" w:rsidR="008335F7" w:rsidRPr="00710DFA" w:rsidRDefault="009C0726" w:rsidP="00361F0A">
            <w:pPr>
              <w:spacing w:line="360" w:lineRule="auto"/>
              <w:jc w:val="both"/>
              <w:rPr>
                <w:color w:val="000000" w:themeColor="text1"/>
                <w:sz w:val="24"/>
                <w:szCs w:val="24"/>
                <w:lang w:val="en-GB"/>
              </w:rPr>
            </w:pPr>
            <w:r w:rsidRPr="00710DFA">
              <w:rPr>
                <w:color w:val="000000" w:themeColor="text1"/>
                <w:sz w:val="24"/>
                <w:szCs w:val="24"/>
                <w:lang w:val="en-GB"/>
              </w:rPr>
              <w:t xml:space="preserve">Pham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089D8E30" w14:textId="5AB4D56D" w:rsidR="008335F7" w:rsidRPr="00710DFA" w:rsidRDefault="009C0726" w:rsidP="00361F0A">
            <w:pPr>
              <w:spacing w:line="360" w:lineRule="auto"/>
              <w:jc w:val="both"/>
              <w:rPr>
                <w:color w:val="000000" w:themeColor="text1"/>
                <w:sz w:val="24"/>
                <w:szCs w:val="24"/>
                <w:lang w:val="en-GB"/>
              </w:rPr>
            </w:pPr>
            <w:r w:rsidRPr="00710DFA">
              <w:rPr>
                <w:color w:val="000000" w:themeColor="text1"/>
                <w:sz w:val="24"/>
                <w:szCs w:val="24"/>
                <w:lang w:val="en-GB"/>
              </w:rPr>
              <w:t>“The impact of global risks on supply chain performance. An empirical study on construction sector in the COVID-19 pandemic.”</w:t>
            </w:r>
          </w:p>
        </w:tc>
        <w:tc>
          <w:tcPr>
            <w:tcW w:w="1417" w:type="dxa"/>
          </w:tcPr>
          <w:p w14:paraId="1F64790B" w14:textId="11D2C8E5"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Empirical study </w:t>
            </w:r>
          </w:p>
        </w:tc>
        <w:tc>
          <w:tcPr>
            <w:tcW w:w="2268" w:type="dxa"/>
          </w:tcPr>
          <w:p w14:paraId="6C8457E9" w14:textId="3081DFEA"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Global risks played a significant role in performance degradation in construction supply chains in COVID-19.</w:t>
            </w:r>
          </w:p>
        </w:tc>
        <w:tc>
          <w:tcPr>
            <w:tcW w:w="1275" w:type="dxa"/>
          </w:tcPr>
          <w:p w14:paraId="2C2D7956" w14:textId="22F329AB"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Sectoral impact </w:t>
            </w:r>
          </w:p>
        </w:tc>
      </w:tr>
      <w:tr w:rsidR="00361F0A" w:rsidRPr="00710DFA" w14:paraId="0A7221AA" w14:textId="77777777" w:rsidTr="00093F9B">
        <w:tc>
          <w:tcPr>
            <w:tcW w:w="583" w:type="dxa"/>
          </w:tcPr>
          <w:p w14:paraId="4B5BC583" w14:textId="4240079D" w:rsidR="008335F7" w:rsidRPr="00710DFA" w:rsidRDefault="008335F7" w:rsidP="00361F0A">
            <w:pPr>
              <w:spacing w:line="360" w:lineRule="auto"/>
              <w:jc w:val="both"/>
              <w:rPr>
                <w:color w:val="000000" w:themeColor="text1"/>
                <w:sz w:val="24"/>
                <w:szCs w:val="24"/>
                <w:lang w:val="en-GB"/>
              </w:rPr>
            </w:pPr>
            <w:r w:rsidRPr="00710DFA">
              <w:rPr>
                <w:color w:val="000000" w:themeColor="text1"/>
                <w:sz w:val="24"/>
                <w:szCs w:val="24"/>
                <w:lang w:val="en-GB"/>
              </w:rPr>
              <w:t>30</w:t>
            </w:r>
          </w:p>
        </w:tc>
        <w:tc>
          <w:tcPr>
            <w:tcW w:w="1760" w:type="dxa"/>
          </w:tcPr>
          <w:p w14:paraId="1AB50EFB" w14:textId="14B97466" w:rsidR="008335F7" w:rsidRPr="00710DFA" w:rsidRDefault="009C0726" w:rsidP="00361F0A">
            <w:pPr>
              <w:spacing w:line="360" w:lineRule="auto"/>
              <w:jc w:val="both"/>
              <w:rPr>
                <w:color w:val="000000" w:themeColor="text1"/>
                <w:sz w:val="24"/>
                <w:szCs w:val="24"/>
                <w:lang w:val="en-GB"/>
              </w:rPr>
            </w:pPr>
            <w:r w:rsidRPr="00710DFA">
              <w:rPr>
                <w:color w:val="000000" w:themeColor="text1"/>
                <w:sz w:val="24"/>
                <w:szCs w:val="24"/>
                <w:lang w:val="en-GB"/>
              </w:rPr>
              <w:t>Garnett, Doherty, and Heron, 2020</w:t>
            </w:r>
          </w:p>
        </w:tc>
        <w:tc>
          <w:tcPr>
            <w:tcW w:w="2283" w:type="dxa"/>
          </w:tcPr>
          <w:p w14:paraId="2F0C653D" w14:textId="723A6E1B" w:rsidR="008335F7" w:rsidRPr="00710DFA" w:rsidRDefault="009C0726" w:rsidP="00361F0A">
            <w:pPr>
              <w:spacing w:line="360" w:lineRule="auto"/>
              <w:jc w:val="both"/>
              <w:rPr>
                <w:color w:val="000000" w:themeColor="text1"/>
                <w:sz w:val="24"/>
                <w:szCs w:val="24"/>
                <w:lang w:val="en-GB"/>
              </w:rPr>
            </w:pPr>
            <w:r w:rsidRPr="00710DFA">
              <w:rPr>
                <w:color w:val="000000" w:themeColor="text1"/>
                <w:sz w:val="24"/>
                <w:szCs w:val="24"/>
                <w:lang w:val="en-GB"/>
              </w:rPr>
              <w:t>“Vulnerability of the United Kingdom’s food supply chains exposed by COVID-19.”</w:t>
            </w:r>
          </w:p>
        </w:tc>
        <w:tc>
          <w:tcPr>
            <w:tcW w:w="1417" w:type="dxa"/>
          </w:tcPr>
          <w:p w14:paraId="09949587" w14:textId="75E91F64"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Case study </w:t>
            </w:r>
          </w:p>
        </w:tc>
        <w:tc>
          <w:tcPr>
            <w:tcW w:w="2268" w:type="dxa"/>
          </w:tcPr>
          <w:p w14:paraId="243910A5" w14:textId="4CCB3E55" w:rsidR="008335F7" w:rsidRPr="00710DFA" w:rsidRDefault="00CE1ED8" w:rsidP="00361F0A">
            <w:pPr>
              <w:spacing w:line="360" w:lineRule="auto"/>
              <w:jc w:val="both"/>
              <w:rPr>
                <w:color w:val="000000" w:themeColor="text1"/>
                <w:sz w:val="24"/>
                <w:szCs w:val="24"/>
                <w:lang w:val="en-GB"/>
              </w:rPr>
            </w:pPr>
            <w:r w:rsidRPr="00710DFA">
              <w:rPr>
                <w:color w:val="000000" w:themeColor="text1"/>
                <w:sz w:val="24"/>
                <w:szCs w:val="24"/>
                <w:lang w:val="en-GB"/>
              </w:rPr>
              <w:t>The food supply chains in the UK were very vulnerable as they experienced labour shortage and logistics problems.</w:t>
            </w:r>
          </w:p>
        </w:tc>
        <w:tc>
          <w:tcPr>
            <w:tcW w:w="1275" w:type="dxa"/>
          </w:tcPr>
          <w:p w14:paraId="3C40510D" w14:textId="24624EE2" w:rsidR="008335F7" w:rsidRPr="00710DFA" w:rsidRDefault="009C01F6"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vulnerability </w:t>
            </w:r>
          </w:p>
        </w:tc>
      </w:tr>
      <w:tr w:rsidR="00AF6198" w:rsidRPr="00710DFA" w14:paraId="6F531400" w14:textId="77777777" w:rsidTr="00093F9B">
        <w:tc>
          <w:tcPr>
            <w:tcW w:w="583" w:type="dxa"/>
          </w:tcPr>
          <w:p w14:paraId="21636247" w14:textId="0852260B"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31</w:t>
            </w:r>
          </w:p>
        </w:tc>
        <w:tc>
          <w:tcPr>
            <w:tcW w:w="1760" w:type="dxa"/>
          </w:tcPr>
          <w:p w14:paraId="7CBE0A97" w14:textId="79DAFCA7" w:rsidR="00AF6198" w:rsidRPr="00710DFA" w:rsidRDefault="00654400"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Adobor</w:t>
            </w:r>
            <w:proofErr w:type="spellEnd"/>
            <w:r w:rsidRPr="00710DFA">
              <w:rPr>
                <w:color w:val="000000" w:themeColor="text1"/>
                <w:sz w:val="24"/>
                <w:szCs w:val="24"/>
                <w:lang w:val="en-GB"/>
              </w:rPr>
              <w:t>, 2020</w:t>
            </w:r>
          </w:p>
        </w:tc>
        <w:tc>
          <w:tcPr>
            <w:tcW w:w="2283" w:type="dxa"/>
          </w:tcPr>
          <w:p w14:paraId="21A94A07" w14:textId="69C573A1" w:rsidR="00AF6198" w:rsidRPr="00710DFA" w:rsidRDefault="00654400"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Supply chain resilience: an adaptive cycle approach.”</w:t>
            </w:r>
          </w:p>
        </w:tc>
        <w:tc>
          <w:tcPr>
            <w:tcW w:w="1417" w:type="dxa"/>
          </w:tcPr>
          <w:p w14:paraId="7689BC17" w14:textId="4ED72082" w:rsidR="00AF6198" w:rsidRPr="00710DFA" w:rsidRDefault="00654400"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w:t>
            </w:r>
          </w:p>
        </w:tc>
        <w:tc>
          <w:tcPr>
            <w:tcW w:w="2268" w:type="dxa"/>
          </w:tcPr>
          <w:p w14:paraId="1D01BE7C" w14:textId="06270128"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adaptive cycle model that </w:t>
            </w:r>
            <w:proofErr w:type="gramStart"/>
            <w:r w:rsidRPr="00710DFA">
              <w:rPr>
                <w:color w:val="000000" w:themeColor="text1"/>
                <w:sz w:val="24"/>
                <w:szCs w:val="24"/>
                <w:lang w:val="en-GB"/>
              </w:rPr>
              <w:t>demonstrates  supply</w:t>
            </w:r>
            <w:proofErr w:type="gramEnd"/>
            <w:r w:rsidRPr="00710DFA">
              <w:rPr>
                <w:color w:val="000000" w:themeColor="text1"/>
                <w:sz w:val="24"/>
                <w:szCs w:val="24"/>
                <w:lang w:val="en-GB"/>
              </w:rPr>
              <w:t xml:space="preserve"> chain resilience goes through stages of growth, conservation, release. Re-organisation helps firms respond dynamically to disruptions. It </w:t>
            </w:r>
            <w:r w:rsidRPr="00710DFA">
              <w:rPr>
                <w:color w:val="000000" w:themeColor="text1"/>
                <w:sz w:val="24"/>
                <w:szCs w:val="24"/>
                <w:lang w:val="en-GB"/>
              </w:rPr>
              <w:lastRenderedPageBreak/>
              <w:t>emphasizes resilience as a dynamic and cyclical ability and not an end result.</w:t>
            </w:r>
          </w:p>
        </w:tc>
        <w:tc>
          <w:tcPr>
            <w:tcW w:w="1275" w:type="dxa"/>
          </w:tcPr>
          <w:p w14:paraId="66F565E6" w14:textId="1E5352A0" w:rsidR="00AF6198" w:rsidRPr="00710DFA" w:rsidRDefault="00654400"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Adaptive resilience </w:t>
            </w:r>
          </w:p>
        </w:tc>
      </w:tr>
      <w:tr w:rsidR="00AF6198" w:rsidRPr="00710DFA" w14:paraId="28C68A87" w14:textId="77777777" w:rsidTr="00093F9B">
        <w:tc>
          <w:tcPr>
            <w:tcW w:w="583" w:type="dxa"/>
          </w:tcPr>
          <w:p w14:paraId="61332FF8" w14:textId="19DF75B5"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32</w:t>
            </w:r>
          </w:p>
        </w:tc>
        <w:tc>
          <w:tcPr>
            <w:tcW w:w="1760" w:type="dxa"/>
          </w:tcPr>
          <w:p w14:paraId="03C4338F" w14:textId="561C9EC3" w:rsidR="00AF6198" w:rsidRPr="00710DFA" w:rsidRDefault="00654400" w:rsidP="00361F0A">
            <w:pPr>
              <w:spacing w:line="360" w:lineRule="auto"/>
              <w:jc w:val="both"/>
              <w:rPr>
                <w:color w:val="000000" w:themeColor="text1"/>
                <w:sz w:val="24"/>
                <w:szCs w:val="24"/>
                <w:lang w:val="en-GB"/>
              </w:rPr>
            </w:pPr>
            <w:proofErr w:type="spellStart"/>
            <w:r w:rsidRPr="00710DFA">
              <w:rPr>
                <w:sz w:val="24"/>
                <w:szCs w:val="24"/>
                <w:lang w:val="en-GB"/>
              </w:rPr>
              <w:t>Nibbrig</w:t>
            </w:r>
            <w:proofErr w:type="spellEnd"/>
            <w:r w:rsidRPr="00710DFA">
              <w:rPr>
                <w:sz w:val="24"/>
                <w:szCs w:val="24"/>
                <w:lang w:val="en-GB"/>
              </w:rPr>
              <w:t xml:space="preserve">, Azadeh, and </w:t>
            </w:r>
            <w:proofErr w:type="spellStart"/>
            <w:r w:rsidRPr="00710DFA">
              <w:rPr>
                <w:sz w:val="24"/>
                <w:szCs w:val="24"/>
                <w:lang w:val="en-GB"/>
              </w:rPr>
              <w:t>Maknoon</w:t>
            </w:r>
            <w:proofErr w:type="spellEnd"/>
            <w:r w:rsidRPr="00710DFA">
              <w:rPr>
                <w:sz w:val="24"/>
                <w:szCs w:val="24"/>
                <w:lang w:val="en-GB"/>
              </w:rPr>
              <w:t>, 2025</w:t>
            </w:r>
          </w:p>
        </w:tc>
        <w:tc>
          <w:tcPr>
            <w:tcW w:w="2283" w:type="dxa"/>
          </w:tcPr>
          <w:p w14:paraId="18FAAF19" w14:textId="4EBC082E" w:rsidR="00AF6198" w:rsidRPr="00710DFA" w:rsidRDefault="00654400"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Adaptive resilience strategies for supply chain networks against disruptions.”</w:t>
            </w:r>
          </w:p>
        </w:tc>
        <w:tc>
          <w:tcPr>
            <w:tcW w:w="1417" w:type="dxa"/>
          </w:tcPr>
          <w:p w14:paraId="641C03C2" w14:textId="57183519" w:rsidR="00AF6198" w:rsidRPr="00710DFA" w:rsidRDefault="00654400"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Quantitative </w:t>
            </w:r>
          </w:p>
        </w:tc>
        <w:tc>
          <w:tcPr>
            <w:tcW w:w="2268" w:type="dxa"/>
          </w:tcPr>
          <w:p w14:paraId="21C913BA" w14:textId="001AE6F3"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Adaptive strategies as redundancy, flexibility, and network redesign can significantly enhance the ability of a supply chain to survive and recover in case of disruptions. Their model shows that proactive adaptation leads to greater stability of long-term networks.</w:t>
            </w:r>
          </w:p>
        </w:tc>
        <w:tc>
          <w:tcPr>
            <w:tcW w:w="1275" w:type="dxa"/>
          </w:tcPr>
          <w:p w14:paraId="3A068FC7" w14:textId="5CDF0329" w:rsidR="00AF6198" w:rsidRPr="00710DFA" w:rsidRDefault="00654400" w:rsidP="00361F0A">
            <w:pPr>
              <w:spacing w:line="360" w:lineRule="auto"/>
              <w:jc w:val="both"/>
              <w:rPr>
                <w:color w:val="000000" w:themeColor="text1"/>
                <w:sz w:val="24"/>
                <w:szCs w:val="24"/>
                <w:lang w:val="en-GB"/>
              </w:rPr>
            </w:pPr>
            <w:r w:rsidRPr="00710DFA">
              <w:rPr>
                <w:color w:val="000000" w:themeColor="text1"/>
                <w:sz w:val="24"/>
                <w:szCs w:val="24"/>
                <w:lang w:val="en-GB"/>
              </w:rPr>
              <w:t xml:space="preserve">Adaptive modelling </w:t>
            </w:r>
          </w:p>
        </w:tc>
      </w:tr>
      <w:tr w:rsidR="00AF6198" w:rsidRPr="00710DFA" w14:paraId="62771FA7" w14:textId="77777777" w:rsidTr="00093F9B">
        <w:tc>
          <w:tcPr>
            <w:tcW w:w="583" w:type="dxa"/>
          </w:tcPr>
          <w:p w14:paraId="675C2F8F" w14:textId="7A0326F3"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33</w:t>
            </w:r>
          </w:p>
        </w:tc>
        <w:tc>
          <w:tcPr>
            <w:tcW w:w="1760" w:type="dxa"/>
          </w:tcPr>
          <w:p w14:paraId="56995FE2" w14:textId="54EC0723"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Zidi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55004042" w14:textId="00B8B24F"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Reconfigurable Supply Chain Selection: Literature Review, Research Roadmap and New Trends”</w:t>
            </w:r>
          </w:p>
        </w:tc>
        <w:tc>
          <w:tcPr>
            <w:tcW w:w="1417" w:type="dxa"/>
          </w:tcPr>
          <w:p w14:paraId="05AE180B" w14:textId="2FF6C531"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Literature review </w:t>
            </w:r>
          </w:p>
        </w:tc>
        <w:tc>
          <w:tcPr>
            <w:tcW w:w="2268" w:type="dxa"/>
          </w:tcPr>
          <w:p w14:paraId="02DD1F56" w14:textId="09C3EC8A"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importance of reconfigurable supply chains to help firms adapt quickly to environmental changes by restructuring and reprocessing supply chains. It </w:t>
            </w:r>
            <w:r w:rsidRPr="00710DFA">
              <w:rPr>
                <w:color w:val="000000" w:themeColor="text1"/>
                <w:sz w:val="24"/>
                <w:szCs w:val="24"/>
                <w:lang w:val="en-GB"/>
              </w:rPr>
              <w:lastRenderedPageBreak/>
              <w:t>recognizes reconfigurability as an important facilitator of resilience in unstable markets.</w:t>
            </w:r>
          </w:p>
        </w:tc>
        <w:tc>
          <w:tcPr>
            <w:tcW w:w="1275" w:type="dxa"/>
          </w:tcPr>
          <w:p w14:paraId="7807E8B3" w14:textId="6B4CF5DD"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Reconfiguration of supply chain model </w:t>
            </w:r>
          </w:p>
        </w:tc>
      </w:tr>
      <w:tr w:rsidR="00AF6198" w:rsidRPr="00710DFA" w14:paraId="221D04A1" w14:textId="77777777" w:rsidTr="00093F9B">
        <w:tc>
          <w:tcPr>
            <w:tcW w:w="583" w:type="dxa"/>
          </w:tcPr>
          <w:p w14:paraId="12C64240" w14:textId="4D0D6491"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34</w:t>
            </w:r>
          </w:p>
        </w:tc>
        <w:tc>
          <w:tcPr>
            <w:tcW w:w="1760" w:type="dxa"/>
          </w:tcPr>
          <w:p w14:paraId="5AE84061" w14:textId="05C1140C"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Chen, </w:t>
            </w:r>
            <w:r w:rsidRPr="00710DFA">
              <w:rPr>
                <w:sz w:val="24"/>
                <w:szCs w:val="24"/>
                <w:lang w:val="en-GB"/>
              </w:rPr>
              <w:t>Shaharudin, and Liu</w:t>
            </w:r>
            <w:r w:rsidRPr="00710DFA">
              <w:rPr>
                <w:color w:val="000000" w:themeColor="text1"/>
                <w:sz w:val="24"/>
                <w:szCs w:val="24"/>
                <w:lang w:val="en-GB"/>
              </w:rPr>
              <w:t xml:space="preserve"> 2026</w:t>
            </w:r>
          </w:p>
        </w:tc>
        <w:tc>
          <w:tcPr>
            <w:tcW w:w="2283" w:type="dxa"/>
          </w:tcPr>
          <w:p w14:paraId="1AFAACBF" w14:textId="05E8F72D"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The Impact of Supply Chain Risk Management on Organizational Resilience: The Mediating Role of Resource Reconfiguration”</w:t>
            </w:r>
          </w:p>
        </w:tc>
        <w:tc>
          <w:tcPr>
            <w:tcW w:w="1417" w:type="dxa"/>
          </w:tcPr>
          <w:p w14:paraId="1DC1D742" w14:textId="1D775D81"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Quantitative </w:t>
            </w:r>
          </w:p>
        </w:tc>
        <w:tc>
          <w:tcPr>
            <w:tcW w:w="2268" w:type="dxa"/>
          </w:tcPr>
          <w:p w14:paraId="306BB779" w14:textId="02F2D760"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The findings indicate that the supply chain risk management has a beneficial impact on organisational resilience, and resource reconfiguration is a key mediating process.</w:t>
            </w:r>
          </w:p>
        </w:tc>
        <w:tc>
          <w:tcPr>
            <w:tcW w:w="1275" w:type="dxa"/>
          </w:tcPr>
          <w:p w14:paraId="2F6A7526" w14:textId="320A1553"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Organisational risk management </w:t>
            </w:r>
          </w:p>
        </w:tc>
      </w:tr>
      <w:tr w:rsidR="00AF6198" w:rsidRPr="00710DFA" w14:paraId="549F4E57" w14:textId="77777777" w:rsidTr="00093F9B">
        <w:tc>
          <w:tcPr>
            <w:tcW w:w="583" w:type="dxa"/>
          </w:tcPr>
          <w:p w14:paraId="61CC479E" w14:textId="1A2D5D07"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35</w:t>
            </w:r>
          </w:p>
        </w:tc>
        <w:tc>
          <w:tcPr>
            <w:tcW w:w="1760" w:type="dxa"/>
          </w:tcPr>
          <w:p w14:paraId="74E465A4" w14:textId="53BBCD57" w:rsidR="00AF6198" w:rsidRPr="00710DFA" w:rsidRDefault="0031109B" w:rsidP="00361F0A">
            <w:pPr>
              <w:spacing w:line="360" w:lineRule="auto"/>
              <w:jc w:val="both"/>
              <w:rPr>
                <w:color w:val="000000" w:themeColor="text1"/>
                <w:sz w:val="24"/>
                <w:szCs w:val="24"/>
                <w:lang w:val="en-GB"/>
              </w:rPr>
            </w:pPr>
            <w:r w:rsidRPr="00710DFA">
              <w:rPr>
                <w:sz w:val="24"/>
                <w:szCs w:val="24"/>
                <w:lang w:val="en-GB"/>
              </w:rPr>
              <w:t xml:space="preserve">Al Naimi </w:t>
            </w:r>
            <w:r w:rsidRPr="00710DFA">
              <w:rPr>
                <w:i/>
                <w:iCs/>
                <w:sz w:val="24"/>
                <w:szCs w:val="24"/>
                <w:lang w:val="en-GB"/>
              </w:rPr>
              <w:t xml:space="preserve">et al. </w:t>
            </w:r>
            <w:r w:rsidRPr="00710DFA">
              <w:rPr>
                <w:sz w:val="24"/>
                <w:szCs w:val="24"/>
                <w:lang w:val="en-GB"/>
              </w:rPr>
              <w:t>2021</w:t>
            </w:r>
          </w:p>
        </w:tc>
        <w:tc>
          <w:tcPr>
            <w:tcW w:w="2283" w:type="dxa"/>
          </w:tcPr>
          <w:p w14:paraId="791C3E55" w14:textId="2D34961F"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Antecedents and consequences of supply chain resilience and reconfiguration: an empirical study in an emerging economy.”</w:t>
            </w:r>
          </w:p>
        </w:tc>
        <w:tc>
          <w:tcPr>
            <w:tcW w:w="1417" w:type="dxa"/>
          </w:tcPr>
          <w:p w14:paraId="4B904986" w14:textId="17A164A3"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Empirical </w:t>
            </w:r>
          </w:p>
        </w:tc>
        <w:tc>
          <w:tcPr>
            <w:tcW w:w="2268" w:type="dxa"/>
          </w:tcPr>
          <w:p w14:paraId="79618340" w14:textId="090B812C"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study concludes that the antecedents of supply chain resilience are flexibility, collaboration, and technology integration. The abilities result in better performance of the firm and a quicker bounce </w:t>
            </w:r>
            <w:r w:rsidRPr="00710DFA">
              <w:rPr>
                <w:color w:val="000000" w:themeColor="text1"/>
                <w:sz w:val="24"/>
                <w:szCs w:val="24"/>
                <w:lang w:val="en-GB"/>
              </w:rPr>
              <w:lastRenderedPageBreak/>
              <w:t>back of the interruption.</w:t>
            </w:r>
          </w:p>
        </w:tc>
        <w:tc>
          <w:tcPr>
            <w:tcW w:w="1275" w:type="dxa"/>
          </w:tcPr>
          <w:p w14:paraId="2CF52BD5" w14:textId="48DE4716"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Implication of resilience I supply chain</w:t>
            </w:r>
          </w:p>
        </w:tc>
      </w:tr>
      <w:tr w:rsidR="00AF6198" w:rsidRPr="00710DFA" w14:paraId="77B047F8" w14:textId="77777777" w:rsidTr="00093F9B">
        <w:tc>
          <w:tcPr>
            <w:tcW w:w="583" w:type="dxa"/>
          </w:tcPr>
          <w:p w14:paraId="7E8D2FC6" w14:textId="6B348F8F"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36</w:t>
            </w:r>
          </w:p>
        </w:tc>
        <w:tc>
          <w:tcPr>
            <w:tcW w:w="1760" w:type="dxa"/>
          </w:tcPr>
          <w:p w14:paraId="096ECCC6" w14:textId="507F299D"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Nair</w:t>
            </w:r>
            <w:r w:rsidR="00093F9B" w:rsidRPr="00710DFA">
              <w:rPr>
                <w:color w:val="000000" w:themeColor="text1"/>
                <w:sz w:val="24"/>
                <w:szCs w:val="24"/>
                <w:lang w:val="en-GB"/>
              </w:rPr>
              <w:t>, Manohar, and Mittal</w:t>
            </w:r>
            <w:r w:rsidRPr="00710DFA">
              <w:rPr>
                <w:color w:val="000000" w:themeColor="text1"/>
                <w:sz w:val="24"/>
                <w:szCs w:val="24"/>
                <w:lang w:val="en-GB"/>
              </w:rPr>
              <w:t xml:space="preserve"> 2024</w:t>
            </w:r>
          </w:p>
        </w:tc>
        <w:tc>
          <w:tcPr>
            <w:tcW w:w="2283" w:type="dxa"/>
          </w:tcPr>
          <w:p w14:paraId="7AB2758F" w14:textId="7468B91D"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Reconfiguration and transformation for resilience: Building service organizations towards sustainability”</w:t>
            </w:r>
          </w:p>
        </w:tc>
        <w:tc>
          <w:tcPr>
            <w:tcW w:w="1417" w:type="dxa"/>
          </w:tcPr>
          <w:p w14:paraId="2B54E08B" w14:textId="0273C75C"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Qualitative </w:t>
            </w:r>
          </w:p>
        </w:tc>
        <w:tc>
          <w:tcPr>
            <w:tcW w:w="2268" w:type="dxa"/>
          </w:tcPr>
          <w:p w14:paraId="7236F60E" w14:textId="70E723FA"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The study indicates that the organisational change and service reconfiguration are needed to resilience building of service companies. It also indicates that the goal of sustainability is strongly connected with the resilience strategies.</w:t>
            </w:r>
          </w:p>
        </w:tc>
        <w:tc>
          <w:tcPr>
            <w:tcW w:w="1275" w:type="dxa"/>
          </w:tcPr>
          <w:p w14:paraId="418A74D1" w14:textId="04AB6068" w:rsidR="00AF6198" w:rsidRPr="00710DFA" w:rsidRDefault="003110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Organisational transformation </w:t>
            </w:r>
          </w:p>
        </w:tc>
      </w:tr>
      <w:tr w:rsidR="00AF6198" w:rsidRPr="00710DFA" w14:paraId="6FE4F297" w14:textId="77777777" w:rsidTr="00093F9B">
        <w:tc>
          <w:tcPr>
            <w:tcW w:w="583" w:type="dxa"/>
          </w:tcPr>
          <w:p w14:paraId="40C5F153" w14:textId="3BC31DE2"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37</w:t>
            </w:r>
          </w:p>
        </w:tc>
        <w:tc>
          <w:tcPr>
            <w:tcW w:w="1760" w:type="dxa"/>
          </w:tcPr>
          <w:p w14:paraId="04C7DD4A" w14:textId="28C6EF88" w:rsidR="00AF6198" w:rsidRPr="00710DFA" w:rsidRDefault="00093F9B" w:rsidP="00361F0A">
            <w:pPr>
              <w:spacing w:line="360" w:lineRule="auto"/>
              <w:jc w:val="both"/>
              <w:rPr>
                <w:color w:val="000000" w:themeColor="text1"/>
                <w:sz w:val="24"/>
                <w:szCs w:val="24"/>
                <w:lang w:val="en-GB"/>
              </w:rPr>
            </w:pPr>
            <w:r w:rsidRPr="00710DFA">
              <w:rPr>
                <w:sz w:val="24"/>
                <w:szCs w:val="24"/>
                <w:lang w:val="en-GB"/>
              </w:rPr>
              <w:t xml:space="preserve">Alzate </w:t>
            </w:r>
            <w:r w:rsidRPr="00710DFA">
              <w:rPr>
                <w:i/>
                <w:iCs/>
                <w:sz w:val="24"/>
                <w:szCs w:val="24"/>
                <w:lang w:val="en-GB"/>
              </w:rPr>
              <w:t>et al.</w:t>
            </w:r>
            <w:r w:rsidRPr="00710DFA">
              <w:rPr>
                <w:sz w:val="24"/>
                <w:szCs w:val="24"/>
                <w:lang w:val="en-GB"/>
              </w:rPr>
              <w:t xml:space="preserve"> 2024</w:t>
            </w:r>
          </w:p>
        </w:tc>
        <w:tc>
          <w:tcPr>
            <w:tcW w:w="2283" w:type="dxa"/>
          </w:tcPr>
          <w:p w14:paraId="02811516" w14:textId="441B2960"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“Flexibility and adaptability: Dynamic capabilities for building supply chain resilience.”</w:t>
            </w:r>
          </w:p>
        </w:tc>
        <w:tc>
          <w:tcPr>
            <w:tcW w:w="1417" w:type="dxa"/>
          </w:tcPr>
          <w:p w14:paraId="2D129F1F" w14:textId="567F9CFA"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w:t>
            </w:r>
          </w:p>
        </w:tc>
        <w:tc>
          <w:tcPr>
            <w:tcW w:w="2268" w:type="dxa"/>
          </w:tcPr>
          <w:p w14:paraId="3E6F2F99" w14:textId="77FB8590"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The research claims that dynamic capabilities that include sensing, seizing, and reconfiguring resources are key to the achievement of supply chain resilience.</w:t>
            </w:r>
          </w:p>
        </w:tc>
        <w:tc>
          <w:tcPr>
            <w:tcW w:w="1275" w:type="dxa"/>
          </w:tcPr>
          <w:p w14:paraId="4A81C810" w14:textId="4F11597E"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Implication of DCT framework in supply chain</w:t>
            </w:r>
          </w:p>
        </w:tc>
      </w:tr>
      <w:tr w:rsidR="00AF6198" w:rsidRPr="00710DFA" w14:paraId="7AEABFC4" w14:textId="77777777" w:rsidTr="00093F9B">
        <w:tc>
          <w:tcPr>
            <w:tcW w:w="583" w:type="dxa"/>
          </w:tcPr>
          <w:p w14:paraId="3D3B7075" w14:textId="0247F942"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38</w:t>
            </w:r>
          </w:p>
        </w:tc>
        <w:tc>
          <w:tcPr>
            <w:tcW w:w="1760" w:type="dxa"/>
          </w:tcPr>
          <w:p w14:paraId="2C561E09" w14:textId="0474D369"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Long </w:t>
            </w:r>
            <w:r w:rsidRPr="00710DFA">
              <w:rPr>
                <w:i/>
                <w:iCs/>
                <w:color w:val="000000" w:themeColor="text1"/>
                <w:sz w:val="24"/>
                <w:szCs w:val="24"/>
                <w:lang w:val="en-GB"/>
              </w:rPr>
              <w:t>et al.</w:t>
            </w:r>
            <w:r w:rsidRPr="00710DFA">
              <w:rPr>
                <w:color w:val="000000" w:themeColor="text1"/>
                <w:sz w:val="24"/>
                <w:szCs w:val="24"/>
                <w:lang w:val="en-GB"/>
              </w:rPr>
              <w:t xml:space="preserve"> 2025</w:t>
            </w:r>
          </w:p>
        </w:tc>
        <w:tc>
          <w:tcPr>
            <w:tcW w:w="2283" w:type="dxa"/>
          </w:tcPr>
          <w:p w14:paraId="7ECAF776" w14:textId="2F4A0580"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 xml:space="preserve">The effect of resource restructuring on </w:t>
            </w:r>
            <w:r w:rsidRPr="00710DFA">
              <w:rPr>
                <w:sz w:val="24"/>
                <w:szCs w:val="24"/>
                <w:lang w:val="en-GB"/>
              </w:rPr>
              <w:lastRenderedPageBreak/>
              <w:t>supply chain resilience in the context of digital transformation.”</w:t>
            </w:r>
          </w:p>
        </w:tc>
        <w:tc>
          <w:tcPr>
            <w:tcW w:w="1417" w:type="dxa"/>
          </w:tcPr>
          <w:p w14:paraId="4B8472E9" w14:textId="7BECF665"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Quantitative </w:t>
            </w:r>
          </w:p>
        </w:tc>
        <w:tc>
          <w:tcPr>
            <w:tcW w:w="2268" w:type="dxa"/>
          </w:tcPr>
          <w:p w14:paraId="33393707" w14:textId="3D7869ED"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authors show that the digital transformation </w:t>
            </w:r>
            <w:r w:rsidRPr="00710DFA">
              <w:rPr>
                <w:color w:val="000000" w:themeColor="text1"/>
                <w:sz w:val="24"/>
                <w:szCs w:val="24"/>
                <w:lang w:val="en-GB"/>
              </w:rPr>
              <w:lastRenderedPageBreak/>
              <w:t>contributes to the supply chain resilience by facilitating the efficient restructuring of resources and making decisions in real-time. The companies that use digital instruments are less responsive to the disruptions.</w:t>
            </w:r>
          </w:p>
        </w:tc>
        <w:tc>
          <w:tcPr>
            <w:tcW w:w="1275" w:type="dxa"/>
          </w:tcPr>
          <w:p w14:paraId="3500CDFA" w14:textId="03BFC29C"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Digital transformation </w:t>
            </w:r>
          </w:p>
        </w:tc>
      </w:tr>
      <w:tr w:rsidR="00AF6198" w:rsidRPr="00710DFA" w14:paraId="59580EAE" w14:textId="77777777" w:rsidTr="00093F9B">
        <w:tc>
          <w:tcPr>
            <w:tcW w:w="583" w:type="dxa"/>
          </w:tcPr>
          <w:p w14:paraId="25A53B3C" w14:textId="0081F66A"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39</w:t>
            </w:r>
          </w:p>
        </w:tc>
        <w:tc>
          <w:tcPr>
            <w:tcW w:w="1760" w:type="dxa"/>
          </w:tcPr>
          <w:p w14:paraId="4EDE32DB" w14:textId="1A32AB50"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Sarkar, Mohamed Ismail, and Tkachev, 2022</w:t>
            </w:r>
          </w:p>
        </w:tc>
        <w:tc>
          <w:tcPr>
            <w:tcW w:w="2283" w:type="dxa"/>
          </w:tcPr>
          <w:p w14:paraId="3D51CF07" w14:textId="23AB442D"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“Bridging the supply chain resilience research and practice gaps: pre and post COVID-19 perspectives”</w:t>
            </w:r>
          </w:p>
        </w:tc>
        <w:tc>
          <w:tcPr>
            <w:tcW w:w="1417" w:type="dxa"/>
          </w:tcPr>
          <w:p w14:paraId="068026B9" w14:textId="6375A260"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Literature review </w:t>
            </w:r>
          </w:p>
        </w:tc>
        <w:tc>
          <w:tcPr>
            <w:tcW w:w="2268" w:type="dxa"/>
          </w:tcPr>
          <w:p w14:paraId="7D5A3F40" w14:textId="1935D43B"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 The research reveals that there is a considerable gap between theoretical studies and practical application of supply chain resilience strategies. It demands additional empirical and </w:t>
            </w:r>
            <w:r w:rsidR="00E719B9" w:rsidRPr="00710DFA">
              <w:rPr>
                <w:color w:val="000000" w:themeColor="text1"/>
                <w:sz w:val="24"/>
                <w:szCs w:val="24"/>
                <w:lang w:val="en-GB"/>
              </w:rPr>
              <w:t>industry-oriented</w:t>
            </w:r>
            <w:r w:rsidRPr="00710DFA">
              <w:rPr>
                <w:color w:val="000000" w:themeColor="text1"/>
                <w:sz w:val="24"/>
                <w:szCs w:val="24"/>
                <w:lang w:val="en-GB"/>
              </w:rPr>
              <w:t xml:space="preserve"> studies to fill this gap.</w:t>
            </w:r>
          </w:p>
        </w:tc>
        <w:tc>
          <w:tcPr>
            <w:tcW w:w="1275" w:type="dxa"/>
          </w:tcPr>
          <w:p w14:paraId="0A39755C" w14:textId="51F300B0" w:rsidR="00AF6198" w:rsidRPr="00710DFA" w:rsidRDefault="00893C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Practicing resilient framework </w:t>
            </w:r>
          </w:p>
        </w:tc>
      </w:tr>
      <w:tr w:rsidR="00AF6198" w:rsidRPr="00710DFA" w14:paraId="4C394A0C" w14:textId="77777777" w:rsidTr="00093F9B">
        <w:tc>
          <w:tcPr>
            <w:tcW w:w="583" w:type="dxa"/>
          </w:tcPr>
          <w:p w14:paraId="22381542" w14:textId="15BC97D3"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40</w:t>
            </w:r>
          </w:p>
        </w:tc>
        <w:tc>
          <w:tcPr>
            <w:tcW w:w="1760" w:type="dxa"/>
          </w:tcPr>
          <w:p w14:paraId="5C945BF8" w14:textId="09032DAC"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 xml:space="preserve">Islam </w:t>
            </w:r>
            <w:r w:rsidRPr="00710DFA">
              <w:rPr>
                <w:i/>
                <w:iCs/>
                <w:color w:val="000000" w:themeColor="text1"/>
                <w:sz w:val="24"/>
                <w:szCs w:val="24"/>
                <w:lang w:val="en-GB"/>
              </w:rPr>
              <w:t>et al.</w:t>
            </w:r>
            <w:r w:rsidRPr="00710DFA">
              <w:rPr>
                <w:color w:val="000000" w:themeColor="text1"/>
                <w:sz w:val="24"/>
                <w:szCs w:val="24"/>
                <w:lang w:val="en-GB"/>
              </w:rPr>
              <w:t xml:space="preserve"> 2023</w:t>
            </w:r>
          </w:p>
        </w:tc>
        <w:tc>
          <w:tcPr>
            <w:tcW w:w="2283" w:type="dxa"/>
          </w:tcPr>
          <w:p w14:paraId="42990E83" w14:textId="03D44143"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 xml:space="preserve">Evaluating supply chain resilience using supply chain </w:t>
            </w:r>
            <w:r w:rsidRPr="00710DFA">
              <w:rPr>
                <w:sz w:val="24"/>
                <w:szCs w:val="24"/>
                <w:lang w:val="en-GB"/>
              </w:rPr>
              <w:lastRenderedPageBreak/>
              <w:t>management competencies in the garment industry: a post COVID analysis”</w:t>
            </w:r>
          </w:p>
        </w:tc>
        <w:tc>
          <w:tcPr>
            <w:tcW w:w="1417" w:type="dxa"/>
          </w:tcPr>
          <w:p w14:paraId="04CE9421" w14:textId="37EF9E47"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Quantitative </w:t>
            </w:r>
          </w:p>
        </w:tc>
        <w:tc>
          <w:tcPr>
            <w:tcW w:w="2268" w:type="dxa"/>
          </w:tcPr>
          <w:p w14:paraId="041575FB" w14:textId="39FCCDD6" w:rsidR="00AF6198" w:rsidRPr="00710DFA" w:rsidRDefault="00E719B9"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results reveal that competencies of supply chain </w:t>
            </w:r>
            <w:r w:rsidRPr="00710DFA">
              <w:rPr>
                <w:color w:val="000000" w:themeColor="text1"/>
                <w:sz w:val="24"/>
                <w:szCs w:val="24"/>
                <w:lang w:val="en-GB"/>
              </w:rPr>
              <w:lastRenderedPageBreak/>
              <w:t>management, such as coordination and risk management, have a significant effect on enhancing resilience in the garment sector after the COVID-19 pandemic. Companies that have higher competencies bounce back better.</w:t>
            </w:r>
          </w:p>
        </w:tc>
        <w:tc>
          <w:tcPr>
            <w:tcW w:w="1275" w:type="dxa"/>
          </w:tcPr>
          <w:p w14:paraId="465BD64E" w14:textId="18DA0BF2" w:rsidR="00AF6198" w:rsidRPr="00710DFA" w:rsidRDefault="00093F9B"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Garment industry </w:t>
            </w:r>
            <w:r w:rsidRPr="00710DFA">
              <w:rPr>
                <w:color w:val="000000" w:themeColor="text1"/>
                <w:sz w:val="24"/>
                <w:szCs w:val="24"/>
                <w:lang w:val="en-GB"/>
              </w:rPr>
              <w:lastRenderedPageBreak/>
              <w:t xml:space="preserve">resilient factors </w:t>
            </w:r>
          </w:p>
        </w:tc>
      </w:tr>
      <w:tr w:rsidR="00AF6198" w:rsidRPr="00710DFA" w14:paraId="59839944" w14:textId="77777777" w:rsidTr="00093F9B">
        <w:tc>
          <w:tcPr>
            <w:tcW w:w="583" w:type="dxa"/>
          </w:tcPr>
          <w:p w14:paraId="4CDA94C9" w14:textId="078CC291"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41</w:t>
            </w:r>
          </w:p>
        </w:tc>
        <w:tc>
          <w:tcPr>
            <w:tcW w:w="1760" w:type="dxa"/>
          </w:tcPr>
          <w:p w14:paraId="788AC878" w14:textId="4F5FF3B7" w:rsidR="00AF6198" w:rsidRPr="00710DFA" w:rsidRDefault="00E97EC2" w:rsidP="00361F0A">
            <w:pPr>
              <w:spacing w:line="360" w:lineRule="auto"/>
              <w:jc w:val="both"/>
              <w:rPr>
                <w:color w:val="000000" w:themeColor="text1"/>
                <w:sz w:val="24"/>
                <w:szCs w:val="24"/>
                <w:lang w:val="en-GB"/>
              </w:rPr>
            </w:pPr>
            <w:r w:rsidRPr="00710DFA">
              <w:rPr>
                <w:color w:val="000000" w:themeColor="text1"/>
                <w:sz w:val="24"/>
                <w:szCs w:val="24"/>
                <w:lang w:val="en-GB"/>
              </w:rPr>
              <w:t>Farrukh, and Sajjad, 2025</w:t>
            </w:r>
          </w:p>
        </w:tc>
        <w:tc>
          <w:tcPr>
            <w:tcW w:w="2283" w:type="dxa"/>
          </w:tcPr>
          <w:p w14:paraId="7F39A18B" w14:textId="1C68ED24" w:rsidR="00AF6198" w:rsidRPr="00710DFA" w:rsidRDefault="00E97EC2"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Investigating supply chain disruptions and resilience in the textile industry: A systemic risk theory and dynamic capability-based view.”</w:t>
            </w:r>
          </w:p>
        </w:tc>
        <w:tc>
          <w:tcPr>
            <w:tcW w:w="1417" w:type="dxa"/>
          </w:tcPr>
          <w:p w14:paraId="60F75EBC" w14:textId="7B5664D2"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w:t>
            </w:r>
          </w:p>
        </w:tc>
        <w:tc>
          <w:tcPr>
            <w:tcW w:w="2268" w:type="dxa"/>
          </w:tcPr>
          <w:p w14:paraId="0CFA3B46" w14:textId="677EC8AB" w:rsidR="00AF6198" w:rsidRPr="00710DFA" w:rsidRDefault="00E719B9" w:rsidP="00361F0A">
            <w:pPr>
              <w:spacing w:line="360" w:lineRule="auto"/>
              <w:jc w:val="both"/>
              <w:rPr>
                <w:color w:val="000000" w:themeColor="text1"/>
                <w:sz w:val="24"/>
                <w:szCs w:val="24"/>
                <w:lang w:val="en-GB"/>
              </w:rPr>
            </w:pPr>
            <w:r w:rsidRPr="00710DFA">
              <w:rPr>
                <w:color w:val="000000" w:themeColor="text1"/>
                <w:sz w:val="24"/>
                <w:szCs w:val="24"/>
                <w:lang w:val="en-GB"/>
              </w:rPr>
              <w:t>The paper underscores the fact that systemic risks such as global disruptions and interdependencies have a significant impact on the resilience of supply chains. It underlines the importance of dynamic capabilities to address these risks.</w:t>
            </w:r>
          </w:p>
        </w:tc>
        <w:tc>
          <w:tcPr>
            <w:tcW w:w="1275" w:type="dxa"/>
          </w:tcPr>
          <w:p w14:paraId="76C0B243" w14:textId="2B19775F"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Organisational risk </w:t>
            </w:r>
          </w:p>
        </w:tc>
      </w:tr>
      <w:tr w:rsidR="00AF6198" w:rsidRPr="00710DFA" w14:paraId="230C1228" w14:textId="77777777" w:rsidTr="00093F9B">
        <w:tc>
          <w:tcPr>
            <w:tcW w:w="583" w:type="dxa"/>
          </w:tcPr>
          <w:p w14:paraId="289BB952" w14:textId="2CA94F2F"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42</w:t>
            </w:r>
          </w:p>
        </w:tc>
        <w:tc>
          <w:tcPr>
            <w:tcW w:w="1760" w:type="dxa"/>
          </w:tcPr>
          <w:p w14:paraId="79213CAD" w14:textId="4F16C57E" w:rsidR="00AF6198" w:rsidRPr="00710DFA" w:rsidRDefault="00E97EC2" w:rsidP="00361F0A">
            <w:pPr>
              <w:spacing w:line="360" w:lineRule="auto"/>
              <w:jc w:val="both"/>
              <w:rPr>
                <w:color w:val="000000" w:themeColor="text1"/>
                <w:sz w:val="24"/>
                <w:szCs w:val="24"/>
                <w:lang w:val="en-GB"/>
              </w:rPr>
            </w:pPr>
            <w:r w:rsidRPr="00710DFA">
              <w:rPr>
                <w:color w:val="000000" w:themeColor="text1"/>
                <w:sz w:val="24"/>
                <w:szCs w:val="24"/>
                <w:lang w:val="en-GB"/>
              </w:rPr>
              <w:t xml:space="preserve">Herold </w:t>
            </w:r>
            <w:r w:rsidRPr="00710DFA">
              <w:rPr>
                <w:i/>
                <w:iCs/>
                <w:color w:val="000000" w:themeColor="text1"/>
                <w:sz w:val="24"/>
                <w:szCs w:val="24"/>
                <w:lang w:val="en-GB"/>
              </w:rPr>
              <w:t>et al.</w:t>
            </w:r>
            <w:r w:rsidRPr="00710DFA">
              <w:rPr>
                <w:color w:val="000000" w:themeColor="text1"/>
                <w:sz w:val="24"/>
                <w:szCs w:val="24"/>
                <w:lang w:val="en-GB"/>
              </w:rPr>
              <w:t xml:space="preserve"> 2021</w:t>
            </w:r>
          </w:p>
        </w:tc>
        <w:tc>
          <w:tcPr>
            <w:tcW w:w="2283" w:type="dxa"/>
          </w:tcPr>
          <w:p w14:paraId="0B21BA67" w14:textId="12665C00" w:rsidR="00AF6198" w:rsidRPr="00710DFA" w:rsidRDefault="00E97EC2" w:rsidP="00361F0A">
            <w:pPr>
              <w:spacing w:line="360" w:lineRule="auto"/>
              <w:jc w:val="both"/>
              <w:rPr>
                <w:color w:val="000000" w:themeColor="text1"/>
                <w:sz w:val="24"/>
                <w:szCs w:val="24"/>
                <w:lang w:val="en-GB"/>
              </w:rPr>
            </w:pPr>
            <w:r w:rsidRPr="00710DFA">
              <w:rPr>
                <w:color w:val="000000" w:themeColor="text1"/>
                <w:sz w:val="24"/>
                <w:szCs w:val="24"/>
                <w:lang w:val="en-GB"/>
              </w:rPr>
              <w:t>“COVID-19 and the pursuit of supply chain resilience: Reactions and “lessons learned” from logistics service providers (LSPs).”</w:t>
            </w:r>
          </w:p>
        </w:tc>
        <w:tc>
          <w:tcPr>
            <w:tcW w:w="1417" w:type="dxa"/>
          </w:tcPr>
          <w:p w14:paraId="27F8B725" w14:textId="6C7DE02C"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Qualitative </w:t>
            </w:r>
          </w:p>
        </w:tc>
        <w:tc>
          <w:tcPr>
            <w:tcW w:w="2268" w:type="dxa"/>
          </w:tcPr>
          <w:p w14:paraId="0B96C2FD" w14:textId="0F8E5BFB" w:rsidR="00AF6198" w:rsidRPr="00710DFA" w:rsidRDefault="00E719B9" w:rsidP="00361F0A">
            <w:pPr>
              <w:spacing w:line="360" w:lineRule="auto"/>
              <w:jc w:val="both"/>
              <w:rPr>
                <w:color w:val="000000" w:themeColor="text1"/>
                <w:sz w:val="24"/>
                <w:szCs w:val="24"/>
                <w:lang w:val="en-GB"/>
              </w:rPr>
            </w:pPr>
            <w:r w:rsidRPr="00710DFA">
              <w:rPr>
                <w:color w:val="000000" w:themeColor="text1"/>
                <w:sz w:val="24"/>
                <w:szCs w:val="24"/>
                <w:lang w:val="en-GB"/>
              </w:rPr>
              <w:t>The study indicates that the logistics service providers reacted to the disruptions caused by COVID-19 by providing greater flexibility, cooperation, and innovation.</w:t>
            </w:r>
          </w:p>
        </w:tc>
        <w:tc>
          <w:tcPr>
            <w:tcW w:w="1275" w:type="dxa"/>
          </w:tcPr>
          <w:p w14:paraId="31C30E65" w14:textId="77139BA4"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Crisis response strategies </w:t>
            </w:r>
          </w:p>
        </w:tc>
      </w:tr>
      <w:tr w:rsidR="00AF6198" w:rsidRPr="00710DFA" w14:paraId="085749F3" w14:textId="77777777" w:rsidTr="00093F9B">
        <w:tc>
          <w:tcPr>
            <w:tcW w:w="583" w:type="dxa"/>
          </w:tcPr>
          <w:p w14:paraId="21215DBA" w14:textId="61E932B4"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43</w:t>
            </w:r>
          </w:p>
        </w:tc>
        <w:tc>
          <w:tcPr>
            <w:tcW w:w="1760" w:type="dxa"/>
          </w:tcPr>
          <w:p w14:paraId="18157034" w14:textId="19C23DA3" w:rsidR="00AF6198" w:rsidRPr="00710DFA" w:rsidRDefault="00E97EC2" w:rsidP="00361F0A">
            <w:pPr>
              <w:spacing w:line="360" w:lineRule="auto"/>
              <w:jc w:val="both"/>
              <w:rPr>
                <w:color w:val="000000" w:themeColor="text1"/>
                <w:sz w:val="24"/>
                <w:szCs w:val="24"/>
                <w:lang w:val="en-GB"/>
              </w:rPr>
            </w:pPr>
            <w:r w:rsidRPr="00710DFA">
              <w:rPr>
                <w:sz w:val="24"/>
                <w:szCs w:val="24"/>
                <w:lang w:val="en-GB"/>
              </w:rPr>
              <w:t>Salehi, Babaei, and Hamidi, 2026</w:t>
            </w:r>
          </w:p>
        </w:tc>
        <w:tc>
          <w:tcPr>
            <w:tcW w:w="2283" w:type="dxa"/>
          </w:tcPr>
          <w:p w14:paraId="097E473F" w14:textId="75B18AAD" w:rsidR="00AF6198" w:rsidRPr="00710DFA" w:rsidRDefault="00E97EC2" w:rsidP="00361F0A">
            <w:pPr>
              <w:spacing w:line="360" w:lineRule="auto"/>
              <w:jc w:val="both"/>
              <w:rPr>
                <w:color w:val="000000" w:themeColor="text1"/>
                <w:sz w:val="24"/>
                <w:szCs w:val="24"/>
                <w:lang w:val="en-GB"/>
              </w:rPr>
            </w:pPr>
            <w:r w:rsidRPr="00710DFA">
              <w:rPr>
                <w:color w:val="000000" w:themeColor="text1"/>
                <w:sz w:val="24"/>
                <w:szCs w:val="24"/>
                <w:lang w:val="en-GB"/>
              </w:rPr>
              <w:t>“</w:t>
            </w:r>
            <w:r w:rsidR="000D6826" w:rsidRPr="00710DFA">
              <w:rPr>
                <w:sz w:val="24"/>
                <w:szCs w:val="24"/>
                <w:lang w:val="en-GB"/>
              </w:rPr>
              <w:t>AI-Driven Strategies for Supply Chain Resilience: A Review of Challenges and Solutions During Pandemics.”</w:t>
            </w:r>
          </w:p>
        </w:tc>
        <w:tc>
          <w:tcPr>
            <w:tcW w:w="1417" w:type="dxa"/>
          </w:tcPr>
          <w:p w14:paraId="4C7FF2E2" w14:textId="1FD04AE1"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Literature review </w:t>
            </w:r>
          </w:p>
        </w:tc>
        <w:tc>
          <w:tcPr>
            <w:tcW w:w="2268" w:type="dxa"/>
          </w:tcPr>
          <w:p w14:paraId="6395AE60" w14:textId="6B59F908" w:rsidR="00AF6198" w:rsidRPr="00710DFA" w:rsidRDefault="00E719B9" w:rsidP="00361F0A">
            <w:pPr>
              <w:spacing w:line="360" w:lineRule="auto"/>
              <w:jc w:val="both"/>
              <w:rPr>
                <w:color w:val="000000" w:themeColor="text1"/>
                <w:sz w:val="24"/>
                <w:szCs w:val="24"/>
                <w:lang w:val="en-GB"/>
              </w:rPr>
            </w:pPr>
            <w:r w:rsidRPr="00710DFA">
              <w:rPr>
                <w:color w:val="000000" w:themeColor="text1"/>
                <w:sz w:val="24"/>
                <w:szCs w:val="24"/>
                <w:lang w:val="en-GB"/>
              </w:rPr>
              <w:t>The research concludes that AI-based tools can help supply chain resilience by enhancing predictive analytics, risk identification, and decision-making in times of crisis. It also underlines the implementation and data quality-related challenges.</w:t>
            </w:r>
          </w:p>
        </w:tc>
        <w:tc>
          <w:tcPr>
            <w:tcW w:w="1275" w:type="dxa"/>
          </w:tcPr>
          <w:p w14:paraId="004F96C2" w14:textId="06A43EA9"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Organisational resilience </w:t>
            </w:r>
          </w:p>
        </w:tc>
      </w:tr>
      <w:tr w:rsidR="00AF6198" w:rsidRPr="00710DFA" w14:paraId="4016BEF7" w14:textId="77777777" w:rsidTr="00093F9B">
        <w:tc>
          <w:tcPr>
            <w:tcW w:w="583" w:type="dxa"/>
          </w:tcPr>
          <w:p w14:paraId="17BCAEF8" w14:textId="3A0F9009"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44</w:t>
            </w:r>
          </w:p>
        </w:tc>
        <w:tc>
          <w:tcPr>
            <w:tcW w:w="1760" w:type="dxa"/>
          </w:tcPr>
          <w:p w14:paraId="3C913115" w14:textId="60AC5900" w:rsidR="00AF6198" w:rsidRPr="00710DFA" w:rsidRDefault="000D6826" w:rsidP="00361F0A">
            <w:pPr>
              <w:spacing w:line="360" w:lineRule="auto"/>
              <w:jc w:val="both"/>
              <w:rPr>
                <w:color w:val="000000" w:themeColor="text1"/>
                <w:sz w:val="24"/>
                <w:szCs w:val="24"/>
                <w:lang w:val="en-GB"/>
              </w:rPr>
            </w:pPr>
            <w:r w:rsidRPr="00710DFA">
              <w:rPr>
                <w:color w:val="000000" w:themeColor="text1"/>
                <w:sz w:val="24"/>
                <w:szCs w:val="24"/>
                <w:lang w:val="en-GB"/>
              </w:rPr>
              <w:t xml:space="preserve">Li </w:t>
            </w:r>
            <w:r w:rsidRPr="00710DFA">
              <w:rPr>
                <w:i/>
                <w:iCs/>
                <w:color w:val="000000" w:themeColor="text1"/>
                <w:sz w:val="24"/>
                <w:szCs w:val="24"/>
                <w:lang w:val="en-GB"/>
              </w:rPr>
              <w:t>et al</w:t>
            </w:r>
            <w:r w:rsidRPr="00710DFA">
              <w:rPr>
                <w:color w:val="000000" w:themeColor="text1"/>
                <w:sz w:val="24"/>
                <w:szCs w:val="24"/>
                <w:lang w:val="en-GB"/>
              </w:rPr>
              <w:t>. 2023</w:t>
            </w:r>
          </w:p>
        </w:tc>
        <w:tc>
          <w:tcPr>
            <w:tcW w:w="2283" w:type="dxa"/>
          </w:tcPr>
          <w:p w14:paraId="2914CAC9" w14:textId="39BAB721" w:rsidR="00AF6198" w:rsidRPr="00710DFA" w:rsidRDefault="000D6826" w:rsidP="00361F0A">
            <w:pPr>
              <w:spacing w:line="360" w:lineRule="auto"/>
              <w:jc w:val="both"/>
              <w:rPr>
                <w:color w:val="000000" w:themeColor="text1"/>
                <w:sz w:val="24"/>
                <w:szCs w:val="24"/>
                <w:lang w:val="en-GB"/>
              </w:rPr>
            </w:pPr>
            <w:r w:rsidRPr="00710DFA">
              <w:rPr>
                <w:color w:val="000000" w:themeColor="text1"/>
                <w:sz w:val="24"/>
                <w:szCs w:val="24"/>
                <w:lang w:val="en-GB"/>
              </w:rPr>
              <w:t>“Developing capabilities for supply chain resilience in a post-COVID world: A machine learning-</w:t>
            </w:r>
            <w:r w:rsidRPr="00710DFA">
              <w:rPr>
                <w:color w:val="000000" w:themeColor="text1"/>
                <w:sz w:val="24"/>
                <w:szCs w:val="24"/>
                <w:lang w:val="en-GB"/>
              </w:rPr>
              <w:lastRenderedPageBreak/>
              <w:t>based thematic analysis.”</w:t>
            </w:r>
          </w:p>
        </w:tc>
        <w:tc>
          <w:tcPr>
            <w:tcW w:w="1417" w:type="dxa"/>
          </w:tcPr>
          <w:p w14:paraId="1DB43C37" w14:textId="6061F99F" w:rsidR="00AF6198" w:rsidRPr="00710DFA" w:rsidRDefault="008A3B70"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Quantitative </w:t>
            </w:r>
          </w:p>
        </w:tc>
        <w:tc>
          <w:tcPr>
            <w:tcW w:w="2268" w:type="dxa"/>
          </w:tcPr>
          <w:p w14:paraId="2676D07D" w14:textId="4A949FA5"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authors disclose that the geopolitical risks greatly interfere with shipping supply chains, and </w:t>
            </w:r>
            <w:r w:rsidRPr="00710DFA">
              <w:rPr>
                <w:color w:val="000000" w:themeColor="text1"/>
                <w:sz w:val="24"/>
                <w:szCs w:val="24"/>
                <w:lang w:val="en-GB"/>
              </w:rPr>
              <w:lastRenderedPageBreak/>
              <w:t>affect the stability of logistics networks. They emphasize the need to have resilience strategies to reduce external uncertainties.</w:t>
            </w:r>
          </w:p>
        </w:tc>
        <w:tc>
          <w:tcPr>
            <w:tcW w:w="1275" w:type="dxa"/>
          </w:tcPr>
          <w:p w14:paraId="37292254" w14:textId="6C622A88" w:rsidR="00AF6198" w:rsidRPr="00710DFA" w:rsidRDefault="008A3B70"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External risk factors </w:t>
            </w:r>
          </w:p>
        </w:tc>
      </w:tr>
      <w:tr w:rsidR="00AF6198" w:rsidRPr="00710DFA" w14:paraId="41B89973" w14:textId="77777777" w:rsidTr="00093F9B">
        <w:tc>
          <w:tcPr>
            <w:tcW w:w="583" w:type="dxa"/>
          </w:tcPr>
          <w:p w14:paraId="43A8EA63" w14:textId="0FE04900"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45</w:t>
            </w:r>
          </w:p>
        </w:tc>
        <w:tc>
          <w:tcPr>
            <w:tcW w:w="1760" w:type="dxa"/>
          </w:tcPr>
          <w:p w14:paraId="4234BDF1" w14:textId="52C61716" w:rsidR="00AF6198" w:rsidRPr="00710DFA" w:rsidRDefault="000D6826" w:rsidP="00361F0A">
            <w:pPr>
              <w:spacing w:line="360" w:lineRule="auto"/>
              <w:jc w:val="both"/>
              <w:rPr>
                <w:color w:val="000000" w:themeColor="text1"/>
                <w:sz w:val="24"/>
                <w:szCs w:val="24"/>
                <w:lang w:val="en-GB"/>
              </w:rPr>
            </w:pPr>
            <w:r w:rsidRPr="00710DFA">
              <w:rPr>
                <w:color w:val="000000" w:themeColor="text1"/>
                <w:sz w:val="24"/>
                <w:szCs w:val="24"/>
                <w:lang w:val="en-GB"/>
              </w:rPr>
              <w:t>Butt, 2022</w:t>
            </w:r>
          </w:p>
        </w:tc>
        <w:tc>
          <w:tcPr>
            <w:tcW w:w="2283" w:type="dxa"/>
          </w:tcPr>
          <w:p w14:paraId="7C67A88E" w14:textId="6DED1E62" w:rsidR="00AF6198" w:rsidRPr="00710DFA" w:rsidRDefault="000D6826"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Building resilience in retail supply chains: Lessons learned from COVID-19 and future pathways. “</w:t>
            </w:r>
          </w:p>
        </w:tc>
        <w:tc>
          <w:tcPr>
            <w:tcW w:w="1417" w:type="dxa"/>
          </w:tcPr>
          <w:p w14:paraId="2FBA3FE8" w14:textId="64AC875F" w:rsidR="00AF6198" w:rsidRPr="00710DFA" w:rsidRDefault="0059232C"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Qualitative </w:t>
            </w:r>
          </w:p>
        </w:tc>
        <w:tc>
          <w:tcPr>
            <w:tcW w:w="2268" w:type="dxa"/>
          </w:tcPr>
          <w:p w14:paraId="1732658D" w14:textId="662208E4"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The research study concludes that retail companies implemented the following strategies to improve the resiliency in the face of COVID-19: supplier diversification, agility and digital integration. These strategies enhanced their capabilities of handling disruptions.</w:t>
            </w:r>
          </w:p>
        </w:tc>
        <w:tc>
          <w:tcPr>
            <w:tcW w:w="1275" w:type="dxa"/>
          </w:tcPr>
          <w:p w14:paraId="036E8388" w14:textId="756318B1" w:rsidR="00AF6198" w:rsidRPr="00710DFA" w:rsidRDefault="0059232C" w:rsidP="00361F0A">
            <w:pPr>
              <w:spacing w:line="360" w:lineRule="auto"/>
              <w:jc w:val="both"/>
              <w:rPr>
                <w:color w:val="000000" w:themeColor="text1"/>
                <w:sz w:val="24"/>
                <w:szCs w:val="24"/>
                <w:lang w:val="en-GB"/>
              </w:rPr>
            </w:pPr>
            <w:r w:rsidRPr="00710DFA">
              <w:rPr>
                <w:color w:val="000000" w:themeColor="text1"/>
                <w:sz w:val="24"/>
                <w:szCs w:val="24"/>
                <w:lang w:val="en-GB"/>
              </w:rPr>
              <w:t xml:space="preserve">Resilient factor within retail industry </w:t>
            </w:r>
          </w:p>
        </w:tc>
      </w:tr>
      <w:tr w:rsidR="00AF6198" w:rsidRPr="00710DFA" w14:paraId="31EFE44F" w14:textId="77777777" w:rsidTr="00093F9B">
        <w:tc>
          <w:tcPr>
            <w:tcW w:w="583" w:type="dxa"/>
          </w:tcPr>
          <w:p w14:paraId="61E3AE96" w14:textId="563DFE21"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46</w:t>
            </w:r>
          </w:p>
        </w:tc>
        <w:tc>
          <w:tcPr>
            <w:tcW w:w="1760" w:type="dxa"/>
          </w:tcPr>
          <w:p w14:paraId="76AD9A37" w14:textId="3BB36B59" w:rsidR="00AF6198" w:rsidRPr="00710DFA" w:rsidRDefault="000D6826" w:rsidP="00361F0A">
            <w:pPr>
              <w:spacing w:line="360" w:lineRule="auto"/>
              <w:jc w:val="both"/>
              <w:rPr>
                <w:color w:val="000000" w:themeColor="text1"/>
                <w:sz w:val="24"/>
                <w:szCs w:val="24"/>
                <w:lang w:val="en-GB"/>
              </w:rPr>
            </w:pPr>
            <w:proofErr w:type="spellStart"/>
            <w:r w:rsidRPr="00710DFA">
              <w:rPr>
                <w:color w:val="000000" w:themeColor="text1"/>
                <w:sz w:val="24"/>
                <w:szCs w:val="24"/>
                <w:lang w:val="en-GB"/>
              </w:rPr>
              <w:t>Piprani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w:t>
            </w:r>
          </w:p>
        </w:tc>
        <w:tc>
          <w:tcPr>
            <w:tcW w:w="2283" w:type="dxa"/>
          </w:tcPr>
          <w:p w14:paraId="7D021521" w14:textId="1798382E" w:rsidR="00AF6198" w:rsidRPr="00710DFA" w:rsidRDefault="000D6826"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 xml:space="preserve">Multi-dimensional supply chain flexibility and supply chain resilience: the role </w:t>
            </w:r>
            <w:r w:rsidRPr="00710DFA">
              <w:rPr>
                <w:sz w:val="24"/>
                <w:szCs w:val="24"/>
                <w:lang w:val="en-GB"/>
              </w:rPr>
              <w:lastRenderedPageBreak/>
              <w:t>of supply chain risks exposure.”</w:t>
            </w:r>
          </w:p>
        </w:tc>
        <w:tc>
          <w:tcPr>
            <w:tcW w:w="1417" w:type="dxa"/>
          </w:tcPr>
          <w:p w14:paraId="53F19B95" w14:textId="3F8BB9E0" w:rsidR="00AF6198" w:rsidRPr="00710DFA" w:rsidRDefault="00B94534"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Quantitative </w:t>
            </w:r>
          </w:p>
        </w:tc>
        <w:tc>
          <w:tcPr>
            <w:tcW w:w="2268" w:type="dxa"/>
          </w:tcPr>
          <w:p w14:paraId="76EA820F" w14:textId="05501289"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 xml:space="preserve">The results indicate that various aspects of flexibility such as sourcing and logistics </w:t>
            </w:r>
            <w:r w:rsidRPr="00710DFA">
              <w:rPr>
                <w:color w:val="000000" w:themeColor="text1"/>
                <w:sz w:val="24"/>
                <w:szCs w:val="24"/>
                <w:lang w:val="en-GB"/>
              </w:rPr>
              <w:lastRenderedPageBreak/>
              <w:t>flexibility have a positive impact on supply chain resilience. The more flexible the less susceptible to shocks.</w:t>
            </w:r>
          </w:p>
        </w:tc>
        <w:tc>
          <w:tcPr>
            <w:tcW w:w="1275" w:type="dxa"/>
          </w:tcPr>
          <w:p w14:paraId="1D8C7EF9" w14:textId="2C9D4AEF" w:rsidR="00AF6198" w:rsidRPr="00710DFA" w:rsidRDefault="00B94534"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Supply chain resilience </w:t>
            </w:r>
          </w:p>
        </w:tc>
      </w:tr>
      <w:tr w:rsidR="00AF6198" w:rsidRPr="00710DFA" w14:paraId="2CB50064" w14:textId="77777777" w:rsidTr="00093F9B">
        <w:tc>
          <w:tcPr>
            <w:tcW w:w="583" w:type="dxa"/>
          </w:tcPr>
          <w:p w14:paraId="2503FF90" w14:textId="14E0113C"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47</w:t>
            </w:r>
          </w:p>
        </w:tc>
        <w:tc>
          <w:tcPr>
            <w:tcW w:w="1760" w:type="dxa"/>
          </w:tcPr>
          <w:p w14:paraId="2570041E" w14:textId="11A696FA"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 xml:space="preserve">Paul </w:t>
            </w:r>
            <w:r w:rsidRPr="00710DFA">
              <w:rPr>
                <w:i/>
                <w:iCs/>
                <w:color w:val="000000" w:themeColor="text1"/>
                <w:sz w:val="24"/>
                <w:szCs w:val="24"/>
                <w:lang w:val="en-GB"/>
              </w:rPr>
              <w:t>et al</w:t>
            </w:r>
            <w:r w:rsidRPr="00710DFA">
              <w:rPr>
                <w:color w:val="000000" w:themeColor="text1"/>
                <w:sz w:val="24"/>
                <w:szCs w:val="24"/>
                <w:lang w:val="en-GB"/>
              </w:rPr>
              <w:t>. 2022</w:t>
            </w:r>
          </w:p>
        </w:tc>
        <w:tc>
          <w:tcPr>
            <w:tcW w:w="2283" w:type="dxa"/>
          </w:tcPr>
          <w:p w14:paraId="555AAD57" w14:textId="0490A6C5"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“A mathematical model for managing the multi-dimensional impacts of the COVID-19 pandemic in supply chain of a high-demand item”</w:t>
            </w:r>
          </w:p>
        </w:tc>
        <w:tc>
          <w:tcPr>
            <w:tcW w:w="1417" w:type="dxa"/>
          </w:tcPr>
          <w:p w14:paraId="12B8D686" w14:textId="393CDCDE" w:rsidR="00AF6198" w:rsidRPr="00710DFA" w:rsidRDefault="00A82EF0" w:rsidP="00361F0A">
            <w:pPr>
              <w:spacing w:line="360" w:lineRule="auto"/>
              <w:jc w:val="both"/>
              <w:rPr>
                <w:color w:val="000000" w:themeColor="text1"/>
                <w:sz w:val="24"/>
                <w:szCs w:val="24"/>
                <w:lang w:val="en-GB"/>
              </w:rPr>
            </w:pPr>
            <w:r w:rsidRPr="00710DFA">
              <w:rPr>
                <w:color w:val="000000" w:themeColor="text1"/>
                <w:sz w:val="24"/>
                <w:szCs w:val="24"/>
                <w:lang w:val="en-GB"/>
              </w:rPr>
              <w:t xml:space="preserve">Conceptual model </w:t>
            </w:r>
          </w:p>
        </w:tc>
        <w:tc>
          <w:tcPr>
            <w:tcW w:w="2268" w:type="dxa"/>
          </w:tcPr>
          <w:p w14:paraId="580A8614" w14:textId="08B15B88"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The paper presents a mathematical model to manage supply chain disruptions during the pandemic, showing how fluctuations in demand and constraints in supplies can be optimised.</w:t>
            </w:r>
          </w:p>
        </w:tc>
        <w:tc>
          <w:tcPr>
            <w:tcW w:w="1275" w:type="dxa"/>
          </w:tcPr>
          <w:p w14:paraId="26C69E56" w14:textId="24954BE5" w:rsidR="00AF6198" w:rsidRPr="00710DFA" w:rsidRDefault="00A82EF0"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flexibility </w:t>
            </w:r>
          </w:p>
        </w:tc>
      </w:tr>
      <w:tr w:rsidR="00AF6198" w:rsidRPr="00710DFA" w14:paraId="407D6146" w14:textId="77777777" w:rsidTr="00093F9B">
        <w:tc>
          <w:tcPr>
            <w:tcW w:w="583" w:type="dxa"/>
          </w:tcPr>
          <w:p w14:paraId="10C5C9BD" w14:textId="2B3FE384"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48</w:t>
            </w:r>
          </w:p>
        </w:tc>
        <w:tc>
          <w:tcPr>
            <w:tcW w:w="1760" w:type="dxa"/>
          </w:tcPr>
          <w:p w14:paraId="0ED9073E" w14:textId="405AFA18"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 xml:space="preserve">Kähkönen </w:t>
            </w:r>
            <w:r w:rsidRPr="00710DFA">
              <w:rPr>
                <w:i/>
                <w:iCs/>
                <w:color w:val="000000" w:themeColor="text1"/>
                <w:sz w:val="24"/>
                <w:szCs w:val="24"/>
                <w:lang w:val="en-GB"/>
              </w:rPr>
              <w:t>et al</w:t>
            </w:r>
            <w:r w:rsidRPr="00710DFA">
              <w:rPr>
                <w:color w:val="000000" w:themeColor="text1"/>
                <w:sz w:val="24"/>
                <w:szCs w:val="24"/>
                <w:lang w:val="en-GB"/>
              </w:rPr>
              <w:t>. 2023</w:t>
            </w:r>
          </w:p>
        </w:tc>
        <w:tc>
          <w:tcPr>
            <w:tcW w:w="2283" w:type="dxa"/>
          </w:tcPr>
          <w:p w14:paraId="36F7961D" w14:textId="656D351E"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COVID-19 as a trigger for dynamic capability development and supply chain resilience improvement”</w:t>
            </w:r>
          </w:p>
        </w:tc>
        <w:tc>
          <w:tcPr>
            <w:tcW w:w="1417" w:type="dxa"/>
          </w:tcPr>
          <w:p w14:paraId="5346A00A" w14:textId="604559B7" w:rsidR="00AF6198" w:rsidRPr="00710DFA" w:rsidRDefault="00A82EF0"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Qualitative </w:t>
            </w:r>
          </w:p>
        </w:tc>
        <w:tc>
          <w:tcPr>
            <w:tcW w:w="2268" w:type="dxa"/>
          </w:tcPr>
          <w:p w14:paraId="577680BD" w14:textId="3F7E8062"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The study concludes that the COVID-19 served as a driver of the formation of dynamic capabilities in organisations that enhanced their resilience in the long run.</w:t>
            </w:r>
          </w:p>
        </w:tc>
        <w:tc>
          <w:tcPr>
            <w:tcW w:w="1275" w:type="dxa"/>
          </w:tcPr>
          <w:p w14:paraId="7835BC15" w14:textId="301B5F1E" w:rsidR="00AF6198" w:rsidRPr="00710DFA" w:rsidRDefault="00A82EF0" w:rsidP="00361F0A">
            <w:pPr>
              <w:spacing w:line="360" w:lineRule="auto"/>
              <w:jc w:val="both"/>
              <w:rPr>
                <w:color w:val="000000" w:themeColor="text1"/>
                <w:sz w:val="24"/>
                <w:szCs w:val="24"/>
                <w:lang w:val="en-GB"/>
              </w:rPr>
            </w:pPr>
            <w:r w:rsidRPr="00710DFA">
              <w:rPr>
                <w:color w:val="000000" w:themeColor="text1"/>
                <w:sz w:val="24"/>
                <w:szCs w:val="24"/>
                <w:lang w:val="en-GB"/>
              </w:rPr>
              <w:t xml:space="preserve">DCT model for supply chain improvement </w:t>
            </w:r>
          </w:p>
        </w:tc>
      </w:tr>
      <w:tr w:rsidR="00AF6198" w:rsidRPr="00710DFA" w14:paraId="51DD4069" w14:textId="77777777" w:rsidTr="00093F9B">
        <w:tc>
          <w:tcPr>
            <w:tcW w:w="583" w:type="dxa"/>
          </w:tcPr>
          <w:p w14:paraId="7D0F3146" w14:textId="471F9E49"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lastRenderedPageBreak/>
              <w:t>49</w:t>
            </w:r>
          </w:p>
        </w:tc>
        <w:tc>
          <w:tcPr>
            <w:tcW w:w="1760" w:type="dxa"/>
          </w:tcPr>
          <w:p w14:paraId="4AE2337B" w14:textId="0B596318" w:rsidR="00AF6198" w:rsidRPr="00710DFA" w:rsidRDefault="004223C1" w:rsidP="00361F0A">
            <w:pPr>
              <w:spacing w:line="360" w:lineRule="auto"/>
              <w:jc w:val="both"/>
              <w:rPr>
                <w:color w:val="000000" w:themeColor="text1"/>
                <w:sz w:val="24"/>
                <w:szCs w:val="24"/>
                <w:lang w:val="en-GB"/>
              </w:rPr>
            </w:pPr>
            <w:r w:rsidRPr="00710DFA">
              <w:rPr>
                <w:sz w:val="24"/>
                <w:szCs w:val="24"/>
                <w:lang w:val="en-GB"/>
              </w:rPr>
              <w:t xml:space="preserve">Bag </w:t>
            </w:r>
            <w:r w:rsidRPr="00710DFA">
              <w:rPr>
                <w:i/>
                <w:iCs/>
                <w:sz w:val="24"/>
                <w:szCs w:val="24"/>
                <w:lang w:val="en-GB"/>
              </w:rPr>
              <w:t>et al</w:t>
            </w:r>
            <w:r w:rsidRPr="00710DFA">
              <w:rPr>
                <w:sz w:val="24"/>
                <w:szCs w:val="24"/>
                <w:lang w:val="en-GB"/>
              </w:rPr>
              <w:t>. 2023</w:t>
            </w:r>
          </w:p>
        </w:tc>
        <w:tc>
          <w:tcPr>
            <w:tcW w:w="2283" w:type="dxa"/>
          </w:tcPr>
          <w:p w14:paraId="62DDD990" w14:textId="738718BC"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w:t>
            </w:r>
            <w:r w:rsidRPr="00710DFA">
              <w:rPr>
                <w:sz w:val="24"/>
                <w:szCs w:val="24"/>
                <w:lang w:val="en-GB"/>
              </w:rPr>
              <w:t>Roles of innovation leadership on using big data analytics to establish resilient healthcare supply chains to combat the COVID-19 pandemic: A multimethodological study:</w:t>
            </w:r>
          </w:p>
        </w:tc>
        <w:tc>
          <w:tcPr>
            <w:tcW w:w="1417" w:type="dxa"/>
          </w:tcPr>
          <w:p w14:paraId="73F04805" w14:textId="5A849897" w:rsidR="00AF6198" w:rsidRPr="00710DFA" w:rsidRDefault="00A82EF0" w:rsidP="00361F0A">
            <w:pPr>
              <w:spacing w:line="360" w:lineRule="auto"/>
              <w:jc w:val="both"/>
              <w:rPr>
                <w:color w:val="000000" w:themeColor="text1"/>
                <w:sz w:val="24"/>
                <w:szCs w:val="24"/>
                <w:lang w:val="en-GB"/>
              </w:rPr>
            </w:pPr>
            <w:r w:rsidRPr="00710DFA">
              <w:rPr>
                <w:color w:val="000000" w:themeColor="text1"/>
                <w:sz w:val="24"/>
                <w:szCs w:val="24"/>
                <w:lang w:val="en-GB"/>
              </w:rPr>
              <w:t xml:space="preserve">Mixed method </w:t>
            </w:r>
          </w:p>
        </w:tc>
        <w:tc>
          <w:tcPr>
            <w:tcW w:w="2268" w:type="dxa"/>
          </w:tcPr>
          <w:p w14:paraId="6407D86F" w14:textId="3CEF7B91"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Findings highlighted that bog data analytics has significantly enhanced organisational visibility of forecasting along with organisational resilience.</w:t>
            </w:r>
          </w:p>
        </w:tc>
        <w:tc>
          <w:tcPr>
            <w:tcW w:w="1275" w:type="dxa"/>
          </w:tcPr>
          <w:p w14:paraId="1C06F477" w14:textId="3DACBC56" w:rsidR="00AF6198" w:rsidRPr="00710DFA" w:rsidRDefault="00A82EF0" w:rsidP="00361F0A">
            <w:pPr>
              <w:spacing w:line="360" w:lineRule="auto"/>
              <w:jc w:val="both"/>
              <w:rPr>
                <w:color w:val="000000" w:themeColor="text1"/>
                <w:sz w:val="24"/>
                <w:szCs w:val="24"/>
                <w:lang w:val="en-GB"/>
              </w:rPr>
            </w:pPr>
            <w:r w:rsidRPr="00710DFA">
              <w:rPr>
                <w:color w:val="000000" w:themeColor="text1"/>
                <w:sz w:val="24"/>
                <w:szCs w:val="24"/>
                <w:lang w:val="en-GB"/>
              </w:rPr>
              <w:t xml:space="preserve">Supply chain leadership strategies </w:t>
            </w:r>
          </w:p>
        </w:tc>
      </w:tr>
      <w:tr w:rsidR="00AF6198" w:rsidRPr="00710DFA" w14:paraId="71C5FA01" w14:textId="77777777" w:rsidTr="00093F9B">
        <w:tc>
          <w:tcPr>
            <w:tcW w:w="583" w:type="dxa"/>
          </w:tcPr>
          <w:p w14:paraId="55F4FBFA" w14:textId="6600EAE3" w:rsidR="00AF6198" w:rsidRPr="00710DFA" w:rsidRDefault="00AF6198" w:rsidP="00361F0A">
            <w:pPr>
              <w:spacing w:line="360" w:lineRule="auto"/>
              <w:jc w:val="both"/>
              <w:rPr>
                <w:color w:val="000000" w:themeColor="text1"/>
                <w:sz w:val="24"/>
                <w:szCs w:val="24"/>
                <w:lang w:val="en-GB"/>
              </w:rPr>
            </w:pPr>
            <w:r w:rsidRPr="00710DFA">
              <w:rPr>
                <w:color w:val="000000" w:themeColor="text1"/>
                <w:sz w:val="24"/>
                <w:szCs w:val="24"/>
                <w:lang w:val="en-GB"/>
              </w:rPr>
              <w:t>50</w:t>
            </w:r>
          </w:p>
        </w:tc>
        <w:tc>
          <w:tcPr>
            <w:tcW w:w="1760" w:type="dxa"/>
          </w:tcPr>
          <w:p w14:paraId="327391A5" w14:textId="3970AF36"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 xml:space="preserve">Gaspar </w:t>
            </w:r>
            <w:r w:rsidRPr="00710DFA">
              <w:rPr>
                <w:i/>
                <w:iCs/>
                <w:color w:val="000000" w:themeColor="text1"/>
                <w:sz w:val="24"/>
                <w:szCs w:val="24"/>
                <w:lang w:val="en-GB"/>
              </w:rPr>
              <w:t>et al.</w:t>
            </w:r>
            <w:r w:rsidRPr="00710DFA">
              <w:rPr>
                <w:color w:val="000000" w:themeColor="text1"/>
                <w:sz w:val="24"/>
                <w:szCs w:val="24"/>
                <w:lang w:val="en-GB"/>
              </w:rPr>
              <w:t xml:space="preserve"> 2025</w:t>
            </w:r>
          </w:p>
        </w:tc>
        <w:tc>
          <w:tcPr>
            <w:tcW w:w="2283" w:type="dxa"/>
          </w:tcPr>
          <w:p w14:paraId="16A72908" w14:textId="448609DD" w:rsidR="00AF6198" w:rsidRPr="00710DFA" w:rsidRDefault="004223C1" w:rsidP="00361F0A">
            <w:pPr>
              <w:spacing w:line="360" w:lineRule="auto"/>
              <w:jc w:val="both"/>
              <w:rPr>
                <w:color w:val="000000" w:themeColor="text1"/>
                <w:sz w:val="24"/>
                <w:szCs w:val="24"/>
                <w:lang w:val="en-GB"/>
              </w:rPr>
            </w:pPr>
            <w:r w:rsidRPr="00710DFA">
              <w:rPr>
                <w:color w:val="000000" w:themeColor="text1"/>
                <w:sz w:val="24"/>
                <w:szCs w:val="24"/>
                <w:lang w:val="en-GB"/>
              </w:rPr>
              <w:t>“</w:t>
            </w:r>
            <w:r w:rsidR="00E7116D" w:rsidRPr="00710DFA">
              <w:rPr>
                <w:color w:val="000000" w:themeColor="text1"/>
                <w:sz w:val="24"/>
                <w:szCs w:val="24"/>
                <w:lang w:val="en-GB"/>
              </w:rPr>
              <w:t xml:space="preserve">Burnout as a multidimensional phenomenon: how can workplaces be healthy </w:t>
            </w:r>
            <w:proofErr w:type="gramStart"/>
            <w:r w:rsidR="00E7116D" w:rsidRPr="00710DFA">
              <w:rPr>
                <w:color w:val="000000" w:themeColor="text1"/>
                <w:sz w:val="24"/>
                <w:szCs w:val="24"/>
                <w:lang w:val="en-GB"/>
              </w:rPr>
              <w:t>environments?.</w:t>
            </w:r>
            <w:proofErr w:type="gramEnd"/>
            <w:r w:rsidR="00E7116D" w:rsidRPr="00710DFA">
              <w:rPr>
                <w:color w:val="000000" w:themeColor="text1"/>
                <w:sz w:val="24"/>
                <w:szCs w:val="24"/>
                <w:lang w:val="en-GB"/>
              </w:rPr>
              <w:t>”</w:t>
            </w:r>
          </w:p>
        </w:tc>
        <w:tc>
          <w:tcPr>
            <w:tcW w:w="1417" w:type="dxa"/>
          </w:tcPr>
          <w:p w14:paraId="25DDD354" w14:textId="0828E4A5"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Quantitative </w:t>
            </w:r>
          </w:p>
        </w:tc>
        <w:tc>
          <w:tcPr>
            <w:tcW w:w="2268" w:type="dxa"/>
          </w:tcPr>
          <w:p w14:paraId="4A00F291" w14:textId="7983BC36" w:rsidR="00AF6198" w:rsidRPr="00710DFA" w:rsidRDefault="007D6F95" w:rsidP="00361F0A">
            <w:pPr>
              <w:spacing w:line="360" w:lineRule="auto"/>
              <w:jc w:val="both"/>
              <w:rPr>
                <w:color w:val="000000" w:themeColor="text1"/>
                <w:sz w:val="24"/>
                <w:szCs w:val="24"/>
                <w:lang w:val="en-GB"/>
              </w:rPr>
            </w:pPr>
            <w:r w:rsidRPr="00710DFA">
              <w:rPr>
                <w:color w:val="000000" w:themeColor="text1"/>
                <w:sz w:val="24"/>
                <w:szCs w:val="24"/>
                <w:lang w:val="en-GB"/>
              </w:rPr>
              <w:t>The research indicates that employee wellbeing and healthy workplace conditions lead to the organisational sustainability and performance. It has an indirect bearing on resilience, enhancing workforce stability and productivity.</w:t>
            </w:r>
          </w:p>
        </w:tc>
        <w:tc>
          <w:tcPr>
            <w:tcW w:w="1275" w:type="dxa"/>
          </w:tcPr>
          <w:p w14:paraId="21666F3B" w14:textId="58EB151B" w:rsidR="00AF6198" w:rsidRPr="00710DFA" w:rsidRDefault="00224933" w:rsidP="00361F0A">
            <w:pPr>
              <w:spacing w:line="360" w:lineRule="auto"/>
              <w:jc w:val="both"/>
              <w:rPr>
                <w:color w:val="000000" w:themeColor="text1"/>
                <w:sz w:val="24"/>
                <w:szCs w:val="24"/>
                <w:lang w:val="en-GB"/>
              </w:rPr>
            </w:pPr>
            <w:r w:rsidRPr="00710DFA">
              <w:rPr>
                <w:color w:val="000000" w:themeColor="text1"/>
                <w:sz w:val="24"/>
                <w:szCs w:val="24"/>
                <w:lang w:val="en-GB"/>
              </w:rPr>
              <w:t xml:space="preserve">Workforce wellbeing </w:t>
            </w:r>
          </w:p>
        </w:tc>
      </w:tr>
    </w:tbl>
    <w:p w14:paraId="3D4D28E5" w14:textId="1EEF8AD0" w:rsidR="00042410" w:rsidRPr="00710DFA" w:rsidRDefault="003D08C4" w:rsidP="003D08C4">
      <w:pPr>
        <w:pStyle w:val="Heading5"/>
      </w:pPr>
      <w:bookmarkStart w:id="43" w:name="_Toc228921433"/>
      <w:r w:rsidRPr="00710DFA">
        <w:t xml:space="preserve">Table 4.1: Tabular representation of </w:t>
      </w:r>
      <w:r w:rsidR="00AF5747" w:rsidRPr="00710DFA">
        <w:t>5</w:t>
      </w:r>
      <w:r w:rsidRPr="00710DFA">
        <w:t>0 selected articles and findings</w:t>
      </w:r>
      <w:bookmarkEnd w:id="43"/>
      <w:r w:rsidRPr="00710DFA">
        <w:t xml:space="preserve"> </w:t>
      </w:r>
    </w:p>
    <w:p w14:paraId="1C046FA3" w14:textId="1F988428" w:rsidR="00B50ECC" w:rsidRPr="00710DFA" w:rsidRDefault="00F44817" w:rsidP="008335F7">
      <w:pPr>
        <w:pStyle w:val="Heading2"/>
        <w:rPr>
          <w:szCs w:val="24"/>
          <w:lang w:val="en-GB"/>
        </w:rPr>
      </w:pPr>
      <w:bookmarkStart w:id="44" w:name="_Toc228921282"/>
      <w:r w:rsidRPr="00710DFA">
        <w:rPr>
          <w:szCs w:val="24"/>
          <w:lang w:val="en-GB"/>
        </w:rPr>
        <w:t>4.</w:t>
      </w:r>
      <w:r w:rsidR="00F90942">
        <w:rPr>
          <w:szCs w:val="24"/>
          <w:lang w:val="en-GB"/>
        </w:rPr>
        <w:t>3</w:t>
      </w:r>
      <w:r w:rsidRPr="00710DFA">
        <w:rPr>
          <w:szCs w:val="24"/>
          <w:lang w:val="en-GB"/>
        </w:rPr>
        <w:t xml:space="preserve"> Thematic analysis</w:t>
      </w:r>
      <w:bookmarkEnd w:id="44"/>
    </w:p>
    <w:tbl>
      <w:tblPr>
        <w:tblStyle w:val="TableGrid"/>
        <w:tblW w:w="0" w:type="auto"/>
        <w:tblLook w:val="04A0" w:firstRow="1" w:lastRow="0" w:firstColumn="1" w:lastColumn="0" w:noHBand="0" w:noVBand="1"/>
      </w:tblPr>
      <w:tblGrid>
        <w:gridCol w:w="6091"/>
        <w:gridCol w:w="3259"/>
      </w:tblGrid>
      <w:tr w:rsidR="005D2C98" w:rsidRPr="00710DFA" w14:paraId="67EDBA08" w14:textId="77777777" w:rsidTr="00756BD7">
        <w:tc>
          <w:tcPr>
            <w:tcW w:w="6091" w:type="dxa"/>
          </w:tcPr>
          <w:p w14:paraId="735DE2B4" w14:textId="15AFE73D" w:rsidR="00B50ECC" w:rsidRPr="00710DFA" w:rsidRDefault="00B50ECC" w:rsidP="0063451E">
            <w:pPr>
              <w:spacing w:line="360" w:lineRule="auto"/>
              <w:rPr>
                <w:b/>
                <w:bCs/>
                <w:color w:val="000000" w:themeColor="text1"/>
                <w:sz w:val="24"/>
                <w:szCs w:val="24"/>
                <w:lang w:val="en-GB"/>
              </w:rPr>
            </w:pPr>
            <w:r w:rsidRPr="00710DFA">
              <w:rPr>
                <w:b/>
                <w:bCs/>
                <w:color w:val="000000" w:themeColor="text1"/>
                <w:sz w:val="24"/>
                <w:szCs w:val="24"/>
                <w:lang w:val="en-GB"/>
              </w:rPr>
              <w:t>1</w:t>
            </w:r>
            <w:r w:rsidRPr="00710DFA">
              <w:rPr>
                <w:b/>
                <w:bCs/>
                <w:color w:val="000000" w:themeColor="text1"/>
                <w:sz w:val="24"/>
                <w:szCs w:val="24"/>
                <w:vertAlign w:val="superscript"/>
                <w:lang w:val="en-GB"/>
              </w:rPr>
              <w:t>st</w:t>
            </w:r>
            <w:r w:rsidRPr="00710DFA">
              <w:rPr>
                <w:b/>
                <w:bCs/>
                <w:color w:val="000000" w:themeColor="text1"/>
                <w:sz w:val="24"/>
                <w:szCs w:val="24"/>
                <w:lang w:val="en-GB"/>
              </w:rPr>
              <w:t xml:space="preserve"> order theme</w:t>
            </w:r>
          </w:p>
        </w:tc>
        <w:tc>
          <w:tcPr>
            <w:tcW w:w="3259" w:type="dxa"/>
          </w:tcPr>
          <w:p w14:paraId="73CF0488" w14:textId="37A99AEA" w:rsidR="00B50ECC" w:rsidRPr="00710DFA" w:rsidRDefault="00B50ECC" w:rsidP="0063451E">
            <w:pPr>
              <w:spacing w:line="360" w:lineRule="auto"/>
              <w:rPr>
                <w:b/>
                <w:bCs/>
                <w:color w:val="000000" w:themeColor="text1"/>
                <w:sz w:val="24"/>
                <w:szCs w:val="24"/>
                <w:lang w:val="en-GB"/>
              </w:rPr>
            </w:pPr>
            <w:r w:rsidRPr="00710DFA">
              <w:rPr>
                <w:b/>
                <w:bCs/>
                <w:color w:val="000000" w:themeColor="text1"/>
                <w:sz w:val="24"/>
                <w:szCs w:val="24"/>
                <w:lang w:val="en-GB"/>
              </w:rPr>
              <w:t>2</w:t>
            </w:r>
            <w:r w:rsidRPr="00710DFA">
              <w:rPr>
                <w:b/>
                <w:bCs/>
                <w:color w:val="000000" w:themeColor="text1"/>
                <w:sz w:val="24"/>
                <w:szCs w:val="24"/>
                <w:vertAlign w:val="superscript"/>
                <w:lang w:val="en-GB"/>
              </w:rPr>
              <w:t>nd</w:t>
            </w:r>
            <w:r w:rsidRPr="00710DFA">
              <w:rPr>
                <w:b/>
                <w:bCs/>
                <w:color w:val="000000" w:themeColor="text1"/>
                <w:sz w:val="24"/>
                <w:szCs w:val="24"/>
                <w:lang w:val="en-GB"/>
              </w:rPr>
              <w:t xml:space="preserve"> order theme</w:t>
            </w:r>
          </w:p>
        </w:tc>
      </w:tr>
      <w:tr w:rsidR="005D2C98" w:rsidRPr="00710DFA" w14:paraId="3CDB66EC" w14:textId="77777777" w:rsidTr="00756BD7">
        <w:tc>
          <w:tcPr>
            <w:tcW w:w="6091" w:type="dxa"/>
          </w:tcPr>
          <w:p w14:paraId="2606C303" w14:textId="6396E227" w:rsidR="00BB7871" w:rsidRPr="00710DFA" w:rsidRDefault="00A76503" w:rsidP="0063451E">
            <w:pPr>
              <w:spacing w:line="360" w:lineRule="auto"/>
              <w:rPr>
                <w:color w:val="000000" w:themeColor="text1"/>
                <w:sz w:val="24"/>
                <w:szCs w:val="24"/>
                <w:lang w:val="en-GB"/>
              </w:rPr>
            </w:pPr>
            <w:r w:rsidRPr="00710DFA">
              <w:rPr>
                <w:color w:val="000000" w:themeColor="text1"/>
                <w:sz w:val="24"/>
                <w:szCs w:val="24"/>
                <w:lang w:val="en-GB"/>
              </w:rPr>
              <w:t>Heavy-reliance on lean/JIT prototypes</w:t>
            </w:r>
          </w:p>
        </w:tc>
        <w:tc>
          <w:tcPr>
            <w:tcW w:w="3259" w:type="dxa"/>
            <w:vMerge w:val="restart"/>
          </w:tcPr>
          <w:p w14:paraId="0C261948" w14:textId="77777777" w:rsidR="00BB7871" w:rsidRPr="00710DFA" w:rsidRDefault="00BB7871" w:rsidP="0063451E">
            <w:pPr>
              <w:spacing w:line="360" w:lineRule="auto"/>
              <w:rPr>
                <w:color w:val="000000" w:themeColor="text1"/>
                <w:sz w:val="24"/>
                <w:szCs w:val="24"/>
                <w:lang w:val="en-GB"/>
              </w:rPr>
            </w:pPr>
            <w:r w:rsidRPr="00710DFA">
              <w:rPr>
                <w:color w:val="000000" w:themeColor="text1"/>
                <w:sz w:val="24"/>
                <w:szCs w:val="24"/>
                <w:lang w:val="en-GB"/>
              </w:rPr>
              <w:t>Covid-19 has revealed structural vulnerabilities in global supply chains.</w:t>
            </w:r>
          </w:p>
          <w:p w14:paraId="6C741876" w14:textId="77777777" w:rsidR="00BB7871" w:rsidRPr="00710DFA" w:rsidRDefault="00BB7871" w:rsidP="0063451E">
            <w:pPr>
              <w:spacing w:line="360" w:lineRule="auto"/>
              <w:rPr>
                <w:color w:val="000000" w:themeColor="text1"/>
                <w:sz w:val="24"/>
                <w:szCs w:val="24"/>
                <w:lang w:val="en-GB"/>
              </w:rPr>
            </w:pPr>
          </w:p>
        </w:tc>
      </w:tr>
      <w:tr w:rsidR="005D2C98" w:rsidRPr="00710DFA" w14:paraId="79AAF621" w14:textId="77777777" w:rsidTr="00756BD7">
        <w:tc>
          <w:tcPr>
            <w:tcW w:w="6091" w:type="dxa"/>
          </w:tcPr>
          <w:p w14:paraId="2B3EEE76" w14:textId="76863E3E" w:rsidR="00BB7871" w:rsidRPr="00710DFA" w:rsidRDefault="00A76503" w:rsidP="0063451E">
            <w:pPr>
              <w:spacing w:line="360" w:lineRule="auto"/>
              <w:rPr>
                <w:color w:val="000000" w:themeColor="text1"/>
                <w:sz w:val="24"/>
                <w:szCs w:val="24"/>
                <w:lang w:val="en-GB"/>
              </w:rPr>
            </w:pPr>
            <w:r w:rsidRPr="00710DFA">
              <w:rPr>
                <w:color w:val="000000" w:themeColor="text1"/>
                <w:sz w:val="24"/>
                <w:szCs w:val="24"/>
                <w:lang w:val="en-GB"/>
              </w:rPr>
              <w:lastRenderedPageBreak/>
              <w:t>Lack of multi-tier supply chain noticeability</w:t>
            </w:r>
          </w:p>
        </w:tc>
        <w:tc>
          <w:tcPr>
            <w:tcW w:w="3259" w:type="dxa"/>
            <w:vMerge/>
          </w:tcPr>
          <w:p w14:paraId="284EFF75" w14:textId="77777777" w:rsidR="00BB7871" w:rsidRPr="00710DFA" w:rsidRDefault="00BB7871" w:rsidP="0063451E">
            <w:pPr>
              <w:spacing w:line="360" w:lineRule="auto"/>
              <w:rPr>
                <w:color w:val="000000" w:themeColor="text1"/>
                <w:sz w:val="24"/>
                <w:szCs w:val="24"/>
                <w:lang w:val="en-GB"/>
              </w:rPr>
            </w:pPr>
          </w:p>
        </w:tc>
      </w:tr>
      <w:tr w:rsidR="005D2C98" w:rsidRPr="00710DFA" w14:paraId="22801870" w14:textId="77777777" w:rsidTr="00756BD7">
        <w:tc>
          <w:tcPr>
            <w:tcW w:w="6091" w:type="dxa"/>
          </w:tcPr>
          <w:p w14:paraId="48082F8B" w14:textId="6DB4D82F" w:rsidR="00BB7871" w:rsidRPr="00710DFA" w:rsidRDefault="00A76503" w:rsidP="0063451E">
            <w:pPr>
              <w:spacing w:line="360" w:lineRule="auto"/>
              <w:rPr>
                <w:color w:val="000000" w:themeColor="text1"/>
                <w:sz w:val="24"/>
                <w:szCs w:val="24"/>
                <w:lang w:val="en-GB"/>
              </w:rPr>
            </w:pPr>
            <w:r w:rsidRPr="00710DFA">
              <w:rPr>
                <w:color w:val="000000" w:themeColor="text1"/>
                <w:sz w:val="24"/>
                <w:szCs w:val="24"/>
                <w:lang w:val="en-GB"/>
              </w:rPr>
              <w:t>Geographic cluster vulnerability</w:t>
            </w:r>
          </w:p>
        </w:tc>
        <w:tc>
          <w:tcPr>
            <w:tcW w:w="3259" w:type="dxa"/>
            <w:vMerge/>
          </w:tcPr>
          <w:p w14:paraId="7D14D018" w14:textId="77777777" w:rsidR="00BB7871" w:rsidRPr="00710DFA" w:rsidRDefault="00BB7871" w:rsidP="0063451E">
            <w:pPr>
              <w:spacing w:line="360" w:lineRule="auto"/>
              <w:rPr>
                <w:color w:val="000000" w:themeColor="text1"/>
                <w:sz w:val="24"/>
                <w:szCs w:val="24"/>
                <w:lang w:val="en-GB"/>
              </w:rPr>
            </w:pPr>
          </w:p>
        </w:tc>
      </w:tr>
      <w:tr w:rsidR="005D2C98" w:rsidRPr="00710DFA" w14:paraId="05DBE57F" w14:textId="77777777" w:rsidTr="00756BD7">
        <w:tc>
          <w:tcPr>
            <w:tcW w:w="6091" w:type="dxa"/>
          </w:tcPr>
          <w:p w14:paraId="273653EF" w14:textId="71C3539F" w:rsidR="00BB7871" w:rsidRPr="00710DFA" w:rsidRDefault="00A76503" w:rsidP="0063451E">
            <w:pPr>
              <w:spacing w:line="360" w:lineRule="auto"/>
              <w:rPr>
                <w:color w:val="000000" w:themeColor="text1"/>
                <w:sz w:val="24"/>
                <w:szCs w:val="24"/>
                <w:lang w:val="en-GB"/>
              </w:rPr>
            </w:pPr>
            <w:r w:rsidRPr="00710DFA">
              <w:rPr>
                <w:color w:val="000000" w:themeColor="text1"/>
                <w:sz w:val="24"/>
                <w:szCs w:val="24"/>
                <w:lang w:val="en-GB"/>
              </w:rPr>
              <w:t>Demand foretelling failure/bullwhip result</w:t>
            </w:r>
          </w:p>
        </w:tc>
        <w:tc>
          <w:tcPr>
            <w:tcW w:w="3259" w:type="dxa"/>
            <w:vMerge/>
          </w:tcPr>
          <w:p w14:paraId="6A3ECA18" w14:textId="77777777" w:rsidR="00BB7871" w:rsidRPr="00710DFA" w:rsidRDefault="00BB7871" w:rsidP="0063451E">
            <w:pPr>
              <w:spacing w:line="360" w:lineRule="auto"/>
              <w:rPr>
                <w:color w:val="000000" w:themeColor="text1"/>
                <w:sz w:val="24"/>
                <w:szCs w:val="24"/>
                <w:lang w:val="en-GB"/>
              </w:rPr>
            </w:pPr>
          </w:p>
        </w:tc>
      </w:tr>
      <w:tr w:rsidR="005D2C98" w:rsidRPr="00710DFA" w14:paraId="00C3E839" w14:textId="77777777" w:rsidTr="00756BD7">
        <w:tc>
          <w:tcPr>
            <w:tcW w:w="6091" w:type="dxa"/>
          </w:tcPr>
          <w:p w14:paraId="5FFFE664" w14:textId="0356114D" w:rsidR="00BB7871" w:rsidRPr="00710DFA" w:rsidRDefault="00955A05" w:rsidP="0063451E">
            <w:pPr>
              <w:spacing w:line="360" w:lineRule="auto"/>
              <w:rPr>
                <w:color w:val="000000" w:themeColor="text1"/>
                <w:sz w:val="24"/>
                <w:szCs w:val="24"/>
                <w:lang w:val="en-GB"/>
              </w:rPr>
            </w:pPr>
            <w:r w:rsidRPr="00710DFA">
              <w:rPr>
                <w:color w:val="000000" w:themeColor="text1"/>
                <w:sz w:val="24"/>
                <w:szCs w:val="24"/>
                <w:lang w:val="en-GB"/>
              </w:rPr>
              <w:t xml:space="preserve">Dependence of global supply </w:t>
            </w:r>
          </w:p>
        </w:tc>
        <w:tc>
          <w:tcPr>
            <w:tcW w:w="3259" w:type="dxa"/>
            <w:vMerge/>
          </w:tcPr>
          <w:p w14:paraId="77367F70" w14:textId="77777777" w:rsidR="00BB7871" w:rsidRPr="00710DFA" w:rsidRDefault="00BB7871" w:rsidP="0063451E">
            <w:pPr>
              <w:spacing w:line="360" w:lineRule="auto"/>
              <w:rPr>
                <w:color w:val="000000" w:themeColor="text1"/>
                <w:sz w:val="24"/>
                <w:szCs w:val="24"/>
                <w:lang w:val="en-GB"/>
              </w:rPr>
            </w:pPr>
          </w:p>
        </w:tc>
      </w:tr>
      <w:tr w:rsidR="005D2C98" w:rsidRPr="00710DFA" w14:paraId="511FDF23" w14:textId="77777777" w:rsidTr="00756BD7">
        <w:tc>
          <w:tcPr>
            <w:tcW w:w="6091" w:type="dxa"/>
          </w:tcPr>
          <w:p w14:paraId="4DBC8D18" w14:textId="745F3974" w:rsidR="00BB7871" w:rsidRPr="00710DFA" w:rsidRDefault="00955A05" w:rsidP="0063451E">
            <w:pPr>
              <w:spacing w:line="360" w:lineRule="auto"/>
              <w:rPr>
                <w:color w:val="000000" w:themeColor="text1"/>
                <w:sz w:val="24"/>
                <w:szCs w:val="24"/>
                <w:lang w:val="en-GB"/>
              </w:rPr>
            </w:pPr>
            <w:r w:rsidRPr="00710DFA">
              <w:rPr>
                <w:color w:val="000000" w:themeColor="text1"/>
                <w:sz w:val="24"/>
                <w:szCs w:val="24"/>
                <w:lang w:val="en-GB"/>
              </w:rPr>
              <w:t xml:space="preserve">Inflexibility in supply chain </w:t>
            </w:r>
          </w:p>
        </w:tc>
        <w:tc>
          <w:tcPr>
            <w:tcW w:w="3259" w:type="dxa"/>
            <w:vMerge/>
          </w:tcPr>
          <w:p w14:paraId="557DAB42" w14:textId="77777777" w:rsidR="00BB7871" w:rsidRPr="00710DFA" w:rsidRDefault="00BB7871" w:rsidP="0063451E">
            <w:pPr>
              <w:spacing w:line="360" w:lineRule="auto"/>
              <w:rPr>
                <w:color w:val="000000" w:themeColor="text1"/>
                <w:sz w:val="24"/>
                <w:szCs w:val="24"/>
                <w:lang w:val="en-GB"/>
              </w:rPr>
            </w:pPr>
          </w:p>
        </w:tc>
      </w:tr>
      <w:tr w:rsidR="005D2C98" w:rsidRPr="00710DFA" w14:paraId="02D089F9" w14:textId="77777777" w:rsidTr="00756BD7">
        <w:tc>
          <w:tcPr>
            <w:tcW w:w="6091" w:type="dxa"/>
          </w:tcPr>
          <w:p w14:paraId="4EC02B97" w14:textId="6E8E499D" w:rsidR="00BB7871" w:rsidRPr="00710DFA" w:rsidRDefault="00955A05" w:rsidP="0063451E">
            <w:pPr>
              <w:spacing w:line="360" w:lineRule="auto"/>
              <w:rPr>
                <w:color w:val="000000" w:themeColor="text1"/>
                <w:sz w:val="24"/>
                <w:szCs w:val="24"/>
                <w:lang w:val="en-GB"/>
              </w:rPr>
            </w:pPr>
            <w:r w:rsidRPr="00710DFA">
              <w:rPr>
                <w:color w:val="000000" w:themeColor="text1"/>
                <w:sz w:val="24"/>
                <w:szCs w:val="24"/>
                <w:lang w:val="en-GB"/>
              </w:rPr>
              <w:t xml:space="preserve">Single sourcing risk </w:t>
            </w:r>
          </w:p>
        </w:tc>
        <w:tc>
          <w:tcPr>
            <w:tcW w:w="3259" w:type="dxa"/>
            <w:vMerge/>
          </w:tcPr>
          <w:p w14:paraId="3D550C95" w14:textId="77777777" w:rsidR="00BB7871" w:rsidRPr="00710DFA" w:rsidRDefault="00BB7871" w:rsidP="0063451E">
            <w:pPr>
              <w:spacing w:line="360" w:lineRule="auto"/>
              <w:rPr>
                <w:color w:val="000000" w:themeColor="text1"/>
                <w:sz w:val="24"/>
                <w:szCs w:val="24"/>
                <w:lang w:val="en-GB"/>
              </w:rPr>
            </w:pPr>
          </w:p>
        </w:tc>
      </w:tr>
      <w:tr w:rsidR="005D2C98" w:rsidRPr="00710DFA" w14:paraId="446351F4" w14:textId="77777777" w:rsidTr="00756BD7">
        <w:tc>
          <w:tcPr>
            <w:tcW w:w="6091" w:type="dxa"/>
          </w:tcPr>
          <w:p w14:paraId="3831A424" w14:textId="77777777" w:rsidR="00042410" w:rsidRPr="00710DFA" w:rsidRDefault="00042410" w:rsidP="0063451E">
            <w:pPr>
              <w:spacing w:line="360" w:lineRule="auto"/>
              <w:rPr>
                <w:b/>
                <w:bCs/>
                <w:color w:val="000000" w:themeColor="text1"/>
                <w:sz w:val="24"/>
                <w:szCs w:val="24"/>
                <w:lang w:val="en-GB"/>
              </w:rPr>
            </w:pPr>
            <w:r w:rsidRPr="00710DFA">
              <w:rPr>
                <w:b/>
                <w:bCs/>
                <w:color w:val="000000" w:themeColor="text1"/>
                <w:sz w:val="24"/>
                <w:szCs w:val="24"/>
                <w:lang w:val="en-GB"/>
              </w:rPr>
              <w:t>1</w:t>
            </w:r>
            <w:r w:rsidRPr="00710DFA">
              <w:rPr>
                <w:b/>
                <w:bCs/>
                <w:color w:val="000000" w:themeColor="text1"/>
                <w:sz w:val="24"/>
                <w:szCs w:val="24"/>
                <w:vertAlign w:val="superscript"/>
                <w:lang w:val="en-GB"/>
              </w:rPr>
              <w:t>st</w:t>
            </w:r>
            <w:r w:rsidRPr="00710DFA">
              <w:rPr>
                <w:b/>
                <w:bCs/>
                <w:color w:val="000000" w:themeColor="text1"/>
                <w:sz w:val="24"/>
                <w:szCs w:val="24"/>
                <w:lang w:val="en-GB"/>
              </w:rPr>
              <w:t xml:space="preserve"> order theme</w:t>
            </w:r>
          </w:p>
        </w:tc>
        <w:tc>
          <w:tcPr>
            <w:tcW w:w="3259" w:type="dxa"/>
          </w:tcPr>
          <w:p w14:paraId="6372C102" w14:textId="77777777" w:rsidR="00042410" w:rsidRPr="00710DFA" w:rsidRDefault="00042410" w:rsidP="0063451E">
            <w:pPr>
              <w:spacing w:line="360" w:lineRule="auto"/>
              <w:rPr>
                <w:b/>
                <w:bCs/>
                <w:color w:val="000000" w:themeColor="text1"/>
                <w:sz w:val="24"/>
                <w:szCs w:val="24"/>
                <w:lang w:val="en-GB"/>
              </w:rPr>
            </w:pPr>
            <w:r w:rsidRPr="00710DFA">
              <w:rPr>
                <w:b/>
                <w:bCs/>
                <w:color w:val="000000" w:themeColor="text1"/>
                <w:sz w:val="24"/>
                <w:szCs w:val="24"/>
                <w:lang w:val="en-GB"/>
              </w:rPr>
              <w:t>2</w:t>
            </w:r>
            <w:r w:rsidRPr="00710DFA">
              <w:rPr>
                <w:b/>
                <w:bCs/>
                <w:color w:val="000000" w:themeColor="text1"/>
                <w:sz w:val="24"/>
                <w:szCs w:val="24"/>
                <w:vertAlign w:val="superscript"/>
                <w:lang w:val="en-GB"/>
              </w:rPr>
              <w:t>nd</w:t>
            </w:r>
            <w:r w:rsidRPr="00710DFA">
              <w:rPr>
                <w:b/>
                <w:bCs/>
                <w:color w:val="000000" w:themeColor="text1"/>
                <w:sz w:val="24"/>
                <w:szCs w:val="24"/>
                <w:lang w:val="en-GB"/>
              </w:rPr>
              <w:t xml:space="preserve"> order theme</w:t>
            </w:r>
          </w:p>
        </w:tc>
      </w:tr>
      <w:tr w:rsidR="005D2C98" w:rsidRPr="00710DFA" w14:paraId="30CF55ED" w14:textId="77777777" w:rsidTr="00756BD7">
        <w:tc>
          <w:tcPr>
            <w:tcW w:w="6091" w:type="dxa"/>
          </w:tcPr>
          <w:p w14:paraId="314BCA85" w14:textId="4A6C0A30" w:rsidR="00AD6D6F"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Digital change acceleration</w:t>
            </w:r>
          </w:p>
        </w:tc>
        <w:tc>
          <w:tcPr>
            <w:tcW w:w="3259" w:type="dxa"/>
            <w:vMerge w:val="restart"/>
          </w:tcPr>
          <w:p w14:paraId="2EA5FC5D" w14:textId="4549C72B" w:rsidR="00AD6D6F" w:rsidRPr="00710DFA" w:rsidRDefault="00AD6D6F" w:rsidP="0063451E">
            <w:pPr>
              <w:spacing w:line="360" w:lineRule="auto"/>
              <w:rPr>
                <w:color w:val="000000" w:themeColor="text1"/>
                <w:sz w:val="24"/>
                <w:szCs w:val="24"/>
                <w:lang w:val="en-GB"/>
              </w:rPr>
            </w:pPr>
            <w:r w:rsidRPr="00710DFA">
              <w:rPr>
                <w:color w:val="000000" w:themeColor="text1"/>
                <w:sz w:val="24"/>
                <w:szCs w:val="24"/>
                <w:lang w:val="en-GB"/>
              </w:rPr>
              <w:t xml:space="preserve">Multidimensional Organisational Responses to Supply Chain Stress during a pandemic </w:t>
            </w:r>
          </w:p>
        </w:tc>
      </w:tr>
      <w:tr w:rsidR="005D2C98" w:rsidRPr="00710DFA" w14:paraId="65302889" w14:textId="77777777" w:rsidTr="00756BD7">
        <w:tc>
          <w:tcPr>
            <w:tcW w:w="6091" w:type="dxa"/>
          </w:tcPr>
          <w:p w14:paraId="1D202C48" w14:textId="5338031A" w:rsidR="00AD6D6F"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Implementation of real-time visibility utensils</w:t>
            </w:r>
          </w:p>
        </w:tc>
        <w:tc>
          <w:tcPr>
            <w:tcW w:w="3259" w:type="dxa"/>
            <w:vMerge/>
          </w:tcPr>
          <w:p w14:paraId="764F8F0F" w14:textId="77777777" w:rsidR="00AD6D6F" w:rsidRPr="00710DFA" w:rsidRDefault="00AD6D6F" w:rsidP="0063451E">
            <w:pPr>
              <w:spacing w:line="360" w:lineRule="auto"/>
              <w:rPr>
                <w:color w:val="000000" w:themeColor="text1"/>
                <w:sz w:val="24"/>
                <w:szCs w:val="24"/>
                <w:lang w:val="en-GB"/>
              </w:rPr>
            </w:pPr>
          </w:p>
        </w:tc>
      </w:tr>
      <w:tr w:rsidR="005D2C98" w:rsidRPr="00710DFA" w14:paraId="4E17657D" w14:textId="77777777" w:rsidTr="00756BD7">
        <w:tc>
          <w:tcPr>
            <w:tcW w:w="6091" w:type="dxa"/>
          </w:tcPr>
          <w:p w14:paraId="038FF3CE" w14:textId="1E3ECB2D" w:rsidR="00AD6D6F"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Sourcing reconstruction(nearshoring/reshoring)</w:t>
            </w:r>
          </w:p>
        </w:tc>
        <w:tc>
          <w:tcPr>
            <w:tcW w:w="3259" w:type="dxa"/>
            <w:vMerge/>
          </w:tcPr>
          <w:p w14:paraId="4488C5C1" w14:textId="77777777" w:rsidR="00AD6D6F" w:rsidRPr="00710DFA" w:rsidRDefault="00AD6D6F" w:rsidP="0063451E">
            <w:pPr>
              <w:spacing w:line="360" w:lineRule="auto"/>
              <w:rPr>
                <w:color w:val="000000" w:themeColor="text1"/>
                <w:sz w:val="24"/>
                <w:szCs w:val="24"/>
                <w:lang w:val="en-GB"/>
              </w:rPr>
            </w:pPr>
          </w:p>
        </w:tc>
      </w:tr>
      <w:tr w:rsidR="005D2C98" w:rsidRPr="00710DFA" w14:paraId="338155C7" w14:textId="77777777" w:rsidTr="00756BD7">
        <w:tc>
          <w:tcPr>
            <w:tcW w:w="6091" w:type="dxa"/>
          </w:tcPr>
          <w:p w14:paraId="729D4738" w14:textId="4920F00F" w:rsidR="00AD6D6F"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Dual sourcing policies</w:t>
            </w:r>
          </w:p>
        </w:tc>
        <w:tc>
          <w:tcPr>
            <w:tcW w:w="3259" w:type="dxa"/>
            <w:vMerge/>
          </w:tcPr>
          <w:p w14:paraId="16C2353E" w14:textId="77777777" w:rsidR="00AD6D6F" w:rsidRPr="00710DFA" w:rsidRDefault="00AD6D6F" w:rsidP="0063451E">
            <w:pPr>
              <w:spacing w:line="360" w:lineRule="auto"/>
              <w:rPr>
                <w:color w:val="000000" w:themeColor="text1"/>
                <w:sz w:val="24"/>
                <w:szCs w:val="24"/>
                <w:lang w:val="en-GB"/>
              </w:rPr>
            </w:pPr>
          </w:p>
        </w:tc>
      </w:tr>
      <w:tr w:rsidR="005D2C98" w:rsidRPr="00710DFA" w14:paraId="288AB43E" w14:textId="77777777" w:rsidTr="00756BD7">
        <w:tc>
          <w:tcPr>
            <w:tcW w:w="6091" w:type="dxa"/>
          </w:tcPr>
          <w:p w14:paraId="03C48D5C" w14:textId="4BF99431"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Strengthening supplier connection</w:t>
            </w:r>
          </w:p>
        </w:tc>
        <w:tc>
          <w:tcPr>
            <w:tcW w:w="3259" w:type="dxa"/>
            <w:vMerge/>
          </w:tcPr>
          <w:p w14:paraId="266FC2A3" w14:textId="77777777" w:rsidR="00403627" w:rsidRPr="00710DFA" w:rsidRDefault="00403627" w:rsidP="0063451E">
            <w:pPr>
              <w:spacing w:line="360" w:lineRule="auto"/>
              <w:rPr>
                <w:color w:val="000000" w:themeColor="text1"/>
                <w:sz w:val="24"/>
                <w:szCs w:val="24"/>
                <w:lang w:val="en-GB"/>
              </w:rPr>
            </w:pPr>
          </w:p>
        </w:tc>
      </w:tr>
      <w:tr w:rsidR="005D2C98" w:rsidRPr="00710DFA" w14:paraId="4131C7C2" w14:textId="77777777" w:rsidTr="00756BD7">
        <w:tc>
          <w:tcPr>
            <w:tcW w:w="6091" w:type="dxa"/>
          </w:tcPr>
          <w:p w14:paraId="6105D44E" w14:textId="40B6F3D8"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Growth of relational assets</w:t>
            </w:r>
          </w:p>
        </w:tc>
        <w:tc>
          <w:tcPr>
            <w:tcW w:w="3259" w:type="dxa"/>
            <w:vMerge/>
          </w:tcPr>
          <w:p w14:paraId="37AE9FB6" w14:textId="77777777" w:rsidR="00403627" w:rsidRPr="00710DFA" w:rsidRDefault="00403627" w:rsidP="0063451E">
            <w:pPr>
              <w:spacing w:line="360" w:lineRule="auto"/>
              <w:rPr>
                <w:color w:val="000000" w:themeColor="text1"/>
                <w:sz w:val="24"/>
                <w:szCs w:val="24"/>
                <w:lang w:val="en-GB"/>
              </w:rPr>
            </w:pPr>
          </w:p>
        </w:tc>
      </w:tr>
      <w:tr w:rsidR="005D2C98" w:rsidRPr="00710DFA" w14:paraId="742F58C7" w14:textId="77777777" w:rsidTr="00756BD7">
        <w:tc>
          <w:tcPr>
            <w:tcW w:w="6091" w:type="dxa"/>
          </w:tcPr>
          <w:p w14:paraId="2DC9319F" w14:textId="0115F4BC" w:rsidR="00403627" w:rsidRPr="00710DFA" w:rsidRDefault="0079732B" w:rsidP="0063451E">
            <w:pPr>
              <w:spacing w:line="360" w:lineRule="auto"/>
              <w:rPr>
                <w:color w:val="000000" w:themeColor="text1"/>
                <w:sz w:val="24"/>
                <w:szCs w:val="24"/>
                <w:lang w:val="en-GB"/>
              </w:rPr>
            </w:pPr>
            <w:r w:rsidRPr="00710DFA">
              <w:rPr>
                <w:color w:val="000000" w:themeColor="text1"/>
                <w:sz w:val="24"/>
                <w:szCs w:val="24"/>
                <w:lang w:val="en-GB"/>
              </w:rPr>
              <w:t xml:space="preserve">Supply base divergence </w:t>
            </w:r>
          </w:p>
        </w:tc>
        <w:tc>
          <w:tcPr>
            <w:tcW w:w="3259" w:type="dxa"/>
            <w:vMerge/>
          </w:tcPr>
          <w:p w14:paraId="1A8179EE" w14:textId="77777777" w:rsidR="00403627" w:rsidRPr="00710DFA" w:rsidRDefault="00403627" w:rsidP="0063451E">
            <w:pPr>
              <w:spacing w:line="360" w:lineRule="auto"/>
              <w:rPr>
                <w:color w:val="000000" w:themeColor="text1"/>
                <w:sz w:val="24"/>
                <w:szCs w:val="24"/>
                <w:lang w:val="en-GB"/>
              </w:rPr>
            </w:pPr>
          </w:p>
        </w:tc>
      </w:tr>
      <w:tr w:rsidR="005D2C98" w:rsidRPr="00710DFA" w14:paraId="1A465E5A" w14:textId="77777777" w:rsidTr="00756BD7">
        <w:tc>
          <w:tcPr>
            <w:tcW w:w="6091" w:type="dxa"/>
          </w:tcPr>
          <w:p w14:paraId="6C317DDF" w14:textId="77777777" w:rsidR="00403627" w:rsidRPr="00710DFA" w:rsidRDefault="00403627" w:rsidP="0063451E">
            <w:pPr>
              <w:spacing w:line="360" w:lineRule="auto"/>
              <w:rPr>
                <w:b/>
                <w:bCs/>
                <w:color w:val="000000" w:themeColor="text1"/>
                <w:sz w:val="24"/>
                <w:szCs w:val="24"/>
                <w:lang w:val="en-GB"/>
              </w:rPr>
            </w:pPr>
            <w:r w:rsidRPr="00710DFA">
              <w:rPr>
                <w:b/>
                <w:bCs/>
                <w:color w:val="000000" w:themeColor="text1"/>
                <w:sz w:val="24"/>
                <w:szCs w:val="24"/>
                <w:lang w:val="en-GB"/>
              </w:rPr>
              <w:t>1</w:t>
            </w:r>
            <w:r w:rsidRPr="00710DFA">
              <w:rPr>
                <w:b/>
                <w:bCs/>
                <w:color w:val="000000" w:themeColor="text1"/>
                <w:sz w:val="24"/>
                <w:szCs w:val="24"/>
                <w:vertAlign w:val="superscript"/>
                <w:lang w:val="en-GB"/>
              </w:rPr>
              <w:t>st</w:t>
            </w:r>
            <w:r w:rsidRPr="00710DFA">
              <w:rPr>
                <w:b/>
                <w:bCs/>
                <w:color w:val="000000" w:themeColor="text1"/>
                <w:sz w:val="24"/>
                <w:szCs w:val="24"/>
                <w:lang w:val="en-GB"/>
              </w:rPr>
              <w:t xml:space="preserve"> order theme</w:t>
            </w:r>
          </w:p>
        </w:tc>
        <w:tc>
          <w:tcPr>
            <w:tcW w:w="3259" w:type="dxa"/>
          </w:tcPr>
          <w:p w14:paraId="41B6BB90" w14:textId="77777777" w:rsidR="00403627" w:rsidRPr="00710DFA" w:rsidRDefault="00403627" w:rsidP="0063451E">
            <w:pPr>
              <w:spacing w:line="360" w:lineRule="auto"/>
              <w:rPr>
                <w:b/>
                <w:bCs/>
                <w:color w:val="000000" w:themeColor="text1"/>
                <w:sz w:val="24"/>
                <w:szCs w:val="24"/>
                <w:lang w:val="en-GB"/>
              </w:rPr>
            </w:pPr>
            <w:r w:rsidRPr="00710DFA">
              <w:rPr>
                <w:b/>
                <w:bCs/>
                <w:color w:val="000000" w:themeColor="text1"/>
                <w:sz w:val="24"/>
                <w:szCs w:val="24"/>
                <w:lang w:val="en-GB"/>
              </w:rPr>
              <w:t>2</w:t>
            </w:r>
            <w:r w:rsidRPr="00710DFA">
              <w:rPr>
                <w:b/>
                <w:bCs/>
                <w:color w:val="000000" w:themeColor="text1"/>
                <w:sz w:val="24"/>
                <w:szCs w:val="24"/>
                <w:vertAlign w:val="superscript"/>
                <w:lang w:val="en-GB"/>
              </w:rPr>
              <w:t>nd</w:t>
            </w:r>
            <w:r w:rsidRPr="00710DFA">
              <w:rPr>
                <w:b/>
                <w:bCs/>
                <w:color w:val="000000" w:themeColor="text1"/>
                <w:sz w:val="24"/>
                <w:szCs w:val="24"/>
                <w:lang w:val="en-GB"/>
              </w:rPr>
              <w:t xml:space="preserve"> order theme</w:t>
            </w:r>
          </w:p>
        </w:tc>
      </w:tr>
      <w:tr w:rsidR="005D2C98" w:rsidRPr="00710DFA" w14:paraId="2DAE8271" w14:textId="77777777" w:rsidTr="00756BD7">
        <w:tc>
          <w:tcPr>
            <w:tcW w:w="6091" w:type="dxa"/>
          </w:tcPr>
          <w:p w14:paraId="189E70C6" w14:textId="5B979143"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Significance of adaptability</w:t>
            </w:r>
          </w:p>
        </w:tc>
        <w:tc>
          <w:tcPr>
            <w:tcW w:w="3259" w:type="dxa"/>
            <w:vMerge w:val="restart"/>
          </w:tcPr>
          <w:p w14:paraId="1068E47E" w14:textId="5AC818F0" w:rsidR="00955443" w:rsidRPr="00710DFA" w:rsidRDefault="008C0ECA" w:rsidP="0063451E">
            <w:pPr>
              <w:spacing w:line="360" w:lineRule="auto"/>
              <w:rPr>
                <w:color w:val="000000" w:themeColor="text1"/>
                <w:sz w:val="28"/>
                <w:szCs w:val="28"/>
                <w:lang w:val="en-GB"/>
              </w:rPr>
            </w:pPr>
            <w:r w:rsidRPr="00710DFA">
              <w:rPr>
                <w:sz w:val="24"/>
                <w:szCs w:val="24"/>
                <w:lang w:val="en-GB"/>
              </w:rPr>
              <w:t>Reconfiguration of supply chain resilience as an outcome of adaptive organisational action</w:t>
            </w:r>
          </w:p>
          <w:p w14:paraId="223D889C" w14:textId="29A7AFB9" w:rsidR="00403627" w:rsidRPr="00710DFA" w:rsidRDefault="00403627" w:rsidP="008C0ECA">
            <w:pPr>
              <w:spacing w:line="360" w:lineRule="auto"/>
              <w:rPr>
                <w:color w:val="000000" w:themeColor="text1"/>
                <w:sz w:val="24"/>
                <w:szCs w:val="24"/>
                <w:lang w:val="en-GB"/>
              </w:rPr>
            </w:pPr>
          </w:p>
        </w:tc>
      </w:tr>
      <w:tr w:rsidR="005D2C98" w:rsidRPr="00710DFA" w14:paraId="3BEFA960" w14:textId="77777777" w:rsidTr="00756BD7">
        <w:tc>
          <w:tcPr>
            <w:tcW w:w="6091" w:type="dxa"/>
          </w:tcPr>
          <w:p w14:paraId="1ACF049E" w14:textId="4F976350"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Purpose of industry 4.0 machineries</w:t>
            </w:r>
          </w:p>
        </w:tc>
        <w:tc>
          <w:tcPr>
            <w:tcW w:w="3259" w:type="dxa"/>
            <w:vMerge/>
          </w:tcPr>
          <w:p w14:paraId="12F0D387" w14:textId="77777777" w:rsidR="00403627" w:rsidRPr="00710DFA" w:rsidRDefault="00403627" w:rsidP="0063451E">
            <w:pPr>
              <w:spacing w:line="360" w:lineRule="auto"/>
              <w:rPr>
                <w:color w:val="000000" w:themeColor="text1"/>
                <w:sz w:val="24"/>
                <w:szCs w:val="24"/>
                <w:lang w:val="en-GB"/>
              </w:rPr>
            </w:pPr>
          </w:p>
        </w:tc>
      </w:tr>
      <w:tr w:rsidR="005D2C98" w:rsidRPr="00710DFA" w14:paraId="11491515" w14:textId="77777777" w:rsidTr="00756BD7">
        <w:tc>
          <w:tcPr>
            <w:tcW w:w="6091" w:type="dxa"/>
          </w:tcPr>
          <w:p w14:paraId="74419EB7" w14:textId="1DD8AEAE"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Integration of electronic resilience</w:t>
            </w:r>
          </w:p>
        </w:tc>
        <w:tc>
          <w:tcPr>
            <w:tcW w:w="3259" w:type="dxa"/>
            <w:vMerge/>
          </w:tcPr>
          <w:p w14:paraId="1472C054" w14:textId="77777777" w:rsidR="00403627" w:rsidRPr="00710DFA" w:rsidRDefault="00403627" w:rsidP="0063451E">
            <w:pPr>
              <w:spacing w:line="360" w:lineRule="auto"/>
              <w:rPr>
                <w:color w:val="000000" w:themeColor="text1"/>
                <w:sz w:val="24"/>
                <w:szCs w:val="24"/>
                <w:lang w:val="en-GB"/>
              </w:rPr>
            </w:pPr>
          </w:p>
        </w:tc>
      </w:tr>
      <w:tr w:rsidR="005D2C98" w:rsidRPr="00710DFA" w14:paraId="48E13B92" w14:textId="77777777" w:rsidTr="00756BD7">
        <w:tc>
          <w:tcPr>
            <w:tcW w:w="6091" w:type="dxa"/>
          </w:tcPr>
          <w:p w14:paraId="3BBA93CE" w14:textId="0F779650"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Disclosure of new digital risks</w:t>
            </w:r>
          </w:p>
        </w:tc>
        <w:tc>
          <w:tcPr>
            <w:tcW w:w="3259" w:type="dxa"/>
            <w:vMerge/>
          </w:tcPr>
          <w:p w14:paraId="7FC5231E" w14:textId="77777777" w:rsidR="00403627" w:rsidRPr="00710DFA" w:rsidRDefault="00403627" w:rsidP="0063451E">
            <w:pPr>
              <w:spacing w:line="360" w:lineRule="auto"/>
              <w:rPr>
                <w:color w:val="000000" w:themeColor="text1"/>
                <w:sz w:val="24"/>
                <w:szCs w:val="24"/>
                <w:lang w:val="en-GB"/>
              </w:rPr>
            </w:pPr>
          </w:p>
        </w:tc>
      </w:tr>
      <w:tr w:rsidR="005D2C98" w:rsidRPr="00710DFA" w14:paraId="750878E8" w14:textId="77777777" w:rsidTr="00756BD7">
        <w:tc>
          <w:tcPr>
            <w:tcW w:w="6091" w:type="dxa"/>
          </w:tcPr>
          <w:p w14:paraId="03B72BAE" w14:textId="7E92051B" w:rsidR="00403627" w:rsidRPr="00710DFA" w:rsidRDefault="00403627" w:rsidP="0063451E">
            <w:pPr>
              <w:spacing w:line="360" w:lineRule="auto"/>
              <w:rPr>
                <w:color w:val="000000" w:themeColor="text1"/>
                <w:sz w:val="24"/>
                <w:szCs w:val="24"/>
                <w:lang w:val="en-GB"/>
              </w:rPr>
            </w:pPr>
            <w:r w:rsidRPr="00710DFA">
              <w:rPr>
                <w:color w:val="000000" w:themeColor="text1"/>
                <w:sz w:val="24"/>
                <w:szCs w:val="24"/>
                <w:lang w:val="en-GB"/>
              </w:rPr>
              <w:t>Social and administrative resilience</w:t>
            </w:r>
          </w:p>
        </w:tc>
        <w:tc>
          <w:tcPr>
            <w:tcW w:w="3259" w:type="dxa"/>
            <w:vMerge/>
          </w:tcPr>
          <w:p w14:paraId="25136B4F" w14:textId="77777777" w:rsidR="00403627" w:rsidRPr="00710DFA" w:rsidRDefault="00403627" w:rsidP="0063451E">
            <w:pPr>
              <w:spacing w:line="360" w:lineRule="auto"/>
              <w:rPr>
                <w:color w:val="000000" w:themeColor="text1"/>
                <w:sz w:val="24"/>
                <w:szCs w:val="24"/>
                <w:lang w:val="en-GB"/>
              </w:rPr>
            </w:pPr>
          </w:p>
        </w:tc>
      </w:tr>
      <w:tr w:rsidR="005D2C98" w:rsidRPr="00710DFA" w14:paraId="00173873" w14:textId="77777777" w:rsidTr="00756BD7">
        <w:tc>
          <w:tcPr>
            <w:tcW w:w="6091" w:type="dxa"/>
          </w:tcPr>
          <w:p w14:paraId="6EACE6C8" w14:textId="2BEDA3D0" w:rsidR="00403627" w:rsidRPr="00710DFA" w:rsidRDefault="0079732B" w:rsidP="0063451E">
            <w:pPr>
              <w:spacing w:line="360" w:lineRule="auto"/>
              <w:rPr>
                <w:color w:val="000000" w:themeColor="text1"/>
                <w:sz w:val="24"/>
                <w:szCs w:val="24"/>
                <w:lang w:val="en-GB"/>
              </w:rPr>
            </w:pPr>
            <w:r w:rsidRPr="00710DFA">
              <w:rPr>
                <w:color w:val="000000" w:themeColor="text1"/>
                <w:sz w:val="24"/>
                <w:szCs w:val="24"/>
                <w:lang w:val="en-GB"/>
              </w:rPr>
              <w:t xml:space="preserve">Inventory shielding strategy </w:t>
            </w:r>
          </w:p>
        </w:tc>
        <w:tc>
          <w:tcPr>
            <w:tcW w:w="3259" w:type="dxa"/>
            <w:vMerge/>
          </w:tcPr>
          <w:p w14:paraId="7A1E8668" w14:textId="77777777" w:rsidR="00403627" w:rsidRPr="00710DFA" w:rsidRDefault="00403627" w:rsidP="0063451E">
            <w:pPr>
              <w:spacing w:line="360" w:lineRule="auto"/>
              <w:rPr>
                <w:color w:val="000000" w:themeColor="text1"/>
                <w:sz w:val="24"/>
                <w:szCs w:val="24"/>
                <w:lang w:val="en-GB"/>
              </w:rPr>
            </w:pPr>
          </w:p>
        </w:tc>
      </w:tr>
      <w:tr w:rsidR="005D2C98" w:rsidRPr="00710DFA" w14:paraId="4ED0A7D7" w14:textId="77777777" w:rsidTr="00756BD7">
        <w:tc>
          <w:tcPr>
            <w:tcW w:w="6091" w:type="dxa"/>
          </w:tcPr>
          <w:p w14:paraId="15DD4036" w14:textId="575251E1" w:rsidR="00403627" w:rsidRPr="00710DFA" w:rsidRDefault="0079732B" w:rsidP="0063451E">
            <w:pPr>
              <w:spacing w:line="360" w:lineRule="auto"/>
              <w:rPr>
                <w:color w:val="000000" w:themeColor="text1"/>
                <w:sz w:val="24"/>
                <w:szCs w:val="24"/>
                <w:lang w:val="en-GB"/>
              </w:rPr>
            </w:pPr>
            <w:r w:rsidRPr="00710DFA">
              <w:rPr>
                <w:color w:val="000000" w:themeColor="text1"/>
                <w:sz w:val="24"/>
                <w:szCs w:val="24"/>
                <w:lang w:val="en-GB"/>
              </w:rPr>
              <w:t xml:space="preserve">Supply base modification </w:t>
            </w:r>
          </w:p>
        </w:tc>
        <w:tc>
          <w:tcPr>
            <w:tcW w:w="3259" w:type="dxa"/>
            <w:vMerge/>
          </w:tcPr>
          <w:p w14:paraId="63F52671" w14:textId="77777777" w:rsidR="00403627" w:rsidRPr="00710DFA" w:rsidRDefault="00403627" w:rsidP="0063451E">
            <w:pPr>
              <w:spacing w:line="360" w:lineRule="auto"/>
              <w:rPr>
                <w:color w:val="000000" w:themeColor="text1"/>
                <w:sz w:val="24"/>
                <w:szCs w:val="24"/>
                <w:lang w:val="en-GB"/>
              </w:rPr>
            </w:pPr>
          </w:p>
        </w:tc>
      </w:tr>
      <w:tr w:rsidR="00C96249" w:rsidRPr="00710DFA" w14:paraId="2486F7F3" w14:textId="77777777" w:rsidTr="00756BD7">
        <w:tc>
          <w:tcPr>
            <w:tcW w:w="6091" w:type="dxa"/>
          </w:tcPr>
          <w:p w14:paraId="4506A11A" w14:textId="62584E37" w:rsidR="00C96249" w:rsidRPr="00710DFA" w:rsidRDefault="003D08C4" w:rsidP="0063451E">
            <w:pPr>
              <w:spacing w:line="360" w:lineRule="auto"/>
              <w:rPr>
                <w:color w:val="000000" w:themeColor="text1"/>
                <w:sz w:val="24"/>
                <w:szCs w:val="24"/>
                <w:lang w:val="en-GB"/>
              </w:rPr>
            </w:pPr>
            <w:r w:rsidRPr="00710DFA">
              <w:rPr>
                <w:b/>
                <w:bCs/>
                <w:color w:val="000000" w:themeColor="text1"/>
                <w:sz w:val="24"/>
                <w:szCs w:val="24"/>
                <w:lang w:val="en-GB"/>
              </w:rPr>
              <w:t>1</w:t>
            </w:r>
            <w:r w:rsidRPr="00710DFA">
              <w:rPr>
                <w:b/>
                <w:bCs/>
                <w:color w:val="000000" w:themeColor="text1"/>
                <w:sz w:val="24"/>
                <w:szCs w:val="24"/>
                <w:vertAlign w:val="superscript"/>
                <w:lang w:val="en-GB"/>
              </w:rPr>
              <w:t>st</w:t>
            </w:r>
            <w:r w:rsidRPr="00710DFA">
              <w:rPr>
                <w:b/>
                <w:bCs/>
                <w:color w:val="000000" w:themeColor="text1"/>
                <w:sz w:val="24"/>
                <w:szCs w:val="24"/>
                <w:lang w:val="en-GB"/>
              </w:rPr>
              <w:t xml:space="preserve"> order theme</w:t>
            </w:r>
          </w:p>
        </w:tc>
        <w:tc>
          <w:tcPr>
            <w:tcW w:w="3259" w:type="dxa"/>
          </w:tcPr>
          <w:p w14:paraId="2A5F492C" w14:textId="1D0B23DC" w:rsidR="00C96249" w:rsidRPr="00710DFA" w:rsidRDefault="00C96249" w:rsidP="0063451E">
            <w:pPr>
              <w:spacing w:line="360" w:lineRule="auto"/>
              <w:rPr>
                <w:color w:val="000000" w:themeColor="text1"/>
                <w:sz w:val="24"/>
                <w:szCs w:val="24"/>
                <w:lang w:val="en-GB"/>
              </w:rPr>
            </w:pPr>
            <w:r w:rsidRPr="00710DFA">
              <w:rPr>
                <w:b/>
                <w:bCs/>
                <w:color w:val="000000" w:themeColor="text1"/>
                <w:sz w:val="24"/>
                <w:szCs w:val="24"/>
                <w:lang w:val="en-GB"/>
              </w:rPr>
              <w:t>2</w:t>
            </w:r>
            <w:r w:rsidRPr="00710DFA">
              <w:rPr>
                <w:b/>
                <w:bCs/>
                <w:color w:val="000000" w:themeColor="text1"/>
                <w:sz w:val="24"/>
                <w:szCs w:val="24"/>
                <w:vertAlign w:val="superscript"/>
                <w:lang w:val="en-GB"/>
              </w:rPr>
              <w:t>nd</w:t>
            </w:r>
            <w:r w:rsidRPr="00710DFA">
              <w:rPr>
                <w:b/>
                <w:bCs/>
                <w:color w:val="000000" w:themeColor="text1"/>
                <w:sz w:val="24"/>
                <w:szCs w:val="24"/>
                <w:lang w:val="en-GB"/>
              </w:rPr>
              <w:t xml:space="preserve"> order theme</w:t>
            </w:r>
          </w:p>
        </w:tc>
      </w:tr>
      <w:tr w:rsidR="00D10901" w:rsidRPr="00710DFA" w14:paraId="5FF955F1" w14:textId="77777777" w:rsidTr="00D10901">
        <w:trPr>
          <w:trHeight w:val="348"/>
        </w:trPr>
        <w:tc>
          <w:tcPr>
            <w:tcW w:w="6091" w:type="dxa"/>
          </w:tcPr>
          <w:p w14:paraId="030698C4" w14:textId="14555CB8" w:rsidR="00D10901" w:rsidRPr="00710DFA" w:rsidRDefault="005F4C83" w:rsidP="0063451E">
            <w:pPr>
              <w:spacing w:line="360" w:lineRule="auto"/>
              <w:rPr>
                <w:color w:val="000000" w:themeColor="text1"/>
                <w:sz w:val="24"/>
                <w:szCs w:val="24"/>
                <w:lang w:val="en-GB"/>
              </w:rPr>
            </w:pPr>
            <w:r w:rsidRPr="00710DFA">
              <w:rPr>
                <w:color w:val="000000" w:themeColor="text1"/>
                <w:sz w:val="24"/>
                <w:szCs w:val="24"/>
                <w:lang w:val="en-GB"/>
              </w:rPr>
              <w:t>Resilience strategies of SMEs</w:t>
            </w:r>
          </w:p>
        </w:tc>
        <w:tc>
          <w:tcPr>
            <w:tcW w:w="3259" w:type="dxa"/>
            <w:vMerge w:val="restart"/>
          </w:tcPr>
          <w:p w14:paraId="071A14A6" w14:textId="77777777" w:rsidR="00D10901" w:rsidRPr="00710DFA" w:rsidRDefault="00D10901" w:rsidP="0063451E">
            <w:pPr>
              <w:spacing w:line="360" w:lineRule="auto"/>
              <w:rPr>
                <w:color w:val="000000" w:themeColor="text1"/>
                <w:sz w:val="24"/>
                <w:szCs w:val="24"/>
                <w:lang w:val="en-GB"/>
              </w:rPr>
            </w:pPr>
            <w:r w:rsidRPr="00710DFA">
              <w:rPr>
                <w:color w:val="000000" w:themeColor="text1"/>
                <w:sz w:val="24"/>
                <w:szCs w:val="24"/>
                <w:lang w:val="en-GB"/>
              </w:rPr>
              <w:t xml:space="preserve">Industry-Specific Vulnerability, Response and </w:t>
            </w:r>
          </w:p>
          <w:p w14:paraId="2F1F547F" w14:textId="0E96DEE7" w:rsidR="00D10901" w:rsidRPr="00710DFA" w:rsidRDefault="00D10901" w:rsidP="0063451E">
            <w:pPr>
              <w:spacing w:line="360" w:lineRule="auto"/>
              <w:rPr>
                <w:color w:val="000000" w:themeColor="text1"/>
                <w:sz w:val="24"/>
                <w:szCs w:val="24"/>
                <w:lang w:val="en-GB"/>
              </w:rPr>
            </w:pPr>
            <w:r w:rsidRPr="00710DFA">
              <w:rPr>
                <w:color w:val="000000" w:themeColor="text1"/>
                <w:sz w:val="24"/>
                <w:szCs w:val="24"/>
                <w:lang w:val="en-GB"/>
              </w:rPr>
              <w:t>the Generalised Resilience Paradigm</w:t>
            </w:r>
          </w:p>
        </w:tc>
      </w:tr>
      <w:tr w:rsidR="00D10901" w:rsidRPr="00710DFA" w14:paraId="604CFF1D" w14:textId="77777777" w:rsidTr="00D10901">
        <w:trPr>
          <w:trHeight w:val="456"/>
        </w:trPr>
        <w:tc>
          <w:tcPr>
            <w:tcW w:w="6091" w:type="dxa"/>
          </w:tcPr>
          <w:p w14:paraId="271A7C92" w14:textId="65821758" w:rsidR="00D10901" w:rsidRPr="00710DFA" w:rsidRDefault="005F4C83" w:rsidP="0063451E">
            <w:pPr>
              <w:spacing w:line="360" w:lineRule="auto"/>
              <w:rPr>
                <w:color w:val="000000" w:themeColor="text1"/>
                <w:sz w:val="24"/>
                <w:szCs w:val="24"/>
                <w:lang w:val="en-GB"/>
              </w:rPr>
            </w:pPr>
            <w:r w:rsidRPr="00710DFA">
              <w:rPr>
                <w:color w:val="000000" w:themeColor="text1"/>
                <w:sz w:val="24"/>
                <w:szCs w:val="24"/>
                <w:lang w:val="en-GB"/>
              </w:rPr>
              <w:t>Capability configuration for resilience</w:t>
            </w:r>
          </w:p>
        </w:tc>
        <w:tc>
          <w:tcPr>
            <w:tcW w:w="3259" w:type="dxa"/>
            <w:vMerge/>
          </w:tcPr>
          <w:p w14:paraId="3E29AFE0" w14:textId="52E71B95" w:rsidR="00D10901" w:rsidRPr="00710DFA" w:rsidRDefault="00D10901" w:rsidP="0063451E">
            <w:pPr>
              <w:spacing w:line="360" w:lineRule="auto"/>
              <w:rPr>
                <w:color w:val="000000" w:themeColor="text1"/>
                <w:sz w:val="24"/>
                <w:szCs w:val="24"/>
                <w:lang w:val="en-GB"/>
              </w:rPr>
            </w:pPr>
          </w:p>
        </w:tc>
      </w:tr>
      <w:tr w:rsidR="00D10901" w:rsidRPr="00710DFA" w14:paraId="5D031004" w14:textId="77777777" w:rsidTr="00D10901">
        <w:trPr>
          <w:trHeight w:val="408"/>
        </w:trPr>
        <w:tc>
          <w:tcPr>
            <w:tcW w:w="6091" w:type="dxa"/>
          </w:tcPr>
          <w:p w14:paraId="2688E796" w14:textId="562A1B61" w:rsidR="00D10901" w:rsidRPr="00710DFA" w:rsidRDefault="005F4C83" w:rsidP="0063451E">
            <w:pPr>
              <w:spacing w:line="360" w:lineRule="auto"/>
              <w:rPr>
                <w:color w:val="000000" w:themeColor="text1"/>
                <w:sz w:val="24"/>
                <w:szCs w:val="24"/>
                <w:lang w:val="en-GB"/>
              </w:rPr>
            </w:pPr>
            <w:r w:rsidRPr="00710DFA">
              <w:rPr>
                <w:color w:val="000000" w:themeColor="text1"/>
                <w:sz w:val="24"/>
                <w:szCs w:val="24"/>
                <w:lang w:val="en-GB"/>
              </w:rPr>
              <w:t>Implication of diversification for strategic recovery</w:t>
            </w:r>
          </w:p>
        </w:tc>
        <w:tc>
          <w:tcPr>
            <w:tcW w:w="3259" w:type="dxa"/>
            <w:vMerge/>
          </w:tcPr>
          <w:p w14:paraId="6D291B23" w14:textId="41107834" w:rsidR="00D10901" w:rsidRPr="00710DFA" w:rsidRDefault="00D10901" w:rsidP="0063451E">
            <w:pPr>
              <w:spacing w:line="360" w:lineRule="auto"/>
              <w:rPr>
                <w:color w:val="000000" w:themeColor="text1"/>
                <w:sz w:val="24"/>
                <w:szCs w:val="24"/>
                <w:lang w:val="en-GB"/>
              </w:rPr>
            </w:pPr>
          </w:p>
        </w:tc>
      </w:tr>
      <w:tr w:rsidR="00D10901" w:rsidRPr="00710DFA" w14:paraId="280E28BA" w14:textId="77777777" w:rsidTr="00756BD7">
        <w:trPr>
          <w:trHeight w:val="420"/>
        </w:trPr>
        <w:tc>
          <w:tcPr>
            <w:tcW w:w="6091" w:type="dxa"/>
          </w:tcPr>
          <w:p w14:paraId="1C372569" w14:textId="2DD6D542" w:rsidR="00D10901" w:rsidRPr="00710DFA" w:rsidRDefault="005F4C83" w:rsidP="0063451E">
            <w:pPr>
              <w:spacing w:line="360" w:lineRule="auto"/>
              <w:rPr>
                <w:color w:val="000000" w:themeColor="text1"/>
                <w:sz w:val="24"/>
                <w:szCs w:val="24"/>
                <w:lang w:val="en-GB"/>
              </w:rPr>
            </w:pPr>
            <w:r w:rsidRPr="00710DFA">
              <w:rPr>
                <w:color w:val="000000" w:themeColor="text1"/>
                <w:sz w:val="24"/>
                <w:szCs w:val="24"/>
                <w:lang w:val="en-GB"/>
              </w:rPr>
              <w:t>Supply chain performance deterioration within the industry</w:t>
            </w:r>
          </w:p>
        </w:tc>
        <w:tc>
          <w:tcPr>
            <w:tcW w:w="3259" w:type="dxa"/>
            <w:vMerge/>
          </w:tcPr>
          <w:p w14:paraId="0AA2F142" w14:textId="77777777" w:rsidR="00D10901" w:rsidRPr="00710DFA" w:rsidRDefault="00D10901" w:rsidP="0063451E">
            <w:pPr>
              <w:spacing w:line="360" w:lineRule="auto"/>
              <w:rPr>
                <w:color w:val="000000" w:themeColor="text1"/>
                <w:sz w:val="24"/>
                <w:szCs w:val="24"/>
                <w:lang w:val="en-GB"/>
              </w:rPr>
            </w:pPr>
          </w:p>
        </w:tc>
      </w:tr>
      <w:tr w:rsidR="00D10901" w:rsidRPr="00710DFA" w14:paraId="3DC53336" w14:textId="77777777" w:rsidTr="00756BD7">
        <w:trPr>
          <w:trHeight w:val="420"/>
        </w:trPr>
        <w:tc>
          <w:tcPr>
            <w:tcW w:w="6091" w:type="dxa"/>
          </w:tcPr>
          <w:p w14:paraId="4CFBDD1C" w14:textId="5974B0CA" w:rsidR="00D10901" w:rsidRPr="00710DFA" w:rsidRDefault="005F4C83" w:rsidP="0063451E">
            <w:pPr>
              <w:spacing w:line="360" w:lineRule="auto"/>
              <w:rPr>
                <w:color w:val="000000" w:themeColor="text1"/>
                <w:sz w:val="24"/>
                <w:szCs w:val="24"/>
                <w:lang w:val="en-GB"/>
              </w:rPr>
            </w:pPr>
            <w:r w:rsidRPr="00710DFA">
              <w:rPr>
                <w:color w:val="000000" w:themeColor="text1"/>
                <w:sz w:val="24"/>
                <w:szCs w:val="24"/>
                <w:lang w:val="en-GB"/>
              </w:rPr>
              <w:t>Labour and logistics vulnerabilities in the food supply chain</w:t>
            </w:r>
          </w:p>
        </w:tc>
        <w:tc>
          <w:tcPr>
            <w:tcW w:w="3259" w:type="dxa"/>
            <w:vMerge/>
          </w:tcPr>
          <w:p w14:paraId="755E4D37" w14:textId="77777777" w:rsidR="00D10901" w:rsidRPr="00710DFA" w:rsidRDefault="00D10901" w:rsidP="0063451E">
            <w:pPr>
              <w:spacing w:line="360" w:lineRule="auto"/>
              <w:rPr>
                <w:color w:val="000000" w:themeColor="text1"/>
                <w:sz w:val="24"/>
                <w:szCs w:val="24"/>
                <w:lang w:val="en-GB"/>
              </w:rPr>
            </w:pPr>
          </w:p>
        </w:tc>
      </w:tr>
      <w:tr w:rsidR="00D10901" w:rsidRPr="00710DFA" w14:paraId="73878D1B" w14:textId="77777777" w:rsidTr="00756BD7">
        <w:trPr>
          <w:trHeight w:val="420"/>
        </w:trPr>
        <w:tc>
          <w:tcPr>
            <w:tcW w:w="6091" w:type="dxa"/>
          </w:tcPr>
          <w:p w14:paraId="07235170" w14:textId="0926D152" w:rsidR="00D10901" w:rsidRPr="00710DFA" w:rsidRDefault="00F457DE" w:rsidP="0063451E">
            <w:pPr>
              <w:spacing w:line="360" w:lineRule="auto"/>
              <w:rPr>
                <w:color w:val="000000" w:themeColor="text1"/>
                <w:sz w:val="24"/>
                <w:szCs w:val="24"/>
                <w:lang w:val="en-GB"/>
              </w:rPr>
            </w:pPr>
            <w:r w:rsidRPr="00710DFA">
              <w:rPr>
                <w:color w:val="000000" w:themeColor="text1"/>
                <w:sz w:val="24"/>
                <w:szCs w:val="24"/>
                <w:lang w:val="en-GB"/>
              </w:rPr>
              <w:lastRenderedPageBreak/>
              <w:t>Paradigm of industry resilience to overcome from supply chain stress</w:t>
            </w:r>
          </w:p>
        </w:tc>
        <w:tc>
          <w:tcPr>
            <w:tcW w:w="3259" w:type="dxa"/>
            <w:vMerge/>
          </w:tcPr>
          <w:p w14:paraId="70F7F539" w14:textId="77777777" w:rsidR="00D10901" w:rsidRPr="00710DFA" w:rsidRDefault="00D10901" w:rsidP="0063451E">
            <w:pPr>
              <w:spacing w:line="360" w:lineRule="auto"/>
              <w:rPr>
                <w:color w:val="000000" w:themeColor="text1"/>
                <w:sz w:val="24"/>
                <w:szCs w:val="24"/>
                <w:lang w:val="en-GB"/>
              </w:rPr>
            </w:pPr>
          </w:p>
        </w:tc>
      </w:tr>
      <w:tr w:rsidR="00D10901" w:rsidRPr="00710DFA" w14:paraId="627E6436" w14:textId="77777777" w:rsidTr="00756BD7">
        <w:trPr>
          <w:trHeight w:val="420"/>
        </w:trPr>
        <w:tc>
          <w:tcPr>
            <w:tcW w:w="6091" w:type="dxa"/>
          </w:tcPr>
          <w:p w14:paraId="7BA1408D" w14:textId="4703ACD9" w:rsidR="00D10901" w:rsidRPr="00710DFA" w:rsidRDefault="00F457DE" w:rsidP="0063451E">
            <w:pPr>
              <w:spacing w:line="360" w:lineRule="auto"/>
              <w:rPr>
                <w:color w:val="000000" w:themeColor="text1"/>
                <w:sz w:val="24"/>
                <w:szCs w:val="24"/>
                <w:lang w:val="en-GB"/>
              </w:rPr>
            </w:pPr>
            <w:r w:rsidRPr="00710DFA">
              <w:rPr>
                <w:color w:val="000000" w:themeColor="text1"/>
                <w:sz w:val="24"/>
                <w:szCs w:val="24"/>
                <w:lang w:val="en-GB"/>
              </w:rPr>
              <w:t xml:space="preserve">Supply chain risks and vulnerabilities </w:t>
            </w:r>
          </w:p>
        </w:tc>
        <w:tc>
          <w:tcPr>
            <w:tcW w:w="3259" w:type="dxa"/>
            <w:vMerge/>
          </w:tcPr>
          <w:p w14:paraId="74364EEA" w14:textId="77777777" w:rsidR="00D10901" w:rsidRPr="00710DFA" w:rsidRDefault="00D10901" w:rsidP="0063451E">
            <w:pPr>
              <w:spacing w:line="360" w:lineRule="auto"/>
              <w:rPr>
                <w:color w:val="000000" w:themeColor="text1"/>
                <w:sz w:val="24"/>
                <w:szCs w:val="24"/>
                <w:lang w:val="en-GB"/>
              </w:rPr>
            </w:pPr>
          </w:p>
        </w:tc>
      </w:tr>
    </w:tbl>
    <w:p w14:paraId="74ECF520" w14:textId="57560230" w:rsidR="00B50ECC" w:rsidRPr="00710DFA" w:rsidRDefault="008D2040" w:rsidP="0068153D">
      <w:pPr>
        <w:pStyle w:val="Heading5"/>
      </w:pPr>
      <w:bookmarkStart w:id="45" w:name="_Toc228921434"/>
      <w:r w:rsidRPr="00710DFA">
        <w:t>Table 4.2: Thematic representation</w:t>
      </w:r>
      <w:r w:rsidR="00E57662" w:rsidRPr="00710DFA">
        <w:t>/ Data Structure</w:t>
      </w:r>
      <w:bookmarkEnd w:id="45"/>
      <w:r w:rsidRPr="00710DFA">
        <w:t xml:space="preserve"> </w:t>
      </w:r>
    </w:p>
    <w:p w14:paraId="70887830" w14:textId="413F270A" w:rsidR="00F44817" w:rsidRPr="00710DFA" w:rsidRDefault="00F44817" w:rsidP="002851B1">
      <w:pPr>
        <w:pStyle w:val="Heading3"/>
        <w:rPr>
          <w:szCs w:val="24"/>
          <w:lang w:val="en-GB"/>
        </w:rPr>
      </w:pPr>
      <w:bookmarkStart w:id="46" w:name="_Toc228921283"/>
      <w:r w:rsidRPr="00710DFA">
        <w:rPr>
          <w:szCs w:val="24"/>
          <w:lang w:val="en-GB"/>
        </w:rPr>
        <w:t>4.</w:t>
      </w:r>
      <w:r w:rsidR="005406D2">
        <w:rPr>
          <w:szCs w:val="24"/>
          <w:lang w:val="en-GB"/>
        </w:rPr>
        <w:t>3</w:t>
      </w:r>
      <w:r w:rsidRPr="00710DFA">
        <w:rPr>
          <w:szCs w:val="24"/>
          <w:lang w:val="en-GB"/>
        </w:rPr>
        <w:t>.1 Theme One: Covid-19 has revealed structural vulnerabilities in global supply chains</w:t>
      </w:r>
      <w:bookmarkEnd w:id="46"/>
    </w:p>
    <w:p w14:paraId="3E77AE84" w14:textId="058F94C0" w:rsidR="00F44817" w:rsidRPr="00710DFA" w:rsidRDefault="00F44817" w:rsidP="002851B1">
      <w:pPr>
        <w:pStyle w:val="Heading4"/>
        <w:rPr>
          <w:lang w:val="en-GB"/>
        </w:rPr>
      </w:pPr>
      <w:r w:rsidRPr="00710DFA">
        <w:rPr>
          <w:lang w:val="en-GB"/>
        </w:rPr>
        <w:t>4.</w:t>
      </w:r>
      <w:r w:rsidR="005406D2">
        <w:rPr>
          <w:lang w:val="en-GB"/>
        </w:rPr>
        <w:t>3</w:t>
      </w:r>
      <w:r w:rsidRPr="00710DFA">
        <w:rPr>
          <w:lang w:val="en-GB"/>
        </w:rPr>
        <w:t>.1.1 Analysis of Findings</w:t>
      </w:r>
    </w:p>
    <w:p w14:paraId="106ED925"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A common finding in the literature is that Covid-19 did not create structural frailty of global supply chains but rather it clearly revealed it. There are three overlapping vulnerabilities that are witnessed throughout the evidence base. To start with, excessive dependence on lean and just-in-time (JIT) production models left supply chains with little buffers, inventory reserves or contingency capacity. As an example of the pandemic, with the simultaneous break in both demand and supply nodes, revealed by Ivanov (2020) through simulation modelling in the Transportation Research Part E, the resulting ripple effect of disastrous proportions, which lean supply chain architectures were simply unable to absorb, was triggered. This observation is analytically important as it rebuffs the dominant paradigm of efficiency-maximisation that had taken over the supply chain management in the last three decades.</w:t>
      </w:r>
    </w:p>
    <w:p w14:paraId="078D1618"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Second, physical location concentration- especially the over-reliance on single-region sourcing, which is majorly China-based- caused systemic weakness. Choi, Rogers and Vakil (2020) in the Harvard Business Review believed that those companies that had diversified, multi-tier supplier networks had significantly higher adaptive capacity. Nonetheless, an important analytical point is made by the discovery of Guan </w:t>
      </w:r>
      <w:r w:rsidRPr="00710DFA">
        <w:rPr>
          <w:i/>
          <w:iCs/>
          <w:color w:val="000000" w:themeColor="text1"/>
          <w:sz w:val="24"/>
          <w:szCs w:val="24"/>
          <w:lang w:val="en-GB"/>
        </w:rPr>
        <w:t>et al.</w:t>
      </w:r>
      <w:r w:rsidRPr="00710DFA">
        <w:rPr>
          <w:color w:val="000000" w:themeColor="text1"/>
          <w:sz w:val="24"/>
          <w:szCs w:val="24"/>
          <w:lang w:val="en-GB"/>
        </w:rPr>
        <w:t xml:space="preserve"> (2020) in Nature Human Behaviour: some level of geographic concentration is proven to result in efficiency benefits under standard operating conditions, and that random diversification may itself be associated with its own inefficiencies and cost-related penalties. This poses a paradox of the literature that cannot be easily resolved: structural vulnerability is contextually specific and not always subject to the same treatment by diversification strategies.</w:t>
      </w:r>
    </w:p>
    <w:p w14:paraId="4A954C4B"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Third, breakdown of ability to predict demand is a weakness in informational architecture. In a structured review, published in Annals of Operations Research, Queiroz </w:t>
      </w:r>
      <w:r w:rsidRPr="00710DFA">
        <w:rPr>
          <w:i/>
          <w:iCs/>
          <w:color w:val="000000" w:themeColor="text1"/>
          <w:sz w:val="24"/>
          <w:szCs w:val="24"/>
          <w:lang w:val="en-GB"/>
        </w:rPr>
        <w:t>et al.</w:t>
      </w:r>
      <w:r w:rsidRPr="00710DFA">
        <w:rPr>
          <w:color w:val="000000" w:themeColor="text1"/>
          <w:sz w:val="24"/>
          <w:szCs w:val="24"/>
          <w:lang w:val="en-GB"/>
        </w:rPr>
        <w:t xml:space="preserve"> (2022) established that consumer demand volatility caused by the pandemic, including panic-buying, stockpiling, and subsequent collapse made traditional demand forecasting models statistically useless. The bullwhip effect, which had already been reported in the literature of supply chains since the 1990s, was several times increased by the uncertainty environment of the pandemic, with disastrous supply-demand imbalances across industries, such as pharmaceuticals to food retail. This observation supports the fact that structural vulnerability did not only focus on physical infrastructure but also the informational and analytical systems which formed the basis of supply chain decision-making.</w:t>
      </w:r>
    </w:p>
    <w:p w14:paraId="5C9CAE37" w14:textId="6CDC1791" w:rsidR="00F44817" w:rsidRPr="00710DFA" w:rsidRDefault="00F44817" w:rsidP="002851B1">
      <w:pPr>
        <w:pStyle w:val="Heading4"/>
        <w:rPr>
          <w:lang w:val="en-GB"/>
        </w:rPr>
      </w:pPr>
      <w:r w:rsidRPr="00710DFA">
        <w:rPr>
          <w:lang w:val="en-GB"/>
        </w:rPr>
        <w:t>4.</w:t>
      </w:r>
      <w:r w:rsidR="005406D2">
        <w:rPr>
          <w:lang w:val="en-GB"/>
        </w:rPr>
        <w:t>3</w:t>
      </w:r>
      <w:r w:rsidRPr="00710DFA">
        <w:rPr>
          <w:lang w:val="en-GB"/>
        </w:rPr>
        <w:t xml:space="preserve">.1.2 Findings in relation to </w:t>
      </w:r>
      <w:r w:rsidR="002851B1" w:rsidRPr="00710DFA">
        <w:rPr>
          <w:lang w:val="en-GB"/>
        </w:rPr>
        <w:t>l</w:t>
      </w:r>
      <w:r w:rsidRPr="00710DFA">
        <w:rPr>
          <w:lang w:val="en-GB"/>
        </w:rPr>
        <w:t>iterature</w:t>
      </w:r>
    </w:p>
    <w:p w14:paraId="01D44D13"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These results are in fruitful discussion with the existing theoretical literature. In the perspective of ‘Dynamic Capabilities Theory (DCT)’, as firstly developed by Teece, Pisano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xml:space="preserve"> (1997) and later developed upon, the exposure of structural vulnerabilities is a failure of the sensing capability of the ability to scan, recognise, and perceive emerging environmental threats before they solidify into operational crises. The evidence indicates that the majority of organisations had not implemented powerful sensing mechanisms before the pandemic and therefore their supply chains could not respond quickly to adapt. This is not a theoretical surprise: </w:t>
      </w:r>
      <w:proofErr w:type="spellStart"/>
      <w:r w:rsidRPr="00710DFA">
        <w:rPr>
          <w:color w:val="000000" w:themeColor="text1"/>
          <w:sz w:val="24"/>
          <w:szCs w:val="24"/>
          <w:lang w:val="en-GB"/>
        </w:rPr>
        <w:t>Jucevičius</w:t>
      </w:r>
      <w:proofErr w:type="spellEnd"/>
      <w:r w:rsidRPr="00710DFA">
        <w:rPr>
          <w:color w:val="000000" w:themeColor="text1"/>
          <w:sz w:val="24"/>
          <w:szCs w:val="24"/>
          <w:lang w:val="en-GB"/>
        </w:rPr>
        <w:t xml:space="preserve"> and </w:t>
      </w:r>
      <w:proofErr w:type="spellStart"/>
      <w:r w:rsidRPr="00710DFA">
        <w:rPr>
          <w:color w:val="000000" w:themeColor="text1"/>
          <w:sz w:val="24"/>
          <w:szCs w:val="24"/>
          <w:lang w:val="en-GB"/>
        </w:rPr>
        <w:t>Jucevičienė</w:t>
      </w:r>
      <w:proofErr w:type="spellEnd"/>
      <w:r w:rsidRPr="00710DFA">
        <w:rPr>
          <w:color w:val="000000" w:themeColor="text1"/>
          <w:sz w:val="24"/>
          <w:szCs w:val="24"/>
          <w:lang w:val="en-GB"/>
        </w:rPr>
        <w:t xml:space="preserve"> (2022) have contended that in practice dynamic capabilities are imitative rather than truly idiosyncratic in that companies in the same industry have evolved structurally similar vulnerabilities as they benchmarked themselves against widely accepted best practice models of lean efficiency.</w:t>
      </w:r>
    </w:p>
    <w:p w14:paraId="489D8441"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The discovery is close to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xml:space="preserve"> (2021), who suggested in the European Management Review a holistic pandemic supply chain conceptualization that highlights the systemic interdependence of the nodes in the supply chain as a disruption amplifier. The argument of simultaneous shock proposed by Ivanov (2020) corresponds to the idea by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xml:space="preserve"> (2021) of the so-called cascading vulnerability: a single disruption in one supply chain level spreads rapidly and non-linearly across other levels, and the traditional supply chain </w:t>
      </w:r>
      <w:r w:rsidRPr="00710DFA">
        <w:rPr>
          <w:color w:val="000000" w:themeColor="text1"/>
          <w:sz w:val="24"/>
          <w:szCs w:val="24"/>
          <w:lang w:val="en-GB"/>
        </w:rPr>
        <w:lastRenderedPageBreak/>
        <w:t>risk mitigation strategies are insufficient to handle it. The overall implication of these congruent findings is that even pre-pandemic supply chain design was largely inappropriate with the risk profile of low-probability, high-impact systemic events, a theoretical implication with high managerial implications.</w:t>
      </w:r>
    </w:p>
    <w:p w14:paraId="5DE78DDA"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The disagreement on the issue of diversification versus concentration between Choi</w:t>
      </w:r>
      <w:r w:rsidRPr="00710DFA">
        <w:rPr>
          <w:i/>
          <w:iCs/>
          <w:color w:val="000000" w:themeColor="text1"/>
          <w:sz w:val="24"/>
          <w:szCs w:val="24"/>
          <w:lang w:val="en-GB"/>
        </w:rPr>
        <w:t xml:space="preserve"> et al.</w:t>
      </w:r>
      <w:r w:rsidRPr="00710DFA">
        <w:rPr>
          <w:color w:val="000000" w:themeColor="text1"/>
          <w:sz w:val="24"/>
          <w:szCs w:val="24"/>
          <w:lang w:val="en-GB"/>
        </w:rPr>
        <w:t xml:space="preserve"> (2020) and Guan </w:t>
      </w:r>
      <w:r w:rsidRPr="00710DFA">
        <w:rPr>
          <w:i/>
          <w:iCs/>
          <w:color w:val="000000" w:themeColor="text1"/>
          <w:sz w:val="24"/>
          <w:szCs w:val="24"/>
          <w:lang w:val="en-GB"/>
        </w:rPr>
        <w:t>et al.</w:t>
      </w:r>
      <w:r w:rsidRPr="00710DFA">
        <w:rPr>
          <w:color w:val="000000" w:themeColor="text1"/>
          <w:sz w:val="24"/>
          <w:szCs w:val="24"/>
          <w:lang w:val="en-GB"/>
        </w:rPr>
        <w:t xml:space="preserve"> (2020) indicates a more profound unresolved debate in the literature on supply chain resilience with respect to the trade-off between resilience and efficiency. The synthesis presented in this study adds to that discussion by proposing that the connection between geographic concentration and vulnerability is non-linear and sector-specific and cannot be uncritically praised by diversification or blanketed by lean concentration. This is a unique analytical input that goes beyond any one of the studies in the evidence base.</w:t>
      </w:r>
    </w:p>
    <w:p w14:paraId="1739C5AE" w14:textId="38CA5D2E" w:rsidR="00F44817" w:rsidRPr="00710DFA" w:rsidRDefault="00F44817" w:rsidP="00B50ECC">
      <w:pPr>
        <w:pStyle w:val="Heading3"/>
        <w:rPr>
          <w:lang w:val="en-GB"/>
        </w:rPr>
      </w:pPr>
      <w:bookmarkStart w:id="47" w:name="_Toc228921284"/>
      <w:r w:rsidRPr="00710DFA">
        <w:rPr>
          <w:lang w:val="en-GB"/>
        </w:rPr>
        <w:t>4.</w:t>
      </w:r>
      <w:r w:rsidR="005406D2">
        <w:rPr>
          <w:lang w:val="en-GB"/>
        </w:rPr>
        <w:t>3</w:t>
      </w:r>
      <w:r w:rsidRPr="00710DFA">
        <w:rPr>
          <w:lang w:val="en-GB"/>
        </w:rPr>
        <w:t>.2 Theme Two: Multidimensional Organisational Responses to Supply Chain Stress during a pandemic</w:t>
      </w:r>
      <w:bookmarkEnd w:id="47"/>
    </w:p>
    <w:p w14:paraId="1E6163C1" w14:textId="41A90B67" w:rsidR="00F44817" w:rsidRPr="00710DFA" w:rsidRDefault="00F44817" w:rsidP="00BC7E65">
      <w:pPr>
        <w:pStyle w:val="Heading4"/>
        <w:rPr>
          <w:lang w:val="en-GB"/>
        </w:rPr>
      </w:pPr>
      <w:r w:rsidRPr="00710DFA">
        <w:rPr>
          <w:lang w:val="en-GB"/>
        </w:rPr>
        <w:t>4.</w:t>
      </w:r>
      <w:r w:rsidR="005406D2">
        <w:rPr>
          <w:lang w:val="en-GB"/>
        </w:rPr>
        <w:t>3</w:t>
      </w:r>
      <w:r w:rsidRPr="00710DFA">
        <w:rPr>
          <w:lang w:val="en-GB"/>
        </w:rPr>
        <w:t>.2.1 Analysis of Findings</w:t>
      </w:r>
    </w:p>
    <w:p w14:paraId="193C97CA"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In the chosen research, three types of organisational response can be identified that have an analytical consistency: digital transformation, sourcing reconfiguration and relational investment. The three response dimensions were scarcely introduced in singleness, and instead, the evidence indicates that those organisations that became the strongest, did it through parallel, mutually reinforcing adaptations across all three dimensions at the same time.</w:t>
      </w:r>
    </w:p>
    <w:p w14:paraId="4497EE75"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The most widely-documented organisational response is the acceleration of the digital transformation. In the International Journal of Operations and Production Management, Remko (2020) noted that the pandemic accelerated by a decade of long-awaited digital supply chain transformation to a few months, with companies scrambling to roll out cloud-based supply chain management systems, AI-enabled demand sensing platforms, and live supplier visibility systems. Importantly, Remko (2020) also observed a strong capability difference between digitally mature and digitally immature organisations, i.e. the firms, who had already invested in digital infrastructure before 2020, responded faster, </w:t>
      </w:r>
      <w:r w:rsidRPr="00710DFA">
        <w:rPr>
          <w:color w:val="000000" w:themeColor="text1"/>
          <w:sz w:val="24"/>
          <w:szCs w:val="24"/>
          <w:lang w:val="en-GB"/>
        </w:rPr>
        <w:lastRenderedPageBreak/>
        <w:t>more precisely, and at a lower operational cost than those, which tried to adopt digital in case of an emergency during the crisis. The analytical implication of this discovery is that digital resilience is not a response capability that can be quickly improvised but has to be developed over time by investing in pre-crisis preparedness, which is consistent with the DCT notion of capability development as a path-dependent process.</w:t>
      </w:r>
    </w:p>
    <w:p w14:paraId="13A3E2B0"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The second major category of organisational response is sourcing reconfiguration, including such strategies as dual-sourcing, nearshoring and reshoring. In the International Journal of Operations and Production Management, Sarkis (2020) reported that nearshoring and reshoring strategies, prompted by the pandemic, had two motivations: the short-term benefit of a reduction in risk and the long-term benefit of co-benefit in the reduced emissions of transport and greater supply chain visibility. This finding is however critically misconstrued by the Barbieri </w:t>
      </w:r>
      <w:r w:rsidRPr="00710DFA">
        <w:rPr>
          <w:i/>
          <w:iCs/>
          <w:color w:val="000000" w:themeColor="text1"/>
          <w:sz w:val="24"/>
          <w:szCs w:val="24"/>
          <w:lang w:val="en-GB"/>
        </w:rPr>
        <w:t>et al.</w:t>
      </w:r>
      <w:r w:rsidRPr="00710DFA">
        <w:rPr>
          <w:color w:val="000000" w:themeColor="text1"/>
          <w:sz w:val="24"/>
          <w:szCs w:val="24"/>
          <w:lang w:val="en-GB"/>
        </w:rPr>
        <w:t xml:space="preserve"> (2020) study which showed that reshoring decisions based on crisis reasons was often not optimal in the medium term as firms made systematic underestimates of the time periods and capital investment to restore the domestic manufacturing capacity. This evidentiary imbroglio displays a dynamic of significance: reactive crisis interventions, however strategically driven, have structural tendencies to fail in execution, when not linked to stringent capability evaluation.</w:t>
      </w:r>
    </w:p>
    <w:p w14:paraId="113C27CC"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The third response dimension relational investment and collaborative supply chain management is revealed as the possibly most theoretically significant result.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in the British Journal of Management, showed that the presence of relational capital was a factor that made the difference in the organisational resilience during the pandemic. Companies that had cooperative and mutually trusting relationships with their suppliers could exchange information faster, find solutions to capacity issues together, and get first-mover advantage on supplier allocation in times of limited supply. In contrast, companies that were typified by adversarial and transactional relationships with suppliers had acute supply insecurity as the suppliers gave priority to collaborative customers. This was supported in the article by Dangol </w:t>
      </w:r>
      <w:r w:rsidRPr="00710DFA">
        <w:rPr>
          <w:i/>
          <w:iCs/>
          <w:color w:val="000000" w:themeColor="text1"/>
          <w:sz w:val="24"/>
          <w:szCs w:val="24"/>
          <w:lang w:val="en-GB"/>
        </w:rPr>
        <w:t>et al.</w:t>
      </w:r>
      <w:r w:rsidRPr="00710DFA">
        <w:rPr>
          <w:color w:val="000000" w:themeColor="text1"/>
          <w:sz w:val="24"/>
          <w:szCs w:val="24"/>
          <w:lang w:val="en-GB"/>
        </w:rPr>
        <w:t xml:space="preserve"> (2024) published in Management Research Review, who showed that cooperative alignment among supply chain partners and firm strategy played a significant role in improving adaptive capacity. All of these findings lead to the conclusion that relational capital is a pre-competitive organisational capability and is an enabling resource of resilience.</w:t>
      </w:r>
    </w:p>
    <w:p w14:paraId="4BCF76E1" w14:textId="34E6D65A" w:rsidR="00F44817" w:rsidRPr="00710DFA" w:rsidRDefault="00F44817" w:rsidP="0081588D">
      <w:pPr>
        <w:pStyle w:val="Heading4"/>
        <w:rPr>
          <w:lang w:val="en-GB"/>
        </w:rPr>
      </w:pPr>
      <w:r w:rsidRPr="00710DFA">
        <w:rPr>
          <w:lang w:val="en-GB"/>
        </w:rPr>
        <w:lastRenderedPageBreak/>
        <w:t>4.</w:t>
      </w:r>
      <w:r w:rsidR="005406D2">
        <w:rPr>
          <w:lang w:val="en-GB"/>
        </w:rPr>
        <w:t>3</w:t>
      </w:r>
      <w:r w:rsidRPr="00710DFA">
        <w:rPr>
          <w:lang w:val="en-GB"/>
        </w:rPr>
        <w:t>.2.2 Findings discussion in the light of literature</w:t>
      </w:r>
    </w:p>
    <w:p w14:paraId="7110714C"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The three response categories can be directly correlated to the tripartite sensing, seizing and reconfiguring model by Teece, Pisano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xml:space="preserve"> (1997) when analysed in terms of the DCT framework. Digital transformation allowed better sensing through real-time visibility of supply chain disruption; sourcing reconfiguration was the seizing of adaptive opportunities to reposition the supply base; and relational investment the reconfiguring of inter-organisational capabilities to maintain adaptive response in the longer term during the pandemic. This mapping confirms the explanatory value of DCT to supply chain management in the period of pandemic, but it also points to the critical theoretical shortcomings.</w:t>
      </w:r>
    </w:p>
    <w:p w14:paraId="1ED76F77"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In particular, the result of Barbieri</w:t>
      </w:r>
      <w:r w:rsidRPr="00710DFA">
        <w:rPr>
          <w:i/>
          <w:iCs/>
          <w:color w:val="000000" w:themeColor="text1"/>
          <w:sz w:val="24"/>
          <w:szCs w:val="24"/>
          <w:lang w:val="en-GB"/>
        </w:rPr>
        <w:t xml:space="preserve"> et al. </w:t>
      </w:r>
      <w:r w:rsidRPr="00710DFA">
        <w:rPr>
          <w:color w:val="000000" w:themeColor="text1"/>
          <w:sz w:val="24"/>
          <w:szCs w:val="24"/>
          <w:lang w:val="en-GB"/>
        </w:rPr>
        <w:t>(2020) that shows the suboptimality of crisis-induced reshoring decisions conflicts with the DCT assumption that companies can quickly restructure capabilities in a situation of acute environmental stress. It is indicated that the ability to reconfigure, in its turn, is also path-dependent and resource-consuming and that the process in which the adaptive opportunities are seizing could lead to the creation of medium-term costs that decrease the process of resilience building. This is a theoretical contribution of the present synthesis- the discovery of what could be called a reconfiguration trap where adaptive responses to crises create short-term operational improvements at medium-term strategic suboptimality.</w:t>
      </w:r>
    </w:p>
    <w:p w14:paraId="15851E07" w14:textId="78DB5E28" w:rsidR="00F44817" w:rsidRPr="00710DFA" w:rsidRDefault="00F44817" w:rsidP="0081588D">
      <w:pPr>
        <w:pStyle w:val="Heading3"/>
        <w:rPr>
          <w:szCs w:val="24"/>
          <w:lang w:val="en-GB"/>
        </w:rPr>
      </w:pPr>
      <w:bookmarkStart w:id="48" w:name="_Toc228921285"/>
      <w:r w:rsidRPr="00710DFA">
        <w:rPr>
          <w:szCs w:val="24"/>
          <w:lang w:val="en-GB"/>
        </w:rPr>
        <w:t>4.</w:t>
      </w:r>
      <w:r w:rsidR="005406D2">
        <w:rPr>
          <w:szCs w:val="24"/>
          <w:lang w:val="en-GB"/>
        </w:rPr>
        <w:t>3</w:t>
      </w:r>
      <w:r w:rsidRPr="00710DFA">
        <w:rPr>
          <w:szCs w:val="24"/>
          <w:lang w:val="en-GB"/>
        </w:rPr>
        <w:t xml:space="preserve">.3 Theme Three: </w:t>
      </w:r>
      <w:r w:rsidR="008C0ECA" w:rsidRPr="00710DFA">
        <w:rPr>
          <w:lang w:val="en-GB"/>
        </w:rPr>
        <w:t>Reconfiguration of supply chain resilience as an outcome of adaptive organisational action</w:t>
      </w:r>
      <w:bookmarkEnd w:id="48"/>
    </w:p>
    <w:p w14:paraId="2EDDB5E8" w14:textId="3E5A66FA" w:rsidR="00F44817" w:rsidRPr="00710DFA" w:rsidRDefault="00F44817" w:rsidP="0081588D">
      <w:pPr>
        <w:pStyle w:val="Heading4"/>
        <w:rPr>
          <w:lang w:val="en-GB"/>
        </w:rPr>
      </w:pPr>
      <w:r w:rsidRPr="00710DFA">
        <w:rPr>
          <w:lang w:val="en-GB"/>
        </w:rPr>
        <w:t>4.</w:t>
      </w:r>
      <w:r w:rsidR="005406D2">
        <w:rPr>
          <w:lang w:val="en-GB"/>
        </w:rPr>
        <w:t>3</w:t>
      </w:r>
      <w:r w:rsidRPr="00710DFA">
        <w:rPr>
          <w:lang w:val="en-GB"/>
        </w:rPr>
        <w:t>.3.1 Analysis of findings</w:t>
      </w:r>
    </w:p>
    <w:p w14:paraId="0A984413"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The third theme explores the role of the organisational responses reported in theme two in the reconfiguration of supply chain resilience as a construct and as an operational practice. The paradigm shift in the evidence base is the shift in conceptions of resilience: a static, buffer-based property to resilience as a dynamic, systems-level, digitally-enabled capability architecture.</w:t>
      </w:r>
    </w:p>
    <w:p w14:paraId="0E7848A0"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In their study, </w:t>
      </w:r>
      <w:proofErr w:type="spellStart"/>
      <w:r w:rsidRPr="00710DFA">
        <w:rPr>
          <w:color w:val="000000" w:themeColor="text1"/>
          <w:sz w:val="24"/>
          <w:szCs w:val="24"/>
          <w:lang w:val="en-GB"/>
        </w:rPr>
        <w:t>Barmour</w:t>
      </w:r>
      <w:proofErr w:type="spellEnd"/>
      <w:r w:rsidRPr="00710DFA">
        <w:rPr>
          <w:color w:val="000000" w:themeColor="text1"/>
          <w:sz w:val="24"/>
          <w:szCs w:val="24"/>
          <w:lang w:val="en-GB"/>
        </w:rPr>
        <w:t xml:space="preserve">, Ahmadi and </w:t>
      </w:r>
      <w:proofErr w:type="spellStart"/>
      <w:r w:rsidRPr="00710DFA">
        <w:rPr>
          <w:color w:val="000000" w:themeColor="text1"/>
          <w:sz w:val="24"/>
          <w:szCs w:val="24"/>
          <w:lang w:val="en-GB"/>
        </w:rPr>
        <w:t>Shokouhyar</w:t>
      </w:r>
      <w:proofErr w:type="spellEnd"/>
      <w:r w:rsidRPr="00710DFA">
        <w:rPr>
          <w:color w:val="000000" w:themeColor="text1"/>
          <w:sz w:val="24"/>
          <w:szCs w:val="24"/>
          <w:lang w:val="en-GB"/>
        </w:rPr>
        <w:t xml:space="preserve"> (2024) created a tri-dimensional model of resilience, namely; robustness, agility, and adaptiveness; in which adaptiveness was </w:t>
      </w:r>
      <w:r w:rsidRPr="00710DFA">
        <w:rPr>
          <w:color w:val="000000" w:themeColor="text1"/>
          <w:sz w:val="24"/>
          <w:szCs w:val="24"/>
          <w:lang w:val="en-GB"/>
        </w:rPr>
        <w:lastRenderedPageBreak/>
        <w:t>re-established as the most significant dimension of resilience due to the pandemic. Until 2020, supply chain resilience was theorised and operationalised in terms of robustness (redundancy and buffers) and agility (speed of response). The pandemic showed that both dimensions lacked in the context of a more long-term, multi-level, and simultaneous disruption of unprecedented duration and scale. Adaptiveness: the ability of systemic structural reconfiguration in the face of deep uncertainty, emerged as the key differentiating element between resilient and non-resilient organisations. The finding marks an important conceptual shift of the supply chain resilience literature.</w:t>
      </w:r>
    </w:p>
    <w:p w14:paraId="3786CCAF"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Huang </w:t>
      </w:r>
      <w:r w:rsidRPr="00710DFA">
        <w:rPr>
          <w:i/>
          <w:iCs/>
          <w:color w:val="000000" w:themeColor="text1"/>
          <w:sz w:val="24"/>
          <w:szCs w:val="24"/>
          <w:lang w:val="en-GB"/>
        </w:rPr>
        <w:t>et al.</w:t>
      </w:r>
      <w:r w:rsidRPr="00710DFA">
        <w:rPr>
          <w:color w:val="000000" w:themeColor="text1"/>
          <w:sz w:val="24"/>
          <w:szCs w:val="24"/>
          <w:lang w:val="en-GB"/>
        </w:rPr>
        <w:t xml:space="preserve"> (2023) offered a supplementary piece of evidence to the International Journal of Production Economics to show that Industry 4.0 technologies, namely the ‘Internet of </w:t>
      </w:r>
      <w:proofErr w:type="gramStart"/>
      <w:r w:rsidRPr="00710DFA">
        <w:rPr>
          <w:color w:val="000000" w:themeColor="text1"/>
          <w:sz w:val="24"/>
          <w:szCs w:val="24"/>
          <w:lang w:val="en-GB"/>
        </w:rPr>
        <w:t>Things(</w:t>
      </w:r>
      <w:proofErr w:type="gramEnd"/>
      <w:r w:rsidRPr="00710DFA">
        <w:rPr>
          <w:color w:val="000000" w:themeColor="text1"/>
          <w:sz w:val="24"/>
          <w:szCs w:val="24"/>
          <w:lang w:val="en-GB"/>
        </w:rPr>
        <w:t xml:space="preserve">IoT)’, blockchain, and advanced analytics, re-organized supply chain resilience architectures based on principles of real-time end-to-end visibility, predictive risk modelling, and autonomous adaptive response. Their ‘dynamic resource-based view (DRBV)’ analysis revealed that the pandemic rapidly increased the use of these technologies, which created qualitatively different resilience configurations with data-driven dynamism instead of buffering in place. Importantly, Huang </w:t>
      </w:r>
      <w:r w:rsidRPr="00710DFA">
        <w:rPr>
          <w:i/>
          <w:iCs/>
          <w:color w:val="000000" w:themeColor="text1"/>
          <w:sz w:val="24"/>
          <w:szCs w:val="24"/>
          <w:lang w:val="en-GB"/>
        </w:rPr>
        <w:t>et al</w:t>
      </w:r>
      <w:r w:rsidRPr="00710DFA">
        <w:rPr>
          <w:color w:val="000000" w:themeColor="text1"/>
          <w:sz w:val="24"/>
          <w:szCs w:val="24"/>
          <w:lang w:val="en-GB"/>
        </w:rPr>
        <w:t>. (2023) also observed that organisations which had integrated Industry 4.0 technologies before the pandemic also exhibited much better resilience results, which supports the path-dependence of digital resilience capability.</w:t>
      </w:r>
    </w:p>
    <w:p w14:paraId="49673602"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Nevertheless, a significant warning outcome comes out of Queiroz </w:t>
      </w:r>
      <w:r w:rsidRPr="00710DFA">
        <w:rPr>
          <w:i/>
          <w:iCs/>
          <w:color w:val="000000" w:themeColor="text1"/>
          <w:sz w:val="24"/>
          <w:szCs w:val="24"/>
          <w:lang w:val="en-GB"/>
        </w:rPr>
        <w:t>et al.</w:t>
      </w:r>
      <w:r w:rsidRPr="00710DFA">
        <w:rPr>
          <w:color w:val="000000" w:themeColor="text1"/>
          <w:sz w:val="24"/>
          <w:szCs w:val="24"/>
          <w:lang w:val="en-GB"/>
        </w:rPr>
        <w:t xml:space="preserve"> (2022) who found that new digital vulnerabilities start to arise due to the increased adoption of technology. The concentration of the supply chain management to digital infrastructure platforms poses single points of failure, which are vulnerable to cyber-attack- a threat that has been realised during the pandemic due to reported attacks on supply chain software systems. This result creates analytical complexity into the prevailing discourse of digital transformation as a resilience-enhancing strategy beyond doubt.</w:t>
      </w:r>
    </w:p>
    <w:p w14:paraId="178FBBCD" w14:textId="77777777" w:rsidR="00F44817" w:rsidRPr="00710DFA" w:rsidRDefault="00F44817" w:rsidP="00751E7D">
      <w:pPr>
        <w:spacing w:line="360" w:lineRule="auto"/>
        <w:jc w:val="both"/>
        <w:rPr>
          <w:color w:val="000000" w:themeColor="text1"/>
          <w:sz w:val="24"/>
          <w:szCs w:val="24"/>
          <w:lang w:val="en-GB"/>
        </w:rPr>
      </w:pP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focus on the human and organisational aspects of reconfiguring resilience in the supply chain, with their model of societal orientation suggesting that operational resilience and social resilience of employees and supplier communities must be integrated to achieve post-pandemic supply chain resilience. Organisations that contributed to the welfare of their employees, ensured the viability of their suppliers and </w:t>
      </w:r>
      <w:r w:rsidRPr="00710DFA">
        <w:rPr>
          <w:color w:val="000000" w:themeColor="text1"/>
          <w:sz w:val="24"/>
          <w:szCs w:val="24"/>
          <w:lang w:val="en-GB"/>
        </w:rPr>
        <w:lastRenderedPageBreak/>
        <w:t>became more involved in the community networks during the pandemic developed better relational and organisational resilience outcomes. This is a substantive expansion of traditional supply chain resilience models, which had mostly overlooked the human and social aspects of resilience as the variables of operation.</w:t>
      </w:r>
    </w:p>
    <w:p w14:paraId="00246F7C" w14:textId="3FC37482" w:rsidR="00F44817" w:rsidRPr="00710DFA" w:rsidRDefault="00F44817" w:rsidP="0081588D">
      <w:pPr>
        <w:pStyle w:val="Heading4"/>
        <w:rPr>
          <w:lang w:val="en-GB"/>
        </w:rPr>
      </w:pPr>
      <w:r w:rsidRPr="00710DFA">
        <w:rPr>
          <w:lang w:val="en-GB"/>
        </w:rPr>
        <w:t>4.</w:t>
      </w:r>
      <w:r w:rsidR="005406D2">
        <w:rPr>
          <w:lang w:val="en-GB"/>
        </w:rPr>
        <w:t>3</w:t>
      </w:r>
      <w:r w:rsidRPr="00710DFA">
        <w:rPr>
          <w:lang w:val="en-GB"/>
        </w:rPr>
        <w:t>.3.2 Findings discussion relationship with literature</w:t>
      </w:r>
    </w:p>
    <w:p w14:paraId="10D58A84"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The overall evidence of the three themes contributes to a logical theoretically based narrative of reconfiguration of supply chain resilience. The pre-existent structural vulnerabilities (Theme One) made supply chain stress possible, multidimensional organisational responses (Theme Two) were the adaptive responses of the organisations trying to deal with this stress, and the reconfiguration of resilience (Theme Three) is the resultant consequence of the adaptive responses, which created a new vision of what supply chain resilience involves and how it can be operationally realised.</w:t>
      </w:r>
    </w:p>
    <w:p w14:paraId="6B2FB2B5" w14:textId="77777777"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This development can be superimposed on the entire sensing-seizing-reconfiguring process described by Teece, Pisano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xml:space="preserve"> (1997) through the DCT lens. The evidence, however, shows some crucial limitations of DCT. The supply chain viability framework proposed by Ivanov and </w:t>
      </w:r>
      <w:proofErr w:type="spellStart"/>
      <w:r w:rsidRPr="00710DFA">
        <w:rPr>
          <w:color w:val="000000" w:themeColor="text1"/>
          <w:sz w:val="24"/>
          <w:szCs w:val="24"/>
          <w:lang w:val="en-GB"/>
        </w:rPr>
        <w:t>Dolgui</w:t>
      </w:r>
      <w:proofErr w:type="spellEnd"/>
      <w:r w:rsidRPr="00710DFA">
        <w:rPr>
          <w:color w:val="000000" w:themeColor="text1"/>
          <w:sz w:val="24"/>
          <w:szCs w:val="24"/>
          <w:lang w:val="en-GB"/>
        </w:rPr>
        <w:t xml:space="preserve"> (2021), who claim that resilient supply chains should be designed not only to absorb and recover due to disruptions but also to be structurally viable during systemic-wide crises, goes beyond the initial conceptualisation of DCT, which was conceived in the context of competitive market relations, and not a systemic crisis environment. This is a theoretically generative tension: DCT offers an analytically fruitful set of ways to think about the micro-level organisational process of adaptive response, but needs theoretical extension to the macro-level systemic reconfiguration the pandemic brought about.</w:t>
      </w:r>
    </w:p>
    <w:p w14:paraId="6F4D7796" w14:textId="2A8C3E1A" w:rsidR="008A00BA" w:rsidRPr="00710DFA" w:rsidRDefault="008A00BA" w:rsidP="008A00BA">
      <w:pPr>
        <w:pStyle w:val="Heading3"/>
        <w:rPr>
          <w:lang w:val="en-GB"/>
        </w:rPr>
      </w:pPr>
      <w:bookmarkStart w:id="49" w:name="_Toc228921286"/>
      <w:r w:rsidRPr="00710DFA">
        <w:rPr>
          <w:lang w:val="en-GB"/>
        </w:rPr>
        <w:t>4.</w:t>
      </w:r>
      <w:r w:rsidR="005406D2">
        <w:rPr>
          <w:lang w:val="en-GB"/>
        </w:rPr>
        <w:t>3</w:t>
      </w:r>
      <w:r w:rsidRPr="00710DFA">
        <w:rPr>
          <w:lang w:val="en-GB"/>
        </w:rPr>
        <w:t>.4 Theme Four: Industry-Specific Vulnerability, Response and the Generalised Resilience Paradigm</w:t>
      </w:r>
      <w:bookmarkEnd w:id="49"/>
    </w:p>
    <w:p w14:paraId="17E93559" w14:textId="1C959F4B" w:rsidR="008A00BA" w:rsidRPr="00710DFA" w:rsidRDefault="008A00BA" w:rsidP="00B125FA">
      <w:pPr>
        <w:pStyle w:val="Heading4"/>
        <w:rPr>
          <w:lang w:val="en-GB"/>
        </w:rPr>
      </w:pPr>
      <w:r w:rsidRPr="00710DFA">
        <w:rPr>
          <w:lang w:val="en-GB"/>
        </w:rPr>
        <w:t>4.</w:t>
      </w:r>
      <w:r w:rsidR="005406D2">
        <w:rPr>
          <w:lang w:val="en-GB"/>
        </w:rPr>
        <w:t>3</w:t>
      </w:r>
      <w:r w:rsidRPr="00710DFA">
        <w:rPr>
          <w:lang w:val="en-GB"/>
        </w:rPr>
        <w:t>.4.1 Analysis of the findings</w:t>
      </w:r>
    </w:p>
    <w:p w14:paraId="68B061E2" w14:textId="205956E1" w:rsidR="008A00BA" w:rsidRPr="00710DFA" w:rsidRDefault="008A00BA" w:rsidP="00B125FA">
      <w:pPr>
        <w:spacing w:line="360" w:lineRule="auto"/>
        <w:jc w:val="both"/>
        <w:rPr>
          <w:color w:val="000000" w:themeColor="text1"/>
          <w:sz w:val="24"/>
          <w:szCs w:val="24"/>
          <w:lang w:val="en-GB"/>
        </w:rPr>
      </w:pPr>
      <w:r w:rsidRPr="00710DFA">
        <w:rPr>
          <w:color w:val="000000" w:themeColor="text1"/>
          <w:sz w:val="24"/>
          <w:szCs w:val="24"/>
          <w:lang w:val="en-GB"/>
        </w:rPr>
        <w:t>The fourth emergent theme of this secondary qualitative analysis addresses a key weakness of the first three themes: the extent to which supply chain vulnerability, organisational response and supply chain resilience reorganisation are shaped by sector-</w:t>
      </w:r>
      <w:r w:rsidRPr="00710DFA">
        <w:rPr>
          <w:color w:val="000000" w:themeColor="text1"/>
          <w:sz w:val="24"/>
          <w:szCs w:val="24"/>
          <w:lang w:val="en-GB"/>
        </w:rPr>
        <w:lastRenderedPageBreak/>
        <w:t>specific structural factors that defy generalisation across sectors.</w:t>
      </w:r>
      <w:r w:rsidR="00B125FA" w:rsidRPr="00710DFA">
        <w:rPr>
          <w:color w:val="000000" w:themeColor="text1"/>
          <w:sz w:val="24"/>
          <w:szCs w:val="24"/>
          <w:lang w:val="en-GB"/>
        </w:rPr>
        <w:t xml:space="preserve"> </w:t>
      </w:r>
      <w:r w:rsidRPr="00710DFA">
        <w:rPr>
          <w:color w:val="000000" w:themeColor="text1"/>
          <w:sz w:val="24"/>
          <w:szCs w:val="24"/>
          <w:lang w:val="en-GB"/>
        </w:rPr>
        <w:t>The most straightforward account of the sector-specific vulnerability is that of Garnett, Doherty and Heron (2020) in Nature Food, who studied the vulnerability of the United Kingdom food supply chain in the early months of the pandemic, revealing a unique vulnerability profile characterised by the combination of labour-</w:t>
      </w:r>
      <w:proofErr w:type="spellStart"/>
      <w:r w:rsidRPr="00710DFA">
        <w:rPr>
          <w:color w:val="000000" w:themeColor="text1"/>
          <w:sz w:val="24"/>
          <w:szCs w:val="24"/>
          <w:lang w:val="en-GB"/>
        </w:rPr>
        <w:t>intensitivity</w:t>
      </w:r>
      <w:proofErr w:type="spellEnd"/>
      <w:r w:rsidRPr="00710DFA">
        <w:rPr>
          <w:color w:val="000000" w:themeColor="text1"/>
          <w:sz w:val="24"/>
          <w:szCs w:val="24"/>
          <w:lang w:val="en-GB"/>
        </w:rPr>
        <w:t>, perishability and complex multi-tier sourcing. The UK food supply chain, they identified, was exposed to both demand shocks from panic-buying and supply shocks from the severe labour shortage that was exacerbated by both the disease-related attrition in the workforce, compounded by the halt in the seasonal influx of migrant workers. These two sources of disruption interrelated in a sector-specific manner that was not anticipated by generic supply chain risk models based on non-perishable manufactured goods supply chains. The authors suggested that food supply chain resilience should not be subsumed under generic supply chain resilience frameworks applied to the durable goods sector, but requires its own governance and operational frameworks that take account of the particular perishability constraints, labour-intensity and food security implications of food supply chain disruption.</w:t>
      </w:r>
    </w:p>
    <w:p w14:paraId="51A8110A" w14:textId="77777777" w:rsidR="008A00BA" w:rsidRPr="00710DFA" w:rsidRDefault="008A00BA" w:rsidP="00B125FA">
      <w:pPr>
        <w:spacing w:line="360" w:lineRule="auto"/>
        <w:jc w:val="both"/>
        <w:rPr>
          <w:color w:val="000000" w:themeColor="text1"/>
          <w:sz w:val="24"/>
          <w:szCs w:val="24"/>
          <w:lang w:val="en-GB"/>
        </w:rPr>
      </w:pPr>
      <w:r w:rsidRPr="00710DFA">
        <w:rPr>
          <w:color w:val="000000" w:themeColor="text1"/>
          <w:sz w:val="24"/>
          <w:szCs w:val="24"/>
          <w:lang w:val="en-GB"/>
        </w:rPr>
        <w:t>A second example of sector specific vulnerability is the construction sector. Pham et al. (2023), in the International Journal of Quality and Reliability Management, empirically examined global risk impacts on construction supply chain performance during the pandemic. It identified a unique set of vulnerabilities of the construction supply chain to project-specific cash flow issues, subcontractor insolvency contagion, and shortages of imported materials due to the early closure of other manufacturing plants. These were different from the risks affecting manufacturing supply chains, and reflect the project-based, highly contractual and geographically constrained nature of construction production. The authors identified that traditional supply chain risk mitigation measures, such as dual-sourcing and inventory pooling, were largely unsuitable for the construction industry due to the specification-based nature of construction materials procurement, and the inability to stockpile large construction components. This observation directly contradicts the ability to apply resilience strategies identified in manufacturing and logistics to the construction industry, and suggests that construction-specific resilience models need to be complemented with generic models.</w:t>
      </w:r>
    </w:p>
    <w:p w14:paraId="37A282BA" w14:textId="77777777" w:rsidR="008A00BA" w:rsidRPr="00710DFA" w:rsidRDefault="008A00BA" w:rsidP="00B125F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Ali </w:t>
      </w:r>
      <w:r w:rsidRPr="00710DFA">
        <w:rPr>
          <w:i/>
          <w:iCs/>
          <w:color w:val="000000" w:themeColor="text1"/>
          <w:sz w:val="24"/>
          <w:szCs w:val="24"/>
          <w:lang w:val="en-GB"/>
        </w:rPr>
        <w:t>et al.</w:t>
      </w:r>
      <w:r w:rsidRPr="00710DFA">
        <w:rPr>
          <w:color w:val="000000" w:themeColor="text1"/>
          <w:sz w:val="24"/>
          <w:szCs w:val="24"/>
          <w:lang w:val="en-GB"/>
        </w:rPr>
        <w:t xml:space="preserve"> (2021) in Trends in Food Science and Technology, consider the food small and medium-sized enterprise (SME) sub-sector in their empirical analysis of reactive resilience strategies implemented by food SMEs in response to the pandemic. It has been found that such resilience strategies followed a distinct pattern due to the resource limitations of smaller enterprises. Unlike multinational corporations with substantial resources that were able to undertake rapid digital transformation, dual-sourcing network restructuring and logistics infrastructure investment. Food SMEs were found to employ primarily low-cost, reactive strategies such as opportunistic supplier switching, informal inventory management, menu adaptation to use available ingredients and informal local sourcing networks. While these measures ensured short-term continuity, the authors reported that they were inherently precarious, dependent on the availability of alternative suppliers willing to take on new contracts, and the social network capital of SME owner-managers, and did not enhance structural resilience in the longer term. This observation is in line with the DCT-level recognition of dynamic capabilities' path dependency and resource exhaustiveness, and in particular, highlights the resilience vulnerability of SMEs due to resource scarcity that inhibits the proactive development of resilience capabilities.</w:t>
      </w:r>
    </w:p>
    <w:p w14:paraId="707DE818" w14:textId="77777777" w:rsidR="008A00BA" w:rsidRPr="00710DFA" w:rsidRDefault="008A00BA" w:rsidP="00B125FA">
      <w:pPr>
        <w:spacing w:line="360" w:lineRule="auto"/>
        <w:jc w:val="both"/>
        <w:rPr>
          <w:color w:val="000000" w:themeColor="text1"/>
          <w:sz w:val="24"/>
          <w:szCs w:val="24"/>
          <w:lang w:val="en-GB"/>
        </w:rPr>
      </w:pPr>
      <w:r w:rsidRPr="00710DFA">
        <w:rPr>
          <w:color w:val="000000" w:themeColor="text1"/>
          <w:sz w:val="24"/>
          <w:szCs w:val="24"/>
          <w:lang w:val="en-GB"/>
        </w:rPr>
        <w:t>The global supply chain recovery literature, exemplified in this theme by Holgado and Niess (2023) in Supply Chain Management: An International Journal, offers a cross-industry perspective on recovery measures and strategic adjustments undertaken by firms in response to significant supply chain disruptions, such as Covid-19. Their case study analysis revealed that successful recovery strategies involved the integration of short-term operational actions (mainly supplier diversification and network reconfiguration) with medium-term strategic actions (mainly digital capability and collaborative network investments). Most importantly, the authors highlight a clear sectoral divide in recovery: firms in high-technology and pharmaceutical sectors showed a quicker and more effective recovery, due to the pre-existing investments in digital infrastructure and the membership of highly collaborative consortia within the sector. By contrast, firms in commodity manufacturing, construction and food processing exhibited delayed and sub-optimal recovery outcomes, due to the sector-specific characteristics of these industries, including lower profitability, commodity inputs, and weaker pre-established collaborative networks.</w:t>
      </w:r>
    </w:p>
    <w:p w14:paraId="293DC859" w14:textId="77777777" w:rsidR="008A00BA" w:rsidRPr="00710DFA" w:rsidRDefault="008A00BA" w:rsidP="00B125FA">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The configuration-based approach to resilience analysis of Gaudenzi, Pellegrino and </w:t>
      </w:r>
      <w:proofErr w:type="spellStart"/>
      <w:r w:rsidRPr="00710DFA">
        <w:rPr>
          <w:color w:val="000000" w:themeColor="text1"/>
          <w:sz w:val="24"/>
          <w:szCs w:val="24"/>
          <w:lang w:val="en-GB"/>
        </w:rPr>
        <w:t>Confente</w:t>
      </w:r>
      <w:proofErr w:type="spellEnd"/>
      <w:r w:rsidRPr="00710DFA">
        <w:rPr>
          <w:color w:val="000000" w:themeColor="text1"/>
          <w:sz w:val="24"/>
          <w:szCs w:val="24"/>
          <w:lang w:val="en-GB"/>
        </w:rPr>
        <w:t xml:space="preserve"> (2023) in Supply Chain Management: An International Journal, offers a theoretical complement to the sector-specific empirical results. They showed that supply chain resilience is not a monolithic but a configurational phenomenon: the combinations of resilience capacities, such as flexibility, redundancy, collaboration and digitalisation, have different impacts on supply chain resilience, and the optimal resilience configuration is dependent on the sector-specific risk and operational environment of the firm. This insight is relevant to the sector-specificity theme because it suggests that the resilience configurations that are optimal for high-complexity, high-margin sectors, such as pharmaceuticals or aerospace, are different to those that are optimal for low-margin, high-volume, commodity-based sectors, such as food retail or commodity manufacturing. A policy or managerial recommendation to adopt a prescriptive view of resilience configuration - that is, the same resilience configuration for all - is therefore likely to be suboptimal for many supply chain actors.</w:t>
      </w:r>
    </w:p>
    <w:p w14:paraId="69AEE5CF" w14:textId="0CE6C8E3" w:rsidR="009929DF" w:rsidRPr="00710DFA" w:rsidRDefault="005B6B8F" w:rsidP="005B6B8F">
      <w:pPr>
        <w:pStyle w:val="Heading4"/>
        <w:rPr>
          <w:lang w:val="en-GB"/>
        </w:rPr>
      </w:pPr>
      <w:r w:rsidRPr="00710DFA">
        <w:rPr>
          <w:lang w:val="en-GB"/>
        </w:rPr>
        <w:t>4.</w:t>
      </w:r>
      <w:r w:rsidR="005406D2">
        <w:rPr>
          <w:lang w:val="en-GB"/>
        </w:rPr>
        <w:t>3</w:t>
      </w:r>
      <w:r w:rsidRPr="00710DFA">
        <w:rPr>
          <w:lang w:val="en-GB"/>
        </w:rPr>
        <w:t xml:space="preserve">.4.2 </w:t>
      </w:r>
      <w:r w:rsidR="009929DF" w:rsidRPr="00710DFA">
        <w:rPr>
          <w:lang w:val="en-GB"/>
        </w:rPr>
        <w:t>Discussion of Findings in the Context of Literature and Research Objectives</w:t>
      </w:r>
    </w:p>
    <w:p w14:paraId="75B3259D" w14:textId="77777777" w:rsidR="009929DF" w:rsidRPr="00710DFA" w:rsidRDefault="009929DF" w:rsidP="009929DF">
      <w:pPr>
        <w:spacing w:line="360" w:lineRule="auto"/>
        <w:jc w:val="both"/>
        <w:rPr>
          <w:color w:val="000000" w:themeColor="text1"/>
          <w:sz w:val="24"/>
          <w:szCs w:val="24"/>
          <w:lang w:val="en-GB"/>
        </w:rPr>
      </w:pPr>
      <w:r w:rsidRPr="00710DFA">
        <w:rPr>
          <w:color w:val="000000" w:themeColor="text1"/>
          <w:sz w:val="24"/>
          <w:szCs w:val="24"/>
          <w:lang w:val="en-GB"/>
        </w:rPr>
        <w:t>The evidence elaborated to examine the contributions of organisational responses to the development of supply chain resilience. The sector-specific findings outlined above qualify the findings of Themes Two and Three by showing that the pathways by which organisational responses create resilience outcomes are not universal, but are sector-specific. The responses that worked for large-firm, advanced manufacturing, digitally mature firms (such as rapid digitisation, nearshoring and development of collaborative networks) were often either absent or ineffective for SMEs, food supply chain firms, and firms in the construction sector with different resource and operational constraints.</w:t>
      </w:r>
    </w:p>
    <w:p w14:paraId="4B3EC0EE" w14:textId="257536BB" w:rsidR="008A00BA" w:rsidRPr="00710DFA" w:rsidRDefault="009929DF" w:rsidP="00195F5C">
      <w:pPr>
        <w:spacing w:line="360" w:lineRule="auto"/>
        <w:jc w:val="both"/>
        <w:rPr>
          <w:color w:val="000000" w:themeColor="text1"/>
          <w:sz w:val="24"/>
          <w:szCs w:val="24"/>
          <w:lang w:val="en-GB"/>
        </w:rPr>
      </w:pPr>
      <w:r w:rsidRPr="00710DFA">
        <w:rPr>
          <w:color w:val="000000" w:themeColor="text1"/>
          <w:sz w:val="24"/>
          <w:szCs w:val="24"/>
          <w:lang w:val="en-GB"/>
        </w:rPr>
        <w:t xml:space="preserve">The model of configurational resilience proposed by Gaudenzi, Pellegrino and </w:t>
      </w:r>
      <w:proofErr w:type="spellStart"/>
      <w:r w:rsidRPr="00710DFA">
        <w:rPr>
          <w:color w:val="000000" w:themeColor="text1"/>
          <w:sz w:val="24"/>
          <w:szCs w:val="24"/>
          <w:lang w:val="en-GB"/>
        </w:rPr>
        <w:t>Confente</w:t>
      </w:r>
      <w:proofErr w:type="spellEnd"/>
      <w:r w:rsidRPr="00710DFA">
        <w:rPr>
          <w:color w:val="000000" w:themeColor="text1"/>
          <w:sz w:val="24"/>
          <w:szCs w:val="24"/>
          <w:lang w:val="en-GB"/>
        </w:rPr>
        <w:t xml:space="preserve"> (2023) has a theoretically interesting interface with the generalising inclinations of the supply chain resilience literature and the particularising inclinations of industry-specific studies. By viewing resilience as a combination of capacities that must be configured to suit context-dependent circumstances, the configurational model recognises the validity of generalising principles of resilience and the need for sector-specific adjustments. This </w:t>
      </w:r>
      <w:r w:rsidRPr="00710DFA">
        <w:rPr>
          <w:color w:val="000000" w:themeColor="text1"/>
          <w:sz w:val="24"/>
          <w:szCs w:val="24"/>
          <w:lang w:val="en-GB"/>
        </w:rPr>
        <w:lastRenderedPageBreak/>
        <w:t>synthesis is in line with the overarching argument of this study that supply chain resilience cannot be defined as a single construct or operationalised as a set of universal prescriptions, but must be conceived as a multi-dimensional, contextual and institutionally embodied feature of supply chain systems. The integration of sector-specific and firm size considerations into the resilience framework is a novel contribution to the literature that this study makes, and it is a key factor when considering practical recommendations in Chapter Five.</w:t>
      </w:r>
    </w:p>
    <w:p w14:paraId="4CADA0B5" w14:textId="4ACD27B4" w:rsidR="00F44817" w:rsidRPr="00710DFA" w:rsidRDefault="00F44817" w:rsidP="0081588D">
      <w:pPr>
        <w:pStyle w:val="Heading2"/>
        <w:rPr>
          <w:szCs w:val="24"/>
          <w:lang w:val="en-GB"/>
        </w:rPr>
      </w:pPr>
      <w:bookmarkStart w:id="50" w:name="_Toc228921287"/>
      <w:r w:rsidRPr="00710DFA">
        <w:rPr>
          <w:szCs w:val="24"/>
          <w:lang w:val="en-GB"/>
        </w:rPr>
        <w:t>4.</w:t>
      </w:r>
      <w:r w:rsidR="005406D2">
        <w:rPr>
          <w:szCs w:val="24"/>
          <w:lang w:val="en-GB"/>
        </w:rPr>
        <w:t>4</w:t>
      </w:r>
      <w:r w:rsidRPr="00710DFA">
        <w:rPr>
          <w:szCs w:val="24"/>
          <w:lang w:val="en-GB"/>
        </w:rPr>
        <w:t xml:space="preserve"> Integrated Synthesis: To a Reconfigured Conception of Supply Chain Resilience</w:t>
      </w:r>
      <w:bookmarkEnd w:id="50"/>
    </w:p>
    <w:p w14:paraId="3654F882" w14:textId="39D3AE9E" w:rsidR="00C164D1" w:rsidRPr="00710DFA" w:rsidRDefault="00C164D1" w:rsidP="00C164D1">
      <w:pPr>
        <w:spacing w:line="360" w:lineRule="auto"/>
        <w:jc w:val="both"/>
        <w:rPr>
          <w:color w:val="000000" w:themeColor="text1"/>
          <w:sz w:val="24"/>
          <w:szCs w:val="24"/>
          <w:lang w:val="en-GB"/>
        </w:rPr>
      </w:pPr>
      <w:r w:rsidRPr="00710DFA">
        <w:rPr>
          <w:color w:val="000000" w:themeColor="text1"/>
          <w:sz w:val="24"/>
          <w:szCs w:val="24"/>
          <w:lang w:val="en-GB"/>
        </w:rPr>
        <w:t>The synthesis must also be broadened to include insights on sector specificity and configuration identified in Theme Four. The evidence as a whole suggests that the journey from organisational response to resilience reconfiguration is not one-size-fits-all across industry settings</w:t>
      </w:r>
      <w:r w:rsidR="00AE7FBF" w:rsidRPr="00710DFA">
        <w:rPr>
          <w:color w:val="000000" w:themeColor="text1"/>
          <w:sz w:val="24"/>
          <w:szCs w:val="24"/>
          <w:lang w:val="en-GB"/>
        </w:rPr>
        <w:t>. T</w:t>
      </w:r>
      <w:r w:rsidRPr="00710DFA">
        <w:rPr>
          <w:color w:val="000000" w:themeColor="text1"/>
          <w:sz w:val="24"/>
          <w:szCs w:val="24"/>
          <w:lang w:val="en-GB"/>
        </w:rPr>
        <w:t>he same response strategies, such as digital transformation and relational investment, lead to different resilience outcomes, depending on the structural features of the sector, the resource endowment of the firm, and the joint-venture architecture of the broader supply chain network. This sectoral relativism is an important theoretical and practical insight overlooked in the standard supply chain resilience literature. The integrated synthesis of all four themes thus results in a nuanced, differentiated view of supply chain resilience that recognises both the universal principles of adaptive capability building and the sector-specificity of resilience pathways in different contexts. The theme suggests that the proactive resilience investment proposition, integral to the synthetic analysis, needs to be qualified by the recognition that proactive investment opportunities are not equally available to all supply chain actors and that resilience policy frameworks must account for the resource asymmetries that limit the resilience-building ability of smaller and more vulnerable supply chain actors.</w:t>
      </w:r>
    </w:p>
    <w:p w14:paraId="0AF63B64" w14:textId="2DE5D647" w:rsidR="00F44817" w:rsidRPr="00710DFA" w:rsidRDefault="00F44817" w:rsidP="00C164D1">
      <w:pPr>
        <w:pStyle w:val="Heading2"/>
        <w:rPr>
          <w:lang w:val="en-GB"/>
        </w:rPr>
      </w:pPr>
      <w:bookmarkStart w:id="51" w:name="_Toc228921288"/>
      <w:r w:rsidRPr="00710DFA">
        <w:rPr>
          <w:lang w:val="en-GB"/>
        </w:rPr>
        <w:t>4.</w:t>
      </w:r>
      <w:r w:rsidR="005406D2">
        <w:rPr>
          <w:lang w:val="en-GB"/>
        </w:rPr>
        <w:t>5</w:t>
      </w:r>
      <w:r w:rsidRPr="00710DFA">
        <w:rPr>
          <w:lang w:val="en-GB"/>
        </w:rPr>
        <w:t xml:space="preserve"> Chapter Summary</w:t>
      </w:r>
      <w:bookmarkEnd w:id="51"/>
    </w:p>
    <w:p w14:paraId="2351124B" w14:textId="15159A0D" w:rsidR="00F44817"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 xml:space="preserve">This chapter has described, analysed and critically evaluated the results of the secondary qualitative analysis in </w:t>
      </w:r>
      <w:r w:rsidR="008F65E4" w:rsidRPr="00710DFA">
        <w:rPr>
          <w:color w:val="000000" w:themeColor="text1"/>
          <w:sz w:val="24"/>
          <w:szCs w:val="24"/>
          <w:lang w:val="en-GB"/>
        </w:rPr>
        <w:t>four</w:t>
      </w:r>
      <w:r w:rsidRPr="00710DFA">
        <w:rPr>
          <w:color w:val="000000" w:themeColor="text1"/>
          <w:sz w:val="24"/>
          <w:szCs w:val="24"/>
          <w:lang w:val="en-GB"/>
        </w:rPr>
        <w:t xml:space="preserve"> thematically organised sections in accordance with the research objectives of the study. Theme One determined that the Covid-19 revealed </w:t>
      </w:r>
      <w:r w:rsidRPr="00710DFA">
        <w:rPr>
          <w:color w:val="000000" w:themeColor="text1"/>
          <w:sz w:val="24"/>
          <w:szCs w:val="24"/>
          <w:lang w:val="en-GB"/>
        </w:rPr>
        <w:lastRenderedPageBreak/>
        <w:t>underlying structural vulnerabilities within global supply chains, which are based on lean over-optimisation, concentration, and informational fragility. Theme Two revealed that organisations reacted by using multidimensional strategies that included digital transformation, sourcing reconfiguration and relational investment in that the rate and success of response depended on the existence of dynamic capabilities. Theme Three provided insights that the overall impact of these adaptive responses was a paradigm shift in supply chain resilience-static buffer-based resilience strategies to dynamic, digitally-enabled, and relationally-grounded resilience architectures.</w:t>
      </w:r>
      <w:r w:rsidR="006F30A7" w:rsidRPr="00710DFA">
        <w:rPr>
          <w:color w:val="000000" w:themeColor="text1"/>
          <w:sz w:val="24"/>
          <w:szCs w:val="24"/>
          <w:lang w:val="en-GB"/>
        </w:rPr>
        <w:t xml:space="preserve"> </w:t>
      </w:r>
      <w:r w:rsidR="008C5B7A" w:rsidRPr="00710DFA">
        <w:rPr>
          <w:color w:val="000000" w:themeColor="text1"/>
          <w:sz w:val="24"/>
          <w:szCs w:val="24"/>
          <w:lang w:val="en-GB"/>
        </w:rPr>
        <w:t>Theme Four generalised and extended these findings by showing that sector-specific structural conditions largely shaped resilience strategies that could work with the SMEs, food supply chains, and the construction sector. The so-called configurational dimension is important to highlight that the phenomenon of supply chain resilience cannot be prescribed as a set of universally applicable practices but, rather, must be understood as a contextually embedded and industry sensitive phenomenon that requires tailored governance and operational frameworks.</w:t>
      </w:r>
    </w:p>
    <w:p w14:paraId="78378C1A" w14:textId="7A83027C" w:rsidR="00A54558" w:rsidRPr="00710DFA" w:rsidRDefault="00F44817" w:rsidP="00751E7D">
      <w:pPr>
        <w:spacing w:line="360" w:lineRule="auto"/>
        <w:jc w:val="both"/>
        <w:rPr>
          <w:color w:val="000000" w:themeColor="text1"/>
          <w:sz w:val="24"/>
          <w:szCs w:val="24"/>
          <w:lang w:val="en-GB"/>
        </w:rPr>
      </w:pPr>
      <w:r w:rsidRPr="00710DFA">
        <w:rPr>
          <w:color w:val="000000" w:themeColor="text1"/>
          <w:sz w:val="24"/>
          <w:szCs w:val="24"/>
          <w:lang w:val="en-GB"/>
        </w:rPr>
        <w:t>Importantly, each of the themes has been traced back to the existing literature and theoretical context to establish the explanatory applicability of the Dynamic Capabilities Theory as well as to establish significant theoretical gaps and constraints to its application to the problem of pandemic-scale disruption of supply chains. The results altogether support the conceptual framework of the study and offer a theoretically based, yet practical contribution to the concept of supply chain reconfiguration in the case of Covid-19. Chapter Five will provide conclusions and recommendations to these findings based on their theoretical and managerial implications and also give future research directions.</w:t>
      </w:r>
    </w:p>
    <w:p w14:paraId="0F034177" w14:textId="77777777" w:rsidR="00A54558" w:rsidRPr="00710DFA" w:rsidRDefault="00A54558">
      <w:pPr>
        <w:rPr>
          <w:color w:val="000000" w:themeColor="text1"/>
          <w:sz w:val="24"/>
          <w:szCs w:val="24"/>
          <w:lang w:val="en-GB"/>
        </w:rPr>
      </w:pPr>
      <w:r w:rsidRPr="00710DFA">
        <w:rPr>
          <w:color w:val="000000" w:themeColor="text1"/>
          <w:sz w:val="24"/>
          <w:szCs w:val="24"/>
          <w:lang w:val="en-GB"/>
        </w:rPr>
        <w:br w:type="page"/>
      </w:r>
    </w:p>
    <w:p w14:paraId="1BC89EDB" w14:textId="444C2A9D" w:rsidR="00A54558" w:rsidRPr="00710DFA" w:rsidRDefault="00A54558" w:rsidP="00ED2336">
      <w:pPr>
        <w:pStyle w:val="Heading1"/>
      </w:pPr>
      <w:bookmarkStart w:id="52" w:name="_Toc228921289"/>
      <w:r w:rsidRPr="00710DFA">
        <w:lastRenderedPageBreak/>
        <w:t>Chapter 5: Conclusion and recommendation</w:t>
      </w:r>
      <w:bookmarkEnd w:id="52"/>
      <w:r w:rsidRPr="00710DFA">
        <w:t xml:space="preserve"> </w:t>
      </w:r>
    </w:p>
    <w:p w14:paraId="62034956" w14:textId="77777777" w:rsidR="00054590" w:rsidRPr="00710DFA" w:rsidRDefault="00054590" w:rsidP="00DE3611">
      <w:pPr>
        <w:pStyle w:val="Heading2"/>
        <w:rPr>
          <w:lang w:val="en-GB"/>
        </w:rPr>
      </w:pPr>
      <w:bookmarkStart w:id="53" w:name="_Toc228921290"/>
      <w:r w:rsidRPr="00710DFA">
        <w:rPr>
          <w:lang w:val="en-GB"/>
        </w:rPr>
        <w:t>5.1 Key Findings</w:t>
      </w:r>
      <w:bookmarkEnd w:id="53"/>
    </w:p>
    <w:p w14:paraId="33215411"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This dissertation has undertaken a systematic qualitative secondary analysis of the supply chain effects of Covid-19, the organisational measures firms took in response to the effects of the outbreaks, and the recalibration of supply chain resilience that has emerged from the cumulative effect of these individual adaptive responses. Four thematically distinct findings emerged from the evidence base, each relating to one or more of the objectives of the study.</w:t>
      </w:r>
    </w:p>
    <w:p w14:paraId="20A2D244" w14:textId="683A5698"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 xml:space="preserve">Theme One confirmed that Covid-19 did not introduce new vulnerabilities to global supply chains but rather revealed latent vulnerabilities which had been masked by long periods of relative stability. The key vulnerabilities identified in the literature were the </w:t>
      </w:r>
      <w:r w:rsidR="00DE3611" w:rsidRPr="00710DFA">
        <w:rPr>
          <w:color w:val="000000" w:themeColor="text1"/>
          <w:sz w:val="24"/>
          <w:szCs w:val="24"/>
          <w:lang w:val="en-GB"/>
        </w:rPr>
        <w:t>pre-eminence</w:t>
      </w:r>
      <w:r w:rsidRPr="00710DFA">
        <w:rPr>
          <w:color w:val="000000" w:themeColor="text1"/>
          <w:sz w:val="24"/>
          <w:szCs w:val="24"/>
          <w:lang w:val="en-GB"/>
        </w:rPr>
        <w:t xml:space="preserve"> of lean and just-in-time manufacturing, over-concentration of sourcing in few regions, lack of multi-tier visibility in supply chains, and the shortcomings of traditional demand forecasting techniques to accommodate pandemic-scale demand changes. The pandemic acted as a stress test that showed that supply chains optimised for efficiency and effectiveness in an environment of relative stability were structurally vulnerable to simultaneous, multi-tier, multi-national impacts of the type imposed by the pandemic.</w:t>
      </w:r>
    </w:p>
    <w:p w14:paraId="21693620"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Theme Two showed that the organisational responses to supply chain disruption were multi-dimensional, involving digital transformation, sourcing change and relational capital building. The evidence showed that the timely effectiveness and long-term sustainability of such responses were determined by the dynamic capabilities of responding organisations: those with higher levels of digital capital, supplier diversity and relational capital acted promptly and effectively and exhibited higher post-Covid resilience. The discovery of the reconfiguration trap, whereby reactive supply chain reconfigurations in response to the crisis result in short-term operational efficiencies at the expense of medium-term strategic efficiencies, is a novel contribution of the synthesis.</w:t>
      </w:r>
    </w:p>
    <w:p w14:paraId="5C4E1EAC"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 xml:space="preserve">Theme Three captured the shift in supply chain resilience conceptualisation that occurred during the pandemic: from a static, buffer-based, and redundancy-based model of resilience to a dynamic, digital and relational model of resilience that is characterised by adaptiveness, systemic flexibility and end-to-end network transparency. This is the most </w:t>
      </w:r>
      <w:r w:rsidRPr="00710DFA">
        <w:rPr>
          <w:color w:val="000000" w:themeColor="text1"/>
          <w:sz w:val="24"/>
          <w:szCs w:val="24"/>
          <w:lang w:val="en-GB"/>
        </w:rPr>
        <w:lastRenderedPageBreak/>
        <w:t>structurally important intellectual contribution of the post-pandemic supply chain literature, with significant implications for the evolution of supply chain theory as well as for supply chain management in an ever-more-vulnerable world.</w:t>
      </w:r>
    </w:p>
    <w:p w14:paraId="3BFB9D67"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Theme Four tempered the universality of Themes One to Three by showing that the mechanisms of vulnerability, response and resilience re-arrangement are significantly shaped by sector-specific structural dynamics. The food supply chain evidence, construction, SME sub-sectors and cross-sectoral configurations suggested that strategies to enhance resilience in large-firm, tech-savvy manufacturing supply chains may not be available or effective in other firm structures. This insight added an important configurational and equity dimension to the resilience discourse that has not been well theorised yet.</w:t>
      </w:r>
    </w:p>
    <w:p w14:paraId="3ED247FE" w14:textId="52CA2AD6" w:rsidR="00054590" w:rsidRPr="00710DFA" w:rsidRDefault="00054590" w:rsidP="00DE3611">
      <w:pPr>
        <w:pStyle w:val="Heading2"/>
        <w:rPr>
          <w:lang w:val="en-GB"/>
        </w:rPr>
      </w:pPr>
      <w:bookmarkStart w:id="54" w:name="_Toc228921291"/>
      <w:r w:rsidRPr="00710DFA">
        <w:rPr>
          <w:lang w:val="en-GB"/>
        </w:rPr>
        <w:t>5.2 Findings f</w:t>
      </w:r>
      <w:r w:rsidR="00DE3611" w:rsidRPr="00710DFA">
        <w:rPr>
          <w:lang w:val="en-GB"/>
        </w:rPr>
        <w:t>or</w:t>
      </w:r>
      <w:r w:rsidRPr="00710DFA">
        <w:rPr>
          <w:lang w:val="en-GB"/>
        </w:rPr>
        <w:t xml:space="preserve"> the Research Questions</w:t>
      </w:r>
      <w:bookmarkEnd w:id="54"/>
    </w:p>
    <w:p w14:paraId="2420B15E"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The overarching research question of this research was: how were organisations responding to the disruption to supply chains as a result of the outbreak of Covid-19 and what was the impact on the reconfiguration of supply chain resilience? The evidence categorised into four themes allows for a theoretically consistent and coherent response to this question.</w:t>
      </w:r>
    </w:p>
    <w:p w14:paraId="154131AD"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The response by organisations to supply chain disruptions brought about by Covid-19 involved digital acceleration, sourcing reconfiguration and relational investment. But the evidence confirms that these responses were not equally effective: they were path-dependent, capability-dependent and structurally dependent on the nature of the firms that responded, with respect to both their sector and size. Firms that had made pre-emptive investments in dynamic capabilities were more likely to have been effective in their adaptive responses to the crisis, and in reconfiguring their resilience structures. Those that had not exhibited reactive, ad hoc and often non-optimal responses that resolved operational crises, but did not result in strategic innovation.</w:t>
      </w:r>
    </w:p>
    <w:p w14:paraId="011B7B1D"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 xml:space="preserve">The effects of organisational responses on resilience reconfiguration were moderated by the nature and timing of adaptive responses. Information digitisation facilitated real-time sensing and responsive reconfiguration; sourcing reconfiguration provided structural flexibility to seize alternative supply opportunities. Relationship building fostered the </w:t>
      </w:r>
      <w:r w:rsidRPr="00710DFA">
        <w:rPr>
          <w:color w:val="000000" w:themeColor="text1"/>
          <w:sz w:val="24"/>
          <w:szCs w:val="24"/>
          <w:lang w:val="en-GB"/>
        </w:rPr>
        <w:lastRenderedPageBreak/>
        <w:t>collaborative mechanisms that enabled adaptive actions to be coordinated across supply chain network boundaries. In aggregate, these dimensions of organisational response align well with the sensing-seizing-reconfiguring process model of Dynamic Capabilities Theory, confirming the explanatory power of this theory while simultaneously highlighting its shortcomings to explain resilience processes for resource-limited firms, small and medium-scale enterprises (SMEs), and sector-specific contexts that are not explicitly addressed in the standard formulation of the theory.</w:t>
      </w:r>
    </w:p>
    <w:p w14:paraId="164EC308" w14:textId="54123B2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In response to the three research</w:t>
      </w:r>
      <w:r w:rsidR="008F65E4" w:rsidRPr="00710DFA">
        <w:rPr>
          <w:color w:val="000000" w:themeColor="text1"/>
          <w:sz w:val="24"/>
          <w:szCs w:val="24"/>
          <w:lang w:val="en-GB"/>
        </w:rPr>
        <w:t xml:space="preserve"> objectives</w:t>
      </w:r>
      <w:r w:rsidRPr="00710DFA">
        <w:rPr>
          <w:color w:val="000000" w:themeColor="text1"/>
          <w:sz w:val="24"/>
          <w:szCs w:val="24"/>
          <w:lang w:val="en-GB"/>
        </w:rPr>
        <w:t>: (1) the major supply chain shocks and vulnerabilities exposed by the Covid-19 pandemic included lean over-optimisation, geographic concentration, multi-tier invisibility, and informational fragility; (2) the organisational responses included digital transformation, sourcing reconfiguration, relational investment, and sector-specific reactive responses conditioned by resource constraints; and (3) these responses collectively produced a paradigm shift in supply chain resilience from buffer-based to dynamic, digitally-enabled, and relationally-grounded structures, although with substantial sector-specific and firm-size conditioned variation.</w:t>
      </w:r>
    </w:p>
    <w:p w14:paraId="669CC5EC" w14:textId="77777777" w:rsidR="00054590" w:rsidRPr="00710DFA" w:rsidRDefault="00054590" w:rsidP="00922B36">
      <w:pPr>
        <w:pStyle w:val="Heading2"/>
        <w:rPr>
          <w:lang w:val="en-GB"/>
        </w:rPr>
      </w:pPr>
      <w:bookmarkStart w:id="55" w:name="_Toc228921292"/>
      <w:r w:rsidRPr="00710DFA">
        <w:rPr>
          <w:lang w:val="en-GB"/>
        </w:rPr>
        <w:t>5.3 Recommendation</w:t>
      </w:r>
      <w:bookmarkEnd w:id="55"/>
    </w:p>
    <w:p w14:paraId="2761E709" w14:textId="77777777" w:rsidR="00054590" w:rsidRPr="00710DFA" w:rsidRDefault="00054590" w:rsidP="00922B36">
      <w:pPr>
        <w:pStyle w:val="Heading3"/>
        <w:rPr>
          <w:lang w:val="en-GB"/>
        </w:rPr>
      </w:pPr>
      <w:bookmarkStart w:id="56" w:name="_Toc228921293"/>
      <w:r w:rsidRPr="00710DFA">
        <w:rPr>
          <w:lang w:val="en-GB"/>
        </w:rPr>
        <w:t>5.3.1 Practical recommendation</w:t>
      </w:r>
      <w:bookmarkEnd w:id="56"/>
      <w:r w:rsidRPr="00710DFA">
        <w:rPr>
          <w:lang w:val="en-GB"/>
        </w:rPr>
        <w:t> </w:t>
      </w:r>
    </w:p>
    <w:p w14:paraId="71E8FC77"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First, supply chain managers should invest in a digital capability as a pre-competitive activity not in response to a crisis. The evidence from Theme Two shows beyond any reasonable doubt that organisations that had invested in digital supply chain platforms, real-time visibility and AI-based demand sensing before the onset of the pandemic responded to the crisis quicker, more accurately and at lower cost than those that tried to adopt digital tools in response to the crisis. Supply chain leaders should, therefore, institutionalise the investment in digital infrastructure as a corporate - rather than functional - strategic initiative and should develop specific digital supply chain resilience capability roadmaps with clear targets and accountability measures.</w:t>
      </w:r>
    </w:p>
    <w:p w14:paraId="122A43EA"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 xml:space="preserve">Second, companies need to build relational capital with supply chain partners. As the findings from Themes Two and Four show, supply chains with trust-based collaborative </w:t>
      </w:r>
      <w:r w:rsidRPr="00710DFA">
        <w:rPr>
          <w:color w:val="000000" w:themeColor="text1"/>
          <w:sz w:val="24"/>
          <w:szCs w:val="24"/>
          <w:lang w:val="en-GB"/>
        </w:rPr>
        <w:lastRenderedPageBreak/>
        <w:t>relationships acted as an enabling resource of adaptive capacity during the pandemic: firms with high relational capital were able to access critical inputs more quickly, overcome capacity mismatches through mutual adjustment, and facilitate adaptive reconfigurations better than those with transactional relationships. Supply chain managers should therefore build long-term relational capital investment strategies that include periodic joint planning activities, risk identification and shared capability building recognising that relational capital, like digital capability, cannot be quickly built in a crisis.</w:t>
      </w:r>
    </w:p>
    <w:p w14:paraId="7A7C2406"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Third, organisations should move beyond single-objective supply chain optimisation to multi-objective supply chain design frameworks that explicitly consider resilience, sustainability and equity alongside financial performance measures. Findings from Themes One and Three, that the single-minded focus on efficiency and cost led to the structural weaknesses that left global supply chains so vulnerable to the pandemic.</w:t>
      </w:r>
    </w:p>
    <w:p w14:paraId="077EE6FB"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Furthermore, this study recommends that future theoretical development in the field prioritise the conceptualisation of supply chain resilience as a network-level governance property rather than an exclusively firm-level organisational property. The evidence from the governance and information asymmetry theme suggests that the sensing capability at the heart of DCT is constitutively shaped by the inter-organisational governance environment, and that firms cannot fully develop their adaptive potential without complementary improvements in network-level governance architectures. Theoretical models of supply chain resilience should therefore incorporate institutional and governance dimensions that account for the collective action dynamics, power asymmetries, and information-sharing incentives that shape the resilience capacity of supply chain networks as a whole.</w:t>
      </w:r>
    </w:p>
    <w:p w14:paraId="2E4F006F" w14:textId="77777777" w:rsidR="00922B36" w:rsidRPr="00710DFA" w:rsidRDefault="00922B36" w:rsidP="002D6882">
      <w:pPr>
        <w:pStyle w:val="Heading3"/>
        <w:rPr>
          <w:lang w:val="en-GB"/>
        </w:rPr>
      </w:pPr>
      <w:bookmarkStart w:id="57" w:name="_Toc228921294"/>
      <w:r w:rsidRPr="00710DFA">
        <w:rPr>
          <w:lang w:val="en-GB"/>
        </w:rPr>
        <w:t>5.3.2 Theoretical recommendation</w:t>
      </w:r>
      <w:bookmarkEnd w:id="57"/>
    </w:p>
    <w:p w14:paraId="27D0781E" w14:textId="77777777" w:rsidR="00922B36" w:rsidRPr="00710DFA" w:rsidRDefault="00922B36" w:rsidP="00922B36">
      <w:pPr>
        <w:spacing w:line="360" w:lineRule="auto"/>
        <w:jc w:val="both"/>
        <w:rPr>
          <w:color w:val="000000" w:themeColor="text1"/>
          <w:sz w:val="24"/>
          <w:szCs w:val="24"/>
          <w:lang w:val="en-GB"/>
        </w:rPr>
      </w:pPr>
      <w:r w:rsidRPr="00710DFA">
        <w:rPr>
          <w:color w:val="000000" w:themeColor="text1"/>
          <w:sz w:val="24"/>
          <w:szCs w:val="24"/>
          <w:lang w:val="en-GB"/>
        </w:rPr>
        <w:t xml:space="preserve">At the theoretical level, this study recommends the development of a multiple-theoretic approach to the analysis of supply chain resilience that draws on Dynamic Capabilities Theory, Resource Dependence Theory and Organisational Ambidexterity. The evidence presented in this dissertation shows that DCT, while offering an analytically compelling description of the micro-level organisational processes of sensing, seizing and reconfiguring. It fails to account for the resource dependence constraints on the </w:t>
      </w:r>
      <w:r w:rsidRPr="00710DFA">
        <w:rPr>
          <w:color w:val="000000" w:themeColor="text1"/>
          <w:sz w:val="24"/>
          <w:szCs w:val="24"/>
          <w:lang w:val="en-GB"/>
        </w:rPr>
        <w:lastRenderedPageBreak/>
        <w:t>resilience-building options open to firms, and for the ambidextrous resource balance required to maintain operational efficiency while exploring new adaptive capabilities. An integrated, multi-theoretic framework incorporating all three theories will be a more comprehensive and useful analytical framework for future research into supply chain resilience.</w:t>
      </w:r>
    </w:p>
    <w:p w14:paraId="4B3AEAD0" w14:textId="039CEFEB" w:rsidR="00922B36" w:rsidRPr="00710DFA" w:rsidRDefault="00922B36" w:rsidP="00922B36">
      <w:pPr>
        <w:spacing w:line="360" w:lineRule="auto"/>
        <w:jc w:val="both"/>
        <w:rPr>
          <w:color w:val="000000" w:themeColor="text1"/>
          <w:sz w:val="24"/>
          <w:szCs w:val="24"/>
          <w:lang w:val="en-GB"/>
        </w:rPr>
      </w:pPr>
      <w:r w:rsidRPr="00710DFA">
        <w:rPr>
          <w:color w:val="000000" w:themeColor="text1"/>
          <w:sz w:val="24"/>
          <w:szCs w:val="24"/>
          <w:lang w:val="en-GB"/>
        </w:rPr>
        <w:t>This research also suggests that future theoretical advances in the field should focus on conceptualising supply chain resilience as a network governance rather than firm organisational property. The findings from the theme of governance and information asymmetry indicate that the sensing capability at the core of DCT is certainly constituted by inter-organisational governance structures, and that firms cannot realise their full adaptive capacity without simultaneous enhancements to network-level governance structures. Theoretical characterisations of supply chain resilience should therefore include institutional and governance considerations that reflect the collective action, power and information sharing behaviours that determine the resilience capacity of supply chain networks.</w:t>
      </w:r>
    </w:p>
    <w:p w14:paraId="2999599C" w14:textId="77777777" w:rsidR="00054590" w:rsidRPr="00710DFA" w:rsidRDefault="00054590" w:rsidP="00F97C9E">
      <w:pPr>
        <w:pStyle w:val="Heading2"/>
        <w:rPr>
          <w:lang w:val="en-GB"/>
        </w:rPr>
      </w:pPr>
      <w:bookmarkStart w:id="58" w:name="_Toc228921295"/>
      <w:r w:rsidRPr="00710DFA">
        <w:rPr>
          <w:lang w:val="en-GB"/>
        </w:rPr>
        <w:t>5.4 Limitation of the study</w:t>
      </w:r>
      <w:bookmarkEnd w:id="58"/>
    </w:p>
    <w:p w14:paraId="7B0F7728"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There are a number of key methodological and substantive limitations of this study that need to be considered as contextual caveats to the results. First, the use of secondary sources raises the issue of publication bias: organisational responses to the pandemic that were successful are over-represented in the published literature compared with failures, because organisations are more inclined to share and publish their successful efforts at pandemic adaptation than they are to report failed efforts. Therefore, the findings of this study might over-represent the frequency and success of resilience-building responses compared to the total population of organisational responses to the pandemic.</w:t>
      </w:r>
    </w:p>
    <w:p w14:paraId="1B5B304C"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 xml:space="preserve">Second, the temporal limits of the evidence base (which is almost exclusively drawn from the period from 2020 to 2025 place limits on the conclusions of the study. The organisational and structural outcomes of the pandemic-driven supply chain restructurings documented are, in many cases, still unknown. The study's insights into the robustness and long-term strategic sustainability of the resilience architectures </w:t>
      </w:r>
      <w:r w:rsidRPr="00710DFA">
        <w:rPr>
          <w:color w:val="000000" w:themeColor="text1"/>
          <w:sz w:val="24"/>
          <w:szCs w:val="24"/>
          <w:lang w:val="en-GB"/>
        </w:rPr>
        <w:lastRenderedPageBreak/>
        <w:t>identified in Themes Three and Four can, therefore, only be considered tentative until such longitudinal evidence from the post-pandemic era becomes available.</w:t>
      </w:r>
    </w:p>
    <w:p w14:paraId="14588357"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Third, while the study draws on a geographically broad evidence base, the literature is over-represented by supply chains of large multinational enterprises and those in high-income countries. The perspectives of supply chain actors operating in low- and middle-income countries and regions, in which supply chain vulnerabilities may be more pronounced and adaptive capacities more limited, are less evident. The transferability of the study findings to all contexts of global supply chains should therefore be tempered accordingly.</w:t>
      </w:r>
    </w:p>
    <w:p w14:paraId="22B36F22"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Fourth, the secondary qualitative research design, while analytically robust and methodologically sound, does not allow us to directly explore organisational decision-making, managerial attitudes and perceptions or the causal pathways from the adaptive responses to the resilience outcomes. The conclusions drawn from the study are inferential and empirical primary research is needed to establish the causal links between the response strategies and resilience outcomes identified in this synthesis.</w:t>
      </w:r>
    </w:p>
    <w:p w14:paraId="58BB2C9D" w14:textId="77777777" w:rsidR="00054590" w:rsidRPr="00710DFA" w:rsidRDefault="00054590" w:rsidP="00F97C9E">
      <w:pPr>
        <w:pStyle w:val="Heading2"/>
        <w:rPr>
          <w:lang w:val="en-GB"/>
        </w:rPr>
      </w:pPr>
      <w:bookmarkStart w:id="59" w:name="_Toc228921296"/>
      <w:r w:rsidRPr="00710DFA">
        <w:rPr>
          <w:lang w:val="en-GB"/>
        </w:rPr>
        <w:t>5.5 Future research</w:t>
      </w:r>
      <w:bookmarkEnd w:id="59"/>
    </w:p>
    <w:p w14:paraId="1FAB64E5"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Future research should focus on empirical primary case study research of the supply chain resilience models created in response to the pandemic, to determine their longevity, strategic viability and competitive significance into the post-pandemic era. Longitudinal case studies, studying the same enterprises for five to ten years since the start of the pandemic, would provide empirical evidence to determine whether the supply chain resilience reconfigurations reported in the literature are permanent structural changes, or short-term adaptations that have been subsequently reversed as competitive factors once again come into play.</w:t>
      </w:r>
    </w:p>
    <w:p w14:paraId="0D4A6136"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 xml:space="preserve">Another avenue for future research is to explore and provide more detail on the governance and institutional aspects of supply chain resilience. The evidence reviewed in this study indicates that network governance designs, such as information-sharing rules, joint risk management practices and equitable power distribution mechanisms, are key factors that influence supply chain resilience in ways that the current literature has under-theorised and under-researched. Original research leveraging institutional analysis </w:t>
      </w:r>
      <w:r w:rsidRPr="00710DFA">
        <w:rPr>
          <w:color w:val="000000" w:themeColor="text1"/>
          <w:sz w:val="24"/>
          <w:szCs w:val="24"/>
          <w:lang w:val="en-GB"/>
        </w:rPr>
        <w:lastRenderedPageBreak/>
        <w:t>frameworks and network governance approaches would be highly valuable on this little-studied front of supply chain resilience research.</w:t>
      </w:r>
    </w:p>
    <w:p w14:paraId="79801B0C"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Finally, future research should create and test the multi-theoretic approach proposed, which synthesises DCT and RDT with Organisational Ambidexterity to offer a cohesive framework for the analysis of supply chain resilience. A combination of quantitative structural equation modelling and qualitative case analysis approaches would be well positioned to empirically develop and test this framework in a range of industrial and geographical settings.</w:t>
      </w:r>
    </w:p>
    <w:p w14:paraId="429A91AC" w14:textId="77777777" w:rsidR="00054590" w:rsidRPr="00710DFA" w:rsidRDefault="00054590" w:rsidP="00DE3611">
      <w:pPr>
        <w:spacing w:line="360" w:lineRule="auto"/>
        <w:jc w:val="both"/>
        <w:rPr>
          <w:color w:val="000000" w:themeColor="text1"/>
          <w:sz w:val="24"/>
          <w:szCs w:val="24"/>
          <w:lang w:val="en-GB"/>
        </w:rPr>
      </w:pPr>
      <w:r w:rsidRPr="00710DFA">
        <w:rPr>
          <w:color w:val="000000" w:themeColor="text1"/>
          <w:sz w:val="24"/>
          <w:szCs w:val="24"/>
          <w:lang w:val="en-GB"/>
        </w:rPr>
        <w:t>Finally, future research needs to build on the sustainability-resilience relationship established in this study and should explore the degree to which the post-pandemic era has produced long-lasting changes in the configurations of sustainable supply chains and if the circular supply chain model, which is emerging before our eyes, has demonstrated the resilience benefits promised in the theoretical literature. This empirical work on the environmental and social impacts of resilience-reconfigured supply chains would add to the emerging discipline of sustainable supply chain management and would provide the empirical evidence for policy recommendations to support the simultaneous pursuit of supply chain resilience and environmental sustainability.</w:t>
      </w:r>
    </w:p>
    <w:p w14:paraId="5E1707CE" w14:textId="77777777" w:rsidR="00ED2336" w:rsidRPr="00710DFA" w:rsidRDefault="00ED2336" w:rsidP="00ED2336">
      <w:pPr>
        <w:rPr>
          <w:color w:val="000000" w:themeColor="text1"/>
          <w:lang w:val="en-GB"/>
        </w:rPr>
      </w:pPr>
    </w:p>
    <w:p w14:paraId="496C310F" w14:textId="77777777" w:rsidR="00A54558" w:rsidRPr="00710DFA" w:rsidRDefault="00A54558">
      <w:pPr>
        <w:rPr>
          <w:color w:val="000000" w:themeColor="text1"/>
          <w:sz w:val="24"/>
          <w:szCs w:val="24"/>
          <w:lang w:val="en-GB"/>
        </w:rPr>
      </w:pPr>
      <w:r w:rsidRPr="00710DFA">
        <w:rPr>
          <w:color w:val="000000" w:themeColor="text1"/>
          <w:sz w:val="24"/>
          <w:szCs w:val="24"/>
          <w:lang w:val="en-GB"/>
        </w:rPr>
        <w:br w:type="page"/>
      </w:r>
    </w:p>
    <w:p w14:paraId="2EC3F7AA" w14:textId="77777777" w:rsidR="002F3DAF" w:rsidRPr="00710DFA" w:rsidRDefault="002F3DAF">
      <w:pPr>
        <w:rPr>
          <w:b/>
          <w:bCs/>
          <w:color w:val="000000" w:themeColor="text1"/>
          <w:sz w:val="24"/>
          <w:szCs w:val="24"/>
          <w:lang w:val="en-GB"/>
        </w:rPr>
      </w:pPr>
    </w:p>
    <w:p w14:paraId="227CD425" w14:textId="6E2DAD12" w:rsidR="002D3413" w:rsidRPr="00710DFA" w:rsidRDefault="00587185" w:rsidP="002D3413">
      <w:pPr>
        <w:pStyle w:val="Heading1"/>
      </w:pPr>
      <w:bookmarkStart w:id="60" w:name="_Toc228921297"/>
      <w:r w:rsidRPr="00710DFA">
        <w:t>Reference list</w:t>
      </w:r>
      <w:bookmarkEnd w:id="60"/>
    </w:p>
    <w:p w14:paraId="639F8FE1" w14:textId="77777777" w:rsidR="00366A63" w:rsidRPr="00710DFA" w:rsidRDefault="00366A63" w:rsidP="00366A63">
      <w:pPr>
        <w:spacing w:line="360" w:lineRule="auto"/>
        <w:jc w:val="both"/>
        <w:rPr>
          <w:sz w:val="24"/>
          <w:szCs w:val="24"/>
          <w:lang w:val="en-GB"/>
        </w:rPr>
      </w:pPr>
      <w:proofErr w:type="spellStart"/>
      <w:r w:rsidRPr="00710DFA">
        <w:rPr>
          <w:sz w:val="24"/>
          <w:szCs w:val="24"/>
          <w:lang w:val="en-GB"/>
        </w:rPr>
        <w:t>Adobor</w:t>
      </w:r>
      <w:proofErr w:type="spellEnd"/>
      <w:r w:rsidRPr="00710DFA">
        <w:rPr>
          <w:sz w:val="24"/>
          <w:szCs w:val="24"/>
          <w:lang w:val="en-GB"/>
        </w:rPr>
        <w:t xml:space="preserve">, H. (2020). Supply chain resilience: an adaptive cycle approach. </w:t>
      </w:r>
      <w:r w:rsidRPr="00710DFA">
        <w:rPr>
          <w:i/>
          <w:iCs/>
          <w:sz w:val="24"/>
          <w:szCs w:val="24"/>
          <w:lang w:val="en-GB"/>
        </w:rPr>
        <w:t>The International Journal of Logistics Management</w:t>
      </w:r>
      <w:r w:rsidRPr="00710DFA">
        <w:rPr>
          <w:sz w:val="24"/>
          <w:szCs w:val="24"/>
          <w:lang w:val="en-GB"/>
        </w:rPr>
        <w:t xml:space="preserve">, 31(3), pp.443–463. </w:t>
      </w:r>
      <w:proofErr w:type="spellStart"/>
      <w:proofErr w:type="gramStart"/>
      <w:r w:rsidRPr="00710DFA">
        <w:rPr>
          <w:sz w:val="24"/>
          <w:szCs w:val="24"/>
          <w:lang w:val="en-GB"/>
        </w:rPr>
        <w:t>doi:https</w:t>
      </w:r>
      <w:proofErr w:type="spellEnd"/>
      <w:r w:rsidRPr="00710DFA">
        <w:rPr>
          <w:sz w:val="24"/>
          <w:szCs w:val="24"/>
          <w:lang w:val="en-GB"/>
        </w:rPr>
        <w:t>://doi.org/10.1108/ijlm-01-2020-0019</w:t>
      </w:r>
      <w:proofErr w:type="gramEnd"/>
      <w:r w:rsidRPr="00710DFA">
        <w:rPr>
          <w:sz w:val="24"/>
          <w:szCs w:val="24"/>
          <w:lang w:val="en-GB"/>
        </w:rPr>
        <w:t>.</w:t>
      </w:r>
    </w:p>
    <w:p w14:paraId="7B5FA47E" w14:textId="77777777" w:rsidR="00366A63" w:rsidRPr="00710DFA" w:rsidRDefault="00366A63" w:rsidP="00366A63">
      <w:pPr>
        <w:spacing w:line="360" w:lineRule="auto"/>
        <w:jc w:val="both"/>
        <w:rPr>
          <w:sz w:val="24"/>
          <w:szCs w:val="24"/>
          <w:lang w:val="en-GB"/>
        </w:rPr>
      </w:pPr>
      <w:r w:rsidRPr="00710DFA">
        <w:rPr>
          <w:sz w:val="24"/>
          <w:szCs w:val="24"/>
          <w:lang w:val="en-GB"/>
        </w:rPr>
        <w:t>Al Naimi, M., Faisal, M.N., Sobh, R. and Uddin, S.F., (2021). Antecedents and consequences of supply chain resilience and reconfiguration: an empirical study in an emerging economy. </w:t>
      </w:r>
      <w:r w:rsidRPr="00710DFA">
        <w:rPr>
          <w:i/>
          <w:iCs/>
          <w:sz w:val="24"/>
          <w:szCs w:val="24"/>
          <w:lang w:val="en-GB"/>
        </w:rPr>
        <w:t>Journal of Enterprise Information Management</w:t>
      </w:r>
      <w:r w:rsidRPr="00710DFA">
        <w:rPr>
          <w:sz w:val="24"/>
          <w:szCs w:val="24"/>
          <w:lang w:val="en-GB"/>
        </w:rPr>
        <w:t>, </w:t>
      </w:r>
      <w:r w:rsidRPr="00710DFA">
        <w:rPr>
          <w:i/>
          <w:iCs/>
          <w:sz w:val="24"/>
          <w:szCs w:val="24"/>
          <w:lang w:val="en-GB"/>
        </w:rPr>
        <w:t>34</w:t>
      </w:r>
      <w:r w:rsidRPr="00710DFA">
        <w:rPr>
          <w:sz w:val="24"/>
          <w:szCs w:val="24"/>
          <w:lang w:val="en-GB"/>
        </w:rPr>
        <w:t xml:space="preserve">(6), pp.1722-1745. </w:t>
      </w:r>
      <w:hyperlink r:id="rId21" w:history="1">
        <w:r w:rsidRPr="00710DFA">
          <w:rPr>
            <w:rStyle w:val="Hyperlink"/>
            <w:sz w:val="24"/>
            <w:szCs w:val="24"/>
            <w:lang w:val="en-GB"/>
          </w:rPr>
          <w:t>https://doi.org/10.1108/JEIM-04-2020-0166</w:t>
        </w:r>
      </w:hyperlink>
    </w:p>
    <w:p w14:paraId="1F367C59"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Ali, M.H., Suleiman, N., Khalid, N., Tan, K.H., Tseng, M.L. and Kumar, M., (2021). Supply chain resilience reactive strategies for food SMEs in coping to COVID-19 crisis. </w:t>
      </w:r>
      <w:r w:rsidRPr="00710DFA">
        <w:rPr>
          <w:i/>
          <w:iCs/>
          <w:color w:val="000000" w:themeColor="text1"/>
          <w:sz w:val="24"/>
          <w:szCs w:val="24"/>
          <w:lang w:val="en-GB"/>
        </w:rPr>
        <w:t>Trends in food science &amp; technology</w:t>
      </w:r>
      <w:r w:rsidRPr="00710DFA">
        <w:rPr>
          <w:color w:val="000000" w:themeColor="text1"/>
          <w:sz w:val="24"/>
          <w:szCs w:val="24"/>
          <w:lang w:val="en-GB"/>
        </w:rPr>
        <w:t>, </w:t>
      </w:r>
      <w:r w:rsidRPr="00710DFA">
        <w:rPr>
          <w:i/>
          <w:iCs/>
          <w:color w:val="000000" w:themeColor="text1"/>
          <w:sz w:val="24"/>
          <w:szCs w:val="24"/>
          <w:lang w:val="en-GB"/>
        </w:rPr>
        <w:t>109</w:t>
      </w:r>
      <w:r w:rsidRPr="00710DFA">
        <w:rPr>
          <w:color w:val="000000" w:themeColor="text1"/>
          <w:sz w:val="24"/>
          <w:szCs w:val="24"/>
          <w:lang w:val="en-GB"/>
        </w:rPr>
        <w:t>, pp.94-102.</w:t>
      </w:r>
    </w:p>
    <w:p w14:paraId="084D1E81" w14:textId="77777777" w:rsidR="00366A63" w:rsidRPr="00710DFA" w:rsidRDefault="00366A63" w:rsidP="00366A63">
      <w:pPr>
        <w:spacing w:line="360" w:lineRule="auto"/>
        <w:jc w:val="both"/>
        <w:rPr>
          <w:sz w:val="24"/>
          <w:szCs w:val="24"/>
          <w:lang w:val="en-GB"/>
        </w:rPr>
      </w:pPr>
      <w:r w:rsidRPr="00710DFA">
        <w:rPr>
          <w:sz w:val="24"/>
          <w:szCs w:val="24"/>
          <w:lang w:val="en-GB"/>
        </w:rPr>
        <w:t>Alzate, I.C., López, Y.M., Manotas, E.C. and Boada, A., (2024). Flexibility and adaptability: Dynamic capabilities for building supply chain resilience. </w:t>
      </w:r>
      <w:r w:rsidRPr="00710DFA">
        <w:rPr>
          <w:i/>
          <w:iCs/>
          <w:sz w:val="24"/>
          <w:szCs w:val="24"/>
          <w:lang w:val="en-GB"/>
        </w:rPr>
        <w:t>Journal of infrastructure, policy and development</w:t>
      </w:r>
      <w:r w:rsidRPr="00710DFA">
        <w:rPr>
          <w:sz w:val="24"/>
          <w:szCs w:val="24"/>
          <w:lang w:val="en-GB"/>
        </w:rPr>
        <w:t>, </w:t>
      </w:r>
      <w:r w:rsidRPr="00710DFA">
        <w:rPr>
          <w:i/>
          <w:iCs/>
          <w:sz w:val="24"/>
          <w:szCs w:val="24"/>
          <w:lang w:val="en-GB"/>
        </w:rPr>
        <w:t>8</w:t>
      </w:r>
      <w:r w:rsidRPr="00710DFA">
        <w:rPr>
          <w:sz w:val="24"/>
          <w:szCs w:val="24"/>
          <w:lang w:val="en-GB"/>
        </w:rPr>
        <w:t xml:space="preserve">(16), p.9749. </w:t>
      </w:r>
      <w:hyperlink r:id="rId22" w:history="1">
        <w:r w:rsidRPr="00710DFA">
          <w:rPr>
            <w:rStyle w:val="Hyperlink"/>
            <w:sz w:val="24"/>
            <w:szCs w:val="24"/>
            <w:lang w:val="en-GB"/>
          </w:rPr>
          <w:t>https://doi.org/10.24294/jipd9749</w:t>
        </w:r>
      </w:hyperlink>
    </w:p>
    <w:p w14:paraId="1197E8DF" w14:textId="77777777" w:rsidR="00366A63" w:rsidRPr="00710DFA" w:rsidRDefault="00366A63" w:rsidP="00366A63">
      <w:pPr>
        <w:spacing w:line="360" w:lineRule="auto"/>
        <w:jc w:val="both"/>
        <w:rPr>
          <w:sz w:val="24"/>
          <w:szCs w:val="24"/>
          <w:lang w:val="en-GB"/>
        </w:rPr>
      </w:pPr>
      <w:r w:rsidRPr="00710DFA">
        <w:rPr>
          <w:sz w:val="24"/>
          <w:szCs w:val="24"/>
          <w:lang w:val="en-GB"/>
        </w:rPr>
        <w:t>Bag, S., Gupta, S., Choi, T.M. and Kumar, A., (2021). Roles of innovation leadership on using big data analytics to establish resilient healthcare supply chains to combat the COVID-19 pandemic: A multimethodological study. </w:t>
      </w:r>
      <w:r w:rsidRPr="00710DFA">
        <w:rPr>
          <w:i/>
          <w:iCs/>
          <w:sz w:val="24"/>
          <w:szCs w:val="24"/>
          <w:lang w:val="en-GB"/>
        </w:rPr>
        <w:t>IEEE Transactions on Engineering Management</w:t>
      </w:r>
      <w:r w:rsidRPr="00710DFA">
        <w:rPr>
          <w:sz w:val="24"/>
          <w:szCs w:val="24"/>
          <w:lang w:val="en-GB"/>
        </w:rPr>
        <w:t>, </w:t>
      </w:r>
      <w:r w:rsidRPr="00710DFA">
        <w:rPr>
          <w:i/>
          <w:iCs/>
          <w:sz w:val="24"/>
          <w:szCs w:val="24"/>
          <w:lang w:val="en-GB"/>
        </w:rPr>
        <w:t>71</w:t>
      </w:r>
      <w:r w:rsidRPr="00710DFA">
        <w:rPr>
          <w:sz w:val="24"/>
          <w:szCs w:val="24"/>
          <w:lang w:val="en-GB"/>
        </w:rPr>
        <w:t>, pp.13213-13226.</w:t>
      </w:r>
    </w:p>
    <w:p w14:paraId="0BCD7AB9"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Barbieri, P., Ciabuschi, F., </w:t>
      </w:r>
      <w:proofErr w:type="spellStart"/>
      <w:r w:rsidRPr="00710DFA">
        <w:rPr>
          <w:color w:val="000000" w:themeColor="text1"/>
          <w:sz w:val="24"/>
          <w:szCs w:val="24"/>
          <w:lang w:val="en-GB"/>
        </w:rPr>
        <w:t>Fratocchi</w:t>
      </w:r>
      <w:proofErr w:type="spellEnd"/>
      <w:r w:rsidRPr="00710DFA">
        <w:rPr>
          <w:color w:val="000000" w:themeColor="text1"/>
          <w:sz w:val="24"/>
          <w:szCs w:val="24"/>
          <w:lang w:val="en-GB"/>
        </w:rPr>
        <w:t xml:space="preserve">, L. and Vignoli, M. (2020). What do we know about manufacturing reshoring? </w:t>
      </w:r>
      <w:r w:rsidRPr="00710DFA">
        <w:rPr>
          <w:i/>
          <w:iCs/>
          <w:color w:val="000000" w:themeColor="text1"/>
          <w:sz w:val="24"/>
          <w:szCs w:val="24"/>
          <w:lang w:val="en-GB"/>
        </w:rPr>
        <w:t>Journal of Global Operations and Strategic Sourcing</w:t>
      </w:r>
      <w:r w:rsidRPr="00710DFA">
        <w:rPr>
          <w:color w:val="000000" w:themeColor="text1"/>
          <w:sz w:val="24"/>
          <w:szCs w:val="24"/>
          <w:lang w:val="en-GB"/>
        </w:rPr>
        <w:t xml:space="preserve">, 11(1), pp.79–122.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://doi.org/10.1108/jgoss-02-2017-0004</w:t>
      </w:r>
      <w:proofErr w:type="gramEnd"/>
      <w:r w:rsidRPr="00710DFA">
        <w:rPr>
          <w:color w:val="000000" w:themeColor="text1"/>
          <w:sz w:val="24"/>
          <w:szCs w:val="24"/>
          <w:lang w:val="en-GB"/>
        </w:rPr>
        <w:t>.</w:t>
      </w:r>
    </w:p>
    <w:p w14:paraId="64E9B829" w14:textId="77777777" w:rsidR="00366A63" w:rsidRPr="00710DFA" w:rsidRDefault="00366A63" w:rsidP="00366A63">
      <w:pPr>
        <w:spacing w:after="240" w:line="360" w:lineRule="auto"/>
        <w:jc w:val="both"/>
        <w:rPr>
          <w:color w:val="000000" w:themeColor="text1"/>
          <w:sz w:val="24"/>
          <w:szCs w:val="24"/>
          <w:lang w:val="en-GB"/>
        </w:rPr>
      </w:pPr>
      <w:proofErr w:type="spellStart"/>
      <w:r w:rsidRPr="00710DFA">
        <w:rPr>
          <w:color w:val="000000" w:themeColor="text1"/>
          <w:sz w:val="24"/>
          <w:szCs w:val="24"/>
          <w:lang w:val="en-GB"/>
        </w:rPr>
        <w:t>Barmour</w:t>
      </w:r>
      <w:proofErr w:type="spellEnd"/>
      <w:r w:rsidRPr="00710DFA">
        <w:rPr>
          <w:color w:val="000000" w:themeColor="text1"/>
          <w:sz w:val="24"/>
          <w:szCs w:val="24"/>
          <w:lang w:val="en-GB"/>
        </w:rPr>
        <w:t xml:space="preserve">, Z., Ahmadi, S. and </w:t>
      </w:r>
      <w:proofErr w:type="spellStart"/>
      <w:r w:rsidRPr="00710DFA">
        <w:rPr>
          <w:color w:val="000000" w:themeColor="text1"/>
          <w:sz w:val="24"/>
          <w:szCs w:val="24"/>
          <w:lang w:val="en-GB"/>
        </w:rPr>
        <w:t>Shokouhyar</w:t>
      </w:r>
      <w:proofErr w:type="spellEnd"/>
      <w:r w:rsidRPr="00710DFA">
        <w:rPr>
          <w:color w:val="000000" w:themeColor="text1"/>
          <w:sz w:val="24"/>
          <w:szCs w:val="24"/>
          <w:lang w:val="en-GB"/>
        </w:rPr>
        <w:t xml:space="preserve">, S. (2024). Managing supply chain resilience assessment model-relevant factors and activities using an FCM-FBWM approach. </w:t>
      </w:r>
      <w:proofErr w:type="spellStart"/>
      <w:r w:rsidRPr="00710DFA">
        <w:rPr>
          <w:i/>
          <w:iCs/>
          <w:color w:val="000000" w:themeColor="text1"/>
          <w:sz w:val="24"/>
          <w:szCs w:val="24"/>
          <w:lang w:val="en-GB"/>
        </w:rPr>
        <w:t>Heliyon</w:t>
      </w:r>
      <w:proofErr w:type="spellEnd"/>
      <w:r w:rsidRPr="00710DFA">
        <w:rPr>
          <w:color w:val="000000" w:themeColor="text1"/>
          <w:sz w:val="24"/>
          <w:szCs w:val="24"/>
          <w:lang w:val="en-GB"/>
        </w:rPr>
        <w:t xml:space="preserve">, 10(12), p.e32165.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://doi.org/10.1016/j.heliyon.2024.e32165</w:t>
      </w:r>
      <w:proofErr w:type="gramEnd"/>
      <w:r w:rsidRPr="00710DFA">
        <w:rPr>
          <w:color w:val="000000" w:themeColor="text1"/>
          <w:sz w:val="24"/>
          <w:szCs w:val="24"/>
          <w:lang w:val="en-GB"/>
        </w:rPr>
        <w:t>.</w:t>
      </w:r>
    </w:p>
    <w:p w14:paraId="754AFC7F"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Braun, V. and Clarke, V. (2022). Conceptual and design thinking for thematic analysis. </w:t>
      </w:r>
      <w:r w:rsidRPr="00710DFA">
        <w:rPr>
          <w:i/>
          <w:iCs/>
          <w:color w:val="000000" w:themeColor="text1"/>
          <w:sz w:val="24"/>
          <w:szCs w:val="24"/>
          <w:lang w:val="en-GB"/>
        </w:rPr>
        <w:t>Qualitative Psychology</w:t>
      </w:r>
      <w:r w:rsidRPr="00710DFA">
        <w:rPr>
          <w:color w:val="000000" w:themeColor="text1"/>
          <w:sz w:val="24"/>
          <w:szCs w:val="24"/>
          <w:lang w:val="en-GB"/>
        </w:rPr>
        <w:t>, 9(1), pp.3–26.</w:t>
      </w:r>
    </w:p>
    <w:p w14:paraId="58C57ACA" w14:textId="77777777" w:rsidR="00366A63" w:rsidRPr="00710DFA" w:rsidRDefault="00366A63" w:rsidP="00366A63">
      <w:pPr>
        <w:spacing w:line="360" w:lineRule="auto"/>
        <w:jc w:val="both"/>
        <w:rPr>
          <w:sz w:val="24"/>
          <w:szCs w:val="24"/>
          <w:lang w:val="en-GB"/>
        </w:rPr>
      </w:pPr>
      <w:r w:rsidRPr="00710DFA">
        <w:rPr>
          <w:sz w:val="24"/>
          <w:szCs w:val="24"/>
          <w:lang w:val="en-GB"/>
        </w:rPr>
        <w:lastRenderedPageBreak/>
        <w:t>Butt, A.S., (2022). Building resilience in retail supply chains: Lessons learned from COVID-19 and future pathways. </w:t>
      </w:r>
      <w:r w:rsidRPr="00710DFA">
        <w:rPr>
          <w:i/>
          <w:iCs/>
          <w:sz w:val="24"/>
          <w:szCs w:val="24"/>
          <w:lang w:val="en-GB"/>
        </w:rPr>
        <w:t>Benchmarking: An International Journal</w:t>
      </w:r>
      <w:r w:rsidRPr="00710DFA">
        <w:rPr>
          <w:sz w:val="24"/>
          <w:szCs w:val="24"/>
          <w:lang w:val="en-GB"/>
        </w:rPr>
        <w:t>, </w:t>
      </w:r>
      <w:r w:rsidRPr="00710DFA">
        <w:rPr>
          <w:i/>
          <w:iCs/>
          <w:sz w:val="24"/>
          <w:szCs w:val="24"/>
          <w:lang w:val="en-GB"/>
        </w:rPr>
        <w:t>29</w:t>
      </w:r>
      <w:r w:rsidRPr="00710DFA">
        <w:rPr>
          <w:sz w:val="24"/>
          <w:szCs w:val="24"/>
          <w:lang w:val="en-GB"/>
        </w:rPr>
        <w:t xml:space="preserve">(10), pp.3057-3078. </w:t>
      </w:r>
      <w:hyperlink r:id="rId23" w:history="1">
        <w:r w:rsidRPr="00710DFA">
          <w:rPr>
            <w:rStyle w:val="Hyperlink"/>
            <w:sz w:val="24"/>
            <w:szCs w:val="24"/>
            <w:lang w:val="en-GB"/>
          </w:rPr>
          <w:t>https://doi.org/10.1108/BIJ-09-2021-0514</w:t>
        </w:r>
      </w:hyperlink>
    </w:p>
    <w:p w14:paraId="2B046B87" w14:textId="77777777" w:rsidR="00366A63" w:rsidRPr="00710DFA" w:rsidRDefault="00366A63" w:rsidP="00366A63">
      <w:pPr>
        <w:spacing w:line="360" w:lineRule="auto"/>
        <w:jc w:val="both"/>
        <w:rPr>
          <w:sz w:val="24"/>
          <w:szCs w:val="24"/>
          <w:lang w:val="en-GB"/>
        </w:rPr>
      </w:pPr>
      <w:r w:rsidRPr="00710DFA">
        <w:rPr>
          <w:sz w:val="24"/>
          <w:szCs w:val="24"/>
          <w:lang w:val="en-GB"/>
        </w:rPr>
        <w:t xml:space="preserve">Chen, L., </w:t>
      </w:r>
      <w:proofErr w:type="spellStart"/>
      <w:r w:rsidRPr="00710DFA">
        <w:rPr>
          <w:sz w:val="24"/>
          <w:szCs w:val="24"/>
          <w:lang w:val="en-GB"/>
        </w:rPr>
        <w:t>Shaharudin</w:t>
      </w:r>
      <w:proofErr w:type="spellEnd"/>
      <w:r w:rsidRPr="00710DFA">
        <w:rPr>
          <w:sz w:val="24"/>
          <w:szCs w:val="24"/>
          <w:lang w:val="en-GB"/>
        </w:rPr>
        <w:t>, M.S. and Liu, J., (2026). The Impact of Supply Chain Risk Management on Organizational Resilience: The Mediating Role of Resource Reconfiguration. </w:t>
      </w:r>
      <w:r w:rsidRPr="00710DFA">
        <w:rPr>
          <w:i/>
          <w:iCs/>
          <w:sz w:val="24"/>
          <w:szCs w:val="24"/>
          <w:lang w:val="en-GB"/>
        </w:rPr>
        <w:t>Sustainability</w:t>
      </w:r>
      <w:r w:rsidRPr="00710DFA">
        <w:rPr>
          <w:sz w:val="24"/>
          <w:szCs w:val="24"/>
          <w:lang w:val="en-GB"/>
        </w:rPr>
        <w:t>, </w:t>
      </w:r>
      <w:r w:rsidRPr="00710DFA">
        <w:rPr>
          <w:i/>
          <w:iCs/>
          <w:sz w:val="24"/>
          <w:szCs w:val="24"/>
          <w:lang w:val="en-GB"/>
        </w:rPr>
        <w:t>18</w:t>
      </w:r>
      <w:r w:rsidRPr="00710DFA">
        <w:rPr>
          <w:sz w:val="24"/>
          <w:szCs w:val="24"/>
          <w:lang w:val="en-GB"/>
        </w:rPr>
        <w:t>(8), p.3654. https://doi.org/10.3390/su18083654</w:t>
      </w:r>
    </w:p>
    <w:p w14:paraId="639DF335"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Choi, T.Y., Rogers, D. and Vakil, B. (2020). </w:t>
      </w:r>
      <w:r w:rsidRPr="00710DFA">
        <w:rPr>
          <w:i/>
          <w:iCs/>
          <w:color w:val="000000" w:themeColor="text1"/>
          <w:sz w:val="24"/>
          <w:szCs w:val="24"/>
          <w:lang w:val="en-GB"/>
        </w:rPr>
        <w:t>Coronavirus Is a Wake-Up Call for Supply Chain Management</w:t>
      </w:r>
      <w:r w:rsidRPr="00710DFA">
        <w:rPr>
          <w:color w:val="000000" w:themeColor="text1"/>
          <w:sz w:val="24"/>
          <w:szCs w:val="24"/>
          <w:lang w:val="en-GB"/>
        </w:rPr>
        <w:t>. [online] Harvard Business Review. Available at: https://hbr.org/2020/03/coronavirus-is-a-wake-up-call-for-supply-chain-management.</w:t>
      </w:r>
    </w:p>
    <w:p w14:paraId="3D8817F0"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Coulston, F., Lynch, F. and </w:t>
      </w:r>
      <w:proofErr w:type="spellStart"/>
      <w:r w:rsidRPr="00710DFA">
        <w:rPr>
          <w:color w:val="000000" w:themeColor="text1"/>
          <w:sz w:val="24"/>
          <w:szCs w:val="24"/>
          <w:lang w:val="en-GB"/>
        </w:rPr>
        <w:t>Vears</w:t>
      </w:r>
      <w:proofErr w:type="spellEnd"/>
      <w:r w:rsidRPr="00710DFA">
        <w:rPr>
          <w:color w:val="000000" w:themeColor="text1"/>
          <w:sz w:val="24"/>
          <w:szCs w:val="24"/>
          <w:lang w:val="en-GB"/>
        </w:rPr>
        <w:t xml:space="preserve">, D.F. (2025). Collaborative coding in inductive content analysis: Why, when, and how to do it. </w:t>
      </w:r>
      <w:r w:rsidRPr="00710DFA">
        <w:rPr>
          <w:i/>
          <w:iCs/>
          <w:color w:val="000000" w:themeColor="text1"/>
          <w:sz w:val="24"/>
          <w:szCs w:val="24"/>
          <w:lang w:val="en-GB"/>
        </w:rPr>
        <w:t xml:space="preserve">Journal of Genetic </w:t>
      </w:r>
      <w:proofErr w:type="spellStart"/>
      <w:r w:rsidRPr="00710DFA">
        <w:rPr>
          <w:i/>
          <w:iCs/>
          <w:color w:val="000000" w:themeColor="text1"/>
          <w:sz w:val="24"/>
          <w:szCs w:val="24"/>
          <w:lang w:val="en-GB"/>
        </w:rPr>
        <w:t>Counseling</w:t>
      </w:r>
      <w:proofErr w:type="spellEnd"/>
      <w:r w:rsidRPr="00710DFA">
        <w:rPr>
          <w:color w:val="000000" w:themeColor="text1"/>
          <w:sz w:val="24"/>
          <w:szCs w:val="24"/>
          <w:lang w:val="en-GB"/>
        </w:rPr>
        <w:t xml:space="preserve">, 34(3).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://doi.org/10.1002/jgc4.70030</w:t>
      </w:r>
      <w:proofErr w:type="gramEnd"/>
      <w:r w:rsidRPr="00710DFA">
        <w:rPr>
          <w:color w:val="000000" w:themeColor="text1"/>
          <w:sz w:val="24"/>
          <w:szCs w:val="24"/>
          <w:lang w:val="en-GB"/>
        </w:rPr>
        <w:t>.</w:t>
      </w:r>
    </w:p>
    <w:p w14:paraId="290B2A4E"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Dangol, R., Eunni, R.V., Bateman, P.J. and </w:t>
      </w:r>
      <w:proofErr w:type="spellStart"/>
      <w:r w:rsidRPr="00710DFA">
        <w:rPr>
          <w:color w:val="000000" w:themeColor="text1"/>
          <w:sz w:val="24"/>
          <w:szCs w:val="24"/>
          <w:lang w:val="en-GB"/>
        </w:rPr>
        <w:t>Marculetiu</w:t>
      </w:r>
      <w:proofErr w:type="spellEnd"/>
      <w:r w:rsidRPr="00710DFA">
        <w:rPr>
          <w:color w:val="000000" w:themeColor="text1"/>
          <w:sz w:val="24"/>
          <w:szCs w:val="24"/>
          <w:lang w:val="en-GB"/>
        </w:rPr>
        <w:t xml:space="preserve">, A. (2024). Aligning cooperative supply chain relationships with firm strategy: a cross-disciplinary analysis. </w:t>
      </w:r>
      <w:r w:rsidRPr="00710DFA">
        <w:rPr>
          <w:i/>
          <w:iCs/>
          <w:color w:val="000000" w:themeColor="text1"/>
          <w:sz w:val="24"/>
          <w:szCs w:val="24"/>
          <w:lang w:val="en-GB"/>
        </w:rPr>
        <w:t>Management research review</w:t>
      </w:r>
      <w:r w:rsidRPr="00710DFA">
        <w:rPr>
          <w:color w:val="000000" w:themeColor="text1"/>
          <w:sz w:val="24"/>
          <w:szCs w:val="24"/>
          <w:lang w:val="en-GB"/>
        </w:rPr>
        <w:t xml:space="preserve">.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://doi.org/10.1108/mrr-08-2023-0614</w:t>
      </w:r>
      <w:proofErr w:type="gramEnd"/>
      <w:r w:rsidRPr="00710DFA">
        <w:rPr>
          <w:color w:val="000000" w:themeColor="text1"/>
          <w:sz w:val="24"/>
          <w:szCs w:val="24"/>
          <w:lang w:val="en-GB"/>
        </w:rPr>
        <w:t>.</w:t>
      </w:r>
    </w:p>
    <w:p w14:paraId="2C62BD31"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Duong, A.T.B., Vo, V.X., do Sameiro Carvalho, M., Sampaio, P. and Truong, H.Q., (2023). Risks and supply chain performance: globalization and COVID-19 perspectives. </w:t>
      </w:r>
      <w:r w:rsidRPr="00710DFA">
        <w:rPr>
          <w:i/>
          <w:iCs/>
          <w:color w:val="000000" w:themeColor="text1"/>
          <w:sz w:val="24"/>
          <w:szCs w:val="24"/>
          <w:lang w:val="en-GB"/>
        </w:rPr>
        <w:t>International Journal of Productivity and Performance Management</w:t>
      </w:r>
      <w:r w:rsidRPr="00710DFA">
        <w:rPr>
          <w:color w:val="000000" w:themeColor="text1"/>
          <w:sz w:val="24"/>
          <w:szCs w:val="24"/>
          <w:lang w:val="en-GB"/>
        </w:rPr>
        <w:t>, </w:t>
      </w:r>
      <w:r w:rsidRPr="00710DFA">
        <w:rPr>
          <w:i/>
          <w:iCs/>
          <w:color w:val="000000" w:themeColor="text1"/>
          <w:sz w:val="24"/>
          <w:szCs w:val="24"/>
          <w:lang w:val="en-GB"/>
        </w:rPr>
        <w:t>72</w:t>
      </w:r>
      <w:r w:rsidRPr="00710DFA">
        <w:rPr>
          <w:color w:val="000000" w:themeColor="text1"/>
          <w:sz w:val="24"/>
          <w:szCs w:val="24"/>
          <w:lang w:val="en-GB"/>
        </w:rPr>
        <w:t>(7), pp.1962-1986.</w:t>
      </w:r>
    </w:p>
    <w:p w14:paraId="6300C5E2"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Farooq, M.U., Hussain, A., Masood, T. and Habib, M.S., (2021). Supply chain operations management in pandemics: A state-of-the-art review inspired by COVID-19. </w:t>
      </w:r>
      <w:r w:rsidRPr="00710DFA">
        <w:rPr>
          <w:i/>
          <w:iCs/>
          <w:color w:val="000000" w:themeColor="text1"/>
          <w:sz w:val="24"/>
          <w:szCs w:val="24"/>
          <w:lang w:val="en-GB"/>
        </w:rPr>
        <w:t>Sustainability</w:t>
      </w:r>
      <w:r w:rsidRPr="00710DFA">
        <w:rPr>
          <w:color w:val="000000" w:themeColor="text1"/>
          <w:sz w:val="24"/>
          <w:szCs w:val="24"/>
          <w:lang w:val="en-GB"/>
        </w:rPr>
        <w:t>, </w:t>
      </w:r>
      <w:r w:rsidRPr="00710DFA">
        <w:rPr>
          <w:i/>
          <w:iCs/>
          <w:color w:val="000000" w:themeColor="text1"/>
          <w:sz w:val="24"/>
          <w:szCs w:val="24"/>
          <w:lang w:val="en-GB"/>
        </w:rPr>
        <w:t>13</w:t>
      </w:r>
      <w:r w:rsidRPr="00710DFA">
        <w:rPr>
          <w:color w:val="000000" w:themeColor="text1"/>
          <w:sz w:val="24"/>
          <w:szCs w:val="24"/>
          <w:lang w:val="en-GB"/>
        </w:rPr>
        <w:t>(5), p.2504.</w:t>
      </w:r>
    </w:p>
    <w:p w14:paraId="2FB45B13" w14:textId="77777777" w:rsidR="00366A63" w:rsidRPr="00710DFA" w:rsidRDefault="00366A63" w:rsidP="00366A63">
      <w:pPr>
        <w:spacing w:line="360" w:lineRule="auto"/>
        <w:jc w:val="both"/>
        <w:rPr>
          <w:sz w:val="24"/>
          <w:szCs w:val="24"/>
          <w:lang w:val="en-GB"/>
        </w:rPr>
      </w:pPr>
      <w:r w:rsidRPr="00710DFA">
        <w:rPr>
          <w:sz w:val="24"/>
          <w:szCs w:val="24"/>
          <w:lang w:val="en-GB"/>
        </w:rPr>
        <w:t>Farrukh, A. and Sajjad, A., (2025). Investigating supply chain disruptions and resilience in the textile industry: A systemic risk theory and dynamic capability-based view. </w:t>
      </w:r>
      <w:r w:rsidRPr="00710DFA">
        <w:rPr>
          <w:i/>
          <w:iCs/>
          <w:sz w:val="24"/>
          <w:szCs w:val="24"/>
          <w:lang w:val="en-GB"/>
        </w:rPr>
        <w:t>Global Journal of Flexible Systems Management</w:t>
      </w:r>
      <w:r w:rsidRPr="00710DFA">
        <w:rPr>
          <w:sz w:val="24"/>
          <w:szCs w:val="24"/>
          <w:lang w:val="en-GB"/>
        </w:rPr>
        <w:t>, </w:t>
      </w:r>
      <w:r w:rsidRPr="00710DFA">
        <w:rPr>
          <w:i/>
          <w:iCs/>
          <w:sz w:val="24"/>
          <w:szCs w:val="24"/>
          <w:lang w:val="en-GB"/>
        </w:rPr>
        <w:t>26</w:t>
      </w:r>
      <w:r w:rsidRPr="00710DFA">
        <w:rPr>
          <w:sz w:val="24"/>
          <w:szCs w:val="24"/>
          <w:lang w:val="en-GB"/>
        </w:rPr>
        <w:t>(</w:t>
      </w:r>
      <w:proofErr w:type="spellStart"/>
      <w:r w:rsidRPr="00710DFA">
        <w:rPr>
          <w:sz w:val="24"/>
          <w:szCs w:val="24"/>
          <w:lang w:val="en-GB"/>
        </w:rPr>
        <w:t>Suppl</w:t>
      </w:r>
      <w:proofErr w:type="spellEnd"/>
      <w:r w:rsidRPr="00710DFA">
        <w:rPr>
          <w:sz w:val="24"/>
          <w:szCs w:val="24"/>
          <w:lang w:val="en-GB"/>
        </w:rPr>
        <w:t xml:space="preserve"> 1), pp.57-83.</w:t>
      </w:r>
    </w:p>
    <w:p w14:paraId="3516B7ED"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Frederico, G.F., (2021). Towards a supply chain 4.0 on the post-COVID-19 pandemic: a conceptual and strategic discussion for more resilient supply chains. </w:t>
      </w:r>
      <w:proofErr w:type="spellStart"/>
      <w:r w:rsidRPr="00710DFA">
        <w:rPr>
          <w:i/>
          <w:iCs/>
          <w:color w:val="000000" w:themeColor="text1"/>
          <w:sz w:val="24"/>
          <w:szCs w:val="24"/>
          <w:lang w:val="en-GB"/>
        </w:rPr>
        <w:t>Rajagiri</w:t>
      </w:r>
      <w:proofErr w:type="spellEnd"/>
      <w:r w:rsidRPr="00710DFA">
        <w:rPr>
          <w:i/>
          <w:iCs/>
          <w:color w:val="000000" w:themeColor="text1"/>
          <w:sz w:val="24"/>
          <w:szCs w:val="24"/>
          <w:lang w:val="en-GB"/>
        </w:rPr>
        <w:t xml:space="preserve"> Management Journal</w:t>
      </w:r>
      <w:r w:rsidRPr="00710DFA">
        <w:rPr>
          <w:color w:val="000000" w:themeColor="text1"/>
          <w:sz w:val="24"/>
          <w:szCs w:val="24"/>
          <w:lang w:val="en-GB"/>
        </w:rPr>
        <w:t>, </w:t>
      </w:r>
      <w:r w:rsidRPr="00710DFA">
        <w:rPr>
          <w:i/>
          <w:iCs/>
          <w:color w:val="000000" w:themeColor="text1"/>
          <w:sz w:val="24"/>
          <w:szCs w:val="24"/>
          <w:lang w:val="en-GB"/>
        </w:rPr>
        <w:t>15</w:t>
      </w:r>
      <w:r w:rsidRPr="00710DFA">
        <w:rPr>
          <w:color w:val="000000" w:themeColor="text1"/>
          <w:sz w:val="24"/>
          <w:szCs w:val="24"/>
          <w:lang w:val="en-GB"/>
        </w:rPr>
        <w:t>(2), pp.94-104.</w:t>
      </w:r>
    </w:p>
    <w:p w14:paraId="439AD8A3"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lastRenderedPageBreak/>
        <w:t>Garnett, P., Doherty, B. and Heron, T., (2020). Vulnerability of the United Kingdom’s food supply chains exposed by COVID-19. </w:t>
      </w:r>
      <w:r w:rsidRPr="00710DFA">
        <w:rPr>
          <w:i/>
          <w:iCs/>
          <w:color w:val="000000" w:themeColor="text1"/>
          <w:sz w:val="24"/>
          <w:szCs w:val="24"/>
          <w:lang w:val="en-GB"/>
        </w:rPr>
        <w:t>Nature Food</w:t>
      </w:r>
      <w:r w:rsidRPr="00710DFA">
        <w:rPr>
          <w:color w:val="000000" w:themeColor="text1"/>
          <w:sz w:val="24"/>
          <w:szCs w:val="24"/>
          <w:lang w:val="en-GB"/>
        </w:rPr>
        <w:t>, </w:t>
      </w:r>
      <w:r w:rsidRPr="00710DFA">
        <w:rPr>
          <w:i/>
          <w:iCs/>
          <w:color w:val="000000" w:themeColor="text1"/>
          <w:sz w:val="24"/>
          <w:szCs w:val="24"/>
          <w:lang w:val="en-GB"/>
        </w:rPr>
        <w:t>1</w:t>
      </w:r>
      <w:r w:rsidRPr="00710DFA">
        <w:rPr>
          <w:color w:val="000000" w:themeColor="text1"/>
          <w:sz w:val="24"/>
          <w:szCs w:val="24"/>
          <w:lang w:val="en-GB"/>
        </w:rPr>
        <w:t>(6), pp.315-318.</w:t>
      </w:r>
    </w:p>
    <w:p w14:paraId="2675C161" w14:textId="77777777" w:rsidR="00366A63" w:rsidRPr="00710DFA" w:rsidRDefault="00366A63" w:rsidP="00366A63">
      <w:pPr>
        <w:spacing w:line="360" w:lineRule="auto"/>
        <w:jc w:val="both"/>
        <w:rPr>
          <w:sz w:val="24"/>
          <w:szCs w:val="24"/>
          <w:lang w:val="en-GB"/>
        </w:rPr>
      </w:pPr>
      <w:r w:rsidRPr="00710DFA">
        <w:rPr>
          <w:sz w:val="24"/>
          <w:szCs w:val="24"/>
          <w:lang w:val="en-GB"/>
        </w:rPr>
        <w:t xml:space="preserve">Gaspar, T., Botelho-Guedes, F., Cerqueira, A., Baban, A., Rus, C. and Gaspar-Matos, M., (2025). Burnout as a multidimensional phenomenon: how can workplaces be healthy </w:t>
      </w:r>
      <w:proofErr w:type="gramStart"/>
      <w:r w:rsidRPr="00710DFA">
        <w:rPr>
          <w:sz w:val="24"/>
          <w:szCs w:val="24"/>
          <w:lang w:val="en-GB"/>
        </w:rPr>
        <w:t>environments?.</w:t>
      </w:r>
      <w:proofErr w:type="gramEnd"/>
      <w:r w:rsidRPr="00710DFA">
        <w:rPr>
          <w:sz w:val="24"/>
          <w:szCs w:val="24"/>
          <w:lang w:val="en-GB"/>
        </w:rPr>
        <w:t> </w:t>
      </w:r>
      <w:r w:rsidRPr="00710DFA">
        <w:rPr>
          <w:i/>
          <w:iCs/>
          <w:sz w:val="24"/>
          <w:szCs w:val="24"/>
          <w:lang w:val="en-GB"/>
        </w:rPr>
        <w:t>Journal of Public Health</w:t>
      </w:r>
      <w:r w:rsidRPr="00710DFA">
        <w:rPr>
          <w:sz w:val="24"/>
          <w:szCs w:val="24"/>
          <w:lang w:val="en-GB"/>
        </w:rPr>
        <w:t>, </w:t>
      </w:r>
      <w:r w:rsidRPr="00710DFA">
        <w:rPr>
          <w:i/>
          <w:iCs/>
          <w:sz w:val="24"/>
          <w:szCs w:val="24"/>
          <w:lang w:val="en-GB"/>
        </w:rPr>
        <w:t>33</w:t>
      </w:r>
      <w:r w:rsidRPr="00710DFA">
        <w:rPr>
          <w:sz w:val="24"/>
          <w:szCs w:val="24"/>
          <w:lang w:val="en-GB"/>
        </w:rPr>
        <w:t>(12), pp.2591-2604.</w:t>
      </w:r>
    </w:p>
    <w:p w14:paraId="0E8869C1"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 xml:space="preserve">Gaudenzi, B., Pellegrino, R. and </w:t>
      </w:r>
      <w:proofErr w:type="spellStart"/>
      <w:r w:rsidRPr="00710DFA">
        <w:rPr>
          <w:color w:val="000000" w:themeColor="text1"/>
          <w:sz w:val="24"/>
          <w:szCs w:val="24"/>
          <w:lang w:val="en-GB"/>
        </w:rPr>
        <w:t>Confente</w:t>
      </w:r>
      <w:proofErr w:type="spellEnd"/>
      <w:r w:rsidRPr="00710DFA">
        <w:rPr>
          <w:color w:val="000000" w:themeColor="text1"/>
          <w:sz w:val="24"/>
          <w:szCs w:val="24"/>
          <w:lang w:val="en-GB"/>
        </w:rPr>
        <w:t>, I., (2023). Achieving supply chain resilience in an era of disruptions: a configuration approach of capacities and strategies. </w:t>
      </w:r>
      <w:r w:rsidRPr="00710DFA">
        <w:rPr>
          <w:i/>
          <w:iCs/>
          <w:color w:val="000000" w:themeColor="text1"/>
          <w:sz w:val="24"/>
          <w:szCs w:val="24"/>
          <w:lang w:val="en-GB"/>
        </w:rPr>
        <w:t>Supply Chain Management: An International Journal</w:t>
      </w:r>
      <w:r w:rsidRPr="00710DFA">
        <w:rPr>
          <w:color w:val="000000" w:themeColor="text1"/>
          <w:sz w:val="24"/>
          <w:szCs w:val="24"/>
          <w:lang w:val="en-GB"/>
        </w:rPr>
        <w:t>, </w:t>
      </w:r>
      <w:r w:rsidRPr="00710DFA">
        <w:rPr>
          <w:i/>
          <w:iCs/>
          <w:color w:val="000000" w:themeColor="text1"/>
          <w:sz w:val="24"/>
          <w:szCs w:val="24"/>
          <w:lang w:val="en-GB"/>
        </w:rPr>
        <w:t>28</w:t>
      </w:r>
      <w:r w:rsidRPr="00710DFA">
        <w:rPr>
          <w:color w:val="000000" w:themeColor="text1"/>
          <w:sz w:val="24"/>
          <w:szCs w:val="24"/>
          <w:lang w:val="en-GB"/>
        </w:rPr>
        <w:t>(7), pp.97-111.</w:t>
      </w:r>
    </w:p>
    <w:p w14:paraId="224DB77B"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Guan, D., Wang, D., </w:t>
      </w:r>
      <w:proofErr w:type="spellStart"/>
      <w:r w:rsidRPr="00710DFA">
        <w:rPr>
          <w:color w:val="000000" w:themeColor="text1"/>
          <w:sz w:val="24"/>
          <w:szCs w:val="24"/>
          <w:lang w:val="en-GB"/>
        </w:rPr>
        <w:t>Hallegatte</w:t>
      </w:r>
      <w:proofErr w:type="spellEnd"/>
      <w:r w:rsidRPr="00710DFA">
        <w:rPr>
          <w:color w:val="000000" w:themeColor="text1"/>
          <w:sz w:val="24"/>
          <w:szCs w:val="24"/>
          <w:lang w:val="en-GB"/>
        </w:rPr>
        <w:t xml:space="preserve">, S., Davis, S.J., Huo, J., Li, S., Bai, Y., Lei, T., Xue, Q., Coffman, D., Cheng, D., Chen, P., Liang, X., Xu, B., Lu, X., Wang, S., Hubacek, K. and Gong, P. (2020). Global supply-chain effects of COVID-19 control measures. </w:t>
      </w:r>
      <w:r w:rsidRPr="00710DFA">
        <w:rPr>
          <w:i/>
          <w:iCs/>
          <w:color w:val="000000" w:themeColor="text1"/>
          <w:sz w:val="24"/>
          <w:szCs w:val="24"/>
          <w:lang w:val="en-GB"/>
        </w:rPr>
        <w:t>Nature Human Behaviour</w:t>
      </w:r>
      <w:r w:rsidRPr="00710DFA">
        <w:rPr>
          <w:color w:val="000000" w:themeColor="text1"/>
          <w:sz w:val="24"/>
          <w:szCs w:val="24"/>
          <w:lang w:val="en-GB"/>
        </w:rPr>
        <w:t xml:space="preserve">, [online] 4(6), pp.577–587.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://doi.org/10.1038/s41562-020-0896-8</w:t>
      </w:r>
      <w:proofErr w:type="gramEnd"/>
      <w:r w:rsidRPr="00710DFA">
        <w:rPr>
          <w:color w:val="000000" w:themeColor="text1"/>
          <w:sz w:val="24"/>
          <w:szCs w:val="24"/>
          <w:lang w:val="en-GB"/>
        </w:rPr>
        <w:t>.</w:t>
      </w:r>
    </w:p>
    <w:p w14:paraId="1A849D29" w14:textId="77777777" w:rsidR="00366A63" w:rsidRPr="00710DFA" w:rsidRDefault="00366A63" w:rsidP="00366A63">
      <w:pPr>
        <w:spacing w:after="160" w:line="360" w:lineRule="auto"/>
        <w:jc w:val="both"/>
        <w:rPr>
          <w:color w:val="000000" w:themeColor="text1"/>
          <w:sz w:val="24"/>
          <w:szCs w:val="24"/>
          <w:lang w:val="en-GB"/>
        </w:rPr>
      </w:pPr>
      <w:proofErr w:type="spellStart"/>
      <w:r w:rsidRPr="00710DFA">
        <w:rPr>
          <w:color w:val="000000" w:themeColor="text1"/>
          <w:sz w:val="24"/>
          <w:szCs w:val="24"/>
          <w:lang w:val="en-GB"/>
        </w:rPr>
        <w:t>Gurbuz</w:t>
      </w:r>
      <w:proofErr w:type="spellEnd"/>
      <w:r w:rsidRPr="00710DFA">
        <w:rPr>
          <w:color w:val="000000" w:themeColor="text1"/>
          <w:sz w:val="24"/>
          <w:szCs w:val="24"/>
          <w:lang w:val="en-GB"/>
        </w:rPr>
        <w:t>, M.C., Yurt, O., Ozdemir, S., Sena, V. and Yu, W., (2023). Global supply chains risks and COVID-19: Supply chain structure as a mitigating strategy for small and medium-sized enterprises. </w:t>
      </w:r>
      <w:r w:rsidRPr="00710DFA">
        <w:rPr>
          <w:i/>
          <w:iCs/>
          <w:color w:val="000000" w:themeColor="text1"/>
          <w:sz w:val="24"/>
          <w:szCs w:val="24"/>
          <w:lang w:val="en-GB"/>
        </w:rPr>
        <w:t>Journal of Business Research</w:t>
      </w:r>
      <w:r w:rsidRPr="00710DFA">
        <w:rPr>
          <w:color w:val="000000" w:themeColor="text1"/>
          <w:sz w:val="24"/>
          <w:szCs w:val="24"/>
          <w:lang w:val="en-GB"/>
        </w:rPr>
        <w:t>, </w:t>
      </w:r>
      <w:r w:rsidRPr="00710DFA">
        <w:rPr>
          <w:i/>
          <w:iCs/>
          <w:color w:val="000000" w:themeColor="text1"/>
          <w:sz w:val="24"/>
          <w:szCs w:val="24"/>
          <w:lang w:val="en-GB"/>
        </w:rPr>
        <w:t>155</w:t>
      </w:r>
      <w:r w:rsidRPr="00710DFA">
        <w:rPr>
          <w:color w:val="000000" w:themeColor="text1"/>
          <w:sz w:val="24"/>
          <w:szCs w:val="24"/>
          <w:lang w:val="en-GB"/>
        </w:rPr>
        <w:t>, p.113407.</w:t>
      </w:r>
    </w:p>
    <w:p w14:paraId="6C8DFF90"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 xml:space="preserve">Hald, K.S. and </w:t>
      </w:r>
      <w:proofErr w:type="spellStart"/>
      <w:r w:rsidRPr="00710DFA">
        <w:rPr>
          <w:color w:val="000000" w:themeColor="text1"/>
          <w:sz w:val="24"/>
          <w:szCs w:val="24"/>
          <w:lang w:val="en-GB"/>
        </w:rPr>
        <w:t>Coslugeanu</w:t>
      </w:r>
      <w:proofErr w:type="spellEnd"/>
      <w:r w:rsidRPr="00710DFA">
        <w:rPr>
          <w:color w:val="000000" w:themeColor="text1"/>
          <w:sz w:val="24"/>
          <w:szCs w:val="24"/>
          <w:lang w:val="en-GB"/>
        </w:rPr>
        <w:t xml:space="preserve">, P., (2022). The preliminary supply chain lessons of the COVID-19 disruption—What is the role of digital </w:t>
      </w:r>
      <w:proofErr w:type="gramStart"/>
      <w:r w:rsidRPr="00710DFA">
        <w:rPr>
          <w:color w:val="000000" w:themeColor="text1"/>
          <w:sz w:val="24"/>
          <w:szCs w:val="24"/>
          <w:lang w:val="en-GB"/>
        </w:rPr>
        <w:t>technologies?.</w:t>
      </w:r>
      <w:proofErr w:type="gramEnd"/>
      <w:r w:rsidRPr="00710DFA">
        <w:rPr>
          <w:color w:val="000000" w:themeColor="text1"/>
          <w:sz w:val="24"/>
          <w:szCs w:val="24"/>
          <w:lang w:val="en-GB"/>
        </w:rPr>
        <w:t> </w:t>
      </w:r>
      <w:r w:rsidRPr="00710DFA">
        <w:rPr>
          <w:i/>
          <w:iCs/>
          <w:color w:val="000000" w:themeColor="text1"/>
          <w:sz w:val="24"/>
          <w:szCs w:val="24"/>
          <w:lang w:val="en-GB"/>
        </w:rPr>
        <w:t>Operations Management Research</w:t>
      </w:r>
      <w:r w:rsidRPr="00710DFA">
        <w:rPr>
          <w:color w:val="000000" w:themeColor="text1"/>
          <w:sz w:val="24"/>
          <w:szCs w:val="24"/>
          <w:lang w:val="en-GB"/>
        </w:rPr>
        <w:t>, </w:t>
      </w:r>
      <w:r w:rsidRPr="00710DFA">
        <w:rPr>
          <w:i/>
          <w:iCs/>
          <w:color w:val="000000" w:themeColor="text1"/>
          <w:sz w:val="24"/>
          <w:szCs w:val="24"/>
          <w:lang w:val="en-GB"/>
        </w:rPr>
        <w:t>15</w:t>
      </w:r>
      <w:r w:rsidRPr="00710DFA">
        <w:rPr>
          <w:color w:val="000000" w:themeColor="text1"/>
          <w:sz w:val="24"/>
          <w:szCs w:val="24"/>
          <w:lang w:val="en-GB"/>
        </w:rPr>
        <w:t>(1), pp.282-297.</w:t>
      </w:r>
    </w:p>
    <w:p w14:paraId="1E923711" w14:textId="77777777" w:rsidR="00366A63" w:rsidRPr="00710DFA" w:rsidRDefault="00366A63" w:rsidP="00366A63">
      <w:pPr>
        <w:spacing w:line="360" w:lineRule="auto"/>
        <w:jc w:val="both"/>
        <w:rPr>
          <w:sz w:val="24"/>
          <w:szCs w:val="24"/>
          <w:lang w:val="en-GB"/>
        </w:rPr>
      </w:pPr>
      <w:r w:rsidRPr="00710DFA">
        <w:rPr>
          <w:sz w:val="24"/>
          <w:szCs w:val="24"/>
          <w:lang w:val="en-GB"/>
        </w:rPr>
        <w:t>Herold, D.M., Nowicka, K., Pluta-Zaremba, A. and Kummer, S., (2021). COVID-19 and the pursuit of supply chain resilience: Reactions and “lessons learned” from logistics service providers (LSPs). </w:t>
      </w:r>
      <w:r w:rsidRPr="00710DFA">
        <w:rPr>
          <w:i/>
          <w:iCs/>
          <w:sz w:val="24"/>
          <w:szCs w:val="24"/>
          <w:lang w:val="en-GB"/>
        </w:rPr>
        <w:t>Supply Chain Management: An International Journal</w:t>
      </w:r>
      <w:r w:rsidRPr="00710DFA">
        <w:rPr>
          <w:sz w:val="24"/>
          <w:szCs w:val="24"/>
          <w:lang w:val="en-GB"/>
        </w:rPr>
        <w:t>, </w:t>
      </w:r>
      <w:r w:rsidRPr="00710DFA">
        <w:rPr>
          <w:i/>
          <w:iCs/>
          <w:sz w:val="24"/>
          <w:szCs w:val="24"/>
          <w:lang w:val="en-GB"/>
        </w:rPr>
        <w:t>26</w:t>
      </w:r>
      <w:r w:rsidRPr="00710DFA">
        <w:rPr>
          <w:sz w:val="24"/>
          <w:szCs w:val="24"/>
          <w:lang w:val="en-GB"/>
        </w:rPr>
        <w:t xml:space="preserve">(6), pp.702-714. </w:t>
      </w:r>
      <w:hyperlink r:id="rId24" w:history="1">
        <w:r w:rsidRPr="00710DFA">
          <w:rPr>
            <w:rStyle w:val="Hyperlink"/>
            <w:sz w:val="24"/>
            <w:szCs w:val="24"/>
            <w:lang w:val="en-GB"/>
          </w:rPr>
          <w:t>https://doi.org/10.1108/SCM-09-2020-0439</w:t>
        </w:r>
      </w:hyperlink>
    </w:p>
    <w:p w14:paraId="6A575579"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Holgado, M. and Niess, A., (2023). Resilience in global supply chains: analysis of responses, recovery actions and strategic changes triggered by major disruptions. </w:t>
      </w:r>
      <w:r w:rsidRPr="00710DFA">
        <w:rPr>
          <w:i/>
          <w:iCs/>
          <w:color w:val="000000" w:themeColor="text1"/>
          <w:sz w:val="24"/>
          <w:szCs w:val="24"/>
          <w:lang w:val="en-GB"/>
        </w:rPr>
        <w:t>Supply Chain Management: An International Journal</w:t>
      </w:r>
      <w:r w:rsidRPr="00710DFA">
        <w:rPr>
          <w:color w:val="000000" w:themeColor="text1"/>
          <w:sz w:val="24"/>
          <w:szCs w:val="24"/>
          <w:lang w:val="en-GB"/>
        </w:rPr>
        <w:t>, </w:t>
      </w:r>
      <w:r w:rsidRPr="00710DFA">
        <w:rPr>
          <w:i/>
          <w:iCs/>
          <w:color w:val="000000" w:themeColor="text1"/>
          <w:sz w:val="24"/>
          <w:szCs w:val="24"/>
          <w:lang w:val="en-GB"/>
        </w:rPr>
        <w:t>28</w:t>
      </w:r>
      <w:r w:rsidRPr="00710DFA">
        <w:rPr>
          <w:color w:val="000000" w:themeColor="text1"/>
          <w:sz w:val="24"/>
          <w:szCs w:val="24"/>
          <w:lang w:val="en-GB"/>
        </w:rPr>
        <w:t>(6), pp.1040-1059.</w:t>
      </w:r>
    </w:p>
    <w:p w14:paraId="3376FC0B"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Huang, K., Wang, K., Lee, P.K.C. and Yeung, A.C.L. (2023). The impact of industry 4.0 on supply chain capability and supply chain resilience: A dynamic resource-based view. </w:t>
      </w:r>
      <w:r w:rsidRPr="00710DFA">
        <w:rPr>
          <w:i/>
          <w:iCs/>
          <w:color w:val="000000" w:themeColor="text1"/>
          <w:sz w:val="24"/>
          <w:szCs w:val="24"/>
          <w:lang w:val="en-GB"/>
        </w:rPr>
        <w:t>International Journal of Production Economics</w:t>
      </w:r>
      <w:r w:rsidRPr="00710DFA">
        <w:rPr>
          <w:color w:val="000000" w:themeColor="text1"/>
          <w:sz w:val="24"/>
          <w:szCs w:val="24"/>
          <w:lang w:val="en-GB"/>
        </w:rPr>
        <w:t xml:space="preserve">, [online] 262.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://doi.org/10.1016/j.ijpe.2023.108913</w:t>
      </w:r>
      <w:proofErr w:type="gramEnd"/>
      <w:r w:rsidRPr="00710DFA">
        <w:rPr>
          <w:color w:val="000000" w:themeColor="text1"/>
          <w:sz w:val="24"/>
          <w:szCs w:val="24"/>
          <w:lang w:val="en-GB"/>
        </w:rPr>
        <w:t>.</w:t>
      </w:r>
    </w:p>
    <w:p w14:paraId="76AFF9D9" w14:textId="77777777" w:rsidR="00366A63" w:rsidRPr="00710DFA" w:rsidRDefault="00366A63" w:rsidP="00366A63">
      <w:pPr>
        <w:spacing w:line="360" w:lineRule="auto"/>
        <w:jc w:val="both"/>
        <w:rPr>
          <w:sz w:val="24"/>
          <w:szCs w:val="24"/>
          <w:lang w:val="en-GB"/>
        </w:rPr>
      </w:pPr>
      <w:r w:rsidRPr="00710DFA">
        <w:rPr>
          <w:sz w:val="24"/>
          <w:szCs w:val="24"/>
          <w:lang w:val="en-GB"/>
        </w:rPr>
        <w:lastRenderedPageBreak/>
        <w:t>Islam, M.S., Hoque, I., Rahman, S.M. and Salam, M.A., (2023). Evaluating supply chain resilience using supply chain management competencies in the garment industry: a post COVID analysis. </w:t>
      </w:r>
      <w:r w:rsidRPr="00710DFA">
        <w:rPr>
          <w:i/>
          <w:iCs/>
          <w:sz w:val="24"/>
          <w:szCs w:val="24"/>
          <w:lang w:val="en-GB"/>
        </w:rPr>
        <w:t>Journal of Industrial and Production Engineering</w:t>
      </w:r>
      <w:r w:rsidRPr="00710DFA">
        <w:rPr>
          <w:sz w:val="24"/>
          <w:szCs w:val="24"/>
          <w:lang w:val="en-GB"/>
        </w:rPr>
        <w:t>, </w:t>
      </w:r>
      <w:r w:rsidRPr="00710DFA">
        <w:rPr>
          <w:i/>
          <w:iCs/>
          <w:sz w:val="24"/>
          <w:szCs w:val="24"/>
          <w:lang w:val="en-GB"/>
        </w:rPr>
        <w:t>40</w:t>
      </w:r>
      <w:r w:rsidRPr="00710DFA">
        <w:rPr>
          <w:sz w:val="24"/>
          <w:szCs w:val="24"/>
          <w:lang w:val="en-GB"/>
        </w:rPr>
        <w:t xml:space="preserve">(5), pp.323-342. </w:t>
      </w:r>
      <w:hyperlink r:id="rId25" w:history="1">
        <w:r w:rsidRPr="00710DFA">
          <w:rPr>
            <w:rStyle w:val="Hyperlink"/>
            <w:sz w:val="24"/>
            <w:szCs w:val="24"/>
            <w:lang w:val="en-GB"/>
          </w:rPr>
          <w:t>https://doi.org/10.1080/21681015.2023.2197907</w:t>
        </w:r>
      </w:hyperlink>
    </w:p>
    <w:p w14:paraId="58110173"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Ivanov, D. (2020). Predicting the Impacts of Epidemic Outbreaks on Global Supply chains: a simulation-based Analysis on the Coronavirus Outbreak (COVID-19/SARS-CoV-2) Case. </w:t>
      </w:r>
      <w:r w:rsidRPr="00710DFA">
        <w:rPr>
          <w:i/>
          <w:iCs/>
          <w:color w:val="000000" w:themeColor="text1"/>
          <w:sz w:val="24"/>
          <w:szCs w:val="24"/>
          <w:lang w:val="en-GB"/>
        </w:rPr>
        <w:t>Transportation Research Part E: Logistics and Transportation Review</w:t>
      </w:r>
      <w:r w:rsidRPr="00710DFA">
        <w:rPr>
          <w:color w:val="000000" w:themeColor="text1"/>
          <w:sz w:val="24"/>
          <w:szCs w:val="24"/>
          <w:lang w:val="en-GB"/>
        </w:rPr>
        <w:t xml:space="preserve">, 136(1), p.101922.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://doi.org/10.1016/j.tre.2020.101922</w:t>
      </w:r>
      <w:proofErr w:type="gramEnd"/>
      <w:r w:rsidRPr="00710DFA">
        <w:rPr>
          <w:color w:val="000000" w:themeColor="text1"/>
          <w:sz w:val="24"/>
          <w:szCs w:val="24"/>
          <w:lang w:val="en-GB"/>
        </w:rPr>
        <w:t>.</w:t>
      </w:r>
    </w:p>
    <w:p w14:paraId="1F71904A"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Ivanov, D. and </w:t>
      </w:r>
      <w:proofErr w:type="spellStart"/>
      <w:r w:rsidRPr="00710DFA">
        <w:rPr>
          <w:color w:val="000000" w:themeColor="text1"/>
          <w:sz w:val="24"/>
          <w:szCs w:val="24"/>
          <w:lang w:val="en-GB"/>
        </w:rPr>
        <w:t>Dolgui</w:t>
      </w:r>
      <w:proofErr w:type="spellEnd"/>
      <w:r w:rsidRPr="00710DFA">
        <w:rPr>
          <w:color w:val="000000" w:themeColor="text1"/>
          <w:sz w:val="24"/>
          <w:szCs w:val="24"/>
          <w:lang w:val="en-GB"/>
        </w:rPr>
        <w:t xml:space="preserve">, A. (2020). OR-methods for coping with the ripple effect in supply chains during COVID-19 pandemic: Managerial insights and research implications. </w:t>
      </w:r>
      <w:r w:rsidRPr="00710DFA">
        <w:rPr>
          <w:i/>
          <w:iCs/>
          <w:color w:val="000000" w:themeColor="text1"/>
          <w:sz w:val="24"/>
          <w:szCs w:val="24"/>
          <w:lang w:val="en-GB"/>
        </w:rPr>
        <w:t>International Journal of Production Economics</w:t>
      </w:r>
      <w:r w:rsidRPr="00710DFA">
        <w:rPr>
          <w:color w:val="000000" w:themeColor="text1"/>
          <w:sz w:val="24"/>
          <w:szCs w:val="24"/>
          <w:lang w:val="en-GB"/>
        </w:rPr>
        <w:t xml:space="preserve">, 232(107921), p.107921.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://doi.org/10.1016/j.ijpe.2020.107921</w:t>
      </w:r>
      <w:proofErr w:type="gramEnd"/>
      <w:r w:rsidRPr="00710DFA">
        <w:rPr>
          <w:color w:val="000000" w:themeColor="text1"/>
          <w:sz w:val="24"/>
          <w:szCs w:val="24"/>
          <w:lang w:val="en-GB"/>
        </w:rPr>
        <w:t>.</w:t>
      </w:r>
    </w:p>
    <w:p w14:paraId="62B935DB" w14:textId="77777777" w:rsidR="00366A63" w:rsidRPr="00710DFA" w:rsidRDefault="00366A63" w:rsidP="00366A63">
      <w:pPr>
        <w:spacing w:line="360" w:lineRule="auto"/>
        <w:jc w:val="both"/>
        <w:rPr>
          <w:sz w:val="24"/>
          <w:szCs w:val="24"/>
          <w:lang w:val="en-GB"/>
        </w:rPr>
      </w:pPr>
      <w:r w:rsidRPr="00710DFA">
        <w:rPr>
          <w:sz w:val="24"/>
          <w:szCs w:val="24"/>
          <w:lang w:val="en-GB"/>
        </w:rPr>
        <w:t>J Nair, A., Manohar, S. and Mittal, A., (2024). Reconfiguration and transformation for resilience: Building service organizations towards sustainability. </w:t>
      </w:r>
      <w:r w:rsidRPr="00710DFA">
        <w:rPr>
          <w:i/>
          <w:iCs/>
          <w:sz w:val="24"/>
          <w:szCs w:val="24"/>
          <w:lang w:val="en-GB"/>
        </w:rPr>
        <w:t>Journal of Services Marketing</w:t>
      </w:r>
      <w:r w:rsidRPr="00710DFA">
        <w:rPr>
          <w:sz w:val="24"/>
          <w:szCs w:val="24"/>
          <w:lang w:val="en-GB"/>
        </w:rPr>
        <w:t>, </w:t>
      </w:r>
      <w:r w:rsidRPr="00710DFA">
        <w:rPr>
          <w:i/>
          <w:iCs/>
          <w:sz w:val="24"/>
          <w:szCs w:val="24"/>
          <w:lang w:val="en-GB"/>
        </w:rPr>
        <w:t>38</w:t>
      </w:r>
      <w:r w:rsidRPr="00710DFA">
        <w:rPr>
          <w:sz w:val="24"/>
          <w:szCs w:val="24"/>
          <w:lang w:val="en-GB"/>
        </w:rPr>
        <w:t xml:space="preserve">(4), pp.404-425. </w:t>
      </w:r>
      <w:hyperlink r:id="rId26" w:history="1">
        <w:r w:rsidRPr="00710DFA">
          <w:rPr>
            <w:rStyle w:val="Hyperlink"/>
            <w:sz w:val="24"/>
            <w:szCs w:val="24"/>
            <w:lang w:val="en-GB"/>
          </w:rPr>
          <w:t>https://doi.org/10.1108/JSM-04-2023-0144</w:t>
        </w:r>
      </w:hyperlink>
    </w:p>
    <w:p w14:paraId="7653FDA1"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Jucevičius, G. and </w:t>
      </w:r>
      <w:proofErr w:type="spellStart"/>
      <w:r w:rsidRPr="00710DFA">
        <w:rPr>
          <w:color w:val="000000" w:themeColor="text1"/>
          <w:sz w:val="24"/>
          <w:szCs w:val="24"/>
          <w:lang w:val="en-GB"/>
        </w:rPr>
        <w:t>Jucevičienė</w:t>
      </w:r>
      <w:proofErr w:type="spellEnd"/>
      <w:r w:rsidRPr="00710DFA">
        <w:rPr>
          <w:color w:val="000000" w:themeColor="text1"/>
          <w:sz w:val="24"/>
          <w:szCs w:val="24"/>
          <w:lang w:val="en-GB"/>
        </w:rPr>
        <w:t xml:space="preserve">, R. (2022). Enabling collaborative dynamic capabilities in strategic communities: Firm- vs. network-centric perspectives. </w:t>
      </w:r>
      <w:r w:rsidRPr="00710DFA">
        <w:rPr>
          <w:i/>
          <w:iCs/>
          <w:color w:val="000000" w:themeColor="text1"/>
          <w:sz w:val="24"/>
          <w:szCs w:val="24"/>
          <w:lang w:val="en-GB"/>
        </w:rPr>
        <w:t>Journal of Management &amp; Organization</w:t>
      </w:r>
      <w:r w:rsidRPr="00710DFA">
        <w:rPr>
          <w:color w:val="000000" w:themeColor="text1"/>
          <w:sz w:val="24"/>
          <w:szCs w:val="24"/>
          <w:lang w:val="en-GB"/>
        </w:rPr>
        <w:t xml:space="preserve">, 28(3), pp.587–604.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://doi.org/10.1017/jmo.2022.37</w:t>
      </w:r>
      <w:proofErr w:type="gramEnd"/>
      <w:r w:rsidRPr="00710DFA">
        <w:rPr>
          <w:color w:val="000000" w:themeColor="text1"/>
          <w:sz w:val="24"/>
          <w:szCs w:val="24"/>
          <w:lang w:val="en-GB"/>
        </w:rPr>
        <w:t>.</w:t>
      </w:r>
    </w:p>
    <w:p w14:paraId="0F35F8FC" w14:textId="77777777" w:rsidR="00366A63" w:rsidRPr="00710DFA" w:rsidRDefault="00366A63" w:rsidP="00366A63">
      <w:pPr>
        <w:spacing w:line="360" w:lineRule="auto"/>
        <w:jc w:val="both"/>
        <w:rPr>
          <w:sz w:val="24"/>
          <w:szCs w:val="24"/>
          <w:lang w:val="en-GB"/>
        </w:rPr>
      </w:pPr>
      <w:r w:rsidRPr="00710DFA">
        <w:rPr>
          <w:sz w:val="24"/>
          <w:szCs w:val="24"/>
          <w:lang w:val="en-GB"/>
        </w:rPr>
        <w:t xml:space="preserve">Kähkönen, A.K., Evangelista, P., Hallikas, J., Immonen, M. and </w:t>
      </w:r>
      <w:proofErr w:type="spellStart"/>
      <w:r w:rsidRPr="00710DFA">
        <w:rPr>
          <w:sz w:val="24"/>
          <w:szCs w:val="24"/>
          <w:lang w:val="en-GB"/>
        </w:rPr>
        <w:t>Lintukangas</w:t>
      </w:r>
      <w:proofErr w:type="spellEnd"/>
      <w:r w:rsidRPr="00710DFA">
        <w:rPr>
          <w:sz w:val="24"/>
          <w:szCs w:val="24"/>
          <w:lang w:val="en-GB"/>
        </w:rPr>
        <w:t>, K., (2023). COVID-19 as a trigger for dynamic capability development and supply chain resilience improvement. </w:t>
      </w:r>
      <w:r w:rsidRPr="00710DFA">
        <w:rPr>
          <w:i/>
          <w:iCs/>
          <w:sz w:val="24"/>
          <w:szCs w:val="24"/>
          <w:lang w:val="en-GB"/>
        </w:rPr>
        <w:t>International Journal of Production Research</w:t>
      </w:r>
      <w:r w:rsidRPr="00710DFA">
        <w:rPr>
          <w:sz w:val="24"/>
          <w:szCs w:val="24"/>
          <w:lang w:val="en-GB"/>
        </w:rPr>
        <w:t>, </w:t>
      </w:r>
      <w:r w:rsidRPr="00710DFA">
        <w:rPr>
          <w:i/>
          <w:iCs/>
          <w:sz w:val="24"/>
          <w:szCs w:val="24"/>
          <w:lang w:val="en-GB"/>
        </w:rPr>
        <w:t>61</w:t>
      </w:r>
      <w:r w:rsidRPr="00710DFA">
        <w:rPr>
          <w:sz w:val="24"/>
          <w:szCs w:val="24"/>
          <w:lang w:val="en-GB"/>
        </w:rPr>
        <w:t xml:space="preserve">(8), pp.2696-2715. </w:t>
      </w:r>
      <w:hyperlink r:id="rId27" w:history="1">
        <w:r w:rsidRPr="00710DFA">
          <w:rPr>
            <w:rStyle w:val="Hyperlink"/>
            <w:sz w:val="24"/>
            <w:szCs w:val="24"/>
            <w:lang w:val="en-GB"/>
          </w:rPr>
          <w:t>https://doi.org/10.1080/00207543.2021.2009588</w:t>
        </w:r>
      </w:hyperlink>
    </w:p>
    <w:p w14:paraId="249D99D0"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Khan, S., Haleem, A., Deshmukh, S.G. and Javaid, M., (2021). Exploring the impact of COVID-19 pandemic on medical supply chain disruption. </w:t>
      </w:r>
      <w:r w:rsidRPr="00710DFA">
        <w:rPr>
          <w:i/>
          <w:iCs/>
          <w:color w:val="000000" w:themeColor="text1"/>
          <w:sz w:val="24"/>
          <w:szCs w:val="24"/>
          <w:lang w:val="en-GB"/>
        </w:rPr>
        <w:t>Journal of industrial integration and management</w:t>
      </w:r>
      <w:r w:rsidRPr="00710DFA">
        <w:rPr>
          <w:color w:val="000000" w:themeColor="text1"/>
          <w:sz w:val="24"/>
          <w:szCs w:val="24"/>
          <w:lang w:val="en-GB"/>
        </w:rPr>
        <w:t>, </w:t>
      </w:r>
      <w:r w:rsidRPr="00710DFA">
        <w:rPr>
          <w:i/>
          <w:iCs/>
          <w:color w:val="000000" w:themeColor="text1"/>
          <w:sz w:val="24"/>
          <w:szCs w:val="24"/>
          <w:lang w:val="en-GB"/>
        </w:rPr>
        <w:t>6</w:t>
      </w:r>
      <w:r w:rsidRPr="00710DFA">
        <w:rPr>
          <w:color w:val="000000" w:themeColor="text1"/>
          <w:sz w:val="24"/>
          <w:szCs w:val="24"/>
          <w:lang w:val="en-GB"/>
        </w:rPr>
        <w:t>(02), pp.235-255.</w:t>
      </w:r>
    </w:p>
    <w:p w14:paraId="4D22983A"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 xml:space="preserve">Kiyota, K. (2021). The COVID-19 Pandemic and the World Trade Network. </w:t>
      </w:r>
      <w:r w:rsidRPr="00710DFA">
        <w:rPr>
          <w:i/>
          <w:iCs/>
          <w:color w:val="000000" w:themeColor="text1"/>
          <w:sz w:val="24"/>
          <w:szCs w:val="24"/>
          <w:lang w:val="en-GB"/>
        </w:rPr>
        <w:t>Journal of Asian Economics</w:t>
      </w:r>
      <w:r w:rsidRPr="00710DFA">
        <w:rPr>
          <w:color w:val="000000" w:themeColor="text1"/>
          <w:sz w:val="24"/>
          <w:szCs w:val="24"/>
          <w:lang w:val="en-GB"/>
        </w:rPr>
        <w:t xml:space="preserve">, p.101419.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://doi.org/10.1016/j.asieco.2021.101419</w:t>
      </w:r>
      <w:proofErr w:type="gramEnd"/>
      <w:r w:rsidRPr="00710DFA">
        <w:rPr>
          <w:color w:val="000000" w:themeColor="text1"/>
          <w:sz w:val="24"/>
          <w:szCs w:val="24"/>
          <w:lang w:val="en-GB"/>
        </w:rPr>
        <w:t>.</w:t>
      </w:r>
    </w:p>
    <w:p w14:paraId="4336D6D7"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lastRenderedPageBreak/>
        <w:t xml:space="preserve">Li, D., Zhi, B., Schoenherr, T. and Wang, X. (2023). Developing capabilities for supply chain resilience in a post-COVID world: A machine learning-based thematic analysis. </w:t>
      </w:r>
      <w:r w:rsidRPr="00710DFA">
        <w:rPr>
          <w:i/>
          <w:iCs/>
          <w:color w:val="000000" w:themeColor="text1"/>
          <w:sz w:val="24"/>
          <w:szCs w:val="24"/>
          <w:lang w:val="en-GB"/>
        </w:rPr>
        <w:t>IISE Transactions</w:t>
      </w:r>
      <w:r w:rsidRPr="00710DFA">
        <w:rPr>
          <w:color w:val="000000" w:themeColor="text1"/>
          <w:sz w:val="24"/>
          <w:szCs w:val="24"/>
          <w:lang w:val="en-GB"/>
        </w:rPr>
        <w:t xml:space="preserve">, 55(12), pp.1–21.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://doi.org/10.1080/24725854.2023.2176951</w:t>
      </w:r>
      <w:proofErr w:type="gramEnd"/>
      <w:r w:rsidRPr="00710DFA">
        <w:rPr>
          <w:color w:val="000000" w:themeColor="text1"/>
          <w:sz w:val="24"/>
          <w:szCs w:val="24"/>
          <w:lang w:val="en-GB"/>
        </w:rPr>
        <w:t>.</w:t>
      </w:r>
    </w:p>
    <w:p w14:paraId="29DCD3EB" w14:textId="77777777" w:rsidR="00366A63" w:rsidRPr="00710DFA" w:rsidRDefault="00366A63" w:rsidP="00366A63">
      <w:pPr>
        <w:spacing w:line="360" w:lineRule="auto"/>
        <w:jc w:val="both"/>
        <w:rPr>
          <w:sz w:val="24"/>
          <w:szCs w:val="24"/>
          <w:lang w:val="en-GB"/>
        </w:rPr>
      </w:pPr>
      <w:r w:rsidRPr="00710DFA">
        <w:rPr>
          <w:sz w:val="24"/>
          <w:szCs w:val="24"/>
          <w:lang w:val="en-GB"/>
        </w:rPr>
        <w:t>Li, Y., Xia, X., Wang, Y. and Huang, Q., (2026). Geopolitical Risk and Shipping Supply Chain Resilience: Systemic Characteristics, Impact Mechanisms, and the Security of Logistics Nodes. </w:t>
      </w:r>
      <w:r w:rsidRPr="00710DFA">
        <w:rPr>
          <w:i/>
          <w:iCs/>
          <w:sz w:val="24"/>
          <w:szCs w:val="24"/>
          <w:lang w:val="en-GB"/>
        </w:rPr>
        <w:t>Systems</w:t>
      </w:r>
      <w:r w:rsidRPr="00710DFA">
        <w:rPr>
          <w:sz w:val="24"/>
          <w:szCs w:val="24"/>
          <w:lang w:val="en-GB"/>
        </w:rPr>
        <w:t>, </w:t>
      </w:r>
      <w:r w:rsidRPr="00710DFA">
        <w:rPr>
          <w:i/>
          <w:iCs/>
          <w:sz w:val="24"/>
          <w:szCs w:val="24"/>
          <w:lang w:val="en-GB"/>
        </w:rPr>
        <w:t>14</w:t>
      </w:r>
      <w:r w:rsidRPr="00710DFA">
        <w:rPr>
          <w:sz w:val="24"/>
          <w:szCs w:val="24"/>
          <w:lang w:val="en-GB"/>
        </w:rPr>
        <w:t xml:space="preserve">(4), p.427. </w:t>
      </w:r>
      <w:hyperlink r:id="rId28" w:history="1">
        <w:r w:rsidRPr="00710DFA">
          <w:rPr>
            <w:rStyle w:val="Hyperlink"/>
            <w:sz w:val="24"/>
            <w:szCs w:val="24"/>
            <w:lang w:val="en-GB"/>
          </w:rPr>
          <w:t>https://doi.org/10.3390/systems14040427</w:t>
        </w:r>
      </w:hyperlink>
    </w:p>
    <w:p w14:paraId="17BAA1BC" w14:textId="77777777" w:rsidR="00366A63" w:rsidRPr="00710DFA" w:rsidRDefault="00366A63" w:rsidP="00366A63">
      <w:pPr>
        <w:spacing w:line="360" w:lineRule="auto"/>
        <w:jc w:val="both"/>
        <w:rPr>
          <w:sz w:val="24"/>
          <w:szCs w:val="24"/>
          <w:lang w:val="en-GB"/>
        </w:rPr>
      </w:pPr>
      <w:r w:rsidRPr="00710DFA">
        <w:rPr>
          <w:sz w:val="24"/>
          <w:szCs w:val="24"/>
          <w:lang w:val="en-GB"/>
        </w:rPr>
        <w:t>Long, H., Zhang, H., Wu, T. and Han, J., (2025). The effect of resource restructuring on supply chain resilience in the context of digital transformation. </w:t>
      </w:r>
      <w:r w:rsidRPr="00710DFA">
        <w:rPr>
          <w:i/>
          <w:iCs/>
          <w:sz w:val="24"/>
          <w:szCs w:val="24"/>
          <w:lang w:val="en-GB"/>
        </w:rPr>
        <w:t>Systems</w:t>
      </w:r>
      <w:r w:rsidRPr="00710DFA">
        <w:rPr>
          <w:sz w:val="24"/>
          <w:szCs w:val="24"/>
          <w:lang w:val="en-GB"/>
        </w:rPr>
        <w:t>, </w:t>
      </w:r>
      <w:r w:rsidRPr="00710DFA">
        <w:rPr>
          <w:i/>
          <w:iCs/>
          <w:sz w:val="24"/>
          <w:szCs w:val="24"/>
          <w:lang w:val="en-GB"/>
        </w:rPr>
        <w:t>13</w:t>
      </w:r>
      <w:r w:rsidRPr="00710DFA">
        <w:rPr>
          <w:sz w:val="24"/>
          <w:szCs w:val="24"/>
          <w:lang w:val="en-GB"/>
        </w:rPr>
        <w:t xml:space="preserve">(5), p.324. </w:t>
      </w:r>
      <w:hyperlink r:id="rId29" w:history="1">
        <w:r w:rsidRPr="00710DFA">
          <w:rPr>
            <w:rStyle w:val="Hyperlink"/>
            <w:sz w:val="24"/>
            <w:szCs w:val="24"/>
            <w:lang w:val="en-GB"/>
          </w:rPr>
          <w:t>https://doi.org/10.3390/systems13050324</w:t>
        </w:r>
      </w:hyperlink>
    </w:p>
    <w:p w14:paraId="6DDB6816" w14:textId="77777777" w:rsidR="00366A63" w:rsidRPr="00710DFA" w:rsidRDefault="00366A63" w:rsidP="00366A63">
      <w:pPr>
        <w:spacing w:after="240" w:line="360" w:lineRule="auto"/>
        <w:jc w:val="both"/>
        <w:rPr>
          <w:color w:val="000000" w:themeColor="text1"/>
          <w:sz w:val="24"/>
          <w:szCs w:val="24"/>
          <w:lang w:val="en-GB"/>
        </w:rPr>
      </w:pPr>
      <w:proofErr w:type="spellStart"/>
      <w:r w:rsidRPr="00710DFA">
        <w:rPr>
          <w:color w:val="000000" w:themeColor="text1"/>
          <w:sz w:val="24"/>
          <w:szCs w:val="24"/>
          <w:lang w:val="en-GB"/>
        </w:rPr>
        <w:t>Magableh</w:t>
      </w:r>
      <w:proofErr w:type="spellEnd"/>
      <w:r w:rsidRPr="00710DFA">
        <w:rPr>
          <w:color w:val="000000" w:themeColor="text1"/>
          <w:sz w:val="24"/>
          <w:szCs w:val="24"/>
          <w:lang w:val="en-GB"/>
        </w:rPr>
        <w:t>, G.M. (2021). Supply Chains and the COVID</w:t>
      </w:r>
      <w:r w:rsidRPr="00710DFA">
        <w:rPr>
          <w:rFonts w:ascii="Cambria Math" w:hAnsi="Cambria Math" w:cs="Cambria Math"/>
          <w:color w:val="000000" w:themeColor="text1"/>
          <w:sz w:val="24"/>
          <w:szCs w:val="24"/>
          <w:lang w:val="en-GB"/>
        </w:rPr>
        <w:t>‐</w:t>
      </w:r>
      <w:r w:rsidRPr="00710DFA">
        <w:rPr>
          <w:color w:val="000000" w:themeColor="text1"/>
          <w:sz w:val="24"/>
          <w:szCs w:val="24"/>
          <w:lang w:val="en-GB"/>
        </w:rPr>
        <w:t xml:space="preserve">19 Pandemic: A Comprehensive Framework. </w:t>
      </w:r>
      <w:r w:rsidRPr="00710DFA">
        <w:rPr>
          <w:i/>
          <w:iCs/>
          <w:color w:val="000000" w:themeColor="text1"/>
          <w:sz w:val="24"/>
          <w:szCs w:val="24"/>
          <w:lang w:val="en-GB"/>
        </w:rPr>
        <w:t>European Management Review</w:t>
      </w:r>
      <w:r w:rsidRPr="00710DFA">
        <w:rPr>
          <w:color w:val="000000" w:themeColor="text1"/>
          <w:sz w:val="24"/>
          <w:szCs w:val="24"/>
          <w:lang w:val="en-GB"/>
        </w:rPr>
        <w:t xml:space="preserve">, 18(3), pp.363–382.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://doi.org/10.1111/emre.12449</w:t>
      </w:r>
      <w:proofErr w:type="gramEnd"/>
      <w:r w:rsidRPr="00710DFA">
        <w:rPr>
          <w:color w:val="000000" w:themeColor="text1"/>
          <w:sz w:val="24"/>
          <w:szCs w:val="24"/>
          <w:lang w:val="en-GB"/>
        </w:rPr>
        <w:t>.</w:t>
      </w:r>
    </w:p>
    <w:p w14:paraId="1534F614"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McGarraghy, S., Olafsdottir, G., Kazakov, R., Huber, É., </w:t>
      </w:r>
      <w:proofErr w:type="spellStart"/>
      <w:r w:rsidRPr="00710DFA">
        <w:rPr>
          <w:color w:val="000000" w:themeColor="text1"/>
          <w:sz w:val="24"/>
          <w:szCs w:val="24"/>
          <w:lang w:val="en-GB"/>
        </w:rPr>
        <w:t>Loveluck</w:t>
      </w:r>
      <w:proofErr w:type="spellEnd"/>
      <w:r w:rsidRPr="00710DFA">
        <w:rPr>
          <w:color w:val="000000" w:themeColor="text1"/>
          <w:sz w:val="24"/>
          <w:szCs w:val="24"/>
          <w:lang w:val="en-GB"/>
        </w:rPr>
        <w:t xml:space="preserve">, W., Gudbrandsdottir, I.Y., </w:t>
      </w:r>
      <w:proofErr w:type="spellStart"/>
      <w:r w:rsidRPr="00710DFA">
        <w:rPr>
          <w:color w:val="000000" w:themeColor="text1"/>
          <w:sz w:val="24"/>
          <w:szCs w:val="24"/>
          <w:lang w:val="en-GB"/>
        </w:rPr>
        <w:t>Čechura</w:t>
      </w:r>
      <w:proofErr w:type="spellEnd"/>
      <w:r w:rsidRPr="00710DFA">
        <w:rPr>
          <w:color w:val="000000" w:themeColor="text1"/>
          <w:sz w:val="24"/>
          <w:szCs w:val="24"/>
          <w:lang w:val="en-GB"/>
        </w:rPr>
        <w:t xml:space="preserve">, L., Esposito, G., </w:t>
      </w:r>
      <w:proofErr w:type="spellStart"/>
      <w:r w:rsidRPr="00710DFA">
        <w:rPr>
          <w:color w:val="000000" w:themeColor="text1"/>
          <w:sz w:val="24"/>
          <w:szCs w:val="24"/>
          <w:lang w:val="en-GB"/>
        </w:rPr>
        <w:t>Samoggia</w:t>
      </w:r>
      <w:proofErr w:type="spellEnd"/>
      <w:r w:rsidRPr="00710DFA">
        <w:rPr>
          <w:color w:val="000000" w:themeColor="text1"/>
          <w:sz w:val="24"/>
          <w:szCs w:val="24"/>
          <w:lang w:val="en-GB"/>
        </w:rPr>
        <w:t xml:space="preserve">, A., Aubert, P.-M., Barling, D., Đurić, I., </w:t>
      </w:r>
      <w:proofErr w:type="spellStart"/>
      <w:r w:rsidRPr="00710DFA">
        <w:rPr>
          <w:color w:val="000000" w:themeColor="text1"/>
          <w:sz w:val="24"/>
          <w:szCs w:val="24"/>
          <w:lang w:val="en-GB"/>
        </w:rPr>
        <w:t>Jaghdani</w:t>
      </w:r>
      <w:proofErr w:type="spellEnd"/>
      <w:r w:rsidRPr="00710DFA">
        <w:rPr>
          <w:color w:val="000000" w:themeColor="text1"/>
          <w:sz w:val="24"/>
          <w:szCs w:val="24"/>
          <w:lang w:val="en-GB"/>
        </w:rPr>
        <w:t xml:space="preserve">, T.J., Thakur, M., Saviolidis, N.M. and Bogason, S.G. (2022). Conceptual System Dynamics and Agent-Based Modelling Simulation of Interorganisational Fairness in Food Value Chains: Research Agenda and Case Studies. </w:t>
      </w:r>
      <w:r w:rsidRPr="00710DFA">
        <w:rPr>
          <w:i/>
          <w:iCs/>
          <w:color w:val="000000" w:themeColor="text1"/>
          <w:sz w:val="24"/>
          <w:szCs w:val="24"/>
          <w:lang w:val="en-GB"/>
        </w:rPr>
        <w:t>Agriculture</w:t>
      </w:r>
      <w:r w:rsidRPr="00710DFA">
        <w:rPr>
          <w:color w:val="000000" w:themeColor="text1"/>
          <w:sz w:val="24"/>
          <w:szCs w:val="24"/>
          <w:lang w:val="en-GB"/>
        </w:rPr>
        <w:t xml:space="preserve">, 12(2), p.280.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://doi.org/10.3390/agriculture12020280</w:t>
      </w:r>
      <w:proofErr w:type="gramEnd"/>
      <w:r w:rsidRPr="00710DFA">
        <w:rPr>
          <w:color w:val="000000" w:themeColor="text1"/>
          <w:sz w:val="24"/>
          <w:szCs w:val="24"/>
          <w:lang w:val="en-GB"/>
        </w:rPr>
        <w:t>.</w:t>
      </w:r>
    </w:p>
    <w:p w14:paraId="2BD107E7" w14:textId="77777777" w:rsidR="00366A63" w:rsidRPr="00710DFA" w:rsidRDefault="00366A63" w:rsidP="00366A63">
      <w:pPr>
        <w:spacing w:line="360" w:lineRule="auto"/>
        <w:jc w:val="both"/>
        <w:rPr>
          <w:sz w:val="24"/>
          <w:szCs w:val="24"/>
          <w:lang w:val="en-GB"/>
        </w:rPr>
      </w:pPr>
      <w:proofErr w:type="spellStart"/>
      <w:r w:rsidRPr="00710DFA">
        <w:rPr>
          <w:sz w:val="24"/>
          <w:szCs w:val="24"/>
          <w:lang w:val="en-GB"/>
        </w:rPr>
        <w:t>Nibbrig</w:t>
      </w:r>
      <w:proofErr w:type="spellEnd"/>
      <w:r w:rsidRPr="00710DFA">
        <w:rPr>
          <w:sz w:val="24"/>
          <w:szCs w:val="24"/>
          <w:lang w:val="en-GB"/>
        </w:rPr>
        <w:t xml:space="preserve">, M.H., Azadeh, S.S. and </w:t>
      </w:r>
      <w:proofErr w:type="spellStart"/>
      <w:r w:rsidRPr="00710DFA">
        <w:rPr>
          <w:sz w:val="24"/>
          <w:szCs w:val="24"/>
          <w:lang w:val="en-GB"/>
        </w:rPr>
        <w:t>Maknoon</w:t>
      </w:r>
      <w:proofErr w:type="spellEnd"/>
      <w:r w:rsidRPr="00710DFA">
        <w:rPr>
          <w:sz w:val="24"/>
          <w:szCs w:val="24"/>
          <w:lang w:val="en-GB"/>
        </w:rPr>
        <w:t xml:space="preserve">, M.Y. (2025). Adaptive resilience strategies for supply chain networks against disruptions. </w:t>
      </w:r>
      <w:r w:rsidRPr="00710DFA">
        <w:rPr>
          <w:i/>
          <w:iCs/>
          <w:sz w:val="24"/>
          <w:szCs w:val="24"/>
          <w:lang w:val="en-GB"/>
        </w:rPr>
        <w:t>Transportation Research Part E Logistics and Transportation Review</w:t>
      </w:r>
      <w:r w:rsidRPr="00710DFA">
        <w:rPr>
          <w:sz w:val="24"/>
          <w:szCs w:val="24"/>
          <w:lang w:val="en-GB"/>
        </w:rPr>
        <w:t xml:space="preserve">, 200, pp.104172–104172. </w:t>
      </w:r>
      <w:proofErr w:type="spellStart"/>
      <w:proofErr w:type="gramStart"/>
      <w:r w:rsidRPr="00710DFA">
        <w:rPr>
          <w:sz w:val="24"/>
          <w:szCs w:val="24"/>
          <w:lang w:val="en-GB"/>
        </w:rPr>
        <w:t>doi:https</w:t>
      </w:r>
      <w:proofErr w:type="spellEnd"/>
      <w:r w:rsidRPr="00710DFA">
        <w:rPr>
          <w:sz w:val="24"/>
          <w:szCs w:val="24"/>
          <w:lang w:val="en-GB"/>
        </w:rPr>
        <w:t>://doi.org/10.1016/j.tre.2025.104172</w:t>
      </w:r>
      <w:proofErr w:type="gramEnd"/>
      <w:r w:rsidRPr="00710DFA">
        <w:rPr>
          <w:sz w:val="24"/>
          <w:szCs w:val="24"/>
          <w:lang w:val="en-GB"/>
        </w:rPr>
        <w:t>.</w:t>
      </w:r>
    </w:p>
    <w:p w14:paraId="0D28E9F6"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Niu, Y., Werle, N., Cohen, M.A., Cui, S., Deshpande, V., Ernst, R., Huchzermeier, A., Tsay, A. and Wu, J. (2023). Global Supply Chain Restructuring During the Covid-19 Pandemic. </w:t>
      </w:r>
      <w:r w:rsidRPr="00710DFA">
        <w:rPr>
          <w:i/>
          <w:iCs/>
          <w:color w:val="000000" w:themeColor="text1"/>
          <w:sz w:val="24"/>
          <w:szCs w:val="24"/>
          <w:lang w:val="en-GB"/>
        </w:rPr>
        <w:t>Social Science Research Network</w:t>
      </w:r>
      <w:r w:rsidRPr="00710DFA">
        <w:rPr>
          <w:color w:val="000000" w:themeColor="text1"/>
          <w:sz w:val="24"/>
          <w:szCs w:val="24"/>
          <w:lang w:val="en-GB"/>
        </w:rPr>
        <w:t xml:space="preserve">. [online]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://doi.org/10.2139/ssrn.4564927</w:t>
      </w:r>
      <w:proofErr w:type="gramEnd"/>
      <w:r w:rsidRPr="00710DFA">
        <w:rPr>
          <w:color w:val="000000" w:themeColor="text1"/>
          <w:sz w:val="24"/>
          <w:szCs w:val="24"/>
          <w:lang w:val="en-GB"/>
        </w:rPr>
        <w:t>.</w:t>
      </w:r>
    </w:p>
    <w:p w14:paraId="75A428F4" w14:textId="77777777" w:rsidR="00366A63" w:rsidRPr="00710DFA" w:rsidRDefault="00366A63" w:rsidP="00366A63">
      <w:pPr>
        <w:spacing w:line="360" w:lineRule="auto"/>
        <w:jc w:val="both"/>
        <w:rPr>
          <w:color w:val="000000" w:themeColor="text1"/>
          <w:sz w:val="24"/>
          <w:szCs w:val="24"/>
          <w:lang w:val="en-GB"/>
        </w:rPr>
      </w:pPr>
      <w:proofErr w:type="spellStart"/>
      <w:r w:rsidRPr="00710DFA">
        <w:rPr>
          <w:color w:val="000000" w:themeColor="text1"/>
          <w:sz w:val="24"/>
          <w:szCs w:val="24"/>
          <w:lang w:val="en-GB"/>
        </w:rPr>
        <w:t>Ocicka</w:t>
      </w:r>
      <w:proofErr w:type="spellEnd"/>
      <w:r w:rsidRPr="00710DFA">
        <w:rPr>
          <w:color w:val="000000" w:themeColor="text1"/>
          <w:sz w:val="24"/>
          <w:szCs w:val="24"/>
          <w:lang w:val="en-GB"/>
        </w:rPr>
        <w:t xml:space="preserve">, B., Mierzejewska, W. and </w:t>
      </w:r>
      <w:proofErr w:type="spellStart"/>
      <w:r w:rsidRPr="00710DFA">
        <w:rPr>
          <w:color w:val="000000" w:themeColor="text1"/>
          <w:sz w:val="24"/>
          <w:szCs w:val="24"/>
          <w:lang w:val="en-GB"/>
        </w:rPr>
        <w:t>Brzeziński</w:t>
      </w:r>
      <w:proofErr w:type="spellEnd"/>
      <w:r w:rsidRPr="00710DFA">
        <w:rPr>
          <w:color w:val="000000" w:themeColor="text1"/>
          <w:sz w:val="24"/>
          <w:szCs w:val="24"/>
          <w:lang w:val="en-GB"/>
        </w:rPr>
        <w:t>, J., (2022). Creating supply chain resilience during and post-COVID-19 outbreak: the organizational ambidexterity perspective. </w:t>
      </w:r>
      <w:r w:rsidRPr="00710DFA">
        <w:rPr>
          <w:i/>
          <w:iCs/>
          <w:color w:val="000000" w:themeColor="text1"/>
          <w:sz w:val="24"/>
          <w:szCs w:val="24"/>
          <w:lang w:val="en-GB"/>
        </w:rPr>
        <w:t>Decision</w:t>
      </w:r>
      <w:r w:rsidRPr="00710DFA">
        <w:rPr>
          <w:color w:val="000000" w:themeColor="text1"/>
          <w:sz w:val="24"/>
          <w:szCs w:val="24"/>
          <w:lang w:val="en-GB"/>
        </w:rPr>
        <w:t>, </w:t>
      </w:r>
      <w:r w:rsidRPr="00710DFA">
        <w:rPr>
          <w:i/>
          <w:iCs/>
          <w:color w:val="000000" w:themeColor="text1"/>
          <w:sz w:val="24"/>
          <w:szCs w:val="24"/>
          <w:lang w:val="en-GB"/>
        </w:rPr>
        <w:t>49</w:t>
      </w:r>
      <w:r w:rsidRPr="00710DFA">
        <w:rPr>
          <w:color w:val="000000" w:themeColor="text1"/>
          <w:sz w:val="24"/>
          <w:szCs w:val="24"/>
          <w:lang w:val="en-GB"/>
        </w:rPr>
        <w:t>(1), pp.129-151.</w:t>
      </w:r>
    </w:p>
    <w:p w14:paraId="35C40763"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lastRenderedPageBreak/>
        <w:t xml:space="preserve">Page, M.J., McKenzie, J.E., Bossuyt, P.M., </w:t>
      </w:r>
      <w:proofErr w:type="spellStart"/>
      <w:r w:rsidRPr="00710DFA">
        <w:rPr>
          <w:color w:val="000000" w:themeColor="text1"/>
          <w:sz w:val="24"/>
          <w:szCs w:val="24"/>
          <w:lang w:val="en-GB"/>
        </w:rPr>
        <w:t>Boutron</w:t>
      </w:r>
      <w:proofErr w:type="spellEnd"/>
      <w:r w:rsidRPr="00710DFA">
        <w:rPr>
          <w:color w:val="000000" w:themeColor="text1"/>
          <w:sz w:val="24"/>
          <w:szCs w:val="24"/>
          <w:lang w:val="en-GB"/>
        </w:rPr>
        <w:t xml:space="preserve">, I., Hoffmann, T.C., Mulrow, C.D., </w:t>
      </w:r>
      <w:proofErr w:type="spellStart"/>
      <w:r w:rsidRPr="00710DFA">
        <w:rPr>
          <w:color w:val="000000" w:themeColor="text1"/>
          <w:sz w:val="24"/>
          <w:szCs w:val="24"/>
          <w:lang w:val="en-GB"/>
        </w:rPr>
        <w:t>Shamseer</w:t>
      </w:r>
      <w:proofErr w:type="spellEnd"/>
      <w:r w:rsidRPr="00710DFA">
        <w:rPr>
          <w:color w:val="000000" w:themeColor="text1"/>
          <w:sz w:val="24"/>
          <w:szCs w:val="24"/>
          <w:lang w:val="en-GB"/>
        </w:rPr>
        <w:t>, L., Tetzlaff, J.M., Akl, E.A., Brennan, S.E. and Chou, R., (2021). The PRISMA 2020 statement: an updated guideline for reporting systematic reviews. </w:t>
      </w:r>
      <w:proofErr w:type="spellStart"/>
      <w:r w:rsidRPr="00710DFA">
        <w:rPr>
          <w:i/>
          <w:iCs/>
          <w:color w:val="000000" w:themeColor="text1"/>
          <w:sz w:val="24"/>
          <w:szCs w:val="24"/>
          <w:lang w:val="en-GB"/>
        </w:rPr>
        <w:t>bmj</w:t>
      </w:r>
      <w:proofErr w:type="spellEnd"/>
      <w:r w:rsidRPr="00710DFA">
        <w:rPr>
          <w:color w:val="000000" w:themeColor="text1"/>
          <w:sz w:val="24"/>
          <w:szCs w:val="24"/>
          <w:lang w:val="en-GB"/>
        </w:rPr>
        <w:t>, </w:t>
      </w:r>
      <w:r w:rsidRPr="00710DFA">
        <w:rPr>
          <w:i/>
          <w:iCs/>
          <w:color w:val="000000" w:themeColor="text1"/>
          <w:sz w:val="24"/>
          <w:szCs w:val="24"/>
          <w:lang w:val="en-GB"/>
        </w:rPr>
        <w:t>372</w:t>
      </w:r>
      <w:r w:rsidRPr="00710DFA">
        <w:rPr>
          <w:color w:val="000000" w:themeColor="text1"/>
          <w:sz w:val="24"/>
          <w:szCs w:val="24"/>
          <w:lang w:val="en-GB"/>
        </w:rPr>
        <w:t>.</w:t>
      </w:r>
    </w:p>
    <w:p w14:paraId="3C5C266D" w14:textId="77777777" w:rsidR="00366A63" w:rsidRPr="00710DFA" w:rsidRDefault="00366A63" w:rsidP="00366A63">
      <w:pPr>
        <w:spacing w:line="360" w:lineRule="auto"/>
        <w:jc w:val="both"/>
        <w:rPr>
          <w:sz w:val="24"/>
          <w:szCs w:val="24"/>
          <w:lang w:val="en-GB"/>
        </w:rPr>
      </w:pPr>
      <w:r w:rsidRPr="00710DFA">
        <w:rPr>
          <w:sz w:val="24"/>
          <w:szCs w:val="24"/>
          <w:lang w:val="en-GB"/>
        </w:rPr>
        <w:t xml:space="preserve">Paul, S.K., Chowdhury, P., </w:t>
      </w:r>
      <w:proofErr w:type="spellStart"/>
      <w:r w:rsidRPr="00710DFA">
        <w:rPr>
          <w:sz w:val="24"/>
          <w:szCs w:val="24"/>
          <w:lang w:val="en-GB"/>
        </w:rPr>
        <w:t>Chakrabortty</w:t>
      </w:r>
      <w:proofErr w:type="spellEnd"/>
      <w:r w:rsidRPr="00710DFA">
        <w:rPr>
          <w:sz w:val="24"/>
          <w:szCs w:val="24"/>
          <w:lang w:val="en-GB"/>
        </w:rPr>
        <w:t>, R.K., Ivanov, D. and Sallam, K., (2022). A mathematical model for managing the multi-dimensional impacts of the COVID-19 pandemic in supply chain of a high-demand item. </w:t>
      </w:r>
      <w:r w:rsidRPr="00710DFA">
        <w:rPr>
          <w:i/>
          <w:iCs/>
          <w:sz w:val="24"/>
          <w:szCs w:val="24"/>
          <w:lang w:val="en-GB"/>
        </w:rPr>
        <w:t>Annals of operations research</w:t>
      </w:r>
      <w:r w:rsidRPr="00710DFA">
        <w:rPr>
          <w:sz w:val="24"/>
          <w:szCs w:val="24"/>
          <w:lang w:val="en-GB"/>
        </w:rPr>
        <w:t>, pp.1-46.</w:t>
      </w:r>
    </w:p>
    <w:p w14:paraId="363AE5AF"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Pham, H.T., Truong Quang, H., Sampaio, P., Carvalho, M., Tran, D.L.A., Vo, V.X. and Duong, B.A.T., (2023). The impact of global risks on supply chain performance. An empirical study on construction sector in the COVID-19 pandemic. </w:t>
      </w:r>
      <w:r w:rsidRPr="00710DFA">
        <w:rPr>
          <w:i/>
          <w:iCs/>
          <w:color w:val="000000" w:themeColor="text1"/>
          <w:sz w:val="24"/>
          <w:szCs w:val="24"/>
          <w:lang w:val="en-GB"/>
        </w:rPr>
        <w:t>International Journal of Quality &amp; Reliability Management</w:t>
      </w:r>
      <w:r w:rsidRPr="00710DFA">
        <w:rPr>
          <w:color w:val="000000" w:themeColor="text1"/>
          <w:sz w:val="24"/>
          <w:szCs w:val="24"/>
          <w:lang w:val="en-GB"/>
        </w:rPr>
        <w:t>, </w:t>
      </w:r>
      <w:r w:rsidRPr="00710DFA">
        <w:rPr>
          <w:i/>
          <w:iCs/>
          <w:color w:val="000000" w:themeColor="text1"/>
          <w:sz w:val="24"/>
          <w:szCs w:val="24"/>
          <w:lang w:val="en-GB"/>
        </w:rPr>
        <w:t>40</w:t>
      </w:r>
      <w:r w:rsidRPr="00710DFA">
        <w:rPr>
          <w:color w:val="000000" w:themeColor="text1"/>
          <w:sz w:val="24"/>
          <w:szCs w:val="24"/>
          <w:lang w:val="en-GB"/>
        </w:rPr>
        <w:t>(4), pp.1009-1035.</w:t>
      </w:r>
    </w:p>
    <w:p w14:paraId="0C8A4C5C" w14:textId="77777777" w:rsidR="00366A63" w:rsidRPr="00710DFA" w:rsidRDefault="00366A63" w:rsidP="00366A63">
      <w:pPr>
        <w:spacing w:line="360" w:lineRule="auto"/>
        <w:jc w:val="both"/>
        <w:rPr>
          <w:sz w:val="24"/>
          <w:szCs w:val="24"/>
          <w:lang w:val="en-GB"/>
        </w:rPr>
      </w:pPr>
      <w:r w:rsidRPr="00710DFA">
        <w:rPr>
          <w:sz w:val="24"/>
          <w:szCs w:val="24"/>
          <w:lang w:val="en-GB"/>
        </w:rPr>
        <w:t>Piprani, A.Z., Jaafar, N.I., Ali, S.M., Mubarik, M.S. and Shahbaz, M., (2022). Multi-dimensional supply chain flexibility and supply chain resilience: the role of supply chain risks exposure. </w:t>
      </w:r>
      <w:r w:rsidRPr="00710DFA">
        <w:rPr>
          <w:i/>
          <w:iCs/>
          <w:sz w:val="24"/>
          <w:szCs w:val="24"/>
          <w:lang w:val="en-GB"/>
        </w:rPr>
        <w:t>Operations Management Research</w:t>
      </w:r>
      <w:r w:rsidRPr="00710DFA">
        <w:rPr>
          <w:sz w:val="24"/>
          <w:szCs w:val="24"/>
          <w:lang w:val="en-GB"/>
        </w:rPr>
        <w:t>, </w:t>
      </w:r>
      <w:r w:rsidRPr="00710DFA">
        <w:rPr>
          <w:i/>
          <w:iCs/>
          <w:sz w:val="24"/>
          <w:szCs w:val="24"/>
          <w:lang w:val="en-GB"/>
        </w:rPr>
        <w:t>15</w:t>
      </w:r>
      <w:r w:rsidRPr="00710DFA">
        <w:rPr>
          <w:sz w:val="24"/>
          <w:szCs w:val="24"/>
          <w:lang w:val="en-GB"/>
        </w:rPr>
        <w:t>(1), pp.307-325.</w:t>
      </w:r>
    </w:p>
    <w:p w14:paraId="30A01A79"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Queiroz, M.M., Ivanov, D., </w:t>
      </w:r>
      <w:proofErr w:type="spellStart"/>
      <w:r w:rsidRPr="00710DFA">
        <w:rPr>
          <w:color w:val="000000" w:themeColor="text1"/>
          <w:sz w:val="24"/>
          <w:szCs w:val="24"/>
          <w:lang w:val="en-GB"/>
        </w:rPr>
        <w:t>Dolgui</w:t>
      </w:r>
      <w:proofErr w:type="spellEnd"/>
      <w:r w:rsidRPr="00710DFA">
        <w:rPr>
          <w:color w:val="000000" w:themeColor="text1"/>
          <w:sz w:val="24"/>
          <w:szCs w:val="24"/>
          <w:lang w:val="en-GB"/>
        </w:rPr>
        <w:t xml:space="preserve">, A. and Fosso Wamba, S. (2022). Impacts of Epidemic Outbreaks on Supply chains: Mapping a Research Agenda amid the COVID-19 Pandemic through a Structured Literature Review. </w:t>
      </w:r>
      <w:r w:rsidRPr="00710DFA">
        <w:rPr>
          <w:i/>
          <w:iCs/>
          <w:color w:val="000000" w:themeColor="text1"/>
          <w:sz w:val="24"/>
          <w:szCs w:val="24"/>
          <w:lang w:val="en-GB"/>
        </w:rPr>
        <w:t>Annals of Operations Research</w:t>
      </w:r>
      <w:r w:rsidRPr="00710DFA">
        <w:rPr>
          <w:color w:val="000000" w:themeColor="text1"/>
          <w:sz w:val="24"/>
          <w:szCs w:val="24"/>
          <w:lang w:val="en-GB"/>
        </w:rPr>
        <w:t xml:space="preserve">, [online] 319(1).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://doi.org/10.1007/s10479-020-03685-7</w:t>
      </w:r>
      <w:proofErr w:type="gramEnd"/>
      <w:r w:rsidRPr="00710DFA">
        <w:rPr>
          <w:color w:val="000000" w:themeColor="text1"/>
          <w:sz w:val="24"/>
          <w:szCs w:val="24"/>
          <w:lang w:val="en-GB"/>
        </w:rPr>
        <w:t>.</w:t>
      </w:r>
    </w:p>
    <w:p w14:paraId="09245E84"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Remko, van H. (2020). Research Opportunities for a More Resilient post-COVID-19 Supply Chain – Closing the Gap between Research Findings and Industry Practice. </w:t>
      </w:r>
      <w:r w:rsidRPr="00710DFA">
        <w:rPr>
          <w:i/>
          <w:iCs/>
          <w:color w:val="000000" w:themeColor="text1"/>
          <w:sz w:val="24"/>
          <w:szCs w:val="24"/>
          <w:lang w:val="en-GB"/>
        </w:rPr>
        <w:t>International Journal of Operations &amp; Production Management</w:t>
      </w:r>
      <w:r w:rsidRPr="00710DFA">
        <w:rPr>
          <w:color w:val="000000" w:themeColor="text1"/>
          <w:sz w:val="24"/>
          <w:szCs w:val="24"/>
          <w:lang w:val="en-GB"/>
        </w:rPr>
        <w:t>, 40(4), pp.341–355.</w:t>
      </w:r>
    </w:p>
    <w:p w14:paraId="534A972A"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Ruan, R. and Zhu, Z. (2025). Exploring the Relationship Between Corporate Social Responsibility and Organizational Resilience. </w:t>
      </w:r>
      <w:r w:rsidRPr="00710DFA">
        <w:rPr>
          <w:i/>
          <w:iCs/>
          <w:color w:val="000000" w:themeColor="text1"/>
          <w:sz w:val="24"/>
          <w:szCs w:val="24"/>
          <w:lang w:val="en-GB"/>
        </w:rPr>
        <w:t>Systems</w:t>
      </w:r>
      <w:r w:rsidRPr="00710DFA">
        <w:rPr>
          <w:color w:val="000000" w:themeColor="text1"/>
          <w:sz w:val="24"/>
          <w:szCs w:val="24"/>
          <w:lang w:val="en-GB"/>
        </w:rPr>
        <w:t xml:space="preserve">, [online] 13(10), p.878.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://doi.org/10.3390/systems13100878</w:t>
      </w:r>
      <w:proofErr w:type="gramEnd"/>
      <w:r w:rsidRPr="00710DFA">
        <w:rPr>
          <w:color w:val="000000" w:themeColor="text1"/>
          <w:sz w:val="24"/>
          <w:szCs w:val="24"/>
          <w:lang w:val="en-GB"/>
        </w:rPr>
        <w:t>.</w:t>
      </w:r>
    </w:p>
    <w:p w14:paraId="6F95FC59" w14:textId="77777777" w:rsidR="00366A63" w:rsidRPr="00710DFA" w:rsidRDefault="00366A63" w:rsidP="00366A63">
      <w:pPr>
        <w:spacing w:line="360" w:lineRule="auto"/>
        <w:jc w:val="both"/>
        <w:rPr>
          <w:sz w:val="24"/>
          <w:szCs w:val="24"/>
          <w:lang w:val="en-GB"/>
        </w:rPr>
      </w:pPr>
      <w:r w:rsidRPr="00710DFA">
        <w:rPr>
          <w:sz w:val="24"/>
          <w:szCs w:val="24"/>
          <w:lang w:val="en-GB"/>
        </w:rPr>
        <w:t>Salehi, A., Babaei, A. and Hamidi, H., (2026). AI-Driven Strategies for Supply Chain Resilience: A Review of Challenges and Solutions During Pandemics. </w:t>
      </w:r>
      <w:r w:rsidRPr="00710DFA">
        <w:rPr>
          <w:i/>
          <w:iCs/>
          <w:sz w:val="24"/>
          <w:szCs w:val="24"/>
          <w:lang w:val="en-GB"/>
        </w:rPr>
        <w:t>Int. J. Eng</w:t>
      </w:r>
      <w:r w:rsidRPr="00710DFA">
        <w:rPr>
          <w:sz w:val="24"/>
          <w:szCs w:val="24"/>
          <w:lang w:val="en-GB"/>
        </w:rPr>
        <w:t>, </w:t>
      </w:r>
      <w:r w:rsidRPr="00710DFA">
        <w:rPr>
          <w:i/>
          <w:iCs/>
          <w:sz w:val="24"/>
          <w:szCs w:val="24"/>
          <w:lang w:val="en-GB"/>
        </w:rPr>
        <w:t>39</w:t>
      </w:r>
      <w:r w:rsidRPr="00710DFA">
        <w:rPr>
          <w:sz w:val="24"/>
          <w:szCs w:val="24"/>
          <w:lang w:val="en-GB"/>
        </w:rPr>
        <w:t xml:space="preserve">(3), pp.585-605. </w:t>
      </w:r>
    </w:p>
    <w:p w14:paraId="67FED738" w14:textId="77777777" w:rsidR="00366A63" w:rsidRPr="00710DFA" w:rsidRDefault="00366A63" w:rsidP="00366A63">
      <w:pPr>
        <w:spacing w:line="360" w:lineRule="auto"/>
        <w:jc w:val="both"/>
        <w:rPr>
          <w:sz w:val="24"/>
          <w:szCs w:val="24"/>
          <w:lang w:val="en-GB"/>
        </w:rPr>
      </w:pPr>
      <w:r w:rsidRPr="00710DFA">
        <w:rPr>
          <w:sz w:val="24"/>
          <w:szCs w:val="24"/>
          <w:lang w:val="en-GB"/>
        </w:rPr>
        <w:t>Sarkar, P., Mohamed Ismail, M.W. and Tkachev, T., (2022). Bridging the supply chain resilience research and practice gaps: pre and post COVID-19 perspectives. </w:t>
      </w:r>
      <w:r w:rsidRPr="00710DFA">
        <w:rPr>
          <w:i/>
          <w:iCs/>
          <w:sz w:val="24"/>
          <w:szCs w:val="24"/>
          <w:lang w:val="en-GB"/>
        </w:rPr>
        <w:t xml:space="preserve">Journal of </w:t>
      </w:r>
      <w:r w:rsidRPr="00710DFA">
        <w:rPr>
          <w:i/>
          <w:iCs/>
          <w:sz w:val="24"/>
          <w:szCs w:val="24"/>
          <w:lang w:val="en-GB"/>
        </w:rPr>
        <w:lastRenderedPageBreak/>
        <w:t>Global Operations and Strategic Sourcing</w:t>
      </w:r>
      <w:r w:rsidRPr="00710DFA">
        <w:rPr>
          <w:sz w:val="24"/>
          <w:szCs w:val="24"/>
          <w:lang w:val="en-GB"/>
        </w:rPr>
        <w:t>, </w:t>
      </w:r>
      <w:r w:rsidRPr="00710DFA">
        <w:rPr>
          <w:i/>
          <w:iCs/>
          <w:sz w:val="24"/>
          <w:szCs w:val="24"/>
          <w:lang w:val="en-GB"/>
        </w:rPr>
        <w:t>15</w:t>
      </w:r>
      <w:r w:rsidRPr="00710DFA">
        <w:rPr>
          <w:sz w:val="24"/>
          <w:szCs w:val="24"/>
          <w:lang w:val="en-GB"/>
        </w:rPr>
        <w:t>(4), pp.599-627. https://doi.org/10.1108/JGOSS-09-2021-0082</w:t>
      </w:r>
    </w:p>
    <w:p w14:paraId="369366F8"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Sarkis, J. (2020). Supply chain sustainability: learning from the COVID-19 pandemic. </w:t>
      </w:r>
      <w:r w:rsidRPr="00710DFA">
        <w:rPr>
          <w:i/>
          <w:iCs/>
          <w:color w:val="000000" w:themeColor="text1"/>
          <w:sz w:val="24"/>
          <w:szCs w:val="24"/>
          <w:lang w:val="en-GB"/>
        </w:rPr>
        <w:t>International Journal of Operations &amp; Production Management</w:t>
      </w:r>
      <w:r w:rsidRPr="00710DFA">
        <w:rPr>
          <w:color w:val="000000" w:themeColor="text1"/>
          <w:sz w:val="24"/>
          <w:szCs w:val="24"/>
          <w:lang w:val="en-GB"/>
        </w:rPr>
        <w:t xml:space="preserve">, 41(1), pp.63–73.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://doi.org/10.1108/ijopm-08-2020-0568</w:t>
      </w:r>
      <w:proofErr w:type="gramEnd"/>
      <w:r w:rsidRPr="00710DFA">
        <w:rPr>
          <w:color w:val="000000" w:themeColor="text1"/>
          <w:sz w:val="24"/>
          <w:szCs w:val="24"/>
          <w:lang w:val="en-GB"/>
        </w:rPr>
        <w:t>.</w:t>
      </w:r>
    </w:p>
    <w:p w14:paraId="4FE219F3"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Saunders, M.N., Lewis, P. and Thornhill, A. (2023). </w:t>
      </w:r>
      <w:r w:rsidRPr="00710DFA">
        <w:rPr>
          <w:i/>
          <w:iCs/>
          <w:color w:val="000000" w:themeColor="text1"/>
          <w:sz w:val="24"/>
          <w:szCs w:val="24"/>
          <w:lang w:val="en-GB"/>
        </w:rPr>
        <w:t>Research Methods for Business Students</w:t>
      </w:r>
      <w:r w:rsidRPr="00710DFA">
        <w:rPr>
          <w:color w:val="000000" w:themeColor="text1"/>
          <w:sz w:val="24"/>
          <w:szCs w:val="24"/>
          <w:lang w:val="en-GB"/>
        </w:rPr>
        <w:t>. [online] ResearchGate. Available at: https://www.researchgate.net/publication/240218229_Research_Methods_for_Business_Students.</w:t>
      </w:r>
    </w:p>
    <w:p w14:paraId="300A61A9" w14:textId="77777777" w:rsidR="00366A63" w:rsidRPr="00710DFA" w:rsidRDefault="00366A63" w:rsidP="00366A63">
      <w:pPr>
        <w:spacing w:after="240" w:line="360" w:lineRule="auto"/>
        <w:jc w:val="both"/>
        <w:rPr>
          <w:color w:val="000000" w:themeColor="text1"/>
          <w:sz w:val="24"/>
          <w:szCs w:val="24"/>
          <w:lang w:val="en-GB"/>
        </w:rPr>
      </w:pPr>
      <w:proofErr w:type="spellStart"/>
      <w:r w:rsidRPr="00710DFA">
        <w:rPr>
          <w:color w:val="000000" w:themeColor="text1"/>
          <w:sz w:val="24"/>
          <w:szCs w:val="24"/>
          <w:lang w:val="en-GB"/>
        </w:rPr>
        <w:t>Suprihono</w:t>
      </w:r>
      <w:proofErr w:type="spellEnd"/>
      <w:r w:rsidRPr="00710DFA">
        <w:rPr>
          <w:color w:val="000000" w:themeColor="text1"/>
          <w:sz w:val="24"/>
          <w:szCs w:val="24"/>
          <w:lang w:val="en-GB"/>
        </w:rPr>
        <w:t xml:space="preserve">, S., </w:t>
      </w:r>
      <w:proofErr w:type="spellStart"/>
      <w:r w:rsidRPr="00710DFA">
        <w:rPr>
          <w:color w:val="000000" w:themeColor="text1"/>
          <w:sz w:val="24"/>
          <w:szCs w:val="24"/>
          <w:lang w:val="en-GB"/>
        </w:rPr>
        <w:t>Prasetya</w:t>
      </w:r>
      <w:proofErr w:type="spellEnd"/>
      <w:r w:rsidRPr="00710DFA">
        <w:rPr>
          <w:color w:val="000000" w:themeColor="text1"/>
          <w:sz w:val="24"/>
          <w:szCs w:val="24"/>
          <w:lang w:val="en-GB"/>
        </w:rPr>
        <w:t>, A. and Abdillah, Y. (2021). Improving firm performance through Competitive Advantage, differentiation strategy and cost leadership: A Literature Review</w:t>
      </w:r>
    </w:p>
    <w:p w14:paraId="195156D4"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Teece, D.J., Pisano, G.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xml:space="preserve">, A. (1997). Dynamic Capabilities and Strategic Management. </w:t>
      </w:r>
      <w:r w:rsidRPr="00710DFA">
        <w:rPr>
          <w:i/>
          <w:iCs/>
          <w:color w:val="000000" w:themeColor="text1"/>
          <w:sz w:val="24"/>
          <w:szCs w:val="24"/>
          <w:lang w:val="en-GB"/>
        </w:rPr>
        <w:t>Strategic Management Journal</w:t>
      </w:r>
      <w:r w:rsidRPr="00710DFA">
        <w:rPr>
          <w:color w:val="000000" w:themeColor="text1"/>
          <w:sz w:val="24"/>
          <w:szCs w:val="24"/>
          <w:lang w:val="en-GB"/>
        </w:rPr>
        <w:t>, [online] 18(7), pp.509–533. Available at: http://links.jstor.org/sici?sici=0143-2095%28199708%2918%3A7%3C509%3ADCASM%3E2.0.CO%3B2-%23.</w:t>
      </w:r>
    </w:p>
    <w:p w14:paraId="607CD2F6" w14:textId="77777777" w:rsidR="00366A63" w:rsidRPr="00710DFA" w:rsidRDefault="00366A63" w:rsidP="00366A63">
      <w:pPr>
        <w:spacing w:after="240" w:line="360" w:lineRule="auto"/>
        <w:jc w:val="both"/>
        <w:rPr>
          <w:color w:val="000000" w:themeColor="text1"/>
          <w:sz w:val="24"/>
          <w:szCs w:val="24"/>
          <w:lang w:val="en-GB"/>
        </w:rPr>
      </w:pPr>
      <w:r w:rsidRPr="00710DFA">
        <w:rPr>
          <w:color w:val="000000" w:themeColor="text1"/>
          <w:sz w:val="24"/>
          <w:szCs w:val="24"/>
          <w:lang w:val="en-GB"/>
        </w:rPr>
        <w:t xml:space="preserve">William, F.K.A. (2024). Interpretivism or Constructivism: Navigating Research Paradigms in Social Science Research. </w:t>
      </w:r>
      <w:r w:rsidRPr="00710DFA">
        <w:rPr>
          <w:i/>
          <w:iCs/>
          <w:color w:val="000000" w:themeColor="text1"/>
          <w:sz w:val="24"/>
          <w:szCs w:val="24"/>
          <w:lang w:val="en-GB"/>
        </w:rPr>
        <w:t>International journal of research publications</w:t>
      </w:r>
      <w:r w:rsidRPr="00710DFA">
        <w:rPr>
          <w:color w:val="000000" w:themeColor="text1"/>
          <w:sz w:val="24"/>
          <w:szCs w:val="24"/>
          <w:lang w:val="en-GB"/>
        </w:rPr>
        <w:t xml:space="preserve">, [online] 143(1), pp.1–5.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://doi.org/10.47119/ijrp1001431220246122</w:t>
      </w:r>
      <w:proofErr w:type="gramEnd"/>
      <w:r w:rsidRPr="00710DFA">
        <w:rPr>
          <w:color w:val="000000" w:themeColor="text1"/>
          <w:sz w:val="24"/>
          <w:szCs w:val="24"/>
          <w:lang w:val="en-GB"/>
        </w:rPr>
        <w:t>.</w:t>
      </w:r>
    </w:p>
    <w:p w14:paraId="2FB6204E"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 xml:space="preserve">WTO (2020). </w:t>
      </w:r>
      <w:r w:rsidRPr="00710DFA">
        <w:rPr>
          <w:i/>
          <w:iCs/>
          <w:color w:val="000000" w:themeColor="text1"/>
          <w:sz w:val="24"/>
          <w:szCs w:val="24"/>
          <w:lang w:val="en-GB"/>
        </w:rPr>
        <w:t>Trade Set to Plunge as COVID-19 Pandemic Upends Global Economy</w:t>
      </w:r>
      <w:r w:rsidRPr="00710DFA">
        <w:rPr>
          <w:color w:val="000000" w:themeColor="text1"/>
          <w:sz w:val="24"/>
          <w:szCs w:val="24"/>
          <w:lang w:val="en-GB"/>
        </w:rPr>
        <w:t xml:space="preserve">. [online] www.wto.org. Available at: </w:t>
      </w:r>
      <w:hyperlink r:id="rId30" w:history="1">
        <w:r w:rsidRPr="00710DFA">
          <w:rPr>
            <w:rStyle w:val="Hyperlink"/>
            <w:color w:val="000000" w:themeColor="text1"/>
            <w:sz w:val="24"/>
            <w:szCs w:val="24"/>
            <w:lang w:val="en-GB"/>
          </w:rPr>
          <w:t>https://www.wto.org/english/news_e/pres20_e/pr855_e.htm</w:t>
        </w:r>
      </w:hyperlink>
      <w:r w:rsidRPr="00710DFA">
        <w:rPr>
          <w:color w:val="000000" w:themeColor="text1"/>
          <w:sz w:val="24"/>
          <w:szCs w:val="24"/>
          <w:lang w:val="en-GB"/>
        </w:rPr>
        <w:t>. [Accessed 15.03.26]</w:t>
      </w:r>
    </w:p>
    <w:p w14:paraId="79020A41"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 xml:space="preserve">Wulandhari, N.B.I., </w:t>
      </w:r>
      <w:proofErr w:type="spellStart"/>
      <w:r w:rsidRPr="00710DFA">
        <w:rPr>
          <w:color w:val="000000" w:themeColor="text1"/>
          <w:sz w:val="24"/>
          <w:szCs w:val="24"/>
          <w:lang w:val="en-GB"/>
        </w:rPr>
        <w:t>Budhwar</w:t>
      </w:r>
      <w:proofErr w:type="spellEnd"/>
      <w:r w:rsidRPr="00710DFA">
        <w:rPr>
          <w:color w:val="000000" w:themeColor="text1"/>
          <w:sz w:val="24"/>
          <w:szCs w:val="24"/>
          <w:lang w:val="en-GB"/>
        </w:rPr>
        <w:t>, P., Mishra, N., Akbar, S., Do, Q. and Milligan, G. (2022). Organizational Resilience to Supply Chain Risks During the COVID</w:t>
      </w:r>
      <w:r w:rsidRPr="00710DFA">
        <w:rPr>
          <w:rFonts w:ascii="Cambria Math" w:hAnsi="Cambria Math" w:cs="Cambria Math"/>
          <w:color w:val="000000" w:themeColor="text1"/>
          <w:sz w:val="24"/>
          <w:szCs w:val="24"/>
          <w:lang w:val="en-GB"/>
        </w:rPr>
        <w:t>‐</w:t>
      </w:r>
      <w:r w:rsidRPr="00710DFA">
        <w:rPr>
          <w:color w:val="000000" w:themeColor="text1"/>
          <w:sz w:val="24"/>
          <w:szCs w:val="24"/>
          <w:lang w:val="en-GB"/>
        </w:rPr>
        <w:t xml:space="preserve">19 Pandemic. </w:t>
      </w:r>
      <w:r w:rsidRPr="00710DFA">
        <w:rPr>
          <w:i/>
          <w:iCs/>
          <w:color w:val="000000" w:themeColor="text1"/>
          <w:sz w:val="24"/>
          <w:szCs w:val="24"/>
          <w:lang w:val="en-GB"/>
        </w:rPr>
        <w:t>British Journal of Management</w:t>
      </w:r>
      <w:r w:rsidRPr="00710DFA">
        <w:rPr>
          <w:color w:val="000000" w:themeColor="text1"/>
          <w:sz w:val="24"/>
          <w:szCs w:val="24"/>
          <w:lang w:val="en-GB"/>
        </w:rPr>
        <w:t xml:space="preserve">, 34(3).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://doi.org/10.1111/1467-8551.12648</w:t>
      </w:r>
      <w:proofErr w:type="gramEnd"/>
      <w:r w:rsidRPr="00710DFA">
        <w:rPr>
          <w:color w:val="000000" w:themeColor="text1"/>
          <w:sz w:val="24"/>
          <w:szCs w:val="24"/>
          <w:lang w:val="en-GB"/>
        </w:rPr>
        <w:t>.</w:t>
      </w:r>
    </w:p>
    <w:p w14:paraId="5E50491C"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t xml:space="preserve">Xu, Z., </w:t>
      </w:r>
      <w:proofErr w:type="spellStart"/>
      <w:r w:rsidRPr="00710DFA">
        <w:rPr>
          <w:color w:val="000000" w:themeColor="text1"/>
          <w:sz w:val="24"/>
          <w:szCs w:val="24"/>
          <w:lang w:val="en-GB"/>
        </w:rPr>
        <w:t>Elomri</w:t>
      </w:r>
      <w:proofErr w:type="spellEnd"/>
      <w:r w:rsidRPr="00710DFA">
        <w:rPr>
          <w:color w:val="000000" w:themeColor="text1"/>
          <w:sz w:val="24"/>
          <w:szCs w:val="24"/>
          <w:lang w:val="en-GB"/>
        </w:rPr>
        <w:t xml:space="preserve">, A., </w:t>
      </w:r>
      <w:proofErr w:type="spellStart"/>
      <w:r w:rsidRPr="00710DFA">
        <w:rPr>
          <w:color w:val="000000" w:themeColor="text1"/>
          <w:sz w:val="24"/>
          <w:szCs w:val="24"/>
          <w:lang w:val="en-GB"/>
        </w:rPr>
        <w:t>Kerbache</w:t>
      </w:r>
      <w:proofErr w:type="spellEnd"/>
      <w:r w:rsidRPr="00710DFA">
        <w:rPr>
          <w:color w:val="000000" w:themeColor="text1"/>
          <w:sz w:val="24"/>
          <w:szCs w:val="24"/>
          <w:lang w:val="en-GB"/>
        </w:rPr>
        <w:t xml:space="preserve">, L. and El Omri, A. (2020). Impacts of COVID-19 on Global Supply Chains: Facts and Perspectives. </w:t>
      </w:r>
      <w:r w:rsidRPr="00710DFA">
        <w:rPr>
          <w:i/>
          <w:iCs/>
          <w:color w:val="000000" w:themeColor="text1"/>
          <w:sz w:val="24"/>
          <w:szCs w:val="24"/>
          <w:lang w:val="en-GB"/>
        </w:rPr>
        <w:t>IEEE Engineering Management Review</w:t>
      </w:r>
      <w:r w:rsidRPr="00710DFA">
        <w:rPr>
          <w:color w:val="000000" w:themeColor="text1"/>
          <w:sz w:val="24"/>
          <w:szCs w:val="24"/>
          <w:lang w:val="en-GB"/>
        </w:rPr>
        <w:t xml:space="preserve">, [online] 48(3), pp.153–166.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://doi.org/10.1109/EMR.2020.3018420</w:t>
      </w:r>
      <w:proofErr w:type="gramEnd"/>
      <w:r w:rsidRPr="00710DFA">
        <w:rPr>
          <w:color w:val="000000" w:themeColor="text1"/>
          <w:sz w:val="24"/>
          <w:szCs w:val="24"/>
          <w:lang w:val="en-GB"/>
        </w:rPr>
        <w:t>.</w:t>
      </w:r>
    </w:p>
    <w:p w14:paraId="4911ADC8" w14:textId="77777777" w:rsidR="00366A63" w:rsidRPr="00710DFA" w:rsidRDefault="00366A63" w:rsidP="00366A63">
      <w:pPr>
        <w:spacing w:line="360" w:lineRule="auto"/>
        <w:jc w:val="both"/>
        <w:rPr>
          <w:color w:val="000000" w:themeColor="text1"/>
          <w:sz w:val="24"/>
          <w:szCs w:val="24"/>
          <w:lang w:val="en-GB"/>
        </w:rPr>
      </w:pPr>
      <w:r w:rsidRPr="00710DFA">
        <w:rPr>
          <w:color w:val="000000" w:themeColor="text1"/>
          <w:sz w:val="24"/>
          <w:szCs w:val="24"/>
          <w:lang w:val="en-GB"/>
        </w:rPr>
        <w:lastRenderedPageBreak/>
        <w:t>Yu, Z., Razzaq, A., Rehman, A., Shah, A., Jameel, K. and Mor, R.S., (2022). Disruption in global supply chain and socio-economic shocks: a lesson from COVID-19 for sustainable production and consumption. </w:t>
      </w:r>
      <w:r w:rsidRPr="00710DFA">
        <w:rPr>
          <w:i/>
          <w:iCs/>
          <w:color w:val="000000" w:themeColor="text1"/>
          <w:sz w:val="24"/>
          <w:szCs w:val="24"/>
          <w:lang w:val="en-GB"/>
        </w:rPr>
        <w:t>Operations Management Research</w:t>
      </w:r>
      <w:r w:rsidRPr="00710DFA">
        <w:rPr>
          <w:color w:val="000000" w:themeColor="text1"/>
          <w:sz w:val="24"/>
          <w:szCs w:val="24"/>
          <w:lang w:val="en-GB"/>
        </w:rPr>
        <w:t>, </w:t>
      </w:r>
      <w:r w:rsidRPr="00710DFA">
        <w:rPr>
          <w:i/>
          <w:iCs/>
          <w:color w:val="000000" w:themeColor="text1"/>
          <w:sz w:val="24"/>
          <w:szCs w:val="24"/>
          <w:lang w:val="en-GB"/>
        </w:rPr>
        <w:t>15</w:t>
      </w:r>
      <w:r w:rsidRPr="00710DFA">
        <w:rPr>
          <w:color w:val="000000" w:themeColor="text1"/>
          <w:sz w:val="24"/>
          <w:szCs w:val="24"/>
          <w:lang w:val="en-GB"/>
        </w:rPr>
        <w:t>(1), pp.233-248.</w:t>
      </w:r>
    </w:p>
    <w:p w14:paraId="4644C01A" w14:textId="77777777" w:rsidR="00366A63" w:rsidRPr="00710DFA" w:rsidRDefault="00366A63" w:rsidP="00366A63">
      <w:pPr>
        <w:spacing w:line="360" w:lineRule="auto"/>
        <w:jc w:val="both"/>
        <w:rPr>
          <w:sz w:val="24"/>
          <w:szCs w:val="24"/>
          <w:lang w:val="en-GB"/>
        </w:rPr>
      </w:pPr>
      <w:r w:rsidRPr="00710DFA">
        <w:rPr>
          <w:sz w:val="24"/>
          <w:szCs w:val="24"/>
          <w:lang w:val="en-GB"/>
        </w:rPr>
        <w:t xml:space="preserve">Zidi, S., </w:t>
      </w:r>
      <w:proofErr w:type="spellStart"/>
      <w:r w:rsidRPr="00710DFA">
        <w:rPr>
          <w:sz w:val="24"/>
          <w:szCs w:val="24"/>
          <w:lang w:val="en-GB"/>
        </w:rPr>
        <w:t>Kermad</w:t>
      </w:r>
      <w:proofErr w:type="spellEnd"/>
      <w:r w:rsidRPr="00710DFA">
        <w:rPr>
          <w:sz w:val="24"/>
          <w:szCs w:val="24"/>
          <w:lang w:val="en-GB"/>
        </w:rPr>
        <w:t xml:space="preserve">, L., Hamani, N. and Zidi, H. (2023). Reconfigurable Supply Chain Selection: Literature Review, Research Roadmap and New Trends. </w:t>
      </w:r>
      <w:r w:rsidRPr="00710DFA">
        <w:rPr>
          <w:i/>
          <w:iCs/>
          <w:sz w:val="24"/>
          <w:szCs w:val="24"/>
          <w:lang w:val="en-GB"/>
        </w:rPr>
        <w:t>Applied Sciences</w:t>
      </w:r>
      <w:r w:rsidRPr="00710DFA">
        <w:rPr>
          <w:sz w:val="24"/>
          <w:szCs w:val="24"/>
          <w:lang w:val="en-GB"/>
        </w:rPr>
        <w:t xml:space="preserve">, [online] 13(7), p.4561. </w:t>
      </w:r>
      <w:proofErr w:type="spellStart"/>
      <w:proofErr w:type="gramStart"/>
      <w:r w:rsidRPr="00710DFA">
        <w:rPr>
          <w:sz w:val="24"/>
          <w:szCs w:val="24"/>
          <w:lang w:val="en-GB"/>
        </w:rPr>
        <w:t>doi:https</w:t>
      </w:r>
      <w:proofErr w:type="spellEnd"/>
      <w:r w:rsidRPr="00710DFA">
        <w:rPr>
          <w:sz w:val="24"/>
          <w:szCs w:val="24"/>
          <w:lang w:val="en-GB"/>
        </w:rPr>
        <w:t>://doi.org/10.3390/app13074561</w:t>
      </w:r>
      <w:proofErr w:type="gramEnd"/>
      <w:r w:rsidRPr="00710DFA">
        <w:rPr>
          <w:sz w:val="24"/>
          <w:szCs w:val="24"/>
          <w:lang w:val="en-GB"/>
        </w:rPr>
        <w:t>.</w:t>
      </w:r>
    </w:p>
    <w:p w14:paraId="4AEE7134" w14:textId="77777777" w:rsidR="00C148A3" w:rsidRPr="00710DFA" w:rsidRDefault="00C148A3">
      <w:pPr>
        <w:rPr>
          <w:color w:val="000000" w:themeColor="text1"/>
          <w:sz w:val="24"/>
          <w:szCs w:val="24"/>
          <w:lang w:val="en-GB"/>
        </w:rPr>
      </w:pPr>
      <w:r w:rsidRPr="00710DFA">
        <w:rPr>
          <w:color w:val="000000" w:themeColor="text1"/>
          <w:sz w:val="24"/>
          <w:szCs w:val="24"/>
          <w:lang w:val="en-GB"/>
        </w:rPr>
        <w:br w:type="page"/>
      </w:r>
    </w:p>
    <w:p w14:paraId="4F625C2C" w14:textId="50AA5B00" w:rsidR="00C148A3" w:rsidRPr="00710DFA" w:rsidRDefault="00C148A3" w:rsidP="001B0177">
      <w:pPr>
        <w:pStyle w:val="Heading1"/>
      </w:pPr>
      <w:bookmarkStart w:id="61" w:name="_Toc228921298"/>
      <w:r w:rsidRPr="00710DFA">
        <w:lastRenderedPageBreak/>
        <w:t>Appendi</w:t>
      </w:r>
      <w:r w:rsidR="001B0177">
        <w:t xml:space="preserve">x: </w:t>
      </w:r>
      <w:r w:rsidRPr="00710DFA">
        <w:t>Dissertation proposal</w:t>
      </w:r>
      <w:bookmarkEnd w:id="61"/>
    </w:p>
    <w:p w14:paraId="1748FAD5" w14:textId="77777777" w:rsidR="00C148A3" w:rsidRPr="00710DFA" w:rsidRDefault="00C148A3" w:rsidP="00C148A3">
      <w:pPr>
        <w:spacing w:line="360" w:lineRule="auto"/>
        <w:jc w:val="both"/>
        <w:rPr>
          <w:b/>
          <w:bCs/>
          <w:color w:val="000000" w:themeColor="text1"/>
          <w:sz w:val="24"/>
          <w:szCs w:val="24"/>
          <w:u w:val="single"/>
          <w:lang w:val="en-GB"/>
        </w:rPr>
      </w:pPr>
      <w:r w:rsidRPr="00710DFA">
        <w:rPr>
          <w:b/>
          <w:bCs/>
          <w:color w:val="000000" w:themeColor="text1"/>
          <w:sz w:val="24"/>
          <w:szCs w:val="24"/>
          <w:u w:val="single"/>
          <w:lang w:val="en-GB"/>
        </w:rPr>
        <w:t>Dissertation Proposal</w:t>
      </w:r>
    </w:p>
    <w:p w14:paraId="65CB8C20" w14:textId="77777777" w:rsidR="00C148A3" w:rsidRPr="00710DFA" w:rsidRDefault="00C148A3" w:rsidP="00C148A3">
      <w:pPr>
        <w:spacing w:line="360" w:lineRule="auto"/>
        <w:jc w:val="both"/>
        <w:rPr>
          <w:color w:val="000000" w:themeColor="text1"/>
          <w:sz w:val="24"/>
          <w:szCs w:val="24"/>
          <w:lang w:val="en-GB"/>
        </w:rPr>
      </w:pPr>
    </w:p>
    <w:p w14:paraId="4CCBA428" w14:textId="77777777" w:rsidR="00C148A3" w:rsidRPr="00710DFA" w:rsidRDefault="00C148A3" w:rsidP="00C148A3">
      <w:pPr>
        <w:spacing w:line="360" w:lineRule="auto"/>
        <w:jc w:val="center"/>
        <w:rPr>
          <w:b/>
          <w:bCs/>
          <w:color w:val="000000" w:themeColor="text1"/>
          <w:sz w:val="28"/>
          <w:szCs w:val="28"/>
          <w:lang w:val="en-GB"/>
        </w:rPr>
      </w:pPr>
      <w:proofErr w:type="gramStart"/>
      <w:r w:rsidRPr="00710DFA">
        <w:rPr>
          <w:b/>
          <w:bCs/>
          <w:color w:val="000000" w:themeColor="text1"/>
          <w:sz w:val="28"/>
          <w:szCs w:val="28"/>
          <w:lang w:val="en-GB"/>
        </w:rPr>
        <w:t>Title :</w:t>
      </w:r>
      <w:proofErr w:type="gramEnd"/>
      <w:r w:rsidRPr="00710DFA">
        <w:rPr>
          <w:b/>
          <w:bCs/>
          <w:color w:val="000000" w:themeColor="text1"/>
          <w:sz w:val="28"/>
          <w:szCs w:val="28"/>
          <w:lang w:val="en-GB"/>
        </w:rPr>
        <w:t xml:space="preserve">  Supply Chains Under Stress: Covid-19, Organisational Responses, and Reconfiguration of Supply Chain Resilience - A Secondary Qualitative Study</w:t>
      </w:r>
    </w:p>
    <w:p w14:paraId="3B656806" w14:textId="77777777" w:rsidR="00C148A3" w:rsidRPr="00710DFA" w:rsidRDefault="00C148A3" w:rsidP="00C148A3">
      <w:pPr>
        <w:rPr>
          <w:color w:val="000000" w:themeColor="text1"/>
          <w:sz w:val="24"/>
          <w:szCs w:val="24"/>
          <w:lang w:val="en-GB"/>
        </w:rPr>
      </w:pPr>
    </w:p>
    <w:p w14:paraId="3C5491AF" w14:textId="77777777" w:rsidR="00C148A3" w:rsidRPr="00710DFA" w:rsidRDefault="00C148A3" w:rsidP="00C148A3">
      <w:pPr>
        <w:rPr>
          <w:color w:val="000000" w:themeColor="text1"/>
          <w:sz w:val="24"/>
          <w:szCs w:val="24"/>
          <w:lang w:val="en-GB"/>
        </w:rPr>
      </w:pPr>
    </w:p>
    <w:p w14:paraId="1365C8CF" w14:textId="77777777" w:rsidR="00C148A3" w:rsidRPr="00710DFA" w:rsidRDefault="00C148A3" w:rsidP="00C148A3">
      <w:pPr>
        <w:rPr>
          <w:color w:val="000000" w:themeColor="text1"/>
          <w:sz w:val="24"/>
          <w:szCs w:val="24"/>
          <w:lang w:val="en-GB"/>
        </w:rPr>
      </w:pPr>
      <w:r w:rsidRPr="00710DFA">
        <w:rPr>
          <w:color w:val="000000" w:themeColor="text1"/>
          <w:sz w:val="24"/>
          <w:szCs w:val="24"/>
          <w:lang w:val="en-GB"/>
        </w:rPr>
        <w:t xml:space="preserve">Student Name &amp; ID: chitaliya nidhi </w:t>
      </w:r>
      <w:proofErr w:type="spellStart"/>
      <w:r w:rsidRPr="00710DFA">
        <w:rPr>
          <w:color w:val="000000" w:themeColor="text1"/>
          <w:sz w:val="24"/>
          <w:szCs w:val="24"/>
          <w:lang w:val="en-GB"/>
        </w:rPr>
        <w:t>dipakbhai</w:t>
      </w:r>
      <w:proofErr w:type="spellEnd"/>
      <w:r w:rsidRPr="00710DFA">
        <w:rPr>
          <w:color w:val="000000" w:themeColor="text1"/>
          <w:sz w:val="24"/>
          <w:szCs w:val="24"/>
          <w:lang w:val="en-GB"/>
        </w:rPr>
        <w:t xml:space="preserve"> &amp; 2432183</w:t>
      </w:r>
    </w:p>
    <w:p w14:paraId="42D565B2" w14:textId="77777777" w:rsidR="00C148A3" w:rsidRPr="00710DFA" w:rsidRDefault="00C148A3" w:rsidP="00C148A3">
      <w:pPr>
        <w:rPr>
          <w:color w:val="000000" w:themeColor="text1"/>
          <w:sz w:val="24"/>
          <w:szCs w:val="24"/>
          <w:lang w:val="en-GB"/>
        </w:rPr>
      </w:pPr>
      <w:r w:rsidRPr="00710DFA">
        <w:rPr>
          <w:color w:val="000000" w:themeColor="text1"/>
          <w:sz w:val="24"/>
          <w:szCs w:val="24"/>
          <w:lang w:val="en-GB"/>
        </w:rPr>
        <w:t>Word count: 2509</w:t>
      </w:r>
    </w:p>
    <w:p w14:paraId="0FAB35DC" w14:textId="77777777" w:rsidR="00C148A3" w:rsidRPr="00710DFA" w:rsidRDefault="00C148A3" w:rsidP="00C148A3">
      <w:pPr>
        <w:rPr>
          <w:color w:val="000000" w:themeColor="text1"/>
          <w:sz w:val="24"/>
          <w:szCs w:val="24"/>
          <w:lang w:val="en-GB"/>
        </w:rPr>
      </w:pPr>
      <w:r w:rsidRPr="00710DFA">
        <w:rPr>
          <w:color w:val="000000" w:themeColor="text1"/>
          <w:sz w:val="24"/>
          <w:szCs w:val="24"/>
          <w:lang w:val="en-GB"/>
        </w:rPr>
        <w:t>Submission Date: 18/02/2026</w:t>
      </w:r>
    </w:p>
    <w:p w14:paraId="363DE462" w14:textId="77777777" w:rsidR="00C148A3" w:rsidRPr="00710DFA" w:rsidRDefault="00C148A3" w:rsidP="00C148A3">
      <w:pPr>
        <w:rPr>
          <w:color w:val="000000" w:themeColor="text1"/>
          <w:sz w:val="24"/>
          <w:szCs w:val="24"/>
          <w:lang w:val="en-GB"/>
        </w:rPr>
      </w:pPr>
      <w:r w:rsidRPr="00710DFA">
        <w:rPr>
          <w:color w:val="000000" w:themeColor="text1"/>
          <w:sz w:val="24"/>
          <w:szCs w:val="24"/>
          <w:lang w:val="en-GB"/>
        </w:rPr>
        <w:br w:type="page"/>
      </w:r>
    </w:p>
    <w:p w14:paraId="7F6F4490" w14:textId="77777777" w:rsidR="00C148A3" w:rsidRPr="00710DFA" w:rsidRDefault="00C148A3" w:rsidP="00C148A3">
      <w:pPr>
        <w:rPr>
          <w:color w:val="000000" w:themeColor="text1"/>
          <w:sz w:val="24"/>
          <w:szCs w:val="24"/>
          <w:lang w:val="en-GB"/>
        </w:rPr>
      </w:pPr>
    </w:p>
    <w:sdt>
      <w:sdtPr>
        <w:rPr>
          <w:rFonts w:asciiTheme="minorHAnsi" w:eastAsiaTheme="minorEastAsia" w:hAnsiTheme="minorHAnsi" w:cstheme="minorBidi"/>
          <w:color w:val="000000" w:themeColor="text1"/>
          <w:kern w:val="2"/>
          <w:sz w:val="22"/>
          <w:szCs w:val="22"/>
          <w:lang w:val="en-GB" w:eastAsia="zh-CN"/>
        </w:rPr>
        <w:id w:val="-1104189103"/>
        <w:docPartObj>
          <w:docPartGallery w:val="Table of Contents"/>
          <w:docPartUnique/>
        </w:docPartObj>
      </w:sdtPr>
      <w:sdtEndPr>
        <w:rPr>
          <w:rFonts w:ascii="Arial" w:eastAsia="Arial" w:hAnsi="Arial" w:cs="Arial"/>
          <w:b/>
          <w:bCs/>
          <w:noProof/>
          <w:kern w:val="0"/>
          <w:lang w:eastAsia="en-IN"/>
        </w:rPr>
      </w:sdtEndPr>
      <w:sdtContent>
        <w:p w14:paraId="6AA634A8" w14:textId="77777777" w:rsidR="00C148A3" w:rsidRPr="00710DFA" w:rsidRDefault="00C148A3" w:rsidP="00C148A3">
          <w:pPr>
            <w:pStyle w:val="TOCHeading"/>
            <w:spacing w:line="360" w:lineRule="auto"/>
            <w:jc w:val="center"/>
            <w:rPr>
              <w:rFonts w:ascii="Arial" w:hAnsi="Arial" w:cs="Arial"/>
              <w:b/>
              <w:bCs/>
              <w:color w:val="000000" w:themeColor="text1"/>
              <w:sz w:val="24"/>
              <w:szCs w:val="24"/>
              <w:lang w:val="en-GB"/>
            </w:rPr>
          </w:pPr>
          <w:r w:rsidRPr="00710DFA">
            <w:rPr>
              <w:rFonts w:ascii="Arial" w:hAnsi="Arial" w:cs="Arial"/>
              <w:b/>
              <w:bCs/>
              <w:color w:val="000000" w:themeColor="text1"/>
              <w:sz w:val="24"/>
              <w:szCs w:val="24"/>
              <w:lang w:val="en-GB"/>
            </w:rPr>
            <w:t>Table of Contents</w:t>
          </w:r>
        </w:p>
        <w:p w14:paraId="053F040D" w14:textId="47CD2AC0"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r w:rsidRPr="00710DFA">
            <w:rPr>
              <w:color w:val="000000" w:themeColor="text1"/>
              <w:sz w:val="24"/>
              <w:szCs w:val="24"/>
              <w:lang w:val="en-GB"/>
            </w:rPr>
            <w:fldChar w:fldCharType="begin"/>
          </w:r>
          <w:r w:rsidRPr="00710DFA">
            <w:rPr>
              <w:color w:val="000000" w:themeColor="text1"/>
              <w:sz w:val="24"/>
              <w:szCs w:val="24"/>
              <w:lang w:val="en-GB"/>
            </w:rPr>
            <w:instrText xml:space="preserve"> TOC \o "1-3" \h \z \u </w:instrText>
          </w:r>
          <w:r w:rsidRPr="00710DFA">
            <w:rPr>
              <w:color w:val="000000" w:themeColor="text1"/>
              <w:sz w:val="24"/>
              <w:szCs w:val="24"/>
              <w:lang w:val="en-GB"/>
            </w:rPr>
            <w:fldChar w:fldCharType="separate"/>
          </w:r>
          <w:hyperlink w:anchor="_Toc222256687" w:history="1">
            <w:r w:rsidRPr="00710DFA">
              <w:rPr>
                <w:rStyle w:val="Hyperlink"/>
                <w:noProof/>
                <w:color w:val="000000" w:themeColor="text1"/>
                <w:sz w:val="24"/>
                <w:szCs w:val="24"/>
                <w:lang w:val="en-GB"/>
              </w:rPr>
              <w:t xml:space="preserve">Background and </w:t>
            </w:r>
            <w:r w:rsidRPr="00710DFA">
              <w:rPr>
                <w:rStyle w:val="Hyperlink"/>
                <w:bCs/>
                <w:noProof/>
                <w:color w:val="000000" w:themeColor="text1"/>
                <w:sz w:val="24"/>
                <w:szCs w:val="24"/>
                <w:lang w:val="en-GB"/>
              </w:rPr>
              <w:t>Research</w:t>
            </w:r>
            <w:r w:rsidRPr="00710DFA">
              <w:rPr>
                <w:rStyle w:val="Hyperlink"/>
                <w:noProof/>
                <w:color w:val="000000" w:themeColor="text1"/>
                <w:sz w:val="24"/>
                <w:szCs w:val="24"/>
                <w:lang w:val="en-GB"/>
              </w:rPr>
              <w:t xml:space="preserve"> rationale</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_Toc222256687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85</w:t>
            </w:r>
            <w:r w:rsidRPr="00710DFA">
              <w:rPr>
                <w:noProof/>
                <w:webHidden/>
                <w:color w:val="000000" w:themeColor="text1"/>
                <w:sz w:val="24"/>
                <w:szCs w:val="24"/>
                <w:lang w:val="en-GB"/>
              </w:rPr>
              <w:fldChar w:fldCharType="end"/>
            </w:r>
          </w:hyperlink>
        </w:p>
        <w:p w14:paraId="5D8B133B" w14:textId="52C0C8E0"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hyperlink w:anchor="_Toc222256688" w:history="1">
            <w:r w:rsidRPr="00710DFA">
              <w:rPr>
                <w:rStyle w:val="Hyperlink"/>
                <w:noProof/>
                <w:color w:val="000000" w:themeColor="text1"/>
                <w:sz w:val="24"/>
                <w:szCs w:val="24"/>
                <w:lang w:val="en-GB"/>
              </w:rPr>
              <w:t>Research aim, objectives, questions</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_Toc222256688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87</w:t>
            </w:r>
            <w:r w:rsidRPr="00710DFA">
              <w:rPr>
                <w:noProof/>
                <w:webHidden/>
                <w:color w:val="000000" w:themeColor="text1"/>
                <w:sz w:val="24"/>
                <w:szCs w:val="24"/>
                <w:lang w:val="en-GB"/>
              </w:rPr>
              <w:fldChar w:fldCharType="end"/>
            </w:r>
          </w:hyperlink>
        </w:p>
        <w:p w14:paraId="3B6D943A" w14:textId="641833CE"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hyperlink w:anchor="_Toc222256689" w:history="1">
            <w:r w:rsidRPr="00710DFA">
              <w:rPr>
                <w:rStyle w:val="Hyperlink"/>
                <w:noProof/>
                <w:color w:val="000000" w:themeColor="text1"/>
                <w:sz w:val="24"/>
                <w:szCs w:val="24"/>
                <w:lang w:val="en-GB"/>
              </w:rPr>
              <w:t>Preliminary literature search</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_Toc222256689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87</w:t>
            </w:r>
            <w:r w:rsidRPr="00710DFA">
              <w:rPr>
                <w:noProof/>
                <w:webHidden/>
                <w:color w:val="000000" w:themeColor="text1"/>
                <w:sz w:val="24"/>
                <w:szCs w:val="24"/>
                <w:lang w:val="en-GB"/>
              </w:rPr>
              <w:fldChar w:fldCharType="end"/>
            </w:r>
          </w:hyperlink>
        </w:p>
        <w:p w14:paraId="75DC4E15" w14:textId="7C977822"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hyperlink w:anchor="_Toc222256690" w:history="1">
            <w:r w:rsidRPr="00710DFA">
              <w:rPr>
                <w:rStyle w:val="Hyperlink"/>
                <w:noProof/>
                <w:color w:val="000000" w:themeColor="text1"/>
                <w:sz w:val="24"/>
                <w:szCs w:val="24"/>
                <w:lang w:val="en-GB"/>
              </w:rPr>
              <w:t>Research methodology</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_Toc222256690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90</w:t>
            </w:r>
            <w:r w:rsidRPr="00710DFA">
              <w:rPr>
                <w:noProof/>
                <w:webHidden/>
                <w:color w:val="000000" w:themeColor="text1"/>
                <w:sz w:val="24"/>
                <w:szCs w:val="24"/>
                <w:lang w:val="en-GB"/>
              </w:rPr>
              <w:fldChar w:fldCharType="end"/>
            </w:r>
          </w:hyperlink>
        </w:p>
        <w:p w14:paraId="1FAC73BE" w14:textId="4C90E2F0"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hyperlink w:anchor="_Toc222256691" w:history="1">
            <w:r w:rsidRPr="00710DFA">
              <w:rPr>
                <w:rStyle w:val="Hyperlink"/>
                <w:noProof/>
                <w:color w:val="000000" w:themeColor="text1"/>
                <w:sz w:val="24"/>
                <w:szCs w:val="24"/>
                <w:lang w:val="en-GB"/>
              </w:rPr>
              <w:t>Risks</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_Toc222256691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93</w:t>
            </w:r>
            <w:r w:rsidRPr="00710DFA">
              <w:rPr>
                <w:noProof/>
                <w:webHidden/>
                <w:color w:val="000000" w:themeColor="text1"/>
                <w:sz w:val="24"/>
                <w:szCs w:val="24"/>
                <w:lang w:val="en-GB"/>
              </w:rPr>
              <w:fldChar w:fldCharType="end"/>
            </w:r>
          </w:hyperlink>
        </w:p>
        <w:p w14:paraId="35E0FA18" w14:textId="6FF2001D"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hyperlink w:anchor="_Toc222256692" w:history="1">
            <w:r w:rsidRPr="00710DFA">
              <w:rPr>
                <w:rStyle w:val="Hyperlink"/>
                <w:noProof/>
                <w:color w:val="000000" w:themeColor="text1"/>
                <w:sz w:val="24"/>
                <w:szCs w:val="24"/>
                <w:lang w:val="en-GB"/>
              </w:rPr>
              <w:t>Timeline</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_Toc222256692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93</w:t>
            </w:r>
            <w:r w:rsidRPr="00710DFA">
              <w:rPr>
                <w:noProof/>
                <w:webHidden/>
                <w:color w:val="000000" w:themeColor="text1"/>
                <w:sz w:val="24"/>
                <w:szCs w:val="24"/>
                <w:lang w:val="en-GB"/>
              </w:rPr>
              <w:fldChar w:fldCharType="end"/>
            </w:r>
          </w:hyperlink>
        </w:p>
        <w:p w14:paraId="12E73BCB" w14:textId="117FA84F" w:rsidR="00C148A3" w:rsidRPr="00710DFA" w:rsidRDefault="00C148A3" w:rsidP="00C148A3">
          <w:pPr>
            <w:pStyle w:val="TOC1"/>
            <w:tabs>
              <w:tab w:val="right" w:leader="dot" w:pos="9016"/>
            </w:tabs>
            <w:spacing w:line="360" w:lineRule="auto"/>
            <w:jc w:val="both"/>
            <w:rPr>
              <w:noProof/>
              <w:color w:val="000000" w:themeColor="text1"/>
              <w:sz w:val="24"/>
              <w:szCs w:val="24"/>
              <w:lang w:val="en-GB"/>
            </w:rPr>
          </w:pPr>
          <w:hyperlink w:anchor="_Toc222256693" w:history="1">
            <w:r w:rsidRPr="00710DFA">
              <w:rPr>
                <w:rStyle w:val="Hyperlink"/>
                <w:noProof/>
                <w:color w:val="000000" w:themeColor="text1"/>
                <w:sz w:val="24"/>
                <w:szCs w:val="24"/>
                <w:lang w:val="en-GB"/>
              </w:rPr>
              <w:t>Reference list</w:t>
            </w:r>
            <w:r w:rsidRPr="00710DFA">
              <w:rPr>
                <w:noProof/>
                <w:webHidden/>
                <w:color w:val="000000" w:themeColor="text1"/>
                <w:sz w:val="24"/>
                <w:szCs w:val="24"/>
                <w:lang w:val="en-GB"/>
              </w:rPr>
              <w:tab/>
            </w:r>
            <w:r w:rsidRPr="00710DFA">
              <w:rPr>
                <w:noProof/>
                <w:webHidden/>
                <w:color w:val="000000" w:themeColor="text1"/>
                <w:sz w:val="24"/>
                <w:szCs w:val="24"/>
                <w:lang w:val="en-GB"/>
              </w:rPr>
              <w:fldChar w:fldCharType="begin"/>
            </w:r>
            <w:r w:rsidRPr="00710DFA">
              <w:rPr>
                <w:noProof/>
                <w:webHidden/>
                <w:color w:val="000000" w:themeColor="text1"/>
                <w:sz w:val="24"/>
                <w:szCs w:val="24"/>
                <w:lang w:val="en-GB"/>
              </w:rPr>
              <w:instrText xml:space="preserve"> PAGEREF _Toc222256693 \h </w:instrText>
            </w:r>
            <w:r w:rsidRPr="00710DFA">
              <w:rPr>
                <w:noProof/>
                <w:webHidden/>
                <w:color w:val="000000" w:themeColor="text1"/>
                <w:sz w:val="24"/>
                <w:szCs w:val="24"/>
                <w:lang w:val="en-GB"/>
              </w:rPr>
            </w:r>
            <w:r w:rsidRPr="00710DFA">
              <w:rPr>
                <w:noProof/>
                <w:webHidden/>
                <w:color w:val="000000" w:themeColor="text1"/>
                <w:sz w:val="24"/>
                <w:szCs w:val="24"/>
                <w:lang w:val="en-GB"/>
              </w:rPr>
              <w:fldChar w:fldCharType="separate"/>
            </w:r>
            <w:r w:rsidR="00740DB7" w:rsidRPr="00710DFA">
              <w:rPr>
                <w:noProof/>
                <w:webHidden/>
                <w:color w:val="000000" w:themeColor="text1"/>
                <w:sz w:val="24"/>
                <w:szCs w:val="24"/>
                <w:lang w:val="en-GB"/>
              </w:rPr>
              <w:t>95</w:t>
            </w:r>
            <w:r w:rsidRPr="00710DFA">
              <w:rPr>
                <w:noProof/>
                <w:webHidden/>
                <w:color w:val="000000" w:themeColor="text1"/>
                <w:sz w:val="24"/>
                <w:szCs w:val="24"/>
                <w:lang w:val="en-GB"/>
              </w:rPr>
              <w:fldChar w:fldCharType="end"/>
            </w:r>
          </w:hyperlink>
        </w:p>
        <w:p w14:paraId="4BEDA2C0" w14:textId="77777777" w:rsidR="00C148A3" w:rsidRPr="00710DFA" w:rsidRDefault="00C148A3" w:rsidP="00C148A3">
          <w:pPr>
            <w:spacing w:line="360" w:lineRule="auto"/>
            <w:jc w:val="both"/>
            <w:rPr>
              <w:color w:val="000000" w:themeColor="text1"/>
              <w:lang w:val="en-GB"/>
            </w:rPr>
          </w:pPr>
          <w:r w:rsidRPr="00710DFA">
            <w:rPr>
              <w:b/>
              <w:bCs/>
              <w:noProof/>
              <w:color w:val="000000" w:themeColor="text1"/>
              <w:sz w:val="24"/>
              <w:szCs w:val="24"/>
              <w:lang w:val="en-GB"/>
            </w:rPr>
            <w:fldChar w:fldCharType="end"/>
          </w:r>
        </w:p>
      </w:sdtContent>
    </w:sdt>
    <w:p w14:paraId="76898EF1" w14:textId="77777777" w:rsidR="00C148A3" w:rsidRPr="00710DFA" w:rsidRDefault="00C148A3" w:rsidP="00C148A3">
      <w:pPr>
        <w:spacing w:line="360" w:lineRule="auto"/>
        <w:jc w:val="both"/>
        <w:rPr>
          <w:color w:val="000000" w:themeColor="text1"/>
          <w:sz w:val="24"/>
          <w:szCs w:val="24"/>
          <w:lang w:val="en-GB"/>
        </w:rPr>
      </w:pPr>
    </w:p>
    <w:p w14:paraId="163DA2AC" w14:textId="77777777" w:rsidR="00C148A3" w:rsidRPr="00710DFA" w:rsidRDefault="00C148A3" w:rsidP="00C148A3">
      <w:pPr>
        <w:rPr>
          <w:rFonts w:eastAsiaTheme="majorEastAsia" w:cstheme="majorBidi"/>
          <w:b/>
          <w:color w:val="000000" w:themeColor="text1"/>
          <w:sz w:val="24"/>
          <w:szCs w:val="32"/>
          <w:lang w:val="en-GB"/>
        </w:rPr>
      </w:pPr>
      <w:r w:rsidRPr="00710DFA">
        <w:rPr>
          <w:color w:val="000000" w:themeColor="text1"/>
          <w:lang w:val="en-GB"/>
        </w:rPr>
        <w:br w:type="page"/>
      </w:r>
    </w:p>
    <w:p w14:paraId="55966258" w14:textId="77777777" w:rsidR="00C148A3" w:rsidRPr="00710DFA" w:rsidRDefault="00C148A3" w:rsidP="00C148A3">
      <w:pPr>
        <w:pStyle w:val="Heading1"/>
      </w:pPr>
      <w:bookmarkStart w:id="62" w:name="_Toc222256687"/>
      <w:bookmarkStart w:id="63" w:name="_Toc228792837"/>
      <w:bookmarkStart w:id="64" w:name="_Toc228921299"/>
      <w:r w:rsidRPr="00710DFA">
        <w:lastRenderedPageBreak/>
        <w:t xml:space="preserve">Background and </w:t>
      </w:r>
      <w:r w:rsidRPr="00710DFA">
        <w:rPr>
          <w:b w:val="0"/>
        </w:rPr>
        <w:t>Research</w:t>
      </w:r>
      <w:r w:rsidRPr="00710DFA">
        <w:t xml:space="preserve"> rationale</w:t>
      </w:r>
      <w:bookmarkEnd w:id="62"/>
      <w:bookmarkEnd w:id="63"/>
      <w:bookmarkEnd w:id="64"/>
      <w:r w:rsidRPr="00710DFA">
        <w:t xml:space="preserve">  </w:t>
      </w:r>
    </w:p>
    <w:p w14:paraId="0547BD36"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A major instance of the Covid-19 pandemic disproportionately affecting global supply chains (GSCs) in contemporary economic history was the exposure of systemic vulnerabilities that decades of lean, efficiency-focused supply chain design had contributed to. Compared to other recent outbreaks like SARS in 2003 or the H1N1 in 2009, Covid-19 simultaneously impacted supply chains networks at all nodes and linkages, in addition to supply and demand of all major economies at the same time (Xu </w:t>
      </w:r>
      <w:r w:rsidRPr="00710DFA">
        <w:rPr>
          <w:i/>
          <w:iCs/>
          <w:color w:val="000000" w:themeColor="text1"/>
          <w:sz w:val="24"/>
          <w:szCs w:val="24"/>
          <w:lang w:val="en-GB"/>
        </w:rPr>
        <w:t>et al</w:t>
      </w:r>
      <w:r w:rsidRPr="00710DFA">
        <w:rPr>
          <w:color w:val="000000" w:themeColor="text1"/>
          <w:sz w:val="24"/>
          <w:szCs w:val="24"/>
          <w:lang w:val="en-GB"/>
        </w:rPr>
        <w:t xml:space="preserve">., 2020). The World Trade Organisation predicted that almost all areas were going to experience double-digit losses in trade volumes with exports of the North American and Asian regions experiencing the greatest impact and trade decreasing (WTO, 2020). Kiyota, (2021) estimates show that the virus reduced the growth of the world economy by between 6.0% in 2020, the world trade dropped by an average of about 9.2% based on the severity and scale of the economic decline. These indicators prove that the economic flow of the pandemic worked disproportionately by trade and production chains, and the whole direction of supply chains was weak around the world, in particular. </w:t>
      </w:r>
    </w:p>
    <w:p w14:paraId="2C328208" w14:textId="77777777" w:rsidR="00C148A3" w:rsidRPr="00710DFA" w:rsidRDefault="00C148A3" w:rsidP="00C148A3">
      <w:pPr>
        <w:spacing w:line="360" w:lineRule="auto"/>
        <w:jc w:val="center"/>
        <w:rPr>
          <w:color w:val="000000" w:themeColor="text1"/>
          <w:sz w:val="24"/>
          <w:szCs w:val="24"/>
          <w:lang w:val="en-GB"/>
        </w:rPr>
      </w:pPr>
      <w:r w:rsidRPr="00710DFA">
        <w:rPr>
          <w:noProof/>
          <w:color w:val="000000" w:themeColor="text1"/>
          <w:sz w:val="24"/>
          <w:szCs w:val="24"/>
          <w:lang w:val="en-GB" w:eastAsia="en-US"/>
        </w:rPr>
        <w:drawing>
          <wp:inline distT="0" distB="0" distL="0" distR="0" wp14:anchorId="425AE927" wp14:editId="34AF6758">
            <wp:extent cx="4549534" cy="2591025"/>
            <wp:effectExtent l="0" t="0" r="3810" b="0"/>
            <wp:docPr id="184801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12519" name=""/>
                    <pic:cNvPicPr/>
                  </pic:nvPicPr>
                  <pic:blipFill>
                    <a:blip r:embed="rId31" cstate="print"/>
                    <a:stretch>
                      <a:fillRect/>
                    </a:stretch>
                  </pic:blipFill>
                  <pic:spPr>
                    <a:xfrm>
                      <a:off x="0" y="0"/>
                      <a:ext cx="4549534" cy="2591025"/>
                    </a:xfrm>
                    <a:prstGeom prst="rect">
                      <a:avLst/>
                    </a:prstGeom>
                  </pic:spPr>
                </pic:pic>
              </a:graphicData>
            </a:graphic>
          </wp:inline>
        </w:drawing>
      </w:r>
    </w:p>
    <w:p w14:paraId="28B33656" w14:textId="77777777" w:rsidR="00C148A3" w:rsidRPr="00710DFA" w:rsidRDefault="00C148A3" w:rsidP="00C148A3">
      <w:pPr>
        <w:spacing w:line="360" w:lineRule="auto"/>
        <w:jc w:val="center"/>
        <w:rPr>
          <w:b/>
          <w:bCs/>
          <w:color w:val="000000" w:themeColor="text1"/>
          <w:sz w:val="24"/>
          <w:szCs w:val="24"/>
          <w:lang w:val="en-GB"/>
        </w:rPr>
      </w:pPr>
      <w:r w:rsidRPr="00710DFA">
        <w:rPr>
          <w:b/>
          <w:bCs/>
          <w:color w:val="000000" w:themeColor="text1"/>
          <w:sz w:val="24"/>
          <w:szCs w:val="24"/>
          <w:lang w:val="en-GB"/>
        </w:rPr>
        <w:t>Figure 1: Supply chain issues during covid 19</w:t>
      </w:r>
    </w:p>
    <w:p w14:paraId="7E385B61" w14:textId="77777777" w:rsidR="00C148A3" w:rsidRPr="00710DFA" w:rsidRDefault="00C148A3" w:rsidP="00C148A3">
      <w:pPr>
        <w:spacing w:line="360" w:lineRule="auto"/>
        <w:jc w:val="center"/>
        <w:rPr>
          <w:color w:val="000000" w:themeColor="text1"/>
          <w:sz w:val="24"/>
          <w:szCs w:val="24"/>
          <w:lang w:val="en-GB"/>
        </w:rPr>
      </w:pPr>
      <w:r w:rsidRPr="00710DFA">
        <w:rPr>
          <w:color w:val="000000" w:themeColor="text1"/>
          <w:sz w:val="24"/>
          <w:szCs w:val="24"/>
          <w:lang w:val="en-GB"/>
        </w:rPr>
        <w:t xml:space="preserve">(Source: Influenced from Xu </w:t>
      </w:r>
      <w:r w:rsidRPr="00710DFA">
        <w:rPr>
          <w:i/>
          <w:iCs/>
          <w:color w:val="000000" w:themeColor="text1"/>
          <w:sz w:val="24"/>
          <w:szCs w:val="24"/>
          <w:lang w:val="en-GB"/>
        </w:rPr>
        <w:t>et al</w:t>
      </w:r>
      <w:r w:rsidRPr="00710DFA">
        <w:rPr>
          <w:color w:val="000000" w:themeColor="text1"/>
          <w:sz w:val="24"/>
          <w:szCs w:val="24"/>
          <w:lang w:val="en-GB"/>
        </w:rPr>
        <w:t>., 2020)</w:t>
      </w:r>
    </w:p>
    <w:p w14:paraId="531685C8"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The precautionary measures by the government such as travel restrictions, temporary factory and outlet closures, and mandatory confinement resulted in labour, active ingredient, and raw material shortages, and increased delay and inventory shortages in </w:t>
      </w:r>
      <w:r w:rsidRPr="00710DFA">
        <w:rPr>
          <w:color w:val="000000" w:themeColor="text1"/>
          <w:sz w:val="24"/>
          <w:szCs w:val="24"/>
          <w:lang w:val="en-GB"/>
        </w:rPr>
        <w:lastRenderedPageBreak/>
        <w:t xml:space="preserve">GSCs due to tightening controls on logistical systems. Supply subtracted between 0.5% and 1.2% of global value added during the recovery period of 2021 alone, and also added around 1% to global core inflation in that same year - proving that the supply chain crisis was far from over by the end of 2021, it continued to limit economic recovery (Moosavi </w:t>
      </w:r>
      <w:r w:rsidRPr="00710DFA">
        <w:rPr>
          <w:i/>
          <w:iCs/>
          <w:color w:val="000000" w:themeColor="text1"/>
          <w:sz w:val="24"/>
          <w:szCs w:val="24"/>
          <w:lang w:val="en-GB"/>
        </w:rPr>
        <w:t>et al.,</w:t>
      </w:r>
      <w:r w:rsidRPr="00710DFA">
        <w:rPr>
          <w:color w:val="000000" w:themeColor="text1"/>
          <w:sz w:val="24"/>
          <w:szCs w:val="24"/>
          <w:lang w:val="en-GB"/>
        </w:rPr>
        <w:t xml:space="preserve"> 2021).</w:t>
      </w:r>
    </w:p>
    <w:p w14:paraId="22173914" w14:textId="77777777" w:rsidR="00C148A3" w:rsidRPr="00710DFA" w:rsidRDefault="00C148A3" w:rsidP="00C148A3">
      <w:pPr>
        <w:spacing w:line="360" w:lineRule="auto"/>
        <w:jc w:val="center"/>
        <w:rPr>
          <w:color w:val="000000" w:themeColor="text1"/>
          <w:sz w:val="24"/>
          <w:szCs w:val="24"/>
          <w:lang w:val="en-GB"/>
        </w:rPr>
      </w:pPr>
      <w:r w:rsidRPr="00710DFA">
        <w:rPr>
          <w:noProof/>
          <w:color w:val="000000" w:themeColor="text1"/>
          <w:sz w:val="24"/>
          <w:szCs w:val="24"/>
          <w:lang w:val="en-GB" w:eastAsia="en-US"/>
        </w:rPr>
        <w:drawing>
          <wp:inline distT="0" distB="0" distL="0" distR="0" wp14:anchorId="481C5D35" wp14:editId="0330839D">
            <wp:extent cx="3558848" cy="2461473"/>
            <wp:effectExtent l="0" t="0" r="3810" b="0"/>
            <wp:docPr id="177285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53457" name=""/>
                    <pic:cNvPicPr/>
                  </pic:nvPicPr>
                  <pic:blipFill>
                    <a:blip r:embed="rId32" cstate="print"/>
                    <a:stretch>
                      <a:fillRect/>
                    </a:stretch>
                  </pic:blipFill>
                  <pic:spPr>
                    <a:xfrm>
                      <a:off x="0" y="0"/>
                      <a:ext cx="3558848" cy="2461473"/>
                    </a:xfrm>
                    <a:prstGeom prst="rect">
                      <a:avLst/>
                    </a:prstGeom>
                  </pic:spPr>
                </pic:pic>
              </a:graphicData>
            </a:graphic>
          </wp:inline>
        </w:drawing>
      </w:r>
    </w:p>
    <w:p w14:paraId="6FF56B8F" w14:textId="77777777" w:rsidR="00C148A3" w:rsidRPr="00710DFA" w:rsidRDefault="00C148A3" w:rsidP="00C148A3">
      <w:pPr>
        <w:spacing w:line="360" w:lineRule="auto"/>
        <w:jc w:val="center"/>
        <w:rPr>
          <w:b/>
          <w:bCs/>
          <w:color w:val="000000" w:themeColor="text1"/>
          <w:sz w:val="24"/>
          <w:szCs w:val="24"/>
          <w:lang w:val="en-GB"/>
        </w:rPr>
      </w:pPr>
      <w:r w:rsidRPr="00710DFA">
        <w:rPr>
          <w:b/>
          <w:bCs/>
          <w:color w:val="000000" w:themeColor="text1"/>
          <w:sz w:val="24"/>
          <w:szCs w:val="24"/>
          <w:lang w:val="en-GB"/>
        </w:rPr>
        <w:t>Figure 2: Covid 19 impact in supply chain</w:t>
      </w:r>
    </w:p>
    <w:p w14:paraId="352C4F1A" w14:textId="77777777" w:rsidR="00C148A3" w:rsidRPr="00710DFA" w:rsidRDefault="00C148A3" w:rsidP="00C148A3">
      <w:pPr>
        <w:spacing w:line="360" w:lineRule="auto"/>
        <w:jc w:val="center"/>
        <w:rPr>
          <w:color w:val="000000" w:themeColor="text1"/>
          <w:sz w:val="24"/>
          <w:szCs w:val="24"/>
          <w:lang w:val="en-GB"/>
        </w:rPr>
      </w:pPr>
      <w:r w:rsidRPr="00710DFA">
        <w:rPr>
          <w:color w:val="000000" w:themeColor="text1"/>
          <w:sz w:val="24"/>
          <w:szCs w:val="24"/>
          <w:lang w:val="en-GB"/>
        </w:rPr>
        <w:t xml:space="preserve">(Source: Influenced from Moosavi </w:t>
      </w:r>
      <w:r w:rsidRPr="00710DFA">
        <w:rPr>
          <w:i/>
          <w:iCs/>
          <w:color w:val="000000" w:themeColor="text1"/>
          <w:sz w:val="24"/>
          <w:szCs w:val="24"/>
          <w:lang w:val="en-GB"/>
        </w:rPr>
        <w:t>et al.,</w:t>
      </w:r>
      <w:r w:rsidRPr="00710DFA">
        <w:rPr>
          <w:color w:val="000000" w:themeColor="text1"/>
          <w:sz w:val="24"/>
          <w:szCs w:val="24"/>
          <w:lang w:val="en-GB"/>
        </w:rPr>
        <w:t xml:space="preserve"> 2021)</w:t>
      </w:r>
    </w:p>
    <w:p w14:paraId="7FE35F8C"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The magnitude of such upheavals set out a definite and immediate scholarly emergency. Through a review of supply chain management (SCM)-Covid-19-related studies, it is evident that few studies have explored the impacts of supply chain resilience and robustness on performance. Identifying three main capabilities to interconnectedness, transformability, and sharing as the essential ones in the SCM field, researchers found that to create more resilient supply chains in the post-Covid world, organisations should concentrate on the capabilities (Li </w:t>
      </w:r>
      <w:r w:rsidRPr="00710DFA">
        <w:rPr>
          <w:i/>
          <w:iCs/>
          <w:color w:val="000000" w:themeColor="text1"/>
          <w:sz w:val="24"/>
          <w:szCs w:val="24"/>
          <w:lang w:val="en-GB"/>
        </w:rPr>
        <w:t>et al.,</w:t>
      </w:r>
      <w:r w:rsidRPr="00710DFA">
        <w:rPr>
          <w:color w:val="000000" w:themeColor="text1"/>
          <w:sz w:val="24"/>
          <w:szCs w:val="24"/>
          <w:lang w:val="en-GB"/>
        </w:rPr>
        <w:t xml:space="preserve"> 2023). However, how these capabilities are developed and exercised in response to the pandemic in specific ways is an analytically underdeveloped topic. Organisational resilience is linked to dynamic capabilities - capacity to adapt, integrate, and reconfigure resources in order to survive and even flourish in the changing conditions (Napier, Liu and Liu, 2024). Most empirical studies examine resilience using the retrospective approach, whereas the real-time organisational responsiveness of unprecedented disruptions is still under theorised. The post-Covid resilient supply chains must be turned into survivable supply chains, which </w:t>
      </w:r>
      <w:r w:rsidRPr="00710DFA">
        <w:rPr>
          <w:color w:val="000000" w:themeColor="text1"/>
          <w:sz w:val="24"/>
          <w:szCs w:val="24"/>
          <w:lang w:val="en-GB"/>
        </w:rPr>
        <w:lastRenderedPageBreak/>
        <w:t xml:space="preserve">can be done only after integrating both the resilience and viability measures. This requires an in-depth comprehension of organisational behaviours that the concept is based upon. The pandemic and a sequence of other disruptive events that followed such as the Russia-Ukraine conflict and commodities and energy </w:t>
      </w:r>
      <w:proofErr w:type="spellStart"/>
      <w:r w:rsidRPr="00710DFA">
        <w:rPr>
          <w:color w:val="000000" w:themeColor="text1"/>
          <w:sz w:val="24"/>
          <w:szCs w:val="24"/>
          <w:lang w:val="en-GB"/>
        </w:rPr>
        <w:t>shockages</w:t>
      </w:r>
      <w:proofErr w:type="spellEnd"/>
      <w:r w:rsidRPr="00710DFA">
        <w:rPr>
          <w:color w:val="000000" w:themeColor="text1"/>
          <w:sz w:val="24"/>
          <w:szCs w:val="24"/>
          <w:lang w:val="en-GB"/>
        </w:rPr>
        <w:t xml:space="preserve">, all demonstrated the fragility of supply chains (Xu </w:t>
      </w:r>
      <w:r w:rsidRPr="00710DFA">
        <w:rPr>
          <w:i/>
          <w:iCs/>
          <w:color w:val="000000" w:themeColor="text1"/>
          <w:sz w:val="24"/>
          <w:szCs w:val="24"/>
          <w:lang w:val="en-GB"/>
        </w:rPr>
        <w:t>et al.</w:t>
      </w:r>
      <w:r w:rsidRPr="00710DFA">
        <w:rPr>
          <w:color w:val="000000" w:themeColor="text1"/>
          <w:sz w:val="24"/>
          <w:szCs w:val="24"/>
          <w:lang w:val="en-GB"/>
        </w:rPr>
        <w:t>, 2020). It is necessary to synthesise, categorise, and explain existing and emergent lines of research Springer so that organisations have information to support their ability to build resilience in the face of any one disaster.</w:t>
      </w:r>
    </w:p>
    <w:p w14:paraId="50D58C86" w14:textId="77777777" w:rsidR="00C148A3" w:rsidRPr="00710DFA" w:rsidRDefault="00C148A3" w:rsidP="00C148A3">
      <w:pPr>
        <w:pStyle w:val="Heading1"/>
      </w:pPr>
      <w:bookmarkStart w:id="65" w:name="_Toc222256688"/>
      <w:bookmarkStart w:id="66" w:name="_Toc228792838"/>
      <w:bookmarkStart w:id="67" w:name="_Toc228921300"/>
      <w:r w:rsidRPr="00710DFA">
        <w:t>Research aim, objectives, questions</w:t>
      </w:r>
      <w:bookmarkEnd w:id="65"/>
      <w:bookmarkEnd w:id="66"/>
      <w:bookmarkEnd w:id="67"/>
    </w:p>
    <w:p w14:paraId="2B7CC487"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Aim </w:t>
      </w:r>
    </w:p>
    <w:p w14:paraId="6C8C2C55"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This study focuses on critically reviewing the impact of Covid-19 on the global supply chain and the organisational reactions that helped to reconfigure the supply chain resilience based on secondary qualitative evidence.</w:t>
      </w:r>
    </w:p>
    <w:p w14:paraId="588DA90C"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Objectives </w:t>
      </w:r>
    </w:p>
    <w:p w14:paraId="4D9B080D"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To investigate the major supply chain shocks and weaknesses revealed by Covid-19 as revealed in the recent literature.</w:t>
      </w:r>
    </w:p>
    <w:p w14:paraId="4F90BAA1"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To examine the organisational responses encompassed by the firms to address the supply chain stress in the Covid-19 pandemic.</w:t>
      </w:r>
    </w:p>
    <w:p w14:paraId="7E549F81"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To assess the role played by these organisational responses in the creation of supply chain resilience.</w:t>
      </w:r>
    </w:p>
    <w:p w14:paraId="0F782315"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Research question </w:t>
      </w:r>
    </w:p>
    <w:p w14:paraId="0EE6A2FD"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What were organisations doing in response to the disruptions of supply chains caused by Covid-19, and how did organisations affect the reconfiguration of supply chain resilience?</w:t>
      </w:r>
    </w:p>
    <w:p w14:paraId="41078CE4" w14:textId="77777777" w:rsidR="00C148A3" w:rsidRPr="00710DFA" w:rsidRDefault="00C148A3" w:rsidP="00C148A3">
      <w:pPr>
        <w:pStyle w:val="Heading1"/>
      </w:pPr>
      <w:bookmarkStart w:id="68" w:name="_Toc222256689"/>
      <w:bookmarkStart w:id="69" w:name="_Toc228792839"/>
      <w:bookmarkStart w:id="70" w:name="_Toc228921301"/>
      <w:r w:rsidRPr="00710DFA">
        <w:t>Preliminary literature search</w:t>
      </w:r>
      <w:bookmarkEnd w:id="68"/>
      <w:bookmarkEnd w:id="69"/>
      <w:bookmarkEnd w:id="70"/>
      <w:r w:rsidRPr="00710DFA">
        <w:t xml:space="preserve"> </w:t>
      </w:r>
    </w:p>
    <w:p w14:paraId="59B4DD85"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The graphical representation of a more comprehensive bibliometric review of the supply chain resilience literature shows that the productivity and the diversification of scholarly authorship have become evident since 2020. The post-pandemic era has already found 157 authors who have published at least two articles in the topics of supply chain resilience compared to 35, in the whole pre-pandemic period (Niu</w:t>
      </w:r>
      <w:r w:rsidRPr="00710DFA">
        <w:rPr>
          <w:i/>
          <w:iCs/>
          <w:color w:val="000000" w:themeColor="text1"/>
          <w:sz w:val="24"/>
          <w:szCs w:val="24"/>
          <w:lang w:val="en-GB"/>
        </w:rPr>
        <w:t xml:space="preserve"> et al.,</w:t>
      </w:r>
      <w:r w:rsidRPr="00710DFA">
        <w:rPr>
          <w:color w:val="000000" w:themeColor="text1"/>
          <w:sz w:val="24"/>
          <w:szCs w:val="24"/>
          <w:lang w:val="en-GB"/>
        </w:rPr>
        <w:t xml:space="preserve"> 2025). The literature was thematically classified using machine learning and the results were </w:t>
      </w:r>
      <w:r w:rsidRPr="00710DFA">
        <w:rPr>
          <w:color w:val="000000" w:themeColor="text1"/>
          <w:sz w:val="24"/>
          <w:szCs w:val="24"/>
          <w:lang w:val="en-GB"/>
        </w:rPr>
        <w:lastRenderedPageBreak/>
        <w:t>presented in 11 thematic clusters, concluding that, in the context of Covid-19, three capabilities interconnectedness, transformability, and sharing are those capabilities the firm should prioritize in building more resilient supply chains in the post-Covid world. This is an important observation, as it demonstrates that as much as the field of the research of supply chain resilience was expanded, the conversion of these thematic clusters into a consistent picture of distinctive organisational reactions and outcomes of resilience is under-researched. The available literature corroborates the idea that agile capabilities and data-driven real-time monitoring and visibility solutions helped companies to repurpose their supply chains during Covid-19. in particular, the examples of luxury goods manufacturers, such as LVMH, L'Oreal, and Giorgio Armani, who reconfigured their factories to produce hand sanitizers, masks, and gowns, and automotive companies, including Ford and Tesla, who shifted the manufacturing process to ventilators and hospital beds, will be the best-known instances of how such behaviours have turned into long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The current research is more or less still centred around theoretical contribution and case-studies, promoting an in-depth analysis, with an under-researched stream in particular, the role of digital technology resources as a direct enabler of supply chain resilience in the context of severe disruptions, once again supporting the used synthesising approach in this research.</w:t>
      </w:r>
    </w:p>
    <w:p w14:paraId="0AA3173A" w14:textId="77777777" w:rsidR="00C148A3" w:rsidRPr="00710DFA" w:rsidRDefault="00C148A3" w:rsidP="00C148A3">
      <w:pPr>
        <w:spacing w:line="360" w:lineRule="auto"/>
        <w:jc w:val="both"/>
        <w:rPr>
          <w:b/>
          <w:bCs/>
          <w:i/>
          <w:iCs/>
          <w:color w:val="000000" w:themeColor="text1"/>
          <w:sz w:val="24"/>
          <w:szCs w:val="24"/>
          <w:lang w:val="en-GB"/>
        </w:rPr>
      </w:pPr>
      <w:r w:rsidRPr="00710DFA">
        <w:rPr>
          <w:b/>
          <w:bCs/>
          <w:i/>
          <w:iCs/>
          <w:color w:val="000000" w:themeColor="text1"/>
          <w:sz w:val="24"/>
          <w:szCs w:val="24"/>
          <w:lang w:val="en-GB"/>
        </w:rPr>
        <w:t xml:space="preserve">Theoretical underpinning </w:t>
      </w:r>
    </w:p>
    <w:p w14:paraId="2DBED2BB"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The most appropriate theory to use in this study is the ‘Dynamic Capabilities Theory’ (DCT), which was first proposed in 1997 by Teece, Pisano and </w:t>
      </w:r>
      <w:proofErr w:type="spellStart"/>
      <w:r w:rsidRPr="00710DFA">
        <w:rPr>
          <w:color w:val="000000" w:themeColor="text1"/>
          <w:sz w:val="24"/>
          <w:szCs w:val="24"/>
          <w:lang w:val="en-GB"/>
        </w:rPr>
        <w:t>Shuen</w:t>
      </w:r>
      <w:proofErr w:type="spellEnd"/>
      <w:r w:rsidRPr="00710DFA">
        <w:rPr>
          <w:color w:val="000000" w:themeColor="text1"/>
          <w:sz w:val="24"/>
          <w:szCs w:val="24"/>
          <w:lang w:val="en-GB"/>
        </w:rPr>
        <w:t xml:space="preserve"> (1997) and later updated by Teece (2007). The theory of dynamic capabilities describes the capacity of a firm to incorporate, develop, and re-organise internal and external competencies to respond to the rapidly shifting environment. </w:t>
      </w:r>
      <w:proofErr w:type="gramStart"/>
      <w:r w:rsidRPr="00710DFA">
        <w:rPr>
          <w:color w:val="000000" w:themeColor="text1"/>
          <w:sz w:val="24"/>
          <w:szCs w:val="24"/>
          <w:lang w:val="en-GB"/>
        </w:rPr>
        <w:t>Thus</w:t>
      </w:r>
      <w:proofErr w:type="gramEnd"/>
      <w:r w:rsidRPr="00710DFA">
        <w:rPr>
          <w:color w:val="000000" w:themeColor="text1"/>
          <w:sz w:val="24"/>
          <w:szCs w:val="24"/>
          <w:lang w:val="en-GB"/>
        </w:rPr>
        <w:t xml:space="preserve"> the theory is especially effective when it comes to studying how organisations reconfigured their supply chain operations in the unprecedented circumstances of the Covid-19 pandemic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xml:space="preserve">, 2021). A behavioural perspective on dynamic capabilities has allowed researchers to form a relationship between aggregate organisational resilience capabilities and elements of managerial risk perception. This proves that dynamic capabilities, as conceptualised in terms of sensemaking, are the theoretical scaffolding in understanding how organisations build resilience in highly uncertain environments that are equivocal, like those </w:t>
      </w:r>
      <w:r w:rsidRPr="00710DFA">
        <w:rPr>
          <w:color w:val="000000" w:themeColor="text1"/>
          <w:sz w:val="24"/>
          <w:szCs w:val="24"/>
          <w:lang w:val="en-GB"/>
        </w:rPr>
        <w:lastRenderedPageBreak/>
        <w:t xml:space="preserve">experienced during Covid-19 (Meier and Pinto, 2024). Studies of supply chain resilience during large-scale disruptions that apply the Dynamic Capabilities Theory show how strategic resources can be converted into complementary capabilities which increase supply chain resilience, bridging dynamic capabilities to organisational strategy on financial performance, process improvement, growth and learning aspects (Niu </w:t>
      </w:r>
      <w:r w:rsidRPr="00710DFA">
        <w:rPr>
          <w:i/>
          <w:iCs/>
          <w:color w:val="000000" w:themeColor="text1"/>
          <w:sz w:val="24"/>
          <w:szCs w:val="24"/>
          <w:lang w:val="en-GB"/>
        </w:rPr>
        <w:t>et al</w:t>
      </w:r>
      <w:r w:rsidRPr="00710DFA">
        <w:rPr>
          <w:color w:val="000000" w:themeColor="text1"/>
          <w:sz w:val="24"/>
          <w:szCs w:val="24"/>
          <w:lang w:val="en-GB"/>
        </w:rPr>
        <w:t>., 2025). </w:t>
      </w:r>
    </w:p>
    <w:p w14:paraId="0CA70E6D" w14:textId="77777777" w:rsidR="00C148A3" w:rsidRPr="00710DFA" w:rsidRDefault="00C148A3" w:rsidP="00C148A3">
      <w:pPr>
        <w:spacing w:line="360" w:lineRule="auto"/>
        <w:jc w:val="center"/>
        <w:rPr>
          <w:color w:val="000000" w:themeColor="text1"/>
          <w:sz w:val="24"/>
          <w:szCs w:val="24"/>
          <w:lang w:val="en-GB"/>
        </w:rPr>
      </w:pPr>
      <w:r w:rsidRPr="00710DFA">
        <w:rPr>
          <w:noProof/>
          <w:color w:val="000000" w:themeColor="text1"/>
          <w:sz w:val="24"/>
          <w:szCs w:val="24"/>
          <w:lang w:val="en-GB" w:eastAsia="en-US"/>
        </w:rPr>
        <w:drawing>
          <wp:inline distT="0" distB="0" distL="0" distR="0" wp14:anchorId="7735CAD7" wp14:editId="65B38BC6">
            <wp:extent cx="5731510" cy="3328035"/>
            <wp:effectExtent l="0" t="0" r="2540" b="5715"/>
            <wp:docPr id="177634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49219" name=""/>
                    <pic:cNvPicPr/>
                  </pic:nvPicPr>
                  <pic:blipFill>
                    <a:blip r:embed="rId11" cstate="print"/>
                    <a:stretch>
                      <a:fillRect/>
                    </a:stretch>
                  </pic:blipFill>
                  <pic:spPr>
                    <a:xfrm>
                      <a:off x="0" y="0"/>
                      <a:ext cx="5731510" cy="3328035"/>
                    </a:xfrm>
                    <a:prstGeom prst="rect">
                      <a:avLst/>
                    </a:prstGeom>
                  </pic:spPr>
                </pic:pic>
              </a:graphicData>
            </a:graphic>
          </wp:inline>
        </w:drawing>
      </w:r>
    </w:p>
    <w:p w14:paraId="7FE131CD" w14:textId="77777777" w:rsidR="00C148A3" w:rsidRPr="00710DFA" w:rsidRDefault="00C148A3" w:rsidP="00C148A3">
      <w:pPr>
        <w:spacing w:line="360" w:lineRule="auto"/>
        <w:jc w:val="center"/>
        <w:rPr>
          <w:b/>
          <w:bCs/>
          <w:color w:val="000000" w:themeColor="text1"/>
          <w:sz w:val="24"/>
          <w:szCs w:val="24"/>
          <w:lang w:val="en-GB"/>
        </w:rPr>
      </w:pPr>
      <w:r w:rsidRPr="00710DFA">
        <w:rPr>
          <w:b/>
          <w:bCs/>
          <w:color w:val="000000" w:themeColor="text1"/>
          <w:sz w:val="24"/>
          <w:szCs w:val="24"/>
          <w:lang w:val="en-GB"/>
        </w:rPr>
        <w:t>Figure 3: Flowchart of DCT</w:t>
      </w:r>
    </w:p>
    <w:p w14:paraId="7D408D3D" w14:textId="77777777" w:rsidR="00C148A3" w:rsidRPr="00710DFA" w:rsidRDefault="00C148A3" w:rsidP="00C148A3">
      <w:pPr>
        <w:spacing w:line="360" w:lineRule="auto"/>
        <w:jc w:val="center"/>
        <w:rPr>
          <w:color w:val="000000" w:themeColor="text1"/>
          <w:sz w:val="24"/>
          <w:szCs w:val="24"/>
          <w:lang w:val="en-GB"/>
        </w:rPr>
      </w:pPr>
      <w:r w:rsidRPr="00710DFA">
        <w:rPr>
          <w:color w:val="000000" w:themeColor="text1"/>
          <w:sz w:val="24"/>
          <w:szCs w:val="24"/>
          <w:lang w:val="en-GB"/>
        </w:rPr>
        <w:t xml:space="preserve">(Source: Influenced from Niu </w:t>
      </w:r>
      <w:r w:rsidRPr="00710DFA">
        <w:rPr>
          <w:i/>
          <w:iCs/>
          <w:color w:val="000000" w:themeColor="text1"/>
          <w:sz w:val="24"/>
          <w:szCs w:val="24"/>
          <w:lang w:val="en-GB"/>
        </w:rPr>
        <w:t>et al</w:t>
      </w:r>
      <w:r w:rsidRPr="00710DFA">
        <w:rPr>
          <w:color w:val="000000" w:themeColor="text1"/>
          <w:sz w:val="24"/>
          <w:szCs w:val="24"/>
          <w:lang w:val="en-GB"/>
        </w:rPr>
        <w:t>., 2025)</w:t>
      </w:r>
    </w:p>
    <w:p w14:paraId="30776275"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Critically, DCT takes into consideration three fundamental managerial processes sensing threats and opportunities, seizing these opportunities by marshalling resources and transforming or reconfiguring assets and organisational structures all of which can be overlaid on the phases of supply chain disruption, response and resilience reconfiguration that are the analytical centre of this study. A systematic bibliometric and network review of the literature on supply chain resilience as a theoretical prism on the topic revealed three different clusters of research participants, including optimisation to supply chain resilience, technology adoption to supply chain resilience and resilience strategies towards disruptions and risk management. This would support the notion that dynamic capabilities are the most consistent and empirically well-grounded theoretical prism to </w:t>
      </w:r>
      <w:r w:rsidRPr="00710DFA">
        <w:rPr>
          <w:color w:val="000000" w:themeColor="text1"/>
          <w:sz w:val="24"/>
          <w:szCs w:val="24"/>
          <w:lang w:val="en-GB"/>
        </w:rPr>
        <w:lastRenderedPageBreak/>
        <w:t>analyse the concept of resilience in various organisational and industrial settings. Dynamic Capabilities Theory therefore facilitates this study to go beyond the descriptive analysis of what firms did in response to Covid-19 and the explanatory explanation of how and why some organisational responses had created lasting resilience effects.</w:t>
      </w:r>
    </w:p>
    <w:p w14:paraId="6F0901BC" w14:textId="77777777" w:rsidR="00C148A3" w:rsidRPr="00710DFA" w:rsidRDefault="00C148A3" w:rsidP="00C148A3">
      <w:pPr>
        <w:spacing w:line="360" w:lineRule="auto"/>
        <w:jc w:val="both"/>
        <w:rPr>
          <w:b/>
          <w:bCs/>
          <w:i/>
          <w:iCs/>
          <w:color w:val="000000" w:themeColor="text1"/>
          <w:sz w:val="24"/>
          <w:szCs w:val="24"/>
          <w:lang w:val="en-GB"/>
        </w:rPr>
      </w:pPr>
      <w:r w:rsidRPr="00710DFA">
        <w:rPr>
          <w:b/>
          <w:bCs/>
          <w:i/>
          <w:iCs/>
          <w:color w:val="000000" w:themeColor="text1"/>
          <w:sz w:val="24"/>
          <w:szCs w:val="24"/>
          <w:lang w:val="en-GB"/>
        </w:rPr>
        <w:t>Research gap</w:t>
      </w:r>
    </w:p>
    <w:p w14:paraId="47948454"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Even though there has been a substantial increase in supply chain resilience scholarship since 2020, there are a few places of serious gaps. The examination of the supply chain management literature on Covid-19 has shown that the few studies that did explore the impacts of supply chain resilience and robustness on performance, and authors have openly requested more empirical and event-specific studies to decrease the disparity between theory and practice. As much as studies on the disruption propagation and ripple effects have progressed in their discussion, the reconfiguration dimension of entire supply chain resilience has not been well covered in the existing literature hence there is a vacuum in the literature (Li </w:t>
      </w:r>
      <w:r w:rsidRPr="00710DFA">
        <w:rPr>
          <w:i/>
          <w:iCs/>
          <w:color w:val="000000" w:themeColor="text1"/>
          <w:sz w:val="24"/>
          <w:szCs w:val="24"/>
          <w:lang w:val="en-GB"/>
        </w:rPr>
        <w:t xml:space="preserve">et al., </w:t>
      </w:r>
      <w:r w:rsidRPr="00710DFA">
        <w:rPr>
          <w:color w:val="000000" w:themeColor="text1"/>
          <w:sz w:val="24"/>
          <w:szCs w:val="24"/>
          <w:lang w:val="en-GB"/>
        </w:rPr>
        <w:t>2023). Even though various works have found out that assessment as a prior step to transformation is crucial in the way organisations develop dynamic capabilities based on sensemaking. The subtle mechanism through which this process is worked out at organisational level in the course of a sustained, global crisis has not been well developed yet (</w:t>
      </w:r>
      <w:proofErr w:type="spellStart"/>
      <w:r w:rsidRPr="00710DFA">
        <w:rPr>
          <w:color w:val="000000" w:themeColor="text1"/>
          <w:sz w:val="24"/>
          <w:szCs w:val="24"/>
          <w:lang w:val="en-GB"/>
        </w:rPr>
        <w:t>Wulandhari</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The problem of theory implementation versus practice in tailored supply chain resilience has also been found to be a chronic issue, and the overall issue is to bring high-level observations into a firm-specific, actionable data points that may assist managers to make sourcing decisions and work within resilience strategies (Xu </w:t>
      </w:r>
      <w:r w:rsidRPr="00710DFA">
        <w:rPr>
          <w:i/>
          <w:iCs/>
          <w:color w:val="000000" w:themeColor="text1"/>
          <w:sz w:val="24"/>
          <w:szCs w:val="24"/>
          <w:lang w:val="en-GB"/>
        </w:rPr>
        <w:t>et al.</w:t>
      </w:r>
      <w:r w:rsidRPr="00710DFA">
        <w:rPr>
          <w:color w:val="000000" w:themeColor="text1"/>
          <w:sz w:val="24"/>
          <w:szCs w:val="24"/>
          <w:lang w:val="en-GB"/>
        </w:rPr>
        <w:t>, 2020) A translation that the synthesis of qualitative data on the problem presented in this study represents. The current research fills these intersecting gaps directly, as it critically evaluates secondary qualitative evidence, to investigate how organisations reacted to the disruptions in supply chains during Covid-19 and whether these reactions led to the reorganisation of the supply chain resilience, producing qualitatively grounded, practically relevant information gaps that the literature, so far, lacked.</w:t>
      </w:r>
    </w:p>
    <w:p w14:paraId="27A56E3F" w14:textId="77777777" w:rsidR="00C148A3" w:rsidRPr="00710DFA" w:rsidRDefault="00C148A3" w:rsidP="00C148A3">
      <w:pPr>
        <w:pStyle w:val="Heading1"/>
      </w:pPr>
      <w:bookmarkStart w:id="71" w:name="_Toc222256690"/>
      <w:bookmarkStart w:id="72" w:name="_Toc228792840"/>
      <w:bookmarkStart w:id="73" w:name="_Toc228921302"/>
      <w:r w:rsidRPr="00710DFA">
        <w:t>Research methodology</w:t>
      </w:r>
      <w:bookmarkEnd w:id="71"/>
      <w:bookmarkEnd w:id="72"/>
      <w:bookmarkEnd w:id="73"/>
      <w:r w:rsidRPr="00710DFA">
        <w:t xml:space="preserve"> </w:t>
      </w:r>
    </w:p>
    <w:p w14:paraId="108337AA"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lastRenderedPageBreak/>
        <w:t xml:space="preserve">The study will use a secondary qualitative research approach, which is chosen based on its epistemological consistency with the research purpose and ability to produce in-depth, contextualised data regarding the organisational reaction to Covid-19 disruptions of supply chains. Interpretivist paradigm, is based on constructivist tradition, assumes that the reality is not objective and should be socially constructed through lived experiences, meanings and organisational contexts (William, 20245). Qualitative study carried out under the paradigm aims at understanding the subjective aspects of social phenomenon instead of quantifying or testing them using pre-decided variables. This philosophical stance is especially suitable to the current project since the research questions relate to the way organisations have perceived, interpreted and reacted to supply chain disruptions processes that are intrinsically social, managerial and context-specific, and which </w:t>
      </w:r>
      <w:proofErr w:type="spellStart"/>
      <w:r w:rsidRPr="00710DFA">
        <w:rPr>
          <w:color w:val="000000" w:themeColor="text1"/>
          <w:sz w:val="24"/>
          <w:szCs w:val="24"/>
          <w:lang w:val="en-GB"/>
        </w:rPr>
        <w:t>can not</w:t>
      </w:r>
      <w:proofErr w:type="spellEnd"/>
      <w:r w:rsidRPr="00710DFA">
        <w:rPr>
          <w:color w:val="000000" w:themeColor="text1"/>
          <w:sz w:val="24"/>
          <w:szCs w:val="24"/>
          <w:lang w:val="en-GB"/>
        </w:rPr>
        <w:t xml:space="preserve"> be sufficiently described using quantitative tools. </w:t>
      </w:r>
    </w:p>
    <w:p w14:paraId="14FB20E5" w14:textId="77777777" w:rsidR="00C148A3" w:rsidRPr="00710DFA" w:rsidRDefault="00C148A3" w:rsidP="00C148A3">
      <w:pPr>
        <w:spacing w:line="360" w:lineRule="auto"/>
        <w:jc w:val="center"/>
        <w:rPr>
          <w:color w:val="000000" w:themeColor="text1"/>
          <w:sz w:val="24"/>
          <w:szCs w:val="24"/>
          <w:lang w:val="en-GB"/>
        </w:rPr>
      </w:pPr>
      <w:r w:rsidRPr="00710DFA">
        <w:rPr>
          <w:noProof/>
          <w:color w:val="000000" w:themeColor="text1"/>
          <w:sz w:val="24"/>
          <w:szCs w:val="24"/>
          <w:lang w:val="en-GB" w:eastAsia="en-US"/>
        </w:rPr>
        <w:drawing>
          <wp:inline distT="0" distB="0" distL="0" distR="0" wp14:anchorId="34060A77" wp14:editId="66CC4168">
            <wp:extent cx="3093988" cy="2057578"/>
            <wp:effectExtent l="0" t="0" r="0" b="0"/>
            <wp:docPr id="206219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19939" name=""/>
                    <pic:cNvPicPr/>
                  </pic:nvPicPr>
                  <pic:blipFill>
                    <a:blip r:embed="rId33" cstate="print"/>
                    <a:stretch>
                      <a:fillRect/>
                    </a:stretch>
                  </pic:blipFill>
                  <pic:spPr>
                    <a:xfrm>
                      <a:off x="0" y="0"/>
                      <a:ext cx="3093988" cy="2057578"/>
                    </a:xfrm>
                    <a:prstGeom prst="rect">
                      <a:avLst/>
                    </a:prstGeom>
                  </pic:spPr>
                </pic:pic>
              </a:graphicData>
            </a:graphic>
          </wp:inline>
        </w:drawing>
      </w:r>
    </w:p>
    <w:p w14:paraId="0129A426" w14:textId="77777777" w:rsidR="00C148A3" w:rsidRPr="00710DFA" w:rsidRDefault="00C148A3" w:rsidP="00C148A3">
      <w:pPr>
        <w:spacing w:line="360" w:lineRule="auto"/>
        <w:jc w:val="center"/>
        <w:rPr>
          <w:b/>
          <w:bCs/>
          <w:color w:val="000000" w:themeColor="text1"/>
          <w:sz w:val="24"/>
          <w:szCs w:val="24"/>
          <w:lang w:val="en-GB"/>
        </w:rPr>
      </w:pPr>
      <w:r w:rsidRPr="00710DFA">
        <w:rPr>
          <w:b/>
          <w:bCs/>
          <w:color w:val="000000" w:themeColor="text1"/>
          <w:sz w:val="24"/>
          <w:szCs w:val="24"/>
          <w:lang w:val="en-GB"/>
        </w:rPr>
        <w:t>Figure 4: Research Onion</w:t>
      </w:r>
    </w:p>
    <w:p w14:paraId="358AE6B3"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The main idea behind the interpretivism approach is to work with already established subjective meanings of the social world - to identify, recreate, and recognise them without distortion, and use them as the basic building blocks to theorising. A positivist philosophy, in its turn, would entail operationalising the concept of supply chain resilience into quantifiable variables and testing predefined hypotheses, a research design that is not suited to the exploratory, situation-specific quality of this study (</w:t>
      </w:r>
      <w:proofErr w:type="spellStart"/>
      <w:r w:rsidRPr="00710DFA">
        <w:rPr>
          <w:color w:val="000000" w:themeColor="text1"/>
          <w:sz w:val="24"/>
          <w:szCs w:val="24"/>
          <w:lang w:val="en-GB"/>
        </w:rPr>
        <w:t>McGarraghy</w:t>
      </w:r>
      <w:proofErr w:type="spellEnd"/>
      <w:r w:rsidRPr="00710DFA">
        <w:rPr>
          <w:color w:val="000000" w:themeColor="text1"/>
          <w:sz w:val="24"/>
          <w:szCs w:val="24"/>
          <w:lang w:val="en-GB"/>
        </w:rPr>
        <w:t xml:space="preserve"> </w:t>
      </w:r>
      <w:r w:rsidRPr="00710DFA">
        <w:rPr>
          <w:i/>
          <w:iCs/>
          <w:color w:val="000000" w:themeColor="text1"/>
          <w:sz w:val="24"/>
          <w:szCs w:val="24"/>
          <w:lang w:val="en-GB"/>
        </w:rPr>
        <w:t>et al.</w:t>
      </w:r>
      <w:r w:rsidRPr="00710DFA">
        <w:rPr>
          <w:color w:val="000000" w:themeColor="text1"/>
          <w:sz w:val="24"/>
          <w:szCs w:val="24"/>
          <w:lang w:val="en-GB"/>
        </w:rPr>
        <w:t xml:space="preserve"> 2022). Equally, a pragmatist or integrated paradigm would require primary data gathering or quantitative incorporation, which is not within the limitation and intent of the given secondary qualitative study. It is the interpretivist philosophy that gives the most coherent intellectual and methodological stance to the analysis work performed.</w:t>
      </w:r>
    </w:p>
    <w:p w14:paraId="2CC130E7"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lastRenderedPageBreak/>
        <w:t>In line with the interpretivist philosophy, this research will take an inductive approach to research. Under inductive approaches, researchers start with data collection, followed by data analysis and rely on the analysis to derive new insights. This style is particularly helpful in situations where comparatively little is known already, or where new reasons could be required conditions that exactly describe the post-pandemic supply chain resilience that is currently evolving (</w:t>
      </w:r>
      <w:proofErr w:type="spellStart"/>
      <w:r w:rsidRPr="00710DFA">
        <w:rPr>
          <w:color w:val="000000" w:themeColor="text1"/>
          <w:sz w:val="24"/>
          <w:szCs w:val="24"/>
          <w:lang w:val="en-GB"/>
        </w:rPr>
        <w:t>Magableh</w:t>
      </w:r>
      <w:proofErr w:type="spellEnd"/>
      <w:r w:rsidRPr="00710DFA">
        <w:rPr>
          <w:color w:val="000000" w:themeColor="text1"/>
          <w:sz w:val="24"/>
          <w:szCs w:val="24"/>
          <w:lang w:val="en-GB"/>
        </w:rPr>
        <w:t>, 2021). Instead of subjecting an existing theory to a set of preconceived propositions, an inductive approach permits themes and patterns of organisational behaviour to come out of the secondary sources of qualitative evidence and generate insights that show the heterogeneity and complexity of real organisational responses. </w:t>
      </w:r>
    </w:p>
    <w:p w14:paraId="0A7DE4FD"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This study will not have deductive approach since such an approach would force the data to fit within a theoretical framework that is already known to exist, limiting the study to stifle emerging results that do not fit within the preexisting framework. This is a very restrictive limitation considering that the Covid-19 disruption is novel and unparalleled. The inductive coding method (</w:t>
      </w:r>
      <w:r w:rsidRPr="00710DFA">
        <w:rPr>
          <w:color w:val="000000" w:themeColor="text1"/>
          <w:sz w:val="24"/>
          <w:szCs w:val="24"/>
          <w:shd w:val="clear" w:color="auto" w:fill="FFFFFF"/>
          <w:lang w:val="en-GB"/>
        </w:rPr>
        <w:t xml:space="preserve">Coulston, Lynch, and </w:t>
      </w:r>
      <w:proofErr w:type="spellStart"/>
      <w:r w:rsidRPr="00710DFA">
        <w:rPr>
          <w:color w:val="000000" w:themeColor="text1"/>
          <w:sz w:val="24"/>
          <w:szCs w:val="24"/>
          <w:shd w:val="clear" w:color="auto" w:fill="FFFFFF"/>
          <w:lang w:val="en-GB"/>
        </w:rPr>
        <w:t>Vears</w:t>
      </w:r>
      <w:proofErr w:type="spellEnd"/>
      <w:r w:rsidRPr="00710DFA">
        <w:rPr>
          <w:color w:val="000000" w:themeColor="text1"/>
          <w:sz w:val="24"/>
          <w:szCs w:val="24"/>
          <w:shd w:val="clear" w:color="auto" w:fill="FFFFFF"/>
          <w:lang w:val="en-GB"/>
        </w:rPr>
        <w:t>, 2025</w:t>
      </w:r>
      <w:r w:rsidRPr="00710DFA">
        <w:rPr>
          <w:color w:val="000000" w:themeColor="text1"/>
          <w:sz w:val="24"/>
          <w:szCs w:val="24"/>
          <w:lang w:val="en-GB"/>
        </w:rPr>
        <w:t>),  as it is mostly used in supply chain management literature, is the process of constructing first-order codes that are based on the data, organising them into more abstract second-order themes, and synthesising these into aggregate conceptual dimensions giving the analytical rigour would require to generate believable and transferable knowledge based on secondary qualitative data.</w:t>
      </w:r>
    </w:p>
    <w:p w14:paraId="1AC673F0" w14:textId="77777777" w:rsidR="00C148A3" w:rsidRPr="00710DFA" w:rsidRDefault="00C148A3" w:rsidP="00C148A3">
      <w:pPr>
        <w:spacing w:line="360" w:lineRule="auto"/>
        <w:jc w:val="both"/>
        <w:rPr>
          <w:b/>
          <w:bCs/>
          <w:i/>
          <w:iCs/>
          <w:color w:val="000000" w:themeColor="text1"/>
          <w:sz w:val="24"/>
          <w:szCs w:val="24"/>
          <w:lang w:val="en-GB"/>
        </w:rPr>
      </w:pPr>
      <w:r w:rsidRPr="00710DFA">
        <w:rPr>
          <w:b/>
          <w:bCs/>
          <w:i/>
          <w:iCs/>
          <w:color w:val="000000" w:themeColor="text1"/>
          <w:sz w:val="24"/>
          <w:szCs w:val="24"/>
          <w:lang w:val="en-GB"/>
        </w:rPr>
        <w:t xml:space="preserve">Ethical consideration </w:t>
      </w:r>
    </w:p>
    <w:p w14:paraId="4A5A703D"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In terms of ethical issues, this research is carried out solely by using the secondary qualitative analysis of published and peer-reviewed scholarly publications and has no connection to the gathering of primary data and human participants. The standard ethical standards that would be used in the traditional qualitative research such as informed consent, participant anonymity and formal institutional ethical approval cannot, therefore, be implemented in their usual form to this research. Utilizing published data that is publicly available and available in a totally unsecured way, is formally assumed to be free of ethical proceedings in most research set ups. Hence, ethical responsibility is still obligatory, especially with the proper referencing and due accreditation of all source materials so that the intellectual involvement of original contributors is completely </w:t>
      </w:r>
      <w:r w:rsidRPr="00710DFA">
        <w:rPr>
          <w:color w:val="000000" w:themeColor="text1"/>
          <w:sz w:val="24"/>
          <w:szCs w:val="24"/>
          <w:lang w:val="en-GB"/>
        </w:rPr>
        <w:lastRenderedPageBreak/>
        <w:t>recognized. In this context, this study upholds the highest standards of academic integrity, by ensuring that all of the sources are critically and transparently engaged.  There will be no case of misrepresentation or selective reportage of the findings, and that the analysis is reflexive to the limitations of working with pre-existing textual data. The study will also be able to stick to the principles of good research conduct set out by the British Sociological Association, so that the secondary qualitative approach has been implemented in a way that is both intellectually honest and methodologically transparent and ethically defensible.</w:t>
      </w:r>
    </w:p>
    <w:p w14:paraId="0A90BAE4" w14:textId="77777777" w:rsidR="00C148A3" w:rsidRPr="00710DFA" w:rsidRDefault="00C148A3" w:rsidP="00C148A3">
      <w:pPr>
        <w:pStyle w:val="Heading1"/>
      </w:pPr>
      <w:bookmarkStart w:id="74" w:name="_Toc222256691"/>
      <w:bookmarkStart w:id="75" w:name="_Toc228792841"/>
      <w:bookmarkStart w:id="76" w:name="_Toc228921303"/>
      <w:r w:rsidRPr="00710DFA">
        <w:t>Risks</w:t>
      </w:r>
      <w:bookmarkEnd w:id="74"/>
      <w:bookmarkEnd w:id="75"/>
      <w:bookmarkEnd w:id="76"/>
    </w:p>
    <w:p w14:paraId="6D5E716D"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One of the main risks relates to the trustworthiness and timeliness of secondary sources because the chosen literature might be a geographically or sectoral specific organisational reaction that restricts the extrapolation of the results to a wide range of global experiences of the supply chain. Publication bias is another threat as it is more likely to publish research that reported successful organisational responses compared to research that reported failures, which may lead to biased analytical findings. As this study will be based on the available literature as a whole, the researcher has no authority over the quality, depth, or consistency of primary data collection procedures used in the reviewed studies. Also, the post-pandemic supply chain environment moves fast, so some of the findings reviewed may not be relevant in the contemporary setting, which will influence the overall transferability of the conclusions made.</w:t>
      </w:r>
    </w:p>
    <w:p w14:paraId="5B325011" w14:textId="77777777" w:rsidR="00C148A3" w:rsidRPr="00710DFA" w:rsidRDefault="00C148A3" w:rsidP="00C148A3">
      <w:pPr>
        <w:pStyle w:val="Heading1"/>
      </w:pPr>
      <w:bookmarkStart w:id="77" w:name="_Toc222256692"/>
      <w:bookmarkStart w:id="78" w:name="_Toc228792842"/>
      <w:bookmarkStart w:id="79" w:name="_Toc228921304"/>
      <w:r w:rsidRPr="00710DFA">
        <w:t>Timeline</w:t>
      </w:r>
      <w:bookmarkEnd w:id="77"/>
      <w:bookmarkEnd w:id="78"/>
      <w:bookmarkEnd w:id="79"/>
      <w:r w:rsidRPr="00710DFA">
        <w:t xml:space="preserve"> </w:t>
      </w: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600" w:firstRow="0" w:lastRow="0" w:firstColumn="0" w:lastColumn="0" w:noHBand="1" w:noVBand="1"/>
      </w:tblPr>
      <w:tblGrid>
        <w:gridCol w:w="956"/>
        <w:gridCol w:w="518"/>
        <w:gridCol w:w="518"/>
        <w:gridCol w:w="518"/>
        <w:gridCol w:w="518"/>
        <w:gridCol w:w="518"/>
        <w:gridCol w:w="518"/>
        <w:gridCol w:w="518"/>
        <w:gridCol w:w="518"/>
        <w:gridCol w:w="518"/>
        <w:gridCol w:w="534"/>
        <w:gridCol w:w="534"/>
        <w:gridCol w:w="534"/>
        <w:gridCol w:w="534"/>
        <w:gridCol w:w="534"/>
        <w:gridCol w:w="534"/>
        <w:gridCol w:w="518"/>
      </w:tblGrid>
      <w:tr w:rsidR="00C148A3" w:rsidRPr="00710DFA" w14:paraId="3B42A960" w14:textId="77777777" w:rsidTr="008D0A39">
        <w:trPr>
          <w:trHeight w:val="945"/>
        </w:trPr>
        <w:tc>
          <w:tcPr>
            <w:tcW w:w="557"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436848D"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Tasks undertaken</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2A87F00A"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3C1068CE"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2</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5C917103"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3</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52A9798C"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4</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4AA8DA8F"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5</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4AD56C9A"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6</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78B422D0"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7</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31A881B8"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8</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288548EF"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9</w:t>
            </w:r>
          </w:p>
        </w:tc>
        <w:tc>
          <w:tcPr>
            <w:tcW w:w="278" w:type="pct"/>
            <w:tcBorders>
              <w:top w:val="single" w:sz="8" w:space="0" w:color="000000"/>
              <w:bottom w:val="single" w:sz="8" w:space="0" w:color="000000"/>
            </w:tcBorders>
          </w:tcPr>
          <w:p w14:paraId="1C4BD18B"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10</w:t>
            </w:r>
          </w:p>
        </w:tc>
        <w:tc>
          <w:tcPr>
            <w:tcW w:w="278" w:type="pct"/>
            <w:tcBorders>
              <w:top w:val="single" w:sz="8" w:space="0" w:color="000000"/>
              <w:bottom w:val="single" w:sz="8" w:space="0" w:color="000000"/>
            </w:tcBorders>
          </w:tcPr>
          <w:p w14:paraId="23B2775F"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11</w:t>
            </w:r>
          </w:p>
        </w:tc>
        <w:tc>
          <w:tcPr>
            <w:tcW w:w="278" w:type="pct"/>
            <w:tcBorders>
              <w:top w:val="single" w:sz="8" w:space="0" w:color="000000"/>
              <w:bottom w:val="single" w:sz="8" w:space="0" w:color="000000"/>
            </w:tcBorders>
          </w:tcPr>
          <w:p w14:paraId="109A41FE"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12</w:t>
            </w:r>
          </w:p>
        </w:tc>
        <w:tc>
          <w:tcPr>
            <w:tcW w:w="278" w:type="pct"/>
            <w:tcBorders>
              <w:top w:val="single" w:sz="8" w:space="0" w:color="000000"/>
              <w:bottom w:val="single" w:sz="8" w:space="0" w:color="000000"/>
            </w:tcBorders>
          </w:tcPr>
          <w:p w14:paraId="08E275E2"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13</w:t>
            </w:r>
          </w:p>
        </w:tc>
        <w:tc>
          <w:tcPr>
            <w:tcW w:w="278" w:type="pct"/>
            <w:tcBorders>
              <w:top w:val="single" w:sz="8" w:space="0" w:color="000000"/>
              <w:bottom w:val="single" w:sz="8" w:space="0" w:color="000000"/>
            </w:tcBorders>
          </w:tcPr>
          <w:p w14:paraId="72D112F3"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14</w:t>
            </w:r>
          </w:p>
        </w:tc>
        <w:tc>
          <w:tcPr>
            <w:tcW w:w="278" w:type="pct"/>
            <w:tcBorders>
              <w:top w:val="single" w:sz="8" w:space="0" w:color="000000"/>
              <w:bottom w:val="single" w:sz="8" w:space="0" w:color="000000"/>
            </w:tcBorders>
          </w:tcPr>
          <w:p w14:paraId="59D0E8CA"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15</w:t>
            </w:r>
          </w:p>
        </w:tc>
        <w:tc>
          <w:tcPr>
            <w:tcW w:w="278" w:type="pct"/>
            <w:tcBorders>
              <w:top w:val="single" w:sz="8" w:space="0" w:color="000000"/>
              <w:bottom w:val="single" w:sz="8" w:space="0" w:color="000000"/>
              <w:right w:val="single" w:sz="8" w:space="0" w:color="000000"/>
            </w:tcBorders>
            <w:tcMar>
              <w:top w:w="0" w:type="dxa"/>
              <w:left w:w="100" w:type="dxa"/>
              <w:bottom w:w="0" w:type="dxa"/>
              <w:right w:w="100" w:type="dxa"/>
            </w:tcMar>
          </w:tcPr>
          <w:p w14:paraId="3E7F789B"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Week 16</w:t>
            </w:r>
          </w:p>
        </w:tc>
      </w:tr>
      <w:tr w:rsidR="00C148A3" w:rsidRPr="00710DFA" w14:paraId="7E896BC7" w14:textId="77777777" w:rsidTr="008D0A39">
        <w:trPr>
          <w:trHeight w:val="94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0768A444"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Choosing topic</w:t>
            </w:r>
          </w:p>
        </w:tc>
        <w:tc>
          <w:tcPr>
            <w:tcW w:w="278" w:type="pct"/>
            <w:tcBorders>
              <w:bottom w:val="single" w:sz="8" w:space="0" w:color="000000"/>
              <w:right w:val="single" w:sz="8" w:space="0" w:color="000000"/>
            </w:tcBorders>
            <w:shd w:val="clear" w:color="auto" w:fill="17365D" w:themeFill="text2" w:themeFillShade="BF"/>
            <w:tcMar>
              <w:top w:w="0" w:type="dxa"/>
              <w:left w:w="100" w:type="dxa"/>
              <w:bottom w:w="0" w:type="dxa"/>
              <w:right w:w="100" w:type="dxa"/>
            </w:tcMar>
          </w:tcPr>
          <w:p w14:paraId="547276C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17365D" w:themeFill="text2" w:themeFillShade="BF"/>
            <w:tcMar>
              <w:top w:w="0" w:type="dxa"/>
              <w:left w:w="100" w:type="dxa"/>
              <w:bottom w:w="0" w:type="dxa"/>
              <w:right w:w="100" w:type="dxa"/>
            </w:tcMar>
          </w:tcPr>
          <w:p w14:paraId="4642B0D7"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787031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618D90A5"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EF2F23F"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1944085F"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6201E1CD"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D4065A3"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A881B3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4288261B"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C2AA495"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AF8F2F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B8E0444"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24654F5"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3F3613F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18A7F5B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42884BF8" w14:textId="77777777" w:rsidTr="008D0A39">
        <w:trPr>
          <w:trHeight w:val="109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78F8A162"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 xml:space="preserve">Making Research aim and </w:t>
            </w:r>
            <w:r w:rsidRPr="00710DFA">
              <w:rPr>
                <w:b/>
                <w:bCs/>
                <w:color w:val="000000" w:themeColor="text1"/>
                <w:sz w:val="20"/>
                <w:szCs w:val="20"/>
                <w:lang w:val="en-GB"/>
              </w:rPr>
              <w:lastRenderedPageBreak/>
              <w:t>question</w:t>
            </w:r>
          </w:p>
        </w:tc>
        <w:tc>
          <w:tcPr>
            <w:tcW w:w="278" w:type="pct"/>
            <w:tcBorders>
              <w:bottom w:val="single" w:sz="8" w:space="0" w:color="000000"/>
              <w:right w:val="single" w:sz="8" w:space="0" w:color="000000"/>
            </w:tcBorders>
            <w:tcMar>
              <w:top w:w="0" w:type="dxa"/>
              <w:left w:w="100" w:type="dxa"/>
              <w:bottom w:w="0" w:type="dxa"/>
              <w:right w:w="100" w:type="dxa"/>
            </w:tcMar>
          </w:tcPr>
          <w:p w14:paraId="7554229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lastRenderedPageBreak/>
              <w:t xml:space="preserve"> </w:t>
            </w:r>
          </w:p>
        </w:tc>
        <w:tc>
          <w:tcPr>
            <w:tcW w:w="278" w:type="pct"/>
            <w:tcBorders>
              <w:bottom w:val="single" w:sz="8" w:space="0" w:color="000000"/>
              <w:right w:val="single" w:sz="8" w:space="0" w:color="000000"/>
            </w:tcBorders>
            <w:shd w:val="clear" w:color="auto" w:fill="E36C0A" w:themeFill="accent6" w:themeFillShade="BF"/>
            <w:tcMar>
              <w:top w:w="0" w:type="dxa"/>
              <w:left w:w="100" w:type="dxa"/>
              <w:bottom w:w="0" w:type="dxa"/>
              <w:right w:w="100" w:type="dxa"/>
            </w:tcMar>
          </w:tcPr>
          <w:p w14:paraId="37C0BE2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E36C0A" w:themeFill="accent6" w:themeFillShade="BF"/>
            <w:tcMar>
              <w:top w:w="0" w:type="dxa"/>
              <w:left w:w="100" w:type="dxa"/>
              <w:bottom w:w="0" w:type="dxa"/>
              <w:right w:w="100" w:type="dxa"/>
            </w:tcMar>
          </w:tcPr>
          <w:p w14:paraId="784C6F6E"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E36C0A" w:themeFill="accent6" w:themeFillShade="BF"/>
            <w:tcMar>
              <w:top w:w="0" w:type="dxa"/>
              <w:left w:w="100" w:type="dxa"/>
              <w:bottom w:w="0" w:type="dxa"/>
              <w:right w:w="100" w:type="dxa"/>
            </w:tcMar>
          </w:tcPr>
          <w:p w14:paraId="275BB9CF"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E36C0A" w:themeFill="accent6" w:themeFillShade="BF"/>
            <w:tcMar>
              <w:top w:w="0" w:type="dxa"/>
              <w:left w:w="100" w:type="dxa"/>
              <w:bottom w:w="0" w:type="dxa"/>
              <w:right w:w="100" w:type="dxa"/>
            </w:tcMar>
          </w:tcPr>
          <w:p w14:paraId="04F414F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2D413C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D06A16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26B323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572C94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3FA0FD24"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1E1C1F14"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37E1034E"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4E48944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516DA343"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61D2D0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5854A69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67188666" w14:textId="77777777" w:rsidTr="008D0A39">
        <w:trPr>
          <w:trHeight w:val="109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01D743C3"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Preparing research background</w:t>
            </w:r>
          </w:p>
        </w:tc>
        <w:tc>
          <w:tcPr>
            <w:tcW w:w="278" w:type="pct"/>
            <w:tcBorders>
              <w:bottom w:val="single" w:sz="8" w:space="0" w:color="000000"/>
              <w:right w:val="single" w:sz="8" w:space="0" w:color="000000"/>
            </w:tcBorders>
            <w:tcMar>
              <w:top w:w="0" w:type="dxa"/>
              <w:left w:w="100" w:type="dxa"/>
              <w:bottom w:w="0" w:type="dxa"/>
              <w:right w:w="100" w:type="dxa"/>
            </w:tcMar>
          </w:tcPr>
          <w:p w14:paraId="3A4F3B13"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C9A1A54"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EF0CB8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6BBD62D"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92D050"/>
            <w:tcMar>
              <w:top w:w="0" w:type="dxa"/>
              <w:left w:w="100" w:type="dxa"/>
              <w:bottom w:w="0" w:type="dxa"/>
              <w:right w:w="100" w:type="dxa"/>
            </w:tcMar>
          </w:tcPr>
          <w:p w14:paraId="2F144CA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92D050"/>
            <w:tcMar>
              <w:top w:w="0" w:type="dxa"/>
              <w:left w:w="100" w:type="dxa"/>
              <w:bottom w:w="0" w:type="dxa"/>
              <w:right w:w="100" w:type="dxa"/>
            </w:tcMar>
          </w:tcPr>
          <w:p w14:paraId="38CE3189"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92D050"/>
            <w:tcMar>
              <w:top w:w="0" w:type="dxa"/>
              <w:left w:w="100" w:type="dxa"/>
              <w:bottom w:w="0" w:type="dxa"/>
              <w:right w:w="100" w:type="dxa"/>
            </w:tcMar>
          </w:tcPr>
          <w:p w14:paraId="594F207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92D050"/>
            <w:tcMar>
              <w:top w:w="0" w:type="dxa"/>
              <w:left w:w="100" w:type="dxa"/>
              <w:bottom w:w="0" w:type="dxa"/>
              <w:right w:w="100" w:type="dxa"/>
            </w:tcMar>
          </w:tcPr>
          <w:p w14:paraId="4B9CA0C9"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52D1240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3C5FCE53"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427B1F51"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86D461D"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327784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C3E79BC"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3D10CC0"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05E2C12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6D630BCB" w14:textId="77777777" w:rsidTr="008D0A39">
        <w:trPr>
          <w:trHeight w:val="157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32E8EEB7"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 xml:space="preserve">Developing research objectives </w:t>
            </w:r>
          </w:p>
        </w:tc>
        <w:tc>
          <w:tcPr>
            <w:tcW w:w="278" w:type="pct"/>
            <w:tcBorders>
              <w:bottom w:val="single" w:sz="8" w:space="0" w:color="000000"/>
              <w:right w:val="single" w:sz="8" w:space="0" w:color="000000"/>
            </w:tcBorders>
            <w:tcMar>
              <w:top w:w="0" w:type="dxa"/>
              <w:left w:w="100" w:type="dxa"/>
              <w:bottom w:w="0" w:type="dxa"/>
              <w:right w:w="100" w:type="dxa"/>
            </w:tcMar>
          </w:tcPr>
          <w:p w14:paraId="2D1ABF65"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62D4228"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14FE8C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1A1D1A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p w14:paraId="27F54984" w14:textId="77777777" w:rsidR="00C148A3" w:rsidRPr="00710DFA" w:rsidRDefault="00C148A3" w:rsidP="008D0A39">
            <w:pPr>
              <w:rPr>
                <w:color w:val="000000" w:themeColor="text1"/>
                <w:sz w:val="20"/>
                <w:szCs w:val="20"/>
                <w:lang w:val="en-GB"/>
              </w:rPr>
            </w:pPr>
          </w:p>
          <w:p w14:paraId="08120FDE" w14:textId="77777777" w:rsidR="00C148A3" w:rsidRPr="00710DFA" w:rsidRDefault="00C148A3" w:rsidP="008D0A39">
            <w:pPr>
              <w:rPr>
                <w:color w:val="000000" w:themeColor="text1"/>
                <w:sz w:val="20"/>
                <w:szCs w:val="20"/>
                <w:lang w:val="en-GB"/>
              </w:rPr>
            </w:pPr>
          </w:p>
          <w:p w14:paraId="37F772FE" w14:textId="77777777" w:rsidR="00C148A3" w:rsidRPr="00710DFA" w:rsidRDefault="00C148A3" w:rsidP="008D0A39">
            <w:pPr>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2B034EB8"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8EFB785"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943634" w:themeFill="accent2" w:themeFillShade="BF"/>
            <w:tcMar>
              <w:top w:w="0" w:type="dxa"/>
              <w:left w:w="100" w:type="dxa"/>
              <w:bottom w:w="0" w:type="dxa"/>
              <w:right w:w="100" w:type="dxa"/>
            </w:tcMar>
          </w:tcPr>
          <w:p w14:paraId="5F603884"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943634" w:themeFill="accent2" w:themeFillShade="BF"/>
            <w:tcMar>
              <w:top w:w="0" w:type="dxa"/>
              <w:left w:w="100" w:type="dxa"/>
              <w:bottom w:w="0" w:type="dxa"/>
              <w:right w:w="100" w:type="dxa"/>
            </w:tcMar>
          </w:tcPr>
          <w:p w14:paraId="0964F99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1C712CF"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4D294E97"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44B8C3F6"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F427B5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3481F984"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94E1930"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44293748"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7C3A8DE9"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7BB59C6E" w14:textId="77777777" w:rsidTr="008D0A39">
        <w:trPr>
          <w:trHeight w:val="94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0BC8572C"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Reviewing literature</w:t>
            </w:r>
          </w:p>
        </w:tc>
        <w:tc>
          <w:tcPr>
            <w:tcW w:w="278" w:type="pct"/>
            <w:tcBorders>
              <w:bottom w:val="single" w:sz="8" w:space="0" w:color="000000"/>
              <w:right w:val="single" w:sz="8" w:space="0" w:color="000000"/>
            </w:tcBorders>
            <w:tcMar>
              <w:top w:w="0" w:type="dxa"/>
              <w:left w:w="100" w:type="dxa"/>
              <w:bottom w:w="0" w:type="dxa"/>
              <w:right w:w="100" w:type="dxa"/>
            </w:tcMar>
          </w:tcPr>
          <w:p w14:paraId="1FC4E02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5ED89967"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681DEB5"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F499AE0"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5C7440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88A041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31849B" w:themeFill="accent5" w:themeFillShade="BF"/>
            <w:tcMar>
              <w:top w:w="0" w:type="dxa"/>
              <w:left w:w="100" w:type="dxa"/>
              <w:bottom w:w="0" w:type="dxa"/>
              <w:right w:w="100" w:type="dxa"/>
            </w:tcMar>
          </w:tcPr>
          <w:p w14:paraId="21CC5CC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31849B" w:themeFill="accent5" w:themeFillShade="BF"/>
            <w:tcMar>
              <w:top w:w="0" w:type="dxa"/>
              <w:left w:w="100" w:type="dxa"/>
              <w:bottom w:w="0" w:type="dxa"/>
              <w:right w:w="100" w:type="dxa"/>
            </w:tcMar>
          </w:tcPr>
          <w:p w14:paraId="3810C18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shd w:val="clear" w:color="auto" w:fill="31849B" w:themeFill="accent5" w:themeFillShade="BF"/>
            <w:tcMar>
              <w:top w:w="0" w:type="dxa"/>
              <w:left w:w="100" w:type="dxa"/>
              <w:bottom w:w="0" w:type="dxa"/>
              <w:right w:w="100" w:type="dxa"/>
            </w:tcMar>
          </w:tcPr>
          <w:p w14:paraId="75DDDD9D"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shd w:val="clear" w:color="auto" w:fill="31849B" w:themeFill="accent5" w:themeFillShade="BF"/>
          </w:tcPr>
          <w:p w14:paraId="5B8BD45B"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31849B" w:themeFill="accent5" w:themeFillShade="BF"/>
          </w:tcPr>
          <w:p w14:paraId="1E5E9EDF"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2F01957F"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AD103B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F88C13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C689811"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039EBC97"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7A10711D" w14:textId="77777777" w:rsidTr="008D0A39">
        <w:trPr>
          <w:trHeight w:val="630"/>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013F3548" w14:textId="77777777" w:rsidR="00C148A3" w:rsidRPr="00710DFA" w:rsidRDefault="00C148A3" w:rsidP="008D0A39">
            <w:pPr>
              <w:spacing w:line="360" w:lineRule="auto"/>
              <w:rPr>
                <w:b/>
                <w:bCs/>
                <w:color w:val="000000" w:themeColor="text1"/>
                <w:sz w:val="20"/>
                <w:szCs w:val="20"/>
                <w:lang w:val="en-GB"/>
              </w:rPr>
            </w:pPr>
            <w:r w:rsidRPr="00710DFA">
              <w:rPr>
                <w:b/>
                <w:bCs/>
                <w:color w:val="000000" w:themeColor="text1"/>
                <w:sz w:val="20"/>
                <w:szCs w:val="20"/>
                <w:lang w:val="en-GB"/>
              </w:rPr>
              <w:t>Finalizing Methodology</w:t>
            </w:r>
          </w:p>
        </w:tc>
        <w:tc>
          <w:tcPr>
            <w:tcW w:w="278" w:type="pct"/>
            <w:tcBorders>
              <w:bottom w:val="single" w:sz="8" w:space="0" w:color="000000"/>
              <w:right w:val="single" w:sz="8" w:space="0" w:color="000000"/>
            </w:tcBorders>
            <w:tcMar>
              <w:top w:w="0" w:type="dxa"/>
              <w:left w:w="100" w:type="dxa"/>
              <w:bottom w:w="0" w:type="dxa"/>
              <w:right w:w="100" w:type="dxa"/>
            </w:tcMar>
          </w:tcPr>
          <w:p w14:paraId="70EBAE7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1C903A7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641F8739"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893850D"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E641A6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156346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325B388"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586526E5"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B920BC4"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shd w:val="clear" w:color="auto" w:fill="948A54" w:themeFill="background2" w:themeFillShade="80"/>
          </w:tcPr>
          <w:p w14:paraId="6CDA303F"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948A54" w:themeFill="background2" w:themeFillShade="80"/>
          </w:tcPr>
          <w:p w14:paraId="0979DD1F"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948A54" w:themeFill="background2" w:themeFillShade="80"/>
          </w:tcPr>
          <w:p w14:paraId="2324A80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504F1678"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51DD217"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4115D5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09360FFF"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0370A558" w14:textId="77777777" w:rsidTr="008D0A39">
        <w:trPr>
          <w:trHeight w:val="94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63D070AD"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Collecting data</w:t>
            </w:r>
          </w:p>
        </w:tc>
        <w:tc>
          <w:tcPr>
            <w:tcW w:w="278" w:type="pct"/>
            <w:tcBorders>
              <w:bottom w:val="single" w:sz="8" w:space="0" w:color="000000"/>
              <w:right w:val="single" w:sz="8" w:space="0" w:color="000000"/>
            </w:tcBorders>
            <w:tcMar>
              <w:top w:w="0" w:type="dxa"/>
              <w:left w:w="100" w:type="dxa"/>
              <w:bottom w:w="0" w:type="dxa"/>
              <w:right w:w="100" w:type="dxa"/>
            </w:tcMar>
          </w:tcPr>
          <w:p w14:paraId="4E7F828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CBF3B2E"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1F4E07C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F8D8D14"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469F0B0"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F436129"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6F337D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BB1F3B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4DEBD2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200BFBCE"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6C7D7F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EE0000"/>
          </w:tcPr>
          <w:p w14:paraId="3BB404AE"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EE0000"/>
          </w:tcPr>
          <w:p w14:paraId="04244FAC"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00111F67"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2BEE6273"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734399D0"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4BE21700" w14:textId="77777777" w:rsidTr="008D0A39">
        <w:trPr>
          <w:trHeight w:val="630"/>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1383E049"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Data analysis</w:t>
            </w:r>
          </w:p>
        </w:tc>
        <w:tc>
          <w:tcPr>
            <w:tcW w:w="278" w:type="pct"/>
            <w:tcBorders>
              <w:bottom w:val="single" w:sz="8" w:space="0" w:color="000000"/>
              <w:right w:val="single" w:sz="8" w:space="0" w:color="000000"/>
            </w:tcBorders>
            <w:tcMar>
              <w:top w:w="0" w:type="dxa"/>
              <w:left w:w="100" w:type="dxa"/>
              <w:bottom w:w="0" w:type="dxa"/>
              <w:right w:w="100" w:type="dxa"/>
            </w:tcMar>
          </w:tcPr>
          <w:p w14:paraId="454016A7"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6B1DF1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0C8F1DD"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7F38A1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504A5C3"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5E57FFC8"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0FC829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22B642E"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5AEF387"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53C1726F"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3F4FF7D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9E40C68"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00B050"/>
          </w:tcPr>
          <w:p w14:paraId="3CBCE40C"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00B050"/>
          </w:tcPr>
          <w:p w14:paraId="35857A5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00B050"/>
          </w:tcPr>
          <w:p w14:paraId="5CB387F0"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6E72F9B2"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21DC5244" w14:textId="77777777" w:rsidTr="008D0A39">
        <w:trPr>
          <w:trHeight w:val="630"/>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3B994639"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Making conclusion</w:t>
            </w:r>
          </w:p>
        </w:tc>
        <w:tc>
          <w:tcPr>
            <w:tcW w:w="278" w:type="pct"/>
            <w:tcBorders>
              <w:bottom w:val="single" w:sz="8" w:space="0" w:color="000000"/>
              <w:right w:val="single" w:sz="8" w:space="0" w:color="000000"/>
            </w:tcBorders>
            <w:tcMar>
              <w:top w:w="0" w:type="dxa"/>
              <w:left w:w="100" w:type="dxa"/>
              <w:bottom w:w="0" w:type="dxa"/>
              <w:right w:w="100" w:type="dxa"/>
            </w:tcMar>
          </w:tcPr>
          <w:p w14:paraId="0227CFC7"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C5ABB5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4FD0EAD8"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1CCE37D6"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2E40DEA4"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9AA0183"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5A08C073"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1CCBEF05"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569D543A"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6CB524DC"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C540C6C"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3F6D78DB"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5C23981"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72502CC"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shd w:val="clear" w:color="auto" w:fill="E36C0A" w:themeFill="accent6" w:themeFillShade="BF"/>
          </w:tcPr>
          <w:p w14:paraId="11E92C65"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tcMar>
              <w:top w:w="0" w:type="dxa"/>
              <w:left w:w="100" w:type="dxa"/>
              <w:bottom w:w="0" w:type="dxa"/>
              <w:right w:w="100" w:type="dxa"/>
            </w:tcMar>
          </w:tcPr>
          <w:p w14:paraId="3958E1D4"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r w:rsidR="00C148A3" w:rsidRPr="00710DFA" w14:paraId="1DA7E291" w14:textId="77777777" w:rsidTr="008D0A39">
        <w:trPr>
          <w:trHeight w:val="945"/>
        </w:trPr>
        <w:tc>
          <w:tcPr>
            <w:tcW w:w="557" w:type="pct"/>
            <w:tcBorders>
              <w:left w:val="single" w:sz="8" w:space="0" w:color="000000"/>
              <w:bottom w:val="single" w:sz="8" w:space="0" w:color="000000"/>
              <w:right w:val="single" w:sz="8" w:space="0" w:color="000000"/>
            </w:tcBorders>
            <w:tcMar>
              <w:top w:w="0" w:type="dxa"/>
              <w:left w:w="100" w:type="dxa"/>
              <w:bottom w:w="0" w:type="dxa"/>
              <w:right w:w="100" w:type="dxa"/>
            </w:tcMar>
          </w:tcPr>
          <w:p w14:paraId="1C4CC2C9" w14:textId="77777777" w:rsidR="00C148A3" w:rsidRPr="00710DFA" w:rsidRDefault="00C148A3" w:rsidP="008D0A39">
            <w:pPr>
              <w:spacing w:line="360" w:lineRule="auto"/>
              <w:jc w:val="center"/>
              <w:rPr>
                <w:b/>
                <w:bCs/>
                <w:color w:val="000000" w:themeColor="text1"/>
                <w:sz w:val="20"/>
                <w:szCs w:val="20"/>
                <w:lang w:val="en-GB"/>
              </w:rPr>
            </w:pPr>
            <w:r w:rsidRPr="00710DFA">
              <w:rPr>
                <w:b/>
                <w:bCs/>
                <w:color w:val="000000" w:themeColor="text1"/>
                <w:sz w:val="20"/>
                <w:szCs w:val="20"/>
                <w:lang w:val="en-GB"/>
              </w:rPr>
              <w:t>Final submission</w:t>
            </w:r>
          </w:p>
        </w:tc>
        <w:tc>
          <w:tcPr>
            <w:tcW w:w="278" w:type="pct"/>
            <w:tcBorders>
              <w:bottom w:val="single" w:sz="8" w:space="0" w:color="000000"/>
              <w:right w:val="single" w:sz="8" w:space="0" w:color="000000"/>
            </w:tcBorders>
            <w:tcMar>
              <w:top w:w="0" w:type="dxa"/>
              <w:left w:w="100" w:type="dxa"/>
              <w:bottom w:w="0" w:type="dxa"/>
              <w:right w:w="100" w:type="dxa"/>
            </w:tcMar>
          </w:tcPr>
          <w:p w14:paraId="47D968D1"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A9704E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EA4BA43"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608A5ECD"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763BCB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084C3F1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701DBB3C"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FA4D120"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right w:val="single" w:sz="8" w:space="0" w:color="000000"/>
            </w:tcBorders>
            <w:tcMar>
              <w:top w:w="0" w:type="dxa"/>
              <w:left w:w="100" w:type="dxa"/>
              <w:bottom w:w="0" w:type="dxa"/>
              <w:right w:w="100" w:type="dxa"/>
            </w:tcMar>
          </w:tcPr>
          <w:p w14:paraId="30F79ADB"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c>
          <w:tcPr>
            <w:tcW w:w="278" w:type="pct"/>
            <w:tcBorders>
              <w:bottom w:val="single" w:sz="8" w:space="0" w:color="000000"/>
            </w:tcBorders>
          </w:tcPr>
          <w:p w14:paraId="25FCA26B"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67EFBB0F"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2E826A2"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4F1EFC2D"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72BD36C4"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tcBorders>
          </w:tcPr>
          <w:p w14:paraId="5FEAF709" w14:textId="77777777" w:rsidR="00C148A3" w:rsidRPr="00710DFA" w:rsidRDefault="00C148A3" w:rsidP="008D0A39">
            <w:pPr>
              <w:spacing w:line="360" w:lineRule="auto"/>
              <w:jc w:val="both"/>
              <w:rPr>
                <w:color w:val="000000" w:themeColor="text1"/>
                <w:sz w:val="20"/>
                <w:szCs w:val="20"/>
                <w:lang w:val="en-GB"/>
              </w:rPr>
            </w:pPr>
          </w:p>
        </w:tc>
        <w:tc>
          <w:tcPr>
            <w:tcW w:w="278" w:type="pct"/>
            <w:tcBorders>
              <w:bottom w:val="single" w:sz="8" w:space="0" w:color="000000"/>
              <w:right w:val="single" w:sz="8" w:space="0" w:color="000000"/>
            </w:tcBorders>
            <w:shd w:val="clear" w:color="auto" w:fill="5F497A" w:themeFill="accent4" w:themeFillShade="BF"/>
            <w:tcMar>
              <w:top w:w="0" w:type="dxa"/>
              <w:left w:w="100" w:type="dxa"/>
              <w:bottom w:w="0" w:type="dxa"/>
              <w:right w:w="100" w:type="dxa"/>
            </w:tcMar>
          </w:tcPr>
          <w:p w14:paraId="5413FB98" w14:textId="77777777" w:rsidR="00C148A3" w:rsidRPr="00710DFA" w:rsidRDefault="00C148A3" w:rsidP="008D0A39">
            <w:pPr>
              <w:spacing w:line="360" w:lineRule="auto"/>
              <w:jc w:val="both"/>
              <w:rPr>
                <w:color w:val="000000" w:themeColor="text1"/>
                <w:sz w:val="20"/>
                <w:szCs w:val="20"/>
                <w:lang w:val="en-GB"/>
              </w:rPr>
            </w:pPr>
            <w:r w:rsidRPr="00710DFA">
              <w:rPr>
                <w:color w:val="000000" w:themeColor="text1"/>
                <w:sz w:val="20"/>
                <w:szCs w:val="20"/>
                <w:lang w:val="en-GB"/>
              </w:rPr>
              <w:t xml:space="preserve"> </w:t>
            </w:r>
          </w:p>
        </w:tc>
      </w:tr>
    </w:tbl>
    <w:p w14:paraId="4CABA12D" w14:textId="77777777" w:rsidR="00C148A3" w:rsidRPr="00710DFA" w:rsidRDefault="00C148A3" w:rsidP="00C148A3">
      <w:pPr>
        <w:rPr>
          <w:color w:val="000000" w:themeColor="text1"/>
          <w:lang w:val="en-GB"/>
        </w:rPr>
      </w:pPr>
    </w:p>
    <w:p w14:paraId="6F5326A4" w14:textId="77777777" w:rsidR="00C148A3" w:rsidRPr="00710DFA" w:rsidRDefault="00C148A3" w:rsidP="00C148A3">
      <w:pPr>
        <w:rPr>
          <w:color w:val="000000" w:themeColor="text1"/>
          <w:lang w:val="en-GB"/>
        </w:rPr>
      </w:pPr>
      <w:r w:rsidRPr="00710DFA">
        <w:rPr>
          <w:color w:val="000000" w:themeColor="text1"/>
          <w:lang w:val="en-GB"/>
        </w:rPr>
        <w:br w:type="page"/>
      </w:r>
    </w:p>
    <w:p w14:paraId="63FE65F9" w14:textId="77777777" w:rsidR="00C148A3" w:rsidRPr="00710DFA" w:rsidRDefault="00C148A3" w:rsidP="00C148A3">
      <w:pPr>
        <w:pStyle w:val="Heading1"/>
      </w:pPr>
      <w:bookmarkStart w:id="80" w:name="_Toc222256693"/>
      <w:bookmarkStart w:id="81" w:name="_Toc228792843"/>
      <w:bookmarkStart w:id="82" w:name="_Toc228921305"/>
      <w:r w:rsidRPr="00710DFA">
        <w:lastRenderedPageBreak/>
        <w:t>Reference list</w:t>
      </w:r>
      <w:bookmarkEnd w:id="80"/>
      <w:bookmarkEnd w:id="81"/>
      <w:bookmarkEnd w:id="82"/>
    </w:p>
    <w:p w14:paraId="319B0029"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Chowdhury, P., Paul, S.K., Kaisar, S. and </w:t>
      </w:r>
      <w:proofErr w:type="spellStart"/>
      <w:r w:rsidRPr="00710DFA">
        <w:rPr>
          <w:color w:val="000000" w:themeColor="text1"/>
          <w:sz w:val="24"/>
          <w:szCs w:val="24"/>
          <w:lang w:val="en-GB"/>
        </w:rPr>
        <w:t>Moktadir</w:t>
      </w:r>
      <w:proofErr w:type="spellEnd"/>
      <w:r w:rsidRPr="00710DFA">
        <w:rPr>
          <w:color w:val="000000" w:themeColor="text1"/>
          <w:sz w:val="24"/>
          <w:szCs w:val="24"/>
          <w:lang w:val="en-GB"/>
        </w:rPr>
        <w:t xml:space="preserve">, </w:t>
      </w:r>
      <w:proofErr w:type="spellStart"/>
      <w:r w:rsidRPr="00710DFA">
        <w:rPr>
          <w:color w:val="000000" w:themeColor="text1"/>
          <w:sz w:val="24"/>
          <w:szCs w:val="24"/>
          <w:lang w:val="en-GB"/>
        </w:rPr>
        <w:t>Md.A</w:t>
      </w:r>
      <w:proofErr w:type="spellEnd"/>
      <w:r w:rsidRPr="00710DFA">
        <w:rPr>
          <w:color w:val="000000" w:themeColor="text1"/>
          <w:sz w:val="24"/>
          <w:szCs w:val="24"/>
          <w:lang w:val="en-GB"/>
        </w:rPr>
        <w:t xml:space="preserve">. (2021). COVID-19 pandemic related supply chain studies: A systematic review. </w:t>
      </w:r>
      <w:r w:rsidRPr="00710DFA">
        <w:rPr>
          <w:i/>
          <w:iCs/>
          <w:color w:val="000000" w:themeColor="text1"/>
          <w:sz w:val="24"/>
          <w:szCs w:val="24"/>
          <w:lang w:val="en-GB"/>
        </w:rPr>
        <w:t>Transportation Research Part E: Logistics and Transportation Review</w:t>
      </w:r>
      <w:r w:rsidRPr="00710DFA">
        <w:rPr>
          <w:color w:val="000000" w:themeColor="text1"/>
          <w:sz w:val="24"/>
          <w:szCs w:val="24"/>
          <w:lang w:val="en-GB"/>
        </w:rPr>
        <w:t xml:space="preserve">, 148(102271), p.102271.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://doi.org/10.1016/j.tre.2021.102271</w:t>
      </w:r>
      <w:proofErr w:type="gramEnd"/>
      <w:r w:rsidRPr="00710DFA">
        <w:rPr>
          <w:color w:val="000000" w:themeColor="text1"/>
          <w:sz w:val="24"/>
          <w:szCs w:val="24"/>
          <w:lang w:val="en-GB"/>
        </w:rPr>
        <w:t>.</w:t>
      </w:r>
    </w:p>
    <w:p w14:paraId="226204A8"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shd w:val="clear" w:color="auto" w:fill="FFFFFF"/>
          <w:lang w:val="en-GB"/>
        </w:rPr>
        <w:t xml:space="preserve">Coulston, F., Lynch, F. and </w:t>
      </w:r>
      <w:proofErr w:type="spellStart"/>
      <w:r w:rsidRPr="00710DFA">
        <w:rPr>
          <w:color w:val="000000" w:themeColor="text1"/>
          <w:sz w:val="24"/>
          <w:szCs w:val="24"/>
          <w:shd w:val="clear" w:color="auto" w:fill="FFFFFF"/>
          <w:lang w:val="en-GB"/>
        </w:rPr>
        <w:t>Vears</w:t>
      </w:r>
      <w:proofErr w:type="spellEnd"/>
      <w:r w:rsidRPr="00710DFA">
        <w:rPr>
          <w:color w:val="000000" w:themeColor="text1"/>
          <w:sz w:val="24"/>
          <w:szCs w:val="24"/>
          <w:shd w:val="clear" w:color="auto" w:fill="FFFFFF"/>
          <w:lang w:val="en-GB"/>
        </w:rPr>
        <w:t>, D.F., (2025). Collaborative coding in inductive content analysis: Why, when, and how to do it. </w:t>
      </w:r>
      <w:r w:rsidRPr="00710DFA">
        <w:rPr>
          <w:i/>
          <w:iCs/>
          <w:color w:val="000000" w:themeColor="text1"/>
          <w:sz w:val="24"/>
          <w:szCs w:val="24"/>
          <w:shd w:val="clear" w:color="auto" w:fill="FFFFFF"/>
          <w:lang w:val="en-GB"/>
        </w:rPr>
        <w:t xml:space="preserve">Journal of Genetic </w:t>
      </w:r>
      <w:proofErr w:type="spellStart"/>
      <w:r w:rsidRPr="00710DFA">
        <w:rPr>
          <w:i/>
          <w:iCs/>
          <w:color w:val="000000" w:themeColor="text1"/>
          <w:sz w:val="24"/>
          <w:szCs w:val="24"/>
          <w:shd w:val="clear" w:color="auto" w:fill="FFFFFF"/>
          <w:lang w:val="en-GB"/>
        </w:rPr>
        <w:t>Counseling</w:t>
      </w:r>
      <w:proofErr w:type="spellEnd"/>
      <w:r w:rsidRPr="00710DFA">
        <w:rPr>
          <w:color w:val="000000" w:themeColor="text1"/>
          <w:sz w:val="24"/>
          <w:szCs w:val="24"/>
          <w:shd w:val="clear" w:color="auto" w:fill="FFFFFF"/>
          <w:lang w:val="en-GB"/>
        </w:rPr>
        <w:t>, </w:t>
      </w:r>
      <w:r w:rsidRPr="00710DFA">
        <w:rPr>
          <w:i/>
          <w:iCs/>
          <w:color w:val="000000" w:themeColor="text1"/>
          <w:sz w:val="24"/>
          <w:szCs w:val="24"/>
          <w:shd w:val="clear" w:color="auto" w:fill="FFFFFF"/>
          <w:lang w:val="en-GB"/>
        </w:rPr>
        <w:t>34</w:t>
      </w:r>
      <w:r w:rsidRPr="00710DFA">
        <w:rPr>
          <w:color w:val="000000" w:themeColor="text1"/>
          <w:sz w:val="24"/>
          <w:szCs w:val="24"/>
          <w:shd w:val="clear" w:color="auto" w:fill="FFFFFF"/>
          <w:lang w:val="en-GB"/>
        </w:rPr>
        <w:t>(3), p.e70030.</w:t>
      </w:r>
    </w:p>
    <w:p w14:paraId="255959C1"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Kiyota, K. (2021). The COVID-19 Pandemic and the World Trade Network. </w:t>
      </w:r>
      <w:r w:rsidRPr="00710DFA">
        <w:rPr>
          <w:i/>
          <w:iCs/>
          <w:color w:val="000000" w:themeColor="text1"/>
          <w:sz w:val="24"/>
          <w:szCs w:val="24"/>
          <w:lang w:val="en-GB"/>
        </w:rPr>
        <w:t>Journal of Asian Economics</w:t>
      </w:r>
      <w:r w:rsidRPr="00710DFA">
        <w:rPr>
          <w:color w:val="000000" w:themeColor="text1"/>
          <w:sz w:val="24"/>
          <w:szCs w:val="24"/>
          <w:lang w:val="en-GB"/>
        </w:rPr>
        <w:t xml:space="preserve">, p.101419.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://doi.org/10.1016/j.asieco.2021.101419</w:t>
      </w:r>
      <w:proofErr w:type="gramEnd"/>
      <w:r w:rsidRPr="00710DFA">
        <w:rPr>
          <w:color w:val="000000" w:themeColor="text1"/>
          <w:sz w:val="24"/>
          <w:szCs w:val="24"/>
          <w:lang w:val="en-GB"/>
        </w:rPr>
        <w:t>.</w:t>
      </w:r>
    </w:p>
    <w:p w14:paraId="6FD507D8"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Li, D., Zhi, B., Schoenherr, T. and Wang, X. (2023). Developing capabilities for supply chain resilience in a post-COVID world: A machine learning-based thematic analysis. </w:t>
      </w:r>
      <w:r w:rsidRPr="00710DFA">
        <w:rPr>
          <w:i/>
          <w:iCs/>
          <w:color w:val="000000" w:themeColor="text1"/>
          <w:sz w:val="24"/>
          <w:szCs w:val="24"/>
          <w:lang w:val="en-GB"/>
        </w:rPr>
        <w:t>IISE Transactions</w:t>
      </w:r>
      <w:r w:rsidRPr="00710DFA">
        <w:rPr>
          <w:color w:val="000000" w:themeColor="text1"/>
          <w:sz w:val="24"/>
          <w:szCs w:val="24"/>
          <w:lang w:val="en-GB"/>
        </w:rPr>
        <w:t xml:space="preserve">, 55(12), pp.1–21.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://doi.org/10.1080/24725854.2023.2176951</w:t>
      </w:r>
      <w:proofErr w:type="gramEnd"/>
      <w:r w:rsidRPr="00710DFA">
        <w:rPr>
          <w:color w:val="000000" w:themeColor="text1"/>
          <w:sz w:val="24"/>
          <w:szCs w:val="24"/>
          <w:lang w:val="en-GB"/>
        </w:rPr>
        <w:t>.</w:t>
      </w:r>
    </w:p>
    <w:p w14:paraId="5A9AD54A" w14:textId="77777777" w:rsidR="00C148A3" w:rsidRPr="00710DFA" w:rsidRDefault="00C148A3" w:rsidP="00C148A3">
      <w:pPr>
        <w:spacing w:line="360" w:lineRule="auto"/>
        <w:jc w:val="both"/>
        <w:rPr>
          <w:color w:val="000000" w:themeColor="text1"/>
          <w:sz w:val="24"/>
          <w:szCs w:val="24"/>
          <w:lang w:val="en-GB"/>
        </w:rPr>
      </w:pPr>
      <w:proofErr w:type="spellStart"/>
      <w:r w:rsidRPr="00710DFA">
        <w:rPr>
          <w:color w:val="000000" w:themeColor="text1"/>
          <w:sz w:val="24"/>
          <w:szCs w:val="24"/>
          <w:lang w:val="en-GB"/>
        </w:rPr>
        <w:t>Magableh</w:t>
      </w:r>
      <w:proofErr w:type="spellEnd"/>
      <w:r w:rsidRPr="00710DFA">
        <w:rPr>
          <w:color w:val="000000" w:themeColor="text1"/>
          <w:sz w:val="24"/>
          <w:szCs w:val="24"/>
          <w:lang w:val="en-GB"/>
        </w:rPr>
        <w:t>, G.M. (2021). Supply Chains and the COVID</w:t>
      </w:r>
      <w:r w:rsidRPr="00710DFA">
        <w:rPr>
          <w:rFonts w:ascii="Cambria Math" w:hAnsi="Cambria Math" w:cs="Cambria Math"/>
          <w:color w:val="000000" w:themeColor="text1"/>
          <w:sz w:val="24"/>
          <w:szCs w:val="24"/>
          <w:lang w:val="en-GB"/>
        </w:rPr>
        <w:t>‐</w:t>
      </w:r>
      <w:r w:rsidRPr="00710DFA">
        <w:rPr>
          <w:color w:val="000000" w:themeColor="text1"/>
          <w:sz w:val="24"/>
          <w:szCs w:val="24"/>
          <w:lang w:val="en-GB"/>
        </w:rPr>
        <w:t xml:space="preserve">19 Pandemic: A Comprehensive Framework. </w:t>
      </w:r>
      <w:r w:rsidRPr="00710DFA">
        <w:rPr>
          <w:i/>
          <w:iCs/>
          <w:color w:val="000000" w:themeColor="text1"/>
          <w:sz w:val="24"/>
          <w:szCs w:val="24"/>
          <w:lang w:val="en-GB"/>
        </w:rPr>
        <w:t>European Management Review</w:t>
      </w:r>
      <w:r w:rsidRPr="00710DFA">
        <w:rPr>
          <w:color w:val="000000" w:themeColor="text1"/>
          <w:sz w:val="24"/>
          <w:szCs w:val="24"/>
          <w:lang w:val="en-GB"/>
        </w:rPr>
        <w:t xml:space="preserve">, 18(3), pp.363–382.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://doi.org/10.1111/emre.12449</w:t>
      </w:r>
      <w:proofErr w:type="gramEnd"/>
      <w:r w:rsidRPr="00710DFA">
        <w:rPr>
          <w:color w:val="000000" w:themeColor="text1"/>
          <w:sz w:val="24"/>
          <w:szCs w:val="24"/>
          <w:lang w:val="en-GB"/>
        </w:rPr>
        <w:t>.</w:t>
      </w:r>
    </w:p>
    <w:p w14:paraId="00F56069"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McGarraghy, S., Olafsdottir, G., Kazakov, R., Huber, É., </w:t>
      </w:r>
      <w:proofErr w:type="spellStart"/>
      <w:r w:rsidRPr="00710DFA">
        <w:rPr>
          <w:color w:val="000000" w:themeColor="text1"/>
          <w:sz w:val="24"/>
          <w:szCs w:val="24"/>
          <w:lang w:val="en-GB"/>
        </w:rPr>
        <w:t>Loveluck</w:t>
      </w:r>
      <w:proofErr w:type="spellEnd"/>
      <w:r w:rsidRPr="00710DFA">
        <w:rPr>
          <w:color w:val="000000" w:themeColor="text1"/>
          <w:sz w:val="24"/>
          <w:szCs w:val="24"/>
          <w:lang w:val="en-GB"/>
        </w:rPr>
        <w:t xml:space="preserve">, W., Gudbrandsdottir, I.Y., </w:t>
      </w:r>
      <w:proofErr w:type="spellStart"/>
      <w:r w:rsidRPr="00710DFA">
        <w:rPr>
          <w:color w:val="000000" w:themeColor="text1"/>
          <w:sz w:val="24"/>
          <w:szCs w:val="24"/>
          <w:lang w:val="en-GB"/>
        </w:rPr>
        <w:t>Čechura</w:t>
      </w:r>
      <w:proofErr w:type="spellEnd"/>
      <w:r w:rsidRPr="00710DFA">
        <w:rPr>
          <w:color w:val="000000" w:themeColor="text1"/>
          <w:sz w:val="24"/>
          <w:szCs w:val="24"/>
          <w:lang w:val="en-GB"/>
        </w:rPr>
        <w:t xml:space="preserve">, L., Esposito, G., </w:t>
      </w:r>
      <w:proofErr w:type="spellStart"/>
      <w:r w:rsidRPr="00710DFA">
        <w:rPr>
          <w:color w:val="000000" w:themeColor="text1"/>
          <w:sz w:val="24"/>
          <w:szCs w:val="24"/>
          <w:lang w:val="en-GB"/>
        </w:rPr>
        <w:t>Samoggia</w:t>
      </w:r>
      <w:proofErr w:type="spellEnd"/>
      <w:r w:rsidRPr="00710DFA">
        <w:rPr>
          <w:color w:val="000000" w:themeColor="text1"/>
          <w:sz w:val="24"/>
          <w:szCs w:val="24"/>
          <w:lang w:val="en-GB"/>
        </w:rPr>
        <w:t>, A., Aubert, P.M. and Barling, D., (2022). Conceptual system dynamics and agent-based modelling simulation of interorganisational fairness in food value chains: Research agenda and case studies. </w:t>
      </w:r>
      <w:r w:rsidRPr="00710DFA">
        <w:rPr>
          <w:i/>
          <w:iCs/>
          <w:color w:val="000000" w:themeColor="text1"/>
          <w:sz w:val="24"/>
          <w:szCs w:val="24"/>
          <w:lang w:val="en-GB"/>
        </w:rPr>
        <w:t>Agriculture</w:t>
      </w:r>
      <w:r w:rsidRPr="00710DFA">
        <w:rPr>
          <w:color w:val="000000" w:themeColor="text1"/>
          <w:sz w:val="24"/>
          <w:szCs w:val="24"/>
          <w:lang w:val="en-GB"/>
        </w:rPr>
        <w:t>, </w:t>
      </w:r>
      <w:r w:rsidRPr="00710DFA">
        <w:rPr>
          <w:i/>
          <w:iCs/>
          <w:color w:val="000000" w:themeColor="text1"/>
          <w:sz w:val="24"/>
          <w:szCs w:val="24"/>
          <w:lang w:val="en-GB"/>
        </w:rPr>
        <w:t>12</w:t>
      </w:r>
      <w:r w:rsidRPr="00710DFA">
        <w:rPr>
          <w:color w:val="000000" w:themeColor="text1"/>
          <w:sz w:val="24"/>
          <w:szCs w:val="24"/>
          <w:lang w:val="en-GB"/>
        </w:rPr>
        <w:t>(2), p.280.</w:t>
      </w:r>
    </w:p>
    <w:p w14:paraId="60805E88"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Meier, M. and Pinto, E. (2024). COVID-19 Supply Chain Disruptions. </w:t>
      </w:r>
      <w:r w:rsidRPr="00710DFA">
        <w:rPr>
          <w:i/>
          <w:iCs/>
          <w:color w:val="000000" w:themeColor="text1"/>
          <w:sz w:val="24"/>
          <w:szCs w:val="24"/>
          <w:lang w:val="en-GB"/>
        </w:rPr>
        <w:t>European Economic Review</w:t>
      </w:r>
      <w:r w:rsidRPr="00710DFA">
        <w:rPr>
          <w:color w:val="000000" w:themeColor="text1"/>
          <w:sz w:val="24"/>
          <w:szCs w:val="24"/>
          <w:lang w:val="en-GB"/>
        </w:rPr>
        <w:t xml:space="preserve">, 162, p.104674.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://doi.org/10.1016/j.euroecorev.2024.104674</w:t>
      </w:r>
      <w:proofErr w:type="gramEnd"/>
      <w:r w:rsidRPr="00710DFA">
        <w:rPr>
          <w:color w:val="000000" w:themeColor="text1"/>
          <w:sz w:val="24"/>
          <w:szCs w:val="24"/>
          <w:lang w:val="en-GB"/>
        </w:rPr>
        <w:t>.</w:t>
      </w:r>
    </w:p>
    <w:p w14:paraId="37B75EB3"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Moosavi, J., Naeni, L.M., </w:t>
      </w:r>
      <w:proofErr w:type="spellStart"/>
      <w:r w:rsidRPr="00710DFA">
        <w:rPr>
          <w:color w:val="000000" w:themeColor="text1"/>
          <w:sz w:val="24"/>
          <w:szCs w:val="24"/>
          <w:lang w:val="en-GB"/>
        </w:rPr>
        <w:t>Fathollahi</w:t>
      </w:r>
      <w:proofErr w:type="spellEnd"/>
      <w:r w:rsidRPr="00710DFA">
        <w:rPr>
          <w:color w:val="000000" w:themeColor="text1"/>
          <w:sz w:val="24"/>
          <w:szCs w:val="24"/>
          <w:lang w:val="en-GB"/>
        </w:rPr>
        <w:t xml:space="preserve">-Fard, A.M. and Fiore, U. (2021). Blockchain in supply chain management: a review, bibliometric, and network analysis. </w:t>
      </w:r>
      <w:r w:rsidRPr="00710DFA">
        <w:rPr>
          <w:i/>
          <w:iCs/>
          <w:color w:val="000000" w:themeColor="text1"/>
          <w:sz w:val="24"/>
          <w:szCs w:val="24"/>
          <w:lang w:val="en-GB"/>
        </w:rPr>
        <w:t>Environmental Science and Pollution Research</w:t>
      </w:r>
      <w:r w:rsidRPr="00710DFA">
        <w:rPr>
          <w:color w:val="000000" w:themeColor="text1"/>
          <w:sz w:val="24"/>
          <w:szCs w:val="24"/>
          <w:lang w:val="en-GB"/>
        </w:rPr>
        <w:t xml:space="preserve">, 1(2).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://doi.org/10.1007/s11356-021-13094-3</w:t>
      </w:r>
      <w:proofErr w:type="gramEnd"/>
      <w:r w:rsidRPr="00710DFA">
        <w:rPr>
          <w:color w:val="000000" w:themeColor="text1"/>
          <w:sz w:val="24"/>
          <w:szCs w:val="24"/>
          <w:lang w:val="en-GB"/>
        </w:rPr>
        <w:t>.</w:t>
      </w:r>
    </w:p>
    <w:p w14:paraId="10B8CF6C"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Napier, E., Liu, S.Y.H. and Liu, J. (2024). Adaptive strength: Unveiling a multilevel dynamic process model for organizational resilience. </w:t>
      </w:r>
      <w:r w:rsidRPr="00710DFA">
        <w:rPr>
          <w:i/>
          <w:iCs/>
          <w:color w:val="000000" w:themeColor="text1"/>
          <w:sz w:val="24"/>
          <w:szCs w:val="24"/>
          <w:lang w:val="en-GB"/>
        </w:rPr>
        <w:t>Journal of Business Research</w:t>
      </w:r>
      <w:r w:rsidRPr="00710DFA">
        <w:rPr>
          <w:color w:val="000000" w:themeColor="text1"/>
          <w:sz w:val="24"/>
          <w:szCs w:val="24"/>
          <w:lang w:val="en-GB"/>
        </w:rPr>
        <w:t>, 171, p.114334.</w:t>
      </w:r>
    </w:p>
    <w:p w14:paraId="1CFA2646"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Niu, Y., Werle, N., Cohen, M., Cui, S., Deshpande, V., Ernst, R., Huchzermeier, A., Tsay, A.A. and Wu, J. (2025). Restructuring Global Supply Chains: Navigating Challenges of </w:t>
      </w:r>
      <w:r w:rsidRPr="00710DFA">
        <w:rPr>
          <w:color w:val="000000" w:themeColor="text1"/>
          <w:sz w:val="24"/>
          <w:szCs w:val="24"/>
          <w:lang w:val="en-GB"/>
        </w:rPr>
        <w:lastRenderedPageBreak/>
        <w:t xml:space="preserve">the COVID-19 Pandemic and Beyond. </w:t>
      </w:r>
      <w:r w:rsidRPr="00710DFA">
        <w:rPr>
          <w:i/>
          <w:iCs/>
          <w:color w:val="000000" w:themeColor="text1"/>
          <w:sz w:val="24"/>
          <w:szCs w:val="24"/>
          <w:lang w:val="en-GB"/>
        </w:rPr>
        <w:t>Manufacturing &amp; Service Operations Management</w:t>
      </w:r>
      <w:r w:rsidRPr="00710DFA">
        <w:rPr>
          <w:color w:val="000000" w:themeColor="text1"/>
          <w:sz w:val="24"/>
          <w:szCs w:val="24"/>
          <w:lang w:val="en-GB"/>
        </w:rPr>
        <w:t xml:space="preserve">, 27(4).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://doi.org/10.1287/msom.2024.0879</w:t>
      </w:r>
      <w:proofErr w:type="gramEnd"/>
      <w:r w:rsidRPr="00710DFA">
        <w:rPr>
          <w:color w:val="000000" w:themeColor="text1"/>
          <w:sz w:val="24"/>
          <w:szCs w:val="24"/>
          <w:lang w:val="en-GB"/>
        </w:rPr>
        <w:t>.</w:t>
      </w:r>
    </w:p>
    <w:p w14:paraId="439AFC35"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William, F.K.A., (2024). Interpretivism or constructivism: Navigating research paradigms in social science research. </w:t>
      </w:r>
      <w:r w:rsidRPr="00710DFA">
        <w:rPr>
          <w:i/>
          <w:iCs/>
          <w:color w:val="000000" w:themeColor="text1"/>
          <w:sz w:val="24"/>
          <w:szCs w:val="24"/>
          <w:lang w:val="en-GB"/>
        </w:rPr>
        <w:t>International Journal of Research Publications</w:t>
      </w:r>
      <w:r w:rsidRPr="00710DFA">
        <w:rPr>
          <w:color w:val="000000" w:themeColor="text1"/>
          <w:sz w:val="24"/>
          <w:szCs w:val="24"/>
          <w:lang w:val="en-GB"/>
        </w:rPr>
        <w:t>, </w:t>
      </w:r>
      <w:r w:rsidRPr="00710DFA">
        <w:rPr>
          <w:i/>
          <w:iCs/>
          <w:color w:val="000000" w:themeColor="text1"/>
          <w:sz w:val="24"/>
          <w:szCs w:val="24"/>
          <w:lang w:val="en-GB"/>
        </w:rPr>
        <w:t>143</w:t>
      </w:r>
      <w:r w:rsidRPr="00710DFA">
        <w:rPr>
          <w:color w:val="000000" w:themeColor="text1"/>
          <w:sz w:val="24"/>
          <w:szCs w:val="24"/>
          <w:lang w:val="en-GB"/>
        </w:rPr>
        <w:t>(1), pp.134-138.</w:t>
      </w:r>
    </w:p>
    <w:p w14:paraId="2BCA609C"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WTO (2020). </w:t>
      </w:r>
      <w:r w:rsidRPr="00710DFA">
        <w:rPr>
          <w:i/>
          <w:iCs/>
          <w:color w:val="000000" w:themeColor="text1"/>
          <w:sz w:val="24"/>
          <w:szCs w:val="24"/>
          <w:lang w:val="en-GB"/>
        </w:rPr>
        <w:t>Trade Set to Plunge as COVID-19 Pandemic Upends Global Economy</w:t>
      </w:r>
      <w:r w:rsidRPr="00710DFA">
        <w:rPr>
          <w:color w:val="000000" w:themeColor="text1"/>
          <w:sz w:val="24"/>
          <w:szCs w:val="24"/>
          <w:lang w:val="en-GB"/>
        </w:rPr>
        <w:t>. [online] www.wto.org. Available at: https://www.wto.org/english/news_e/pres20_e/pr855_e.htm.</w:t>
      </w:r>
    </w:p>
    <w:p w14:paraId="0DE914F8"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Wulandhari, N.B.I., </w:t>
      </w:r>
      <w:proofErr w:type="spellStart"/>
      <w:r w:rsidRPr="00710DFA">
        <w:rPr>
          <w:color w:val="000000" w:themeColor="text1"/>
          <w:sz w:val="24"/>
          <w:szCs w:val="24"/>
          <w:lang w:val="en-GB"/>
        </w:rPr>
        <w:t>Budhwar</w:t>
      </w:r>
      <w:proofErr w:type="spellEnd"/>
      <w:r w:rsidRPr="00710DFA">
        <w:rPr>
          <w:color w:val="000000" w:themeColor="text1"/>
          <w:sz w:val="24"/>
          <w:szCs w:val="24"/>
          <w:lang w:val="en-GB"/>
        </w:rPr>
        <w:t>, P., Mishra, N., Akbar, S., Do, Q. and Milligan, G. (2022). Organizational Resilience to Supply Chain Risks During the COVID</w:t>
      </w:r>
      <w:r w:rsidRPr="00710DFA">
        <w:rPr>
          <w:rFonts w:ascii="Cambria Math" w:hAnsi="Cambria Math" w:cs="Cambria Math"/>
          <w:color w:val="000000" w:themeColor="text1"/>
          <w:sz w:val="24"/>
          <w:szCs w:val="24"/>
          <w:lang w:val="en-GB"/>
        </w:rPr>
        <w:t>‐</w:t>
      </w:r>
      <w:r w:rsidRPr="00710DFA">
        <w:rPr>
          <w:color w:val="000000" w:themeColor="text1"/>
          <w:sz w:val="24"/>
          <w:szCs w:val="24"/>
          <w:lang w:val="en-GB"/>
        </w:rPr>
        <w:t xml:space="preserve">19 Pandemic. </w:t>
      </w:r>
      <w:r w:rsidRPr="00710DFA">
        <w:rPr>
          <w:i/>
          <w:iCs/>
          <w:color w:val="000000" w:themeColor="text1"/>
          <w:sz w:val="24"/>
          <w:szCs w:val="24"/>
          <w:lang w:val="en-GB"/>
        </w:rPr>
        <w:t>British Journal of Management</w:t>
      </w:r>
      <w:r w:rsidRPr="00710DFA">
        <w:rPr>
          <w:color w:val="000000" w:themeColor="text1"/>
          <w:sz w:val="24"/>
          <w:szCs w:val="24"/>
          <w:lang w:val="en-GB"/>
        </w:rPr>
        <w:t xml:space="preserve">, 34(3).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://doi.org/10.1111/1467-8551.12648</w:t>
      </w:r>
      <w:proofErr w:type="gramEnd"/>
      <w:r w:rsidRPr="00710DFA">
        <w:rPr>
          <w:color w:val="000000" w:themeColor="text1"/>
          <w:sz w:val="24"/>
          <w:szCs w:val="24"/>
          <w:lang w:val="en-GB"/>
        </w:rPr>
        <w:t>.</w:t>
      </w:r>
    </w:p>
    <w:p w14:paraId="41D62ED5"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Xu, Z., </w:t>
      </w:r>
      <w:proofErr w:type="spellStart"/>
      <w:r w:rsidRPr="00710DFA">
        <w:rPr>
          <w:color w:val="000000" w:themeColor="text1"/>
          <w:sz w:val="24"/>
          <w:szCs w:val="24"/>
          <w:lang w:val="en-GB"/>
        </w:rPr>
        <w:t>Elomri</w:t>
      </w:r>
      <w:proofErr w:type="spellEnd"/>
      <w:r w:rsidRPr="00710DFA">
        <w:rPr>
          <w:color w:val="000000" w:themeColor="text1"/>
          <w:sz w:val="24"/>
          <w:szCs w:val="24"/>
          <w:lang w:val="en-GB"/>
        </w:rPr>
        <w:t xml:space="preserve">, A., </w:t>
      </w:r>
      <w:proofErr w:type="spellStart"/>
      <w:r w:rsidRPr="00710DFA">
        <w:rPr>
          <w:color w:val="000000" w:themeColor="text1"/>
          <w:sz w:val="24"/>
          <w:szCs w:val="24"/>
          <w:lang w:val="en-GB"/>
        </w:rPr>
        <w:t>Kerbache</w:t>
      </w:r>
      <w:proofErr w:type="spellEnd"/>
      <w:r w:rsidRPr="00710DFA">
        <w:rPr>
          <w:color w:val="000000" w:themeColor="text1"/>
          <w:sz w:val="24"/>
          <w:szCs w:val="24"/>
          <w:lang w:val="en-GB"/>
        </w:rPr>
        <w:t xml:space="preserve">, L. and El Omri, A. (2020). Impacts of COVID-19 on Global Supply Chains: Facts and Perspectives. </w:t>
      </w:r>
      <w:r w:rsidRPr="00710DFA">
        <w:rPr>
          <w:i/>
          <w:iCs/>
          <w:color w:val="000000" w:themeColor="text1"/>
          <w:sz w:val="24"/>
          <w:szCs w:val="24"/>
          <w:lang w:val="en-GB"/>
        </w:rPr>
        <w:t>IEEE Engineering Management Review</w:t>
      </w:r>
      <w:r w:rsidRPr="00710DFA">
        <w:rPr>
          <w:color w:val="000000" w:themeColor="text1"/>
          <w:sz w:val="24"/>
          <w:szCs w:val="24"/>
          <w:lang w:val="en-GB"/>
        </w:rPr>
        <w:t xml:space="preserve">, [online] 48(3), pp.153–166.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://doi.org/10.1109/EMR.2020.3018420</w:t>
      </w:r>
      <w:proofErr w:type="gramEnd"/>
      <w:r w:rsidRPr="00710DFA">
        <w:rPr>
          <w:color w:val="000000" w:themeColor="text1"/>
          <w:sz w:val="24"/>
          <w:szCs w:val="24"/>
          <w:lang w:val="en-GB"/>
        </w:rPr>
        <w:t>.</w:t>
      </w:r>
    </w:p>
    <w:p w14:paraId="50CF78D2" w14:textId="77777777" w:rsidR="00C148A3" w:rsidRPr="00710DFA" w:rsidRDefault="00C148A3" w:rsidP="00C148A3">
      <w:pPr>
        <w:spacing w:line="360" w:lineRule="auto"/>
        <w:jc w:val="both"/>
        <w:rPr>
          <w:color w:val="000000" w:themeColor="text1"/>
          <w:sz w:val="24"/>
          <w:szCs w:val="24"/>
          <w:lang w:val="en-GB"/>
        </w:rPr>
      </w:pPr>
      <w:r w:rsidRPr="00710DFA">
        <w:rPr>
          <w:color w:val="000000" w:themeColor="text1"/>
          <w:sz w:val="24"/>
          <w:szCs w:val="24"/>
          <w:lang w:val="en-GB"/>
        </w:rPr>
        <w:t xml:space="preserve">Xu, Z., </w:t>
      </w:r>
      <w:proofErr w:type="spellStart"/>
      <w:r w:rsidRPr="00710DFA">
        <w:rPr>
          <w:color w:val="000000" w:themeColor="text1"/>
          <w:sz w:val="24"/>
          <w:szCs w:val="24"/>
          <w:lang w:val="en-GB"/>
        </w:rPr>
        <w:t>Elomri</w:t>
      </w:r>
      <w:proofErr w:type="spellEnd"/>
      <w:r w:rsidRPr="00710DFA">
        <w:rPr>
          <w:color w:val="000000" w:themeColor="text1"/>
          <w:sz w:val="24"/>
          <w:szCs w:val="24"/>
          <w:lang w:val="en-GB"/>
        </w:rPr>
        <w:t xml:space="preserve">, A., Omri, A.E., </w:t>
      </w:r>
      <w:proofErr w:type="spellStart"/>
      <w:r w:rsidRPr="00710DFA">
        <w:rPr>
          <w:color w:val="000000" w:themeColor="text1"/>
          <w:sz w:val="24"/>
          <w:szCs w:val="24"/>
          <w:lang w:val="en-GB"/>
        </w:rPr>
        <w:t>Kerbache</w:t>
      </w:r>
      <w:proofErr w:type="spellEnd"/>
      <w:r w:rsidRPr="00710DFA">
        <w:rPr>
          <w:color w:val="000000" w:themeColor="text1"/>
          <w:sz w:val="24"/>
          <w:szCs w:val="24"/>
          <w:lang w:val="en-GB"/>
        </w:rPr>
        <w:t xml:space="preserve">, L. and Liu, H. (2021). The Compounded Effects of COVID-19 Pandemic and Desert Locust Outbreak on Food Security and Food Supply Chain. </w:t>
      </w:r>
      <w:r w:rsidRPr="00710DFA">
        <w:rPr>
          <w:i/>
          <w:iCs/>
          <w:color w:val="000000" w:themeColor="text1"/>
          <w:sz w:val="24"/>
          <w:szCs w:val="24"/>
          <w:lang w:val="en-GB"/>
        </w:rPr>
        <w:t>Sustainability</w:t>
      </w:r>
      <w:r w:rsidRPr="00710DFA">
        <w:rPr>
          <w:color w:val="000000" w:themeColor="text1"/>
          <w:sz w:val="24"/>
          <w:szCs w:val="24"/>
          <w:lang w:val="en-GB"/>
        </w:rPr>
        <w:t xml:space="preserve">, [online] 13(3), p.1063. </w:t>
      </w:r>
      <w:proofErr w:type="spellStart"/>
      <w:proofErr w:type="gramStart"/>
      <w:r w:rsidRPr="00710DFA">
        <w:rPr>
          <w:color w:val="000000" w:themeColor="text1"/>
          <w:sz w:val="24"/>
          <w:szCs w:val="24"/>
          <w:lang w:val="en-GB"/>
        </w:rPr>
        <w:t>doi:https</w:t>
      </w:r>
      <w:proofErr w:type="spellEnd"/>
      <w:r w:rsidRPr="00710DFA">
        <w:rPr>
          <w:color w:val="000000" w:themeColor="text1"/>
          <w:sz w:val="24"/>
          <w:szCs w:val="24"/>
          <w:lang w:val="en-GB"/>
        </w:rPr>
        <w:t>://doi.org/10.3390/su13031063</w:t>
      </w:r>
      <w:proofErr w:type="gramEnd"/>
      <w:r w:rsidRPr="00710DFA">
        <w:rPr>
          <w:color w:val="000000" w:themeColor="text1"/>
          <w:sz w:val="24"/>
          <w:szCs w:val="24"/>
          <w:lang w:val="en-GB"/>
        </w:rPr>
        <w:t>.</w:t>
      </w:r>
    </w:p>
    <w:p w14:paraId="490BE799" w14:textId="367E1B20" w:rsidR="005B31CD" w:rsidRPr="00710DFA" w:rsidRDefault="005B31CD" w:rsidP="00C148A3">
      <w:pPr>
        <w:rPr>
          <w:color w:val="000000" w:themeColor="text1"/>
          <w:lang w:val="en-GB"/>
        </w:rPr>
      </w:pPr>
    </w:p>
    <w:sectPr w:rsidR="005B31CD" w:rsidRPr="00710DFA" w:rsidSect="0062610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80527" w14:textId="77777777" w:rsidR="001B2EAE" w:rsidRDefault="001B2EAE">
      <w:pPr>
        <w:spacing w:line="240" w:lineRule="auto"/>
      </w:pPr>
      <w:r>
        <w:separator/>
      </w:r>
    </w:p>
  </w:endnote>
  <w:endnote w:type="continuationSeparator" w:id="0">
    <w:p w14:paraId="65C8F7EA" w14:textId="77777777" w:rsidR="001B2EAE" w:rsidRDefault="001B2E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E622DDA9-054A-4A39-A7B4-391DA7DEA135}"/>
  </w:font>
  <w:font w:name="Cambria">
    <w:panose1 w:val="02040503050406030204"/>
    <w:charset w:val="00"/>
    <w:family w:val="roman"/>
    <w:pitch w:val="variable"/>
    <w:sig w:usb0="E00006FF" w:usb1="420024FF" w:usb2="02000000" w:usb3="00000000" w:csb0="0000019F" w:csb1="00000000"/>
    <w:embedRegular r:id="rId2" w:fontKey="{8AB01A81-BF6A-4867-B146-6658D7213D2D}"/>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embedRegular r:id="rId3" w:fontKey="{8CD0C9E4-1FB4-43C8-A37A-D07EFBA3414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3C3BB" w14:textId="77777777" w:rsidR="00626108" w:rsidRDefault="006261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361353"/>
      <w:docPartObj>
        <w:docPartGallery w:val="Page Numbers (Bottom of Page)"/>
        <w:docPartUnique/>
      </w:docPartObj>
    </w:sdtPr>
    <w:sdtEndPr>
      <w:rPr>
        <w:noProof/>
      </w:rPr>
    </w:sdtEndPr>
    <w:sdtContent>
      <w:p w14:paraId="691107F6" w14:textId="713A7496" w:rsidR="00626108" w:rsidRDefault="006261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35" w14:textId="38FE373F" w:rsidR="00FC116A" w:rsidRDefault="00FC116A">
    <w:pPr>
      <w:jc w:val="right"/>
      <w:rPr>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98A71" w14:textId="77777777" w:rsidR="00626108" w:rsidRDefault="006261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0670912"/>
      <w:docPartObj>
        <w:docPartGallery w:val="Page Numbers (Bottom of Page)"/>
        <w:docPartUnique/>
      </w:docPartObj>
    </w:sdtPr>
    <w:sdtEndPr>
      <w:rPr>
        <w:noProof/>
      </w:rPr>
    </w:sdtEndPr>
    <w:sdtContent>
      <w:p w14:paraId="0827E610" w14:textId="77777777" w:rsidR="00626108" w:rsidRDefault="006261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1AF3A" w14:textId="77777777" w:rsidR="00626108" w:rsidRDefault="00626108">
    <w:pPr>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B6886" w14:textId="77777777" w:rsidR="001B2EAE" w:rsidRDefault="001B2EAE">
      <w:pPr>
        <w:spacing w:line="240" w:lineRule="auto"/>
      </w:pPr>
      <w:r>
        <w:separator/>
      </w:r>
    </w:p>
  </w:footnote>
  <w:footnote w:type="continuationSeparator" w:id="0">
    <w:p w14:paraId="5FFCFBFD" w14:textId="77777777" w:rsidR="001B2EAE" w:rsidRDefault="001B2EA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BF7E0E" w14:textId="77777777" w:rsidR="00626108" w:rsidRDefault="006261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AD5A9" w14:textId="77777777" w:rsidR="00626108" w:rsidRDefault="006261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09353" w14:textId="77777777" w:rsidR="00626108" w:rsidRDefault="006261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77396"/>
    <w:multiLevelType w:val="hybridMultilevel"/>
    <w:tmpl w:val="324CEA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1429146">
    <w:abstractNumId w:val="1"/>
  </w:num>
  <w:num w:numId="2" w16cid:durableId="1484155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16A"/>
    <w:rsid w:val="00020137"/>
    <w:rsid w:val="000212CE"/>
    <w:rsid w:val="00022638"/>
    <w:rsid w:val="00022A56"/>
    <w:rsid w:val="00031268"/>
    <w:rsid w:val="00042410"/>
    <w:rsid w:val="00054590"/>
    <w:rsid w:val="00065CAE"/>
    <w:rsid w:val="0008024E"/>
    <w:rsid w:val="000925BB"/>
    <w:rsid w:val="00093F9B"/>
    <w:rsid w:val="00095C01"/>
    <w:rsid w:val="00095CF2"/>
    <w:rsid w:val="000A2C46"/>
    <w:rsid w:val="000A5E3E"/>
    <w:rsid w:val="000A6E69"/>
    <w:rsid w:val="000C2F72"/>
    <w:rsid w:val="000C7AD5"/>
    <w:rsid w:val="000D6826"/>
    <w:rsid w:val="000E180F"/>
    <w:rsid w:val="000E4C61"/>
    <w:rsid w:val="000F7CAB"/>
    <w:rsid w:val="0011460F"/>
    <w:rsid w:val="00120E7D"/>
    <w:rsid w:val="00124E33"/>
    <w:rsid w:val="00136370"/>
    <w:rsid w:val="00137B8C"/>
    <w:rsid w:val="00165280"/>
    <w:rsid w:val="00174254"/>
    <w:rsid w:val="001817CB"/>
    <w:rsid w:val="001817E0"/>
    <w:rsid w:val="001930FA"/>
    <w:rsid w:val="00195F5C"/>
    <w:rsid w:val="001A4728"/>
    <w:rsid w:val="001A7390"/>
    <w:rsid w:val="001B0177"/>
    <w:rsid w:val="001B2922"/>
    <w:rsid w:val="001B2EAE"/>
    <w:rsid w:val="001C5F35"/>
    <w:rsid w:val="001D1862"/>
    <w:rsid w:val="001D1889"/>
    <w:rsid w:val="001D609F"/>
    <w:rsid w:val="001E2A7F"/>
    <w:rsid w:val="001E33EC"/>
    <w:rsid w:val="001E6766"/>
    <w:rsid w:val="001E6DD4"/>
    <w:rsid w:val="001F118B"/>
    <w:rsid w:val="00206D11"/>
    <w:rsid w:val="00211375"/>
    <w:rsid w:val="00224933"/>
    <w:rsid w:val="002452C1"/>
    <w:rsid w:val="00245815"/>
    <w:rsid w:val="00250FA5"/>
    <w:rsid w:val="00252414"/>
    <w:rsid w:val="00254814"/>
    <w:rsid w:val="00256F9F"/>
    <w:rsid w:val="00265226"/>
    <w:rsid w:val="0027665E"/>
    <w:rsid w:val="002851B1"/>
    <w:rsid w:val="00296345"/>
    <w:rsid w:val="002A061E"/>
    <w:rsid w:val="002A1CE4"/>
    <w:rsid w:val="002B367F"/>
    <w:rsid w:val="002B60C1"/>
    <w:rsid w:val="002D3413"/>
    <w:rsid w:val="002D4BAE"/>
    <w:rsid w:val="002D6882"/>
    <w:rsid w:val="002E5FAA"/>
    <w:rsid w:val="002F3DAF"/>
    <w:rsid w:val="00300363"/>
    <w:rsid w:val="00306626"/>
    <w:rsid w:val="0031109B"/>
    <w:rsid w:val="00326344"/>
    <w:rsid w:val="00335B6E"/>
    <w:rsid w:val="00353C05"/>
    <w:rsid w:val="003566CF"/>
    <w:rsid w:val="00361F0A"/>
    <w:rsid w:val="00363D15"/>
    <w:rsid w:val="00364166"/>
    <w:rsid w:val="00366A63"/>
    <w:rsid w:val="00371459"/>
    <w:rsid w:val="00373C13"/>
    <w:rsid w:val="003901D7"/>
    <w:rsid w:val="00394A7C"/>
    <w:rsid w:val="003A0CF6"/>
    <w:rsid w:val="003A5665"/>
    <w:rsid w:val="003B52A3"/>
    <w:rsid w:val="003D08C4"/>
    <w:rsid w:val="003D3177"/>
    <w:rsid w:val="003E12F6"/>
    <w:rsid w:val="00403627"/>
    <w:rsid w:val="00416EE3"/>
    <w:rsid w:val="004223C1"/>
    <w:rsid w:val="00446A4D"/>
    <w:rsid w:val="004479FB"/>
    <w:rsid w:val="00452955"/>
    <w:rsid w:val="004874BF"/>
    <w:rsid w:val="004946D6"/>
    <w:rsid w:val="004B51A7"/>
    <w:rsid w:val="004C2AE3"/>
    <w:rsid w:val="004C3C53"/>
    <w:rsid w:val="004C3F77"/>
    <w:rsid w:val="004C5611"/>
    <w:rsid w:val="004E362D"/>
    <w:rsid w:val="005406D2"/>
    <w:rsid w:val="00582D25"/>
    <w:rsid w:val="00587185"/>
    <w:rsid w:val="0059232C"/>
    <w:rsid w:val="00594E25"/>
    <w:rsid w:val="005B31CD"/>
    <w:rsid w:val="005B4D32"/>
    <w:rsid w:val="005B6B8F"/>
    <w:rsid w:val="005D2C98"/>
    <w:rsid w:val="005E1968"/>
    <w:rsid w:val="005F4C83"/>
    <w:rsid w:val="00600456"/>
    <w:rsid w:val="00600CAB"/>
    <w:rsid w:val="006110C5"/>
    <w:rsid w:val="00611F89"/>
    <w:rsid w:val="006124A1"/>
    <w:rsid w:val="00622C88"/>
    <w:rsid w:val="00626108"/>
    <w:rsid w:val="00626589"/>
    <w:rsid w:val="0063451E"/>
    <w:rsid w:val="00634B09"/>
    <w:rsid w:val="00640400"/>
    <w:rsid w:val="00640DD7"/>
    <w:rsid w:val="0064258E"/>
    <w:rsid w:val="00644989"/>
    <w:rsid w:val="00654400"/>
    <w:rsid w:val="00660133"/>
    <w:rsid w:val="00660680"/>
    <w:rsid w:val="00666F34"/>
    <w:rsid w:val="0068153D"/>
    <w:rsid w:val="00684FA2"/>
    <w:rsid w:val="00686134"/>
    <w:rsid w:val="00695461"/>
    <w:rsid w:val="006C6C3F"/>
    <w:rsid w:val="006D47B9"/>
    <w:rsid w:val="006F30A7"/>
    <w:rsid w:val="006F72AC"/>
    <w:rsid w:val="0070048B"/>
    <w:rsid w:val="00703B3D"/>
    <w:rsid w:val="00710DFA"/>
    <w:rsid w:val="007379CA"/>
    <w:rsid w:val="00740DB7"/>
    <w:rsid w:val="007451A0"/>
    <w:rsid w:val="00751E7D"/>
    <w:rsid w:val="00756BD7"/>
    <w:rsid w:val="00782DF6"/>
    <w:rsid w:val="0079732B"/>
    <w:rsid w:val="007A169F"/>
    <w:rsid w:val="007A4245"/>
    <w:rsid w:val="007D6F95"/>
    <w:rsid w:val="007E39D9"/>
    <w:rsid w:val="007E5F5B"/>
    <w:rsid w:val="0081588D"/>
    <w:rsid w:val="00830DAA"/>
    <w:rsid w:val="008335F7"/>
    <w:rsid w:val="00852206"/>
    <w:rsid w:val="00880DBE"/>
    <w:rsid w:val="008829B3"/>
    <w:rsid w:val="00883309"/>
    <w:rsid w:val="008847F1"/>
    <w:rsid w:val="00893201"/>
    <w:rsid w:val="00893CB9"/>
    <w:rsid w:val="0089413F"/>
    <w:rsid w:val="008A00BA"/>
    <w:rsid w:val="008A0AA8"/>
    <w:rsid w:val="008A3B70"/>
    <w:rsid w:val="008A4E68"/>
    <w:rsid w:val="008B6653"/>
    <w:rsid w:val="008C0ECA"/>
    <w:rsid w:val="008C5B7A"/>
    <w:rsid w:val="008D1F02"/>
    <w:rsid w:val="008D2040"/>
    <w:rsid w:val="008E1122"/>
    <w:rsid w:val="008F65E4"/>
    <w:rsid w:val="00906A46"/>
    <w:rsid w:val="00910761"/>
    <w:rsid w:val="00922B36"/>
    <w:rsid w:val="0092301E"/>
    <w:rsid w:val="00932373"/>
    <w:rsid w:val="00935AC7"/>
    <w:rsid w:val="009360BC"/>
    <w:rsid w:val="009468EA"/>
    <w:rsid w:val="00947C08"/>
    <w:rsid w:val="00947D8C"/>
    <w:rsid w:val="00954658"/>
    <w:rsid w:val="00955443"/>
    <w:rsid w:val="00955A05"/>
    <w:rsid w:val="00957C0E"/>
    <w:rsid w:val="009736AC"/>
    <w:rsid w:val="00977626"/>
    <w:rsid w:val="00986CE0"/>
    <w:rsid w:val="009929DF"/>
    <w:rsid w:val="009A0338"/>
    <w:rsid w:val="009A41D2"/>
    <w:rsid w:val="009C01F6"/>
    <w:rsid w:val="009C0726"/>
    <w:rsid w:val="009C267C"/>
    <w:rsid w:val="009C2AC9"/>
    <w:rsid w:val="009C3C5F"/>
    <w:rsid w:val="009D0CA0"/>
    <w:rsid w:val="009D0ECE"/>
    <w:rsid w:val="009D1CE1"/>
    <w:rsid w:val="009F0724"/>
    <w:rsid w:val="009F3085"/>
    <w:rsid w:val="009F4AB3"/>
    <w:rsid w:val="00A05D42"/>
    <w:rsid w:val="00A16566"/>
    <w:rsid w:val="00A22A64"/>
    <w:rsid w:val="00A27E90"/>
    <w:rsid w:val="00A5006E"/>
    <w:rsid w:val="00A54558"/>
    <w:rsid w:val="00A57BE5"/>
    <w:rsid w:val="00A61EA5"/>
    <w:rsid w:val="00A76503"/>
    <w:rsid w:val="00A82EF0"/>
    <w:rsid w:val="00A8400B"/>
    <w:rsid w:val="00AA148B"/>
    <w:rsid w:val="00AA3760"/>
    <w:rsid w:val="00AD042D"/>
    <w:rsid w:val="00AD3DF4"/>
    <w:rsid w:val="00AD6D6F"/>
    <w:rsid w:val="00AE7C32"/>
    <w:rsid w:val="00AE7FBF"/>
    <w:rsid w:val="00AF5747"/>
    <w:rsid w:val="00AF6198"/>
    <w:rsid w:val="00AF7A9C"/>
    <w:rsid w:val="00B125FA"/>
    <w:rsid w:val="00B17794"/>
    <w:rsid w:val="00B17BE9"/>
    <w:rsid w:val="00B21417"/>
    <w:rsid w:val="00B225D3"/>
    <w:rsid w:val="00B270FC"/>
    <w:rsid w:val="00B34834"/>
    <w:rsid w:val="00B50ECC"/>
    <w:rsid w:val="00B67670"/>
    <w:rsid w:val="00B72330"/>
    <w:rsid w:val="00B80BF8"/>
    <w:rsid w:val="00B81473"/>
    <w:rsid w:val="00B81AB3"/>
    <w:rsid w:val="00B909FF"/>
    <w:rsid w:val="00B91FDB"/>
    <w:rsid w:val="00B9224A"/>
    <w:rsid w:val="00B94534"/>
    <w:rsid w:val="00B97E74"/>
    <w:rsid w:val="00BA72AC"/>
    <w:rsid w:val="00BA7B8D"/>
    <w:rsid w:val="00BB195B"/>
    <w:rsid w:val="00BB7871"/>
    <w:rsid w:val="00BC57B2"/>
    <w:rsid w:val="00BC7E65"/>
    <w:rsid w:val="00BC7E75"/>
    <w:rsid w:val="00BD6CC3"/>
    <w:rsid w:val="00C0364B"/>
    <w:rsid w:val="00C059DA"/>
    <w:rsid w:val="00C148A3"/>
    <w:rsid w:val="00C164D1"/>
    <w:rsid w:val="00C17088"/>
    <w:rsid w:val="00C252D7"/>
    <w:rsid w:val="00C81BB0"/>
    <w:rsid w:val="00C82C70"/>
    <w:rsid w:val="00C96249"/>
    <w:rsid w:val="00CA5D62"/>
    <w:rsid w:val="00CB3E29"/>
    <w:rsid w:val="00CB3ED3"/>
    <w:rsid w:val="00CB5127"/>
    <w:rsid w:val="00CC2CA4"/>
    <w:rsid w:val="00CD18A3"/>
    <w:rsid w:val="00CD6F61"/>
    <w:rsid w:val="00CE1ED8"/>
    <w:rsid w:val="00CE4686"/>
    <w:rsid w:val="00CF16A4"/>
    <w:rsid w:val="00D07513"/>
    <w:rsid w:val="00D07ABA"/>
    <w:rsid w:val="00D10901"/>
    <w:rsid w:val="00D12866"/>
    <w:rsid w:val="00D26B31"/>
    <w:rsid w:val="00D309AD"/>
    <w:rsid w:val="00D41688"/>
    <w:rsid w:val="00D432F7"/>
    <w:rsid w:val="00D45EF9"/>
    <w:rsid w:val="00D50342"/>
    <w:rsid w:val="00D525CA"/>
    <w:rsid w:val="00D631EF"/>
    <w:rsid w:val="00D64260"/>
    <w:rsid w:val="00D65C0E"/>
    <w:rsid w:val="00D8491A"/>
    <w:rsid w:val="00D85463"/>
    <w:rsid w:val="00DA1865"/>
    <w:rsid w:val="00DE2DFE"/>
    <w:rsid w:val="00DE3611"/>
    <w:rsid w:val="00DE4DC9"/>
    <w:rsid w:val="00DF4A72"/>
    <w:rsid w:val="00E0115E"/>
    <w:rsid w:val="00E07279"/>
    <w:rsid w:val="00E43E46"/>
    <w:rsid w:val="00E54106"/>
    <w:rsid w:val="00E57662"/>
    <w:rsid w:val="00E62E43"/>
    <w:rsid w:val="00E6322F"/>
    <w:rsid w:val="00E63FB0"/>
    <w:rsid w:val="00E7116D"/>
    <w:rsid w:val="00E719B9"/>
    <w:rsid w:val="00E76844"/>
    <w:rsid w:val="00E8022C"/>
    <w:rsid w:val="00E92E21"/>
    <w:rsid w:val="00E959BB"/>
    <w:rsid w:val="00E97EC2"/>
    <w:rsid w:val="00EA4878"/>
    <w:rsid w:val="00EA661C"/>
    <w:rsid w:val="00EC64D2"/>
    <w:rsid w:val="00ED2336"/>
    <w:rsid w:val="00EE6785"/>
    <w:rsid w:val="00EF7AA2"/>
    <w:rsid w:val="00F226AA"/>
    <w:rsid w:val="00F40A50"/>
    <w:rsid w:val="00F436CA"/>
    <w:rsid w:val="00F44817"/>
    <w:rsid w:val="00F457DE"/>
    <w:rsid w:val="00F459F6"/>
    <w:rsid w:val="00F50861"/>
    <w:rsid w:val="00F52C3C"/>
    <w:rsid w:val="00F63328"/>
    <w:rsid w:val="00F63841"/>
    <w:rsid w:val="00F64589"/>
    <w:rsid w:val="00F7386C"/>
    <w:rsid w:val="00F86AB9"/>
    <w:rsid w:val="00F908E2"/>
    <w:rsid w:val="00F90942"/>
    <w:rsid w:val="00F97C9E"/>
    <w:rsid w:val="00FB1DAE"/>
    <w:rsid w:val="00FC116A"/>
    <w:rsid w:val="00FD0C79"/>
    <w:rsid w:val="00FD3B9B"/>
    <w:rsid w:val="00FE7AA9"/>
    <w:rsid w:val="00FF586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DF058"/>
  <w15:docId w15:val="{1D18FF04-9C7E-4033-B87B-AABAA8F73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1B0177"/>
    <w:pPr>
      <w:spacing w:after="360" w:line="360" w:lineRule="auto"/>
      <w:jc w:val="both"/>
      <w:outlineLvl w:val="0"/>
    </w:pPr>
    <w:rPr>
      <w:b/>
      <w:bCs/>
      <w:color w:val="000000" w:themeColor="text1"/>
      <w:sz w:val="24"/>
      <w:szCs w:val="24"/>
      <w:lang w:val="en-GB"/>
    </w:rPr>
  </w:style>
  <w:style w:type="paragraph" w:styleId="Heading2">
    <w:name w:val="heading 2"/>
    <w:basedOn w:val="Normal"/>
    <w:next w:val="Normal"/>
    <w:autoRedefine/>
    <w:uiPriority w:val="9"/>
    <w:unhideWhenUsed/>
    <w:qFormat/>
    <w:rsid w:val="001A4728"/>
    <w:pPr>
      <w:keepNext/>
      <w:keepLines/>
      <w:spacing w:before="360" w:after="120" w:line="360" w:lineRule="auto"/>
      <w:outlineLvl w:val="1"/>
    </w:pPr>
    <w:rPr>
      <w:b/>
      <w:color w:val="000000" w:themeColor="text1"/>
      <w:sz w:val="24"/>
      <w:szCs w:val="32"/>
    </w:rPr>
  </w:style>
  <w:style w:type="paragraph" w:styleId="Heading3">
    <w:name w:val="heading 3"/>
    <w:basedOn w:val="Normal"/>
    <w:next w:val="Normal"/>
    <w:autoRedefine/>
    <w:uiPriority w:val="9"/>
    <w:unhideWhenUsed/>
    <w:qFormat/>
    <w:rsid w:val="00611F89"/>
    <w:pPr>
      <w:keepNext/>
      <w:keepLines/>
      <w:spacing w:before="320" w:after="80" w:line="360" w:lineRule="auto"/>
      <w:jc w:val="both"/>
      <w:outlineLvl w:val="2"/>
    </w:pPr>
    <w:rPr>
      <w:b/>
      <w:color w:val="000000" w:themeColor="text1"/>
      <w:sz w:val="24"/>
      <w:szCs w:val="28"/>
    </w:rPr>
  </w:style>
  <w:style w:type="paragraph" w:styleId="Heading4">
    <w:name w:val="heading 4"/>
    <w:basedOn w:val="Normal"/>
    <w:next w:val="Normal"/>
    <w:autoRedefine/>
    <w:uiPriority w:val="9"/>
    <w:unhideWhenUsed/>
    <w:qFormat/>
    <w:rsid w:val="0081588D"/>
    <w:pPr>
      <w:keepNext/>
      <w:keepLines/>
      <w:spacing w:before="280" w:after="80" w:line="360" w:lineRule="auto"/>
      <w:outlineLvl w:val="3"/>
    </w:pPr>
    <w:rPr>
      <w:b/>
      <w:color w:val="000000" w:themeColor="text1"/>
      <w:sz w:val="24"/>
      <w:szCs w:val="24"/>
    </w:rPr>
  </w:style>
  <w:style w:type="paragraph" w:styleId="Heading5">
    <w:name w:val="heading 5"/>
    <w:basedOn w:val="Normal"/>
    <w:next w:val="Normal"/>
    <w:autoRedefine/>
    <w:uiPriority w:val="9"/>
    <w:unhideWhenUsed/>
    <w:qFormat/>
    <w:rsid w:val="0068153D"/>
    <w:pPr>
      <w:keepNext/>
      <w:keepLines/>
      <w:spacing w:before="240" w:after="80" w:line="360" w:lineRule="auto"/>
      <w:jc w:val="center"/>
      <w:outlineLvl w:val="4"/>
    </w:pPr>
    <w:rPr>
      <w:b/>
      <w:color w:val="000000" w:themeColor="text1"/>
      <w:sz w:val="20"/>
      <w:lang w:val="en-GB"/>
    </w:rPr>
  </w:style>
  <w:style w:type="paragraph" w:styleId="Heading6">
    <w:name w:val="heading 6"/>
    <w:basedOn w:val="Normal"/>
    <w:next w:val="Normal"/>
    <w:autoRedefine/>
    <w:uiPriority w:val="9"/>
    <w:unhideWhenUsed/>
    <w:qFormat/>
    <w:rsid w:val="0068153D"/>
    <w:pPr>
      <w:keepNext/>
      <w:keepLines/>
      <w:spacing w:before="240" w:after="80" w:line="360" w:lineRule="auto"/>
      <w:jc w:val="center"/>
      <w:outlineLvl w:val="5"/>
    </w:pPr>
    <w:rPr>
      <w:b/>
      <w:iCs/>
      <w:color w:val="000000" w:themeColor="text1"/>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817CB"/>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817CB"/>
    <w:pPr>
      <w:spacing w:after="100"/>
    </w:pPr>
  </w:style>
  <w:style w:type="paragraph" w:styleId="TOC2">
    <w:name w:val="toc 2"/>
    <w:basedOn w:val="Normal"/>
    <w:next w:val="Normal"/>
    <w:autoRedefine/>
    <w:uiPriority w:val="39"/>
    <w:unhideWhenUsed/>
    <w:rsid w:val="001817CB"/>
    <w:pPr>
      <w:spacing w:after="100"/>
      <w:ind w:left="220"/>
    </w:pPr>
  </w:style>
  <w:style w:type="paragraph" w:styleId="TOC3">
    <w:name w:val="toc 3"/>
    <w:basedOn w:val="Normal"/>
    <w:next w:val="Normal"/>
    <w:autoRedefine/>
    <w:uiPriority w:val="39"/>
    <w:unhideWhenUsed/>
    <w:rsid w:val="001817CB"/>
    <w:pPr>
      <w:spacing w:after="100"/>
      <w:ind w:left="440"/>
    </w:pPr>
  </w:style>
  <w:style w:type="character" w:styleId="Hyperlink">
    <w:name w:val="Hyperlink"/>
    <w:basedOn w:val="DefaultParagraphFont"/>
    <w:uiPriority w:val="99"/>
    <w:unhideWhenUsed/>
    <w:rsid w:val="001817CB"/>
    <w:rPr>
      <w:color w:val="0000FF" w:themeColor="hyperlink"/>
      <w:u w:val="single"/>
    </w:rPr>
  </w:style>
  <w:style w:type="character" w:styleId="UnresolvedMention">
    <w:name w:val="Unresolved Mention"/>
    <w:basedOn w:val="DefaultParagraphFont"/>
    <w:uiPriority w:val="99"/>
    <w:semiHidden/>
    <w:unhideWhenUsed/>
    <w:rsid w:val="00DE2DFE"/>
    <w:rPr>
      <w:color w:val="605E5C"/>
      <w:shd w:val="clear" w:color="auto" w:fill="E1DFDD"/>
    </w:rPr>
  </w:style>
  <w:style w:type="paragraph" w:styleId="ListParagraph">
    <w:name w:val="List Paragraph"/>
    <w:basedOn w:val="Normal"/>
    <w:uiPriority w:val="34"/>
    <w:qFormat/>
    <w:rsid w:val="003566CF"/>
    <w:pPr>
      <w:ind w:left="720"/>
      <w:contextualSpacing/>
    </w:pPr>
  </w:style>
  <w:style w:type="paragraph" w:customStyle="1" w:styleId="paragraph">
    <w:name w:val="paragraph"/>
    <w:basedOn w:val="Normal"/>
    <w:rsid w:val="00136370"/>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136370"/>
  </w:style>
  <w:style w:type="character" w:customStyle="1" w:styleId="eop">
    <w:name w:val="eop"/>
    <w:basedOn w:val="DefaultParagraphFont"/>
    <w:rsid w:val="00136370"/>
  </w:style>
  <w:style w:type="character" w:styleId="CommentReference">
    <w:name w:val="annotation reference"/>
    <w:basedOn w:val="DefaultParagraphFont"/>
    <w:uiPriority w:val="99"/>
    <w:semiHidden/>
    <w:unhideWhenUsed/>
    <w:rsid w:val="00CD6F61"/>
    <w:rPr>
      <w:sz w:val="16"/>
      <w:szCs w:val="16"/>
    </w:rPr>
  </w:style>
  <w:style w:type="paragraph" w:styleId="CommentText">
    <w:name w:val="annotation text"/>
    <w:basedOn w:val="Normal"/>
    <w:link w:val="CommentTextChar"/>
    <w:uiPriority w:val="99"/>
    <w:unhideWhenUsed/>
    <w:rsid w:val="00CD6F61"/>
    <w:pPr>
      <w:spacing w:line="240" w:lineRule="auto"/>
    </w:pPr>
    <w:rPr>
      <w:sz w:val="20"/>
      <w:szCs w:val="20"/>
    </w:rPr>
  </w:style>
  <w:style w:type="character" w:customStyle="1" w:styleId="CommentTextChar">
    <w:name w:val="Comment Text Char"/>
    <w:basedOn w:val="DefaultParagraphFont"/>
    <w:link w:val="CommentText"/>
    <w:uiPriority w:val="99"/>
    <w:rsid w:val="00CD6F61"/>
    <w:rPr>
      <w:sz w:val="20"/>
      <w:szCs w:val="20"/>
    </w:rPr>
  </w:style>
  <w:style w:type="paragraph" w:styleId="CommentSubject">
    <w:name w:val="annotation subject"/>
    <w:basedOn w:val="CommentText"/>
    <w:next w:val="CommentText"/>
    <w:link w:val="CommentSubjectChar"/>
    <w:uiPriority w:val="99"/>
    <w:semiHidden/>
    <w:unhideWhenUsed/>
    <w:rsid w:val="00CD6F61"/>
    <w:rPr>
      <w:b/>
      <w:bCs/>
    </w:rPr>
  </w:style>
  <w:style w:type="character" w:customStyle="1" w:styleId="CommentSubjectChar">
    <w:name w:val="Comment Subject Char"/>
    <w:basedOn w:val="CommentTextChar"/>
    <w:link w:val="CommentSubject"/>
    <w:uiPriority w:val="99"/>
    <w:semiHidden/>
    <w:rsid w:val="00CD6F61"/>
    <w:rPr>
      <w:b/>
      <w:bCs/>
      <w:sz w:val="20"/>
      <w:szCs w:val="20"/>
    </w:rPr>
  </w:style>
  <w:style w:type="paragraph" w:customStyle="1" w:styleId="Default">
    <w:name w:val="Default"/>
    <w:rsid w:val="00782DF6"/>
    <w:pPr>
      <w:widowControl w:val="0"/>
      <w:autoSpaceDE w:val="0"/>
      <w:autoSpaceDN w:val="0"/>
      <w:adjustRightInd w:val="0"/>
      <w:spacing w:line="240" w:lineRule="auto"/>
    </w:pPr>
    <w:rPr>
      <w:rFonts w:ascii="Calibri" w:eastAsia="Times New Roman" w:hAnsi="Calibri" w:cs="Calibri"/>
      <w:color w:val="000000"/>
      <w:sz w:val="24"/>
      <w:szCs w:val="24"/>
      <w:lang w:val="en-CA" w:eastAsia="en-CA"/>
    </w:rPr>
  </w:style>
  <w:style w:type="paragraph" w:customStyle="1" w:styleId="CM1">
    <w:name w:val="CM1"/>
    <w:basedOn w:val="Normal"/>
    <w:next w:val="Normal"/>
    <w:rsid w:val="00782DF6"/>
    <w:pPr>
      <w:widowControl w:val="0"/>
      <w:autoSpaceDE w:val="0"/>
      <w:autoSpaceDN w:val="0"/>
      <w:adjustRightInd w:val="0"/>
      <w:spacing w:line="240" w:lineRule="auto"/>
    </w:pPr>
    <w:rPr>
      <w:rFonts w:ascii="Calibri" w:eastAsia="Times New Roman" w:hAnsi="Calibri" w:cs="Times New Roman"/>
      <w:sz w:val="24"/>
      <w:szCs w:val="24"/>
      <w:lang w:val="en-CA" w:eastAsia="en-CA"/>
    </w:rPr>
  </w:style>
  <w:style w:type="paragraph" w:styleId="Header">
    <w:name w:val="header"/>
    <w:basedOn w:val="Normal"/>
    <w:link w:val="HeaderChar"/>
    <w:uiPriority w:val="99"/>
    <w:unhideWhenUsed/>
    <w:rsid w:val="00622C88"/>
    <w:pPr>
      <w:tabs>
        <w:tab w:val="center" w:pos="4513"/>
        <w:tab w:val="right" w:pos="9026"/>
      </w:tabs>
      <w:spacing w:line="240" w:lineRule="auto"/>
    </w:pPr>
  </w:style>
  <w:style w:type="character" w:customStyle="1" w:styleId="HeaderChar">
    <w:name w:val="Header Char"/>
    <w:basedOn w:val="DefaultParagraphFont"/>
    <w:link w:val="Header"/>
    <w:uiPriority w:val="99"/>
    <w:rsid w:val="00622C88"/>
  </w:style>
  <w:style w:type="paragraph" w:styleId="Footer">
    <w:name w:val="footer"/>
    <w:basedOn w:val="Normal"/>
    <w:link w:val="FooterChar"/>
    <w:uiPriority w:val="99"/>
    <w:unhideWhenUsed/>
    <w:rsid w:val="00622C88"/>
    <w:pPr>
      <w:tabs>
        <w:tab w:val="center" w:pos="4513"/>
        <w:tab w:val="right" w:pos="9026"/>
      </w:tabs>
      <w:spacing w:line="240" w:lineRule="auto"/>
    </w:pPr>
  </w:style>
  <w:style w:type="character" w:customStyle="1" w:styleId="FooterChar">
    <w:name w:val="Footer Char"/>
    <w:basedOn w:val="DefaultParagraphFont"/>
    <w:link w:val="Footer"/>
    <w:uiPriority w:val="99"/>
    <w:rsid w:val="00622C88"/>
  </w:style>
  <w:style w:type="table" w:styleId="TableGrid">
    <w:name w:val="Table Grid"/>
    <w:basedOn w:val="TableNormal"/>
    <w:uiPriority w:val="39"/>
    <w:rsid w:val="00FD3B9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C7E75"/>
    <w:pPr>
      <w:spacing w:line="240" w:lineRule="auto"/>
    </w:pPr>
  </w:style>
  <w:style w:type="paragraph" w:styleId="NormalWeb">
    <w:name w:val="Normal (Web)"/>
    <w:basedOn w:val="Normal"/>
    <w:uiPriority w:val="99"/>
    <w:semiHidden/>
    <w:unhideWhenUsed/>
    <w:rsid w:val="00C164D1"/>
    <w:rPr>
      <w:rFonts w:ascii="Times New Roman" w:hAnsi="Times New Roman" w:cs="Times New Roman"/>
      <w:sz w:val="24"/>
      <w:szCs w:val="24"/>
    </w:rPr>
  </w:style>
  <w:style w:type="paragraph" w:styleId="TableofFigures">
    <w:name w:val="table of figures"/>
    <w:basedOn w:val="Normal"/>
    <w:next w:val="Normal"/>
    <w:uiPriority w:val="99"/>
    <w:unhideWhenUsed/>
    <w:rsid w:val="00D07A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eader" Target="header3.xml"/><Relationship Id="rId26" Type="http://schemas.openxmlformats.org/officeDocument/2006/relationships/hyperlink" Target="https://doi.org/10.1108/JSM-04-2023-0144" TargetMode="External"/><Relationship Id="rId3" Type="http://schemas.openxmlformats.org/officeDocument/2006/relationships/styles" Target="styles.xml"/><Relationship Id="rId21" Type="http://schemas.openxmlformats.org/officeDocument/2006/relationships/hyperlink" Target="https://doi.org/10.1108/JEIM-04-2020-0166"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5" Type="http://schemas.openxmlformats.org/officeDocument/2006/relationships/hyperlink" Target="https://doi.org/10.1080/21681015.2023.2197907" TargetMode="External"/><Relationship Id="rId33"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oter" Target="footer4.xml"/><Relationship Id="rId29" Type="http://schemas.openxmlformats.org/officeDocument/2006/relationships/hyperlink" Target="https://doi.org/10.3390/systems13050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SCM-09-2020-0439" TargetMode="External"/><Relationship Id="rId32"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hyperlink" Target="https://doi.org/10.1108/BIJ-09-2021-0514" TargetMode="External"/><Relationship Id="rId28" Type="http://schemas.openxmlformats.org/officeDocument/2006/relationships/hyperlink" Target="https://doi.org/10.3390/systems14040427" TargetMode="External"/><Relationship Id="rId10" Type="http://schemas.openxmlformats.org/officeDocument/2006/relationships/image" Target="media/image3.png"/><Relationship Id="rId19" Type="http://schemas.openxmlformats.org/officeDocument/2006/relationships/footer" Target="footer3.xm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hyperlink" Target="https://doi.org/10.24294/jipd9749" TargetMode="External"/><Relationship Id="rId27" Type="http://schemas.openxmlformats.org/officeDocument/2006/relationships/hyperlink" Target="https://doi.org/10.1080/00207543.2021.2009588" TargetMode="External"/><Relationship Id="rId30" Type="http://schemas.openxmlformats.org/officeDocument/2006/relationships/hyperlink" Target="https://www.wto.org/english/news_e/pres20_e/pr855_e.htm"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2E4CF-6071-426B-A06E-40817BCD9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99</Pages>
  <Words>24425</Words>
  <Characters>139227</Characters>
  <Application>Microsoft Office Word</Application>
  <DocSecurity>0</DocSecurity>
  <Lines>1160</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chitaliya nidhi</dc:creator>
  <cp:lastModifiedBy>chitaliya nidhi</cp:lastModifiedBy>
  <cp:revision>2</cp:revision>
  <dcterms:created xsi:type="dcterms:W3CDTF">2026-05-05T20:13:00Z</dcterms:created>
  <dcterms:modified xsi:type="dcterms:W3CDTF">2026-05-05T20:13:00Z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b24181ca-bc95-489a-b8ad-7c2dd2ba4e7c</vt:lpwstr>
  </property>
</Properties>
</file>