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C5AC2" w14:textId="691D5A31" w:rsidR="000E7165" w:rsidRDefault="000E7165" w:rsidP="000E7165">
      <w:pPr>
        <w:pStyle w:val="Heading1"/>
        <w:jc w:val="center"/>
      </w:pPr>
      <w:r>
        <w:t>Courts Journal</w:t>
      </w:r>
    </w:p>
    <w:p w14:paraId="2619EEF5" w14:textId="77777777" w:rsidR="000E7165" w:rsidRPr="000E7165" w:rsidRDefault="000E7165" w:rsidP="000E7165">
      <w:bookmarkStart w:id="0" w:name="_GoBack"/>
      <w:bookmarkEnd w:id="0"/>
    </w:p>
    <w:p w14:paraId="767ABD4F" w14:textId="1976D4BF" w:rsidR="00D018BE" w:rsidRPr="00A72309" w:rsidRDefault="00D018BE" w:rsidP="003C7FD2">
      <w:pPr>
        <w:spacing w:line="480" w:lineRule="auto"/>
        <w:jc w:val="both"/>
        <w:rPr>
          <w:b/>
          <w:i/>
        </w:rPr>
      </w:pPr>
      <w:r>
        <w:t xml:space="preserve">In 223 B.C., Berenice II lost her husband </w:t>
      </w:r>
      <w:r w:rsidR="00880B56">
        <w:t xml:space="preserve">to a very aggressive flu. </w:t>
      </w:r>
      <w:r w:rsidR="00146BB3">
        <w:t>King Ptolemy the third left behind his wife, his son, his daughter</w:t>
      </w:r>
      <w:r w:rsidR="00E60A63">
        <w:t>, and a very successful and prosperous Egypt</w:t>
      </w:r>
      <w:r w:rsidR="00C732DC">
        <w:t>.</w:t>
      </w:r>
      <w:r w:rsidR="00E60A63">
        <w:rPr>
          <w:b/>
        </w:rPr>
        <w:t xml:space="preserve"> </w:t>
      </w:r>
      <w:r w:rsidR="00E60A63">
        <w:t xml:space="preserve">The subsequent few months were extremely busy for Berenice II – </w:t>
      </w:r>
      <w:r w:rsidR="00414470">
        <w:t>her aims and intentions were primarily to honour her husband, the late Ptolemy III, by ensuring that a temple was erected for him</w:t>
      </w:r>
      <w:r w:rsidR="00C732DC">
        <w:t>,</w:t>
      </w:r>
      <w:r w:rsidR="00DC0D8F">
        <w:rPr>
          <w:rStyle w:val="FootnoteReference"/>
        </w:rPr>
        <w:footnoteReference w:id="1"/>
      </w:r>
      <w:r w:rsidR="00414470">
        <w:t xml:space="preserve"> holding a grand funeral befitting a king</w:t>
      </w:r>
      <w:r w:rsidR="00DC0D8F">
        <w:t xml:space="preserve"> with divine status,</w:t>
      </w:r>
      <w:r w:rsidR="006B4F50">
        <w:rPr>
          <w:rStyle w:val="FootnoteReference"/>
        </w:rPr>
        <w:footnoteReference w:id="2"/>
      </w:r>
      <w:r w:rsidR="00414470">
        <w:t xml:space="preserve"> and attending the coronation of her son, Ptolemy IV.</w:t>
      </w:r>
      <w:r w:rsidR="005B0600">
        <w:t xml:space="preserve"> </w:t>
      </w:r>
      <w:r w:rsidR="00E26EC2">
        <w:t xml:space="preserve">She was also looking to negotiate with priests in upper </w:t>
      </w:r>
      <w:proofErr w:type="gramStart"/>
      <w:r w:rsidR="00E26EC2">
        <w:t>Egypt</w:t>
      </w:r>
      <w:proofErr w:type="gramEnd"/>
      <w:r w:rsidR="00E26EC2">
        <w:t xml:space="preserve"> so she could </w:t>
      </w:r>
      <w:r w:rsidR="00A72309">
        <w:t>be more involved in the building and maintaining of temples for cultural gain.</w:t>
      </w:r>
      <w:r w:rsidR="004D69E5">
        <w:rPr>
          <w:rStyle w:val="FootnoteReference"/>
        </w:rPr>
        <w:footnoteReference w:id="3"/>
      </w:r>
    </w:p>
    <w:p w14:paraId="6EEEA8D6" w14:textId="3B555D61" w:rsidR="00725F34" w:rsidRDefault="00725F34" w:rsidP="003C7FD2">
      <w:pPr>
        <w:spacing w:line="480" w:lineRule="auto"/>
        <w:jc w:val="both"/>
      </w:pPr>
      <w:r>
        <w:t>The focus on the building of a temple for Ptolemy the third was particularly important, both to honour him and preserve his legacy, and to build relations between the peoples of the empire and contribute to cultural growth</w:t>
      </w:r>
      <w:r>
        <w:rPr>
          <w:b/>
        </w:rPr>
        <w:t>.</w:t>
      </w:r>
      <w:r w:rsidR="004D69E5">
        <w:rPr>
          <w:rStyle w:val="FootnoteReference"/>
          <w:b/>
        </w:rPr>
        <w:footnoteReference w:id="4"/>
      </w:r>
      <w:r>
        <w:rPr>
          <w:b/>
        </w:rPr>
        <w:t xml:space="preserve"> </w:t>
      </w:r>
      <w:r>
        <w:t>The funeral also was integral on a ceremonial level</w:t>
      </w:r>
      <w:r w:rsidR="00FA077F">
        <w:t>.</w:t>
      </w:r>
      <w:r w:rsidR="00FA077F">
        <w:rPr>
          <w:rStyle w:val="FootnoteReference"/>
        </w:rPr>
        <w:footnoteReference w:id="5"/>
      </w:r>
      <w:r w:rsidR="00FA077F">
        <w:t xml:space="preserve"> </w:t>
      </w:r>
      <w:r>
        <w:t>The coronation of Ptolemy IV was a particular focus, in order to honour him, make official his ascent to the throne, and to form alliances with neighbouring peoples.</w:t>
      </w:r>
    </w:p>
    <w:p w14:paraId="69B3C4D2" w14:textId="1FB5D62D" w:rsidR="00725F34" w:rsidRDefault="00E26EC2" w:rsidP="003C7FD2">
      <w:pPr>
        <w:spacing w:line="480" w:lineRule="auto"/>
        <w:jc w:val="both"/>
      </w:pPr>
      <w:r>
        <w:t xml:space="preserve">It was the expectation and intention that </w:t>
      </w:r>
      <w:proofErr w:type="gramStart"/>
      <w:r>
        <w:t>all of</w:t>
      </w:r>
      <w:proofErr w:type="gramEnd"/>
      <w:r>
        <w:t xml:space="preserve"> these things would result in the progression of the empire that Ptolemy III built, and better relations between the royal family and their people.</w:t>
      </w:r>
    </w:p>
    <w:p w14:paraId="1DE642B5" w14:textId="5455FF1E" w:rsidR="002851B9" w:rsidRDefault="002851B9" w:rsidP="003C7FD2">
      <w:pPr>
        <w:spacing w:line="480" w:lineRule="auto"/>
        <w:jc w:val="both"/>
      </w:pPr>
      <w:r>
        <w:t>Ptolemy III was buried, with his eldest and only son carrying out the ritual known as the ‘Opening of the Mouth’ and wearing the spotted fur cloak to demonstrate his role as the person in charge of the ritual.</w:t>
      </w:r>
      <w:r>
        <w:rPr>
          <w:rStyle w:val="FootnoteReference"/>
        </w:rPr>
        <w:footnoteReference w:id="6"/>
      </w:r>
    </w:p>
    <w:p w14:paraId="7B270E8B" w14:textId="0A141E20" w:rsidR="00E26EC2" w:rsidRDefault="00E26EC2" w:rsidP="003C7FD2">
      <w:pPr>
        <w:spacing w:line="480" w:lineRule="auto"/>
        <w:jc w:val="both"/>
      </w:pPr>
      <w:r>
        <w:t xml:space="preserve">Cilicia </w:t>
      </w:r>
      <w:r w:rsidR="00AC67E1">
        <w:t xml:space="preserve">sent their condolences to Berenice II for the loss of her husband and invited her and the rest of the Ptolemaic family to a </w:t>
      </w:r>
      <w:r>
        <w:t xml:space="preserve">festival </w:t>
      </w:r>
      <w:r w:rsidR="00AC67E1">
        <w:t xml:space="preserve">that they were holding for harvest, safe passage, and good winds </w:t>
      </w:r>
      <w:r w:rsidR="00AC67E1">
        <w:lastRenderedPageBreak/>
        <w:t xml:space="preserve">and waves. The festival was in the names of Aphrodite, </w:t>
      </w:r>
      <w:r w:rsidR="0019136C">
        <w:t>Demeter</w:t>
      </w:r>
      <w:r w:rsidR="00AC67E1">
        <w:t xml:space="preserve">, and Poseidon, </w:t>
      </w:r>
      <w:r w:rsidR="002851B9">
        <w:t>and although it was also in part supposed to honour and bless her son’s ascent to the throne,</w:t>
      </w:r>
      <w:r w:rsidR="00AC67E1">
        <w:t xml:space="preserve"> Berenice decided against attending</w:t>
      </w:r>
      <w:r w:rsidR="00A72309">
        <w:t xml:space="preserve"> as she had just lost her husband and wanted time to mourn</w:t>
      </w:r>
      <w:r w:rsidR="00CE3AAA">
        <w:t xml:space="preserve">, and also had moved to </w:t>
      </w:r>
      <w:proofErr w:type="spellStart"/>
      <w:r w:rsidR="00CE3AAA">
        <w:t>Edfu</w:t>
      </w:r>
      <w:proofErr w:type="spellEnd"/>
      <w:r w:rsidR="00CE3AAA">
        <w:t xml:space="preserve"> to better focus on her temple building and to distance herself from the politics of ruling</w:t>
      </w:r>
      <w:r w:rsidR="00342E70">
        <w:rPr>
          <w:b/>
        </w:rPr>
        <w:t>.</w:t>
      </w:r>
      <w:r w:rsidR="00342E70">
        <w:rPr>
          <w:rStyle w:val="FootnoteReference"/>
          <w:b/>
        </w:rPr>
        <w:footnoteReference w:id="7"/>
      </w:r>
    </w:p>
    <w:p w14:paraId="09F16F08" w14:textId="572A6427" w:rsidR="00A72309" w:rsidRDefault="00A72309" w:rsidP="003C7FD2">
      <w:pPr>
        <w:spacing w:line="480" w:lineRule="auto"/>
        <w:jc w:val="both"/>
      </w:pPr>
      <w:r>
        <w:t>The Cilicia invitation read as follows:</w:t>
      </w:r>
    </w:p>
    <w:p w14:paraId="10510C74" w14:textId="2B6EE535" w:rsidR="00A72309" w:rsidRDefault="00A72309" w:rsidP="003C7FD2">
      <w:pPr>
        <w:spacing w:line="480" w:lineRule="auto"/>
        <w:ind w:left="720"/>
        <w:jc w:val="both"/>
        <w:rPr>
          <w:i/>
        </w:rPr>
      </w:pPr>
      <w:r>
        <w:rPr>
          <w:i/>
        </w:rPr>
        <w:t>From the Priestess of Apollo situated in Cilicia to the High Priestess of illustrious Alexandria, Greetings.</w:t>
      </w:r>
    </w:p>
    <w:p w14:paraId="585BECF5" w14:textId="350412C3" w:rsidR="00A72309" w:rsidRDefault="00A72309" w:rsidP="003C7FD2">
      <w:pPr>
        <w:spacing w:line="480" w:lineRule="auto"/>
        <w:ind w:left="720"/>
        <w:jc w:val="both"/>
        <w:rPr>
          <w:i/>
        </w:rPr>
      </w:pPr>
      <w:r>
        <w:rPr>
          <w:i/>
        </w:rPr>
        <w:t>In my authority as the chief Priestess within Cilicia, I extend a formal invitation to attend a festival that shall be held within our simple satrapy.</w:t>
      </w:r>
    </w:p>
    <w:p w14:paraId="78508D8A" w14:textId="511C31BD" w:rsidR="00A72309" w:rsidRDefault="00A72309" w:rsidP="003C7FD2">
      <w:pPr>
        <w:spacing w:line="480" w:lineRule="auto"/>
        <w:ind w:left="720"/>
        <w:jc w:val="both"/>
        <w:rPr>
          <w:i/>
        </w:rPr>
      </w:pPr>
      <w:r>
        <w:rPr>
          <w:i/>
        </w:rPr>
        <w:t>The festival shall be held on the Honour of Poseidon</w:t>
      </w:r>
      <w:r w:rsidR="0019136C">
        <w:rPr>
          <w:i/>
        </w:rPr>
        <w:t xml:space="preserve"> – </w:t>
      </w:r>
      <w:proofErr w:type="spellStart"/>
      <w:r w:rsidR="0019136C">
        <w:rPr>
          <w:i/>
        </w:rPr>
        <w:t>Olbios</w:t>
      </w:r>
      <w:proofErr w:type="spellEnd"/>
      <w:r w:rsidR="0019136C">
        <w:rPr>
          <w:i/>
        </w:rPr>
        <w:t xml:space="preserve">, Aphrodite – </w:t>
      </w:r>
      <w:proofErr w:type="spellStart"/>
      <w:r w:rsidR="0019136C">
        <w:rPr>
          <w:i/>
        </w:rPr>
        <w:t>Epilemenia</w:t>
      </w:r>
      <w:proofErr w:type="spellEnd"/>
      <w:r w:rsidR="0019136C">
        <w:rPr>
          <w:i/>
        </w:rPr>
        <w:t>, and Demeter. We extend this gracious invitation with pleasure.</w:t>
      </w:r>
    </w:p>
    <w:p w14:paraId="41ACF2E8" w14:textId="7EF057F2" w:rsidR="0019136C" w:rsidRDefault="0019136C" w:rsidP="003C7FD2">
      <w:pPr>
        <w:spacing w:line="480" w:lineRule="auto"/>
        <w:ind w:left="720"/>
        <w:jc w:val="both"/>
        <w:rPr>
          <w:i/>
        </w:rPr>
      </w:pPr>
      <w:r>
        <w:rPr>
          <w:i/>
        </w:rPr>
        <w:t>We wish we shall be graced with your presence.</w:t>
      </w:r>
    </w:p>
    <w:p w14:paraId="656ACBEF" w14:textId="7FE4B3E6" w:rsidR="0019136C" w:rsidRDefault="0019136C" w:rsidP="003C7FD2">
      <w:pPr>
        <w:spacing w:line="480" w:lineRule="auto"/>
        <w:ind w:left="720"/>
        <w:jc w:val="both"/>
        <w:rPr>
          <w:i/>
        </w:rPr>
      </w:pPr>
      <w:r>
        <w:rPr>
          <w:i/>
        </w:rPr>
        <w:t>Praise from the Gods to our king Ptolemy,</w:t>
      </w:r>
    </w:p>
    <w:p w14:paraId="03D678C4" w14:textId="05284D35" w:rsidR="0019136C" w:rsidRDefault="0019136C" w:rsidP="003C7FD2">
      <w:pPr>
        <w:spacing w:line="480" w:lineRule="auto"/>
        <w:ind w:left="720"/>
        <w:jc w:val="both"/>
        <w:rPr>
          <w:i/>
        </w:rPr>
      </w:pPr>
      <w:proofErr w:type="spellStart"/>
      <w:r>
        <w:rPr>
          <w:i/>
        </w:rPr>
        <w:t>Nikeso</w:t>
      </w:r>
      <w:proofErr w:type="spellEnd"/>
      <w:r>
        <w:rPr>
          <w:i/>
        </w:rPr>
        <w:t>, Priestess of Apollo.</w:t>
      </w:r>
    </w:p>
    <w:p w14:paraId="0FE5F207" w14:textId="5EC3CAC7" w:rsidR="009A26FE" w:rsidRDefault="00CE3AAA" w:rsidP="003C7FD2">
      <w:pPr>
        <w:spacing w:line="480" w:lineRule="auto"/>
        <w:jc w:val="both"/>
      </w:pPr>
      <w:proofErr w:type="gramStart"/>
      <w:r>
        <w:t>In order to</w:t>
      </w:r>
      <w:proofErr w:type="gramEnd"/>
      <w:r>
        <w:t xml:space="preserve"> save face and to avoid unnecessary slight and conflict, Berenice’s daughter, Arsinoe </w:t>
      </w:r>
      <w:r w:rsidR="004B19E9">
        <w:t xml:space="preserve">the third </w:t>
      </w:r>
      <w:r>
        <w:t>attended the festival on her mother’s behalf</w:t>
      </w:r>
      <w:r w:rsidR="00967998">
        <w:t>.</w:t>
      </w:r>
    </w:p>
    <w:p w14:paraId="43DBCAF8" w14:textId="506546B9" w:rsidR="002851B9" w:rsidRDefault="002851B9" w:rsidP="003C7FD2">
      <w:pPr>
        <w:spacing w:line="480" w:lineRule="auto"/>
        <w:jc w:val="both"/>
        <w:rPr>
          <w:b/>
        </w:rPr>
      </w:pPr>
      <w:r>
        <w:t>Ptolemy IV was crowned successfully – it was a good celebration for everybody involved, and nicely honoured the late Ptolemy III.</w:t>
      </w:r>
    </w:p>
    <w:p w14:paraId="554E4766" w14:textId="3B124029" w:rsidR="002851B9" w:rsidRDefault="002851B9" w:rsidP="003C7FD2">
      <w:pPr>
        <w:spacing w:line="480" w:lineRule="auto"/>
        <w:jc w:val="both"/>
      </w:pPr>
      <w:r>
        <w:t xml:space="preserve">Berenice found herself back in Alexandria for </w:t>
      </w:r>
      <w:proofErr w:type="gramStart"/>
      <w:r>
        <w:t>a short time</w:t>
      </w:r>
      <w:proofErr w:type="gramEnd"/>
      <w:r>
        <w:t xml:space="preserve">; she attended the marriage between her daughter, Berenice III and the prince of </w:t>
      </w:r>
      <w:proofErr w:type="spellStart"/>
      <w:r>
        <w:t>Pergamon</w:t>
      </w:r>
      <w:proofErr w:type="spellEnd"/>
      <w:r>
        <w:t xml:space="preserve">. The marriage, although a surprise, was arranged </w:t>
      </w:r>
      <w:proofErr w:type="gramStart"/>
      <w:r>
        <w:t>in an attempt to</w:t>
      </w:r>
      <w:proofErr w:type="gramEnd"/>
      <w:r>
        <w:t xml:space="preserve"> strengthen the bonds between </w:t>
      </w:r>
      <w:proofErr w:type="spellStart"/>
      <w:r>
        <w:t>Pergamon</w:t>
      </w:r>
      <w:proofErr w:type="spellEnd"/>
      <w:r>
        <w:t xml:space="preserve"> and the Ptolemies.</w:t>
      </w:r>
      <w:r>
        <w:rPr>
          <w:b/>
        </w:rPr>
        <w:t xml:space="preserve"> </w:t>
      </w:r>
      <w:r>
        <w:t xml:space="preserve">Berenice II, however, did not trust the prince, and ensured that there was a proper contract and treaty drawn up. The </w:t>
      </w:r>
      <w:r>
        <w:lastRenderedPageBreak/>
        <w:t xml:space="preserve">document has unfortunately </w:t>
      </w:r>
      <w:r w:rsidR="0044134C">
        <w:t xml:space="preserve">since </w:t>
      </w:r>
      <w:r>
        <w:t>been lost (some scholars believe it was lost to the fire of the Library of Alexandria).</w:t>
      </w:r>
    </w:p>
    <w:p w14:paraId="2CD1E3A8" w14:textId="53F35880" w:rsidR="004872E0" w:rsidRDefault="003F48D9" w:rsidP="003C7FD2">
      <w:pPr>
        <w:spacing w:line="480" w:lineRule="auto"/>
        <w:jc w:val="both"/>
      </w:pPr>
      <w:r>
        <w:t xml:space="preserve">Back at </w:t>
      </w:r>
      <w:proofErr w:type="spellStart"/>
      <w:r>
        <w:t>Edfu</w:t>
      </w:r>
      <w:proofErr w:type="spellEnd"/>
      <w:r>
        <w:t>, Berenice plotted with Arsinoe III and the High Priestess of Alexandria to assassinate Ptolemy IV by way of crocodile cults</w:t>
      </w:r>
      <w:r w:rsidR="004872E0">
        <w:t>;</w:t>
      </w:r>
      <w:r w:rsidR="00D463DC">
        <w:rPr>
          <w:rStyle w:val="FootnoteReference"/>
        </w:rPr>
        <w:footnoteReference w:id="8"/>
      </w:r>
      <w:r w:rsidR="004872E0">
        <w:t xml:space="preserve"> ‘cults dedicated to a number of crocodile deities, all manifestations of the Egyptian crocodile god Sobek’</w:t>
      </w:r>
      <w:r w:rsidR="00342E70">
        <w:t>.</w:t>
      </w:r>
      <w:r w:rsidR="004872E0">
        <w:rPr>
          <w:rStyle w:val="FootnoteReference"/>
        </w:rPr>
        <w:footnoteReference w:id="9"/>
      </w:r>
      <w:r>
        <w:t xml:space="preserve"> Berenice and Arsinoe both were not inclined to trust Ptolemy IV, and suspected that if he had too much power he would eventually turn on them out of fear that he might be usurped</w:t>
      </w:r>
      <w:r w:rsidR="00D44D67">
        <w:t>.</w:t>
      </w:r>
      <w:r w:rsidR="00342E70">
        <w:rPr>
          <w:rStyle w:val="FootnoteReference"/>
        </w:rPr>
        <w:footnoteReference w:id="10"/>
      </w:r>
      <w:r w:rsidR="00342E70">
        <w:t xml:space="preserve"> </w:t>
      </w:r>
      <w:r>
        <w:t>The Priestess was in agreement, and she spoke on the behalf of the Alexandrian court.</w:t>
      </w:r>
    </w:p>
    <w:p w14:paraId="5419A4A1" w14:textId="19B607EB" w:rsidR="003F48D9" w:rsidRPr="003F48D9" w:rsidRDefault="003F48D9" w:rsidP="003C7FD2">
      <w:pPr>
        <w:spacing w:line="480" w:lineRule="auto"/>
        <w:jc w:val="both"/>
        <w:rPr>
          <w:b/>
        </w:rPr>
      </w:pPr>
      <w:r>
        <w:t xml:space="preserve">Together they planned that they would convince Ptolemy to involve himself with the cults in </w:t>
      </w:r>
      <w:proofErr w:type="spellStart"/>
      <w:r>
        <w:t>Crocodilopolis</w:t>
      </w:r>
      <w:proofErr w:type="spellEnd"/>
      <w:r w:rsidR="004872E0">
        <w:t xml:space="preserve">, ‘in the Fayum town of </w:t>
      </w:r>
      <w:proofErr w:type="spellStart"/>
      <w:r w:rsidR="004872E0">
        <w:t>Tebtunis</w:t>
      </w:r>
      <w:proofErr w:type="spellEnd"/>
      <w:r w:rsidR="004872E0">
        <w:t>’</w:t>
      </w:r>
      <w:r w:rsidR="004872E0">
        <w:rPr>
          <w:rStyle w:val="FootnoteReference"/>
        </w:rPr>
        <w:footnoteReference w:id="11"/>
      </w:r>
      <w:r>
        <w:t xml:space="preserve"> and would advise him that if he showed willingness and tolerance to the</w:t>
      </w:r>
      <w:r w:rsidR="004872E0">
        <w:t xml:space="preserve"> people to whom these gods belonged</w:t>
      </w:r>
      <w:r>
        <w:t>, that they were less likely to revolt against him.</w:t>
      </w:r>
      <w:r w:rsidR="004872E0">
        <w:t xml:space="preserve"> This was, in part, true: Berenice II was keen to ensure that her children maintain the excellent empire that their father had built, and she believed that a large part of that prosperous and peaceful empire was dependent on Egyptian rites, rituals, and deities, be preserved, encouraged, and celebrated.</w:t>
      </w:r>
    </w:p>
    <w:p w14:paraId="730B1897" w14:textId="2D43FCCC" w:rsidR="00B50ABD" w:rsidRDefault="003F48D9" w:rsidP="003C7FD2">
      <w:pPr>
        <w:spacing w:line="480" w:lineRule="auto"/>
        <w:jc w:val="both"/>
      </w:pPr>
      <w:r>
        <w:t xml:space="preserve">They also planned to attempt to get Berenice’s youngest daughter, Berenice III, and </w:t>
      </w:r>
      <w:proofErr w:type="spellStart"/>
      <w:r>
        <w:t>Coele</w:t>
      </w:r>
      <w:proofErr w:type="spellEnd"/>
      <w:r>
        <w:t>-Syria on board with the plan to ensure that there would be little to no backlash or revolt when Arsinoe III took the throne.</w:t>
      </w:r>
    </w:p>
    <w:p w14:paraId="2445EF2F" w14:textId="29F5A615" w:rsidR="003C7FD2" w:rsidRDefault="003C7FD2" w:rsidP="003C7FD2">
      <w:pPr>
        <w:spacing w:line="480" w:lineRule="auto"/>
        <w:jc w:val="both"/>
      </w:pPr>
    </w:p>
    <w:p w14:paraId="4FF13C75" w14:textId="74A9439F" w:rsidR="003C7FD2" w:rsidRDefault="003C7FD2" w:rsidP="003C7FD2">
      <w:pPr>
        <w:spacing w:line="480" w:lineRule="auto"/>
        <w:jc w:val="both"/>
      </w:pPr>
    </w:p>
    <w:p w14:paraId="1C9412EA" w14:textId="77777777" w:rsidR="003C7FD2" w:rsidRDefault="003C7FD2" w:rsidP="003C7FD2">
      <w:pPr>
        <w:spacing w:line="480" w:lineRule="auto"/>
        <w:jc w:val="both"/>
      </w:pPr>
    </w:p>
    <w:p w14:paraId="6065E11A" w14:textId="3F799131" w:rsidR="00B50ABD" w:rsidRDefault="00B50ABD" w:rsidP="003C7FD2">
      <w:pPr>
        <w:pBdr>
          <w:bottom w:val="single" w:sz="6" w:space="1" w:color="auto"/>
        </w:pBdr>
        <w:spacing w:line="480" w:lineRule="auto"/>
        <w:jc w:val="both"/>
      </w:pPr>
    </w:p>
    <w:p w14:paraId="753BA635" w14:textId="0C642FBA" w:rsidR="00B50ABD" w:rsidRDefault="00B50ABD" w:rsidP="003C7FD2">
      <w:pPr>
        <w:spacing w:line="480" w:lineRule="auto"/>
        <w:jc w:val="both"/>
      </w:pPr>
    </w:p>
    <w:p w14:paraId="7A879868" w14:textId="1C30F18C" w:rsidR="00B50ABD" w:rsidRDefault="00D44D67" w:rsidP="003C7FD2">
      <w:pPr>
        <w:spacing w:line="480" w:lineRule="auto"/>
        <w:jc w:val="both"/>
      </w:pPr>
      <w:r>
        <w:t xml:space="preserve">Berenice’s plan for the next few years was primarily to usurp or assassinate Ptolemy IV, cultivate and maintain good relationships between Alexandria, Memphis, and </w:t>
      </w:r>
      <w:proofErr w:type="spellStart"/>
      <w:r>
        <w:t>Edfu</w:t>
      </w:r>
      <w:proofErr w:type="spellEnd"/>
      <w:r>
        <w:t xml:space="preserve"> – but mostly she wanted to focus on building temples and immersing herself in protecting and preserving the </w:t>
      </w:r>
      <w:proofErr w:type="gramStart"/>
      <w:r>
        <w:t>different cultures</w:t>
      </w:r>
      <w:proofErr w:type="gramEnd"/>
      <w:r>
        <w:t xml:space="preserve"> around her. She involved herself heavily in building and renovating temples, and she expected that her son would be </w:t>
      </w:r>
      <w:proofErr w:type="gramStart"/>
      <w:r>
        <w:t>assassinated</w:t>
      </w:r>
      <w:proofErr w:type="gramEnd"/>
      <w:r>
        <w:t xml:space="preserve"> and her eldest daughter would ascend to the throne.</w:t>
      </w:r>
    </w:p>
    <w:p w14:paraId="02549F82" w14:textId="7F987618" w:rsidR="00543FF0" w:rsidRDefault="00D44D67" w:rsidP="003C7FD2">
      <w:pPr>
        <w:pBdr>
          <w:bottom w:val="single" w:sz="6" w:space="1" w:color="auto"/>
        </w:pBdr>
        <w:spacing w:line="480" w:lineRule="auto"/>
        <w:jc w:val="both"/>
      </w:pPr>
      <w:r>
        <w:t xml:space="preserve">It was important to her that this be the outcome, and she felt much more at ease </w:t>
      </w:r>
      <w:r w:rsidR="00647B35">
        <w:t>with the idea that Arsinoe might rule and keep the family safe in its position of influence.</w:t>
      </w:r>
      <w:r w:rsidR="00543FF0">
        <w:t xml:space="preserve"> However, her youngest daughter Berenice the third was successful in her independent attempts to assassinate her bother, Ptolemy IV. She then assassinated both Arsinoe III and </w:t>
      </w:r>
      <w:proofErr w:type="gramStart"/>
      <w:r w:rsidR="00543FF0">
        <w:t>Berenice II, and</w:t>
      </w:r>
      <w:proofErr w:type="gramEnd"/>
      <w:r w:rsidR="00543FF0">
        <w:t xml:space="preserve"> secured her place as Ptolemaic ruler</w:t>
      </w:r>
      <w:r w:rsidR="005A1F94">
        <w:t>.</w:t>
      </w:r>
    </w:p>
    <w:p w14:paraId="16F76E02" w14:textId="77777777" w:rsidR="003C7FD2" w:rsidRDefault="003C7FD2" w:rsidP="003C7FD2">
      <w:pPr>
        <w:pBdr>
          <w:bottom w:val="single" w:sz="6" w:space="1" w:color="auto"/>
        </w:pBdr>
        <w:spacing w:line="480" w:lineRule="auto"/>
        <w:jc w:val="both"/>
        <w:rPr>
          <w:b/>
        </w:rPr>
      </w:pPr>
    </w:p>
    <w:p w14:paraId="1BE01BD5" w14:textId="77777777" w:rsidR="003C7FD2" w:rsidRDefault="003C7FD2" w:rsidP="003C7FD2">
      <w:pPr>
        <w:spacing w:line="480" w:lineRule="auto"/>
        <w:jc w:val="both"/>
      </w:pPr>
    </w:p>
    <w:p w14:paraId="40267A02" w14:textId="4563AC91" w:rsidR="00543FF0" w:rsidRDefault="00543FF0" w:rsidP="003C7FD2">
      <w:pPr>
        <w:spacing w:line="480" w:lineRule="auto"/>
        <w:jc w:val="both"/>
      </w:pPr>
      <w:r>
        <w:t>With Berenice II dead, the focus switched to Ada of Bactria in 218 B.C., who shared similar views to Berenice: she was enthusiastic also about temples, the preserving of culture, and peace.</w:t>
      </w:r>
    </w:p>
    <w:p w14:paraId="07C2171C" w14:textId="20842A87" w:rsidR="005A1F94" w:rsidRDefault="005A1F94" w:rsidP="003C7FD2">
      <w:pPr>
        <w:spacing w:line="480" w:lineRule="auto"/>
        <w:jc w:val="both"/>
      </w:pPr>
      <w:r>
        <w:t>Bactria</w:t>
      </w:r>
      <w:r w:rsidR="00552ADE">
        <w:t>, known as the ‘pride of Iran’</w:t>
      </w:r>
      <w:r w:rsidR="00552ADE">
        <w:rPr>
          <w:rStyle w:val="FootnoteReference"/>
        </w:rPr>
        <w:footnoteReference w:id="12"/>
      </w:r>
      <w:r>
        <w:t xml:space="preserve"> was in a ‘position of unique importance in the Ancient World</w:t>
      </w:r>
      <w:r w:rsidR="00D82870">
        <w:t xml:space="preserve">. </w:t>
      </w:r>
      <w:r w:rsidR="00165A6A">
        <w:t>‘</w:t>
      </w:r>
      <w:r w:rsidR="00D82870">
        <w:t>It was the grand “clearing-house” of the world’s commerce’.</w:t>
      </w:r>
      <w:r w:rsidR="00D82870">
        <w:rPr>
          <w:rStyle w:val="FootnoteReference"/>
        </w:rPr>
        <w:footnoteReference w:id="13"/>
      </w:r>
    </w:p>
    <w:p w14:paraId="267722E7" w14:textId="47542D5C" w:rsidR="00082EB8" w:rsidRDefault="00543FF0" w:rsidP="003C7FD2">
      <w:pPr>
        <w:spacing w:line="480" w:lineRule="auto"/>
        <w:jc w:val="both"/>
      </w:pPr>
      <w:r>
        <w:t>The neighbouring empires of Media and Persia were both keen to focus on maintaining peace in their borders and the surrounding ones. Ada recognised this and spent time carefully building an alliance with Media and Persia</w:t>
      </w:r>
      <w:r w:rsidR="00D32326">
        <w:t xml:space="preserve"> and after a short while she was presented with the following agreement</w:t>
      </w:r>
      <w:r w:rsidR="00082EB8">
        <w:t>:</w:t>
      </w:r>
    </w:p>
    <w:p w14:paraId="6CB4AC5F" w14:textId="77777777" w:rsidR="00082EB8" w:rsidRDefault="00082EB8" w:rsidP="003C7FD2">
      <w:pPr>
        <w:spacing w:line="480" w:lineRule="auto"/>
        <w:ind w:left="720"/>
        <w:jc w:val="both"/>
        <w:rPr>
          <w:i/>
        </w:rPr>
      </w:pPr>
      <w:r>
        <w:rPr>
          <w:i/>
        </w:rPr>
        <w:lastRenderedPageBreak/>
        <w:t>Dear Ada of Bactria, the wise, fair, great and most generous of all Rulers above men,</w:t>
      </w:r>
    </w:p>
    <w:p w14:paraId="7B675E49" w14:textId="77777777" w:rsidR="00082EB8" w:rsidRDefault="00082EB8" w:rsidP="003C7FD2">
      <w:pPr>
        <w:spacing w:line="480" w:lineRule="auto"/>
        <w:ind w:left="720"/>
        <w:jc w:val="both"/>
        <w:rPr>
          <w:i/>
        </w:rPr>
      </w:pPr>
      <w:r>
        <w:rPr>
          <w:i/>
        </w:rPr>
        <w:t xml:space="preserve">After prior discussion regarding the diplomatic status between the kingdoms of Persia and Media and of Bactria we are pleased by your wise decision to </w:t>
      </w:r>
      <w:proofErr w:type="gramStart"/>
      <w:r>
        <w:rPr>
          <w:i/>
        </w:rPr>
        <w:t>enter into</w:t>
      </w:r>
      <w:proofErr w:type="gramEnd"/>
      <w:r>
        <w:rPr>
          <w:i/>
        </w:rPr>
        <w:t xml:space="preserve"> negotiations of a treaty with us. We therefore propose:</w:t>
      </w:r>
    </w:p>
    <w:p w14:paraId="64423422" w14:textId="77777777" w:rsidR="00082EB8" w:rsidRPr="00A7638D" w:rsidRDefault="00082EB8" w:rsidP="003C7FD2">
      <w:pPr>
        <w:pStyle w:val="ListParagraph"/>
        <w:numPr>
          <w:ilvl w:val="0"/>
          <w:numId w:val="1"/>
        </w:numPr>
        <w:spacing w:line="480" w:lineRule="auto"/>
        <w:jc w:val="both"/>
        <w:rPr>
          <w:i/>
        </w:rPr>
      </w:pPr>
      <w:r w:rsidRPr="00A7638D">
        <w:rPr>
          <w:i/>
        </w:rPr>
        <w:t>A non-aggression pact to be in existence between the kingdoms of Bactria and of Media and Persia</w:t>
      </w:r>
    </w:p>
    <w:p w14:paraId="39986FA6" w14:textId="77777777" w:rsidR="00D32326" w:rsidRPr="00A7638D" w:rsidRDefault="00082EB8" w:rsidP="003C7FD2">
      <w:pPr>
        <w:pStyle w:val="ListParagraph"/>
        <w:numPr>
          <w:ilvl w:val="0"/>
          <w:numId w:val="1"/>
        </w:numPr>
        <w:spacing w:line="480" w:lineRule="auto"/>
        <w:jc w:val="both"/>
        <w:rPr>
          <w:i/>
        </w:rPr>
      </w:pPr>
      <w:r w:rsidRPr="00A7638D">
        <w:rPr>
          <w:i/>
        </w:rPr>
        <w:t xml:space="preserve">That information </w:t>
      </w:r>
      <w:r w:rsidR="00D32326" w:rsidRPr="00A7638D">
        <w:rPr>
          <w:i/>
        </w:rPr>
        <w:t xml:space="preserve">sharing should take place and that we shall inform each other of any envoys from anywhere who are sent to either negotiate with Queen Ada or with </w:t>
      </w:r>
      <w:proofErr w:type="spellStart"/>
      <w:r w:rsidR="00D32326" w:rsidRPr="00A7638D">
        <w:rPr>
          <w:i/>
        </w:rPr>
        <w:t>Arteunisia</w:t>
      </w:r>
      <w:proofErr w:type="spellEnd"/>
      <w:r w:rsidR="00D32326" w:rsidRPr="00A7638D">
        <w:rPr>
          <w:i/>
        </w:rPr>
        <w:t xml:space="preserve"> of Persia and Media, thereby ensuring loyalty between our two regions!</w:t>
      </w:r>
    </w:p>
    <w:p w14:paraId="7193D634" w14:textId="77777777" w:rsidR="00D32326" w:rsidRPr="00A7638D" w:rsidRDefault="00D32326" w:rsidP="003C7FD2">
      <w:pPr>
        <w:pStyle w:val="ListParagraph"/>
        <w:numPr>
          <w:ilvl w:val="0"/>
          <w:numId w:val="1"/>
        </w:numPr>
        <w:spacing w:line="480" w:lineRule="auto"/>
        <w:jc w:val="both"/>
        <w:rPr>
          <w:i/>
        </w:rPr>
      </w:pPr>
      <w:r w:rsidRPr="00A7638D">
        <w:rPr>
          <w:i/>
        </w:rPr>
        <w:t xml:space="preserve">At a later point in time we feel it would also be beneficial to create some trade agreements between our most glorious nations. </w:t>
      </w:r>
    </w:p>
    <w:p w14:paraId="4C3A6412" w14:textId="6FF48470" w:rsidR="00543FF0" w:rsidRPr="00082EB8" w:rsidRDefault="00D32326" w:rsidP="003C7FD2">
      <w:pPr>
        <w:spacing w:line="480" w:lineRule="auto"/>
        <w:ind w:left="720"/>
        <w:jc w:val="both"/>
        <w:rPr>
          <w:i/>
        </w:rPr>
      </w:pPr>
      <w:proofErr w:type="spellStart"/>
      <w:r>
        <w:rPr>
          <w:i/>
        </w:rPr>
        <w:t>Amitis</w:t>
      </w:r>
      <w:proofErr w:type="spellEnd"/>
      <w:r>
        <w:rPr>
          <w:i/>
        </w:rPr>
        <w:t xml:space="preserve"> advisor and humble servant of </w:t>
      </w:r>
      <w:proofErr w:type="spellStart"/>
      <w:r>
        <w:rPr>
          <w:i/>
        </w:rPr>
        <w:t>Arteunisia</w:t>
      </w:r>
      <w:proofErr w:type="spellEnd"/>
      <w:r>
        <w:rPr>
          <w:i/>
        </w:rPr>
        <w:t xml:space="preserve"> of Persia and Media writing on her most excellent and beneficious behalf.</w:t>
      </w:r>
      <w:r w:rsidR="00082EB8">
        <w:t xml:space="preserve"> </w:t>
      </w:r>
    </w:p>
    <w:p w14:paraId="47095376" w14:textId="2B52BEA2" w:rsidR="00C0472A" w:rsidRDefault="00D018BE" w:rsidP="003C7FD2">
      <w:pPr>
        <w:spacing w:line="480" w:lineRule="auto"/>
        <w:jc w:val="both"/>
      </w:pPr>
      <w:r>
        <w:t>Artistic</w:t>
      </w:r>
      <w:r w:rsidR="00D44D67">
        <w:t xml:space="preserve"> and creative</w:t>
      </w:r>
      <w:r>
        <w:t xml:space="preserve"> liberties were </w:t>
      </w:r>
      <w:proofErr w:type="gramStart"/>
      <w:r>
        <w:t>taken</w:t>
      </w:r>
      <w:proofErr w:type="gramEnd"/>
      <w:r>
        <w:t xml:space="preserve"> and </w:t>
      </w:r>
      <w:r w:rsidR="00CF4175">
        <w:t>Queen Ada of Bactria married</w:t>
      </w:r>
      <w:r w:rsidR="00A7638D">
        <w:t xml:space="preserve"> her closest advisor, who became</w:t>
      </w:r>
      <w:r w:rsidR="00CF4175">
        <w:t xml:space="preserve"> Princess Alexandra of Bactria and together they ruled in a time of peace and prosperity.</w:t>
      </w:r>
    </w:p>
    <w:p w14:paraId="4C75EC44" w14:textId="5DB6E138" w:rsidR="00D82870" w:rsidRDefault="00A7638D" w:rsidP="003C7FD2">
      <w:pPr>
        <w:spacing w:line="480" w:lineRule="auto"/>
        <w:jc w:val="both"/>
      </w:pPr>
      <w:r>
        <w:t>They decided to take Media and Persia up on their suggestion of assembling a trade agreement (the document has unfortunately also been lost)</w:t>
      </w:r>
      <w:r w:rsidR="00C93B8A">
        <w:t xml:space="preserve">, but </w:t>
      </w:r>
      <w:r w:rsidR="005A1F94">
        <w:t>between them, they</w:t>
      </w:r>
      <w:r w:rsidR="00C93B8A">
        <w:t xml:space="preserve"> </w:t>
      </w:r>
      <w:r w:rsidR="005A1F94">
        <w:t>agre</w:t>
      </w:r>
      <w:r w:rsidR="00C93B8A">
        <w:t>ed that Ada and Alexandra would grant Media and Persia access to their trade routes in India</w:t>
      </w:r>
      <w:r w:rsidR="005A1F94">
        <w:t xml:space="preserve"> for silk, and pistachios</w:t>
      </w:r>
      <w:r w:rsidR="00C93B8A">
        <w:t>,</w:t>
      </w:r>
      <w:r w:rsidR="00C93B8A">
        <w:rPr>
          <w:b/>
        </w:rPr>
        <w:t xml:space="preserve"> </w:t>
      </w:r>
      <w:r w:rsidR="00C93B8A">
        <w:t xml:space="preserve">and give to them </w:t>
      </w:r>
      <w:r w:rsidR="005A1F94">
        <w:t xml:space="preserve">two hundred </w:t>
      </w:r>
      <w:r w:rsidR="00C93B8A">
        <w:t>defence elephants that they could use to defend their borders, and to assist the defence of Bactria’s borders if the need ever arose.</w:t>
      </w:r>
    </w:p>
    <w:p w14:paraId="20682665" w14:textId="6E8C2EEF" w:rsidR="00A7638D" w:rsidRDefault="00D82870" w:rsidP="003C7FD2">
      <w:pPr>
        <w:spacing w:line="480" w:lineRule="auto"/>
        <w:jc w:val="both"/>
      </w:pPr>
      <w:r>
        <w:t>The access to the trade routes that Bactria</w:t>
      </w:r>
      <w:r w:rsidR="00552ADE">
        <w:t xml:space="preserve"> was particularly important for Media and Persia, as ‘the three roads which met at Bactria brought together caravans from the Khyber, from China, and from the great trade-route which linked up Asia with Europe’.</w:t>
      </w:r>
      <w:r w:rsidR="00552ADE">
        <w:rPr>
          <w:rStyle w:val="FootnoteReference"/>
        </w:rPr>
        <w:footnoteReference w:id="14"/>
      </w:r>
      <w:r w:rsidR="00C93B8A">
        <w:t xml:space="preserve"> In return, Media and Persia sent fifty </w:t>
      </w:r>
      <w:r w:rsidR="00C93B8A">
        <w:lastRenderedPageBreak/>
        <w:t>thousand men and fifty elephants to Bactria for war games and additional defence.</w:t>
      </w:r>
      <w:r w:rsidR="005A1F94">
        <w:t xml:space="preserve"> They also sent </w:t>
      </w:r>
      <w:r w:rsidR="005A1F94">
        <w:t>twenty learned men to set up an irrigation system in Bactria</w:t>
      </w:r>
      <w:r w:rsidR="005A1F94">
        <w:t>, as well as resources that would assist with the growth of their agricultural industry</w:t>
      </w:r>
      <w:r w:rsidR="00552ADE">
        <w:t xml:space="preserve"> to complement their ‘immensely fertile’ land.</w:t>
      </w:r>
      <w:r w:rsidR="00552ADE">
        <w:rPr>
          <w:rStyle w:val="FootnoteReference"/>
        </w:rPr>
        <w:footnoteReference w:id="15"/>
      </w:r>
    </w:p>
    <w:p w14:paraId="2D13E9B0" w14:textId="3C2B57D7" w:rsidR="00C93B8A" w:rsidRDefault="00C93B8A" w:rsidP="003C7FD2">
      <w:pPr>
        <w:pBdr>
          <w:bottom w:val="single" w:sz="6" w:space="1" w:color="auto"/>
        </w:pBdr>
        <w:spacing w:line="480" w:lineRule="auto"/>
        <w:jc w:val="both"/>
      </w:pPr>
      <w:r>
        <w:t>The main outcome from the peace treaty and the trade agreement was to achieve complete trust, loyalty, and solidarity, so that if either nation needed help, there would be immediate backup at their disposal.</w:t>
      </w:r>
    </w:p>
    <w:p w14:paraId="65D5A29A" w14:textId="77777777" w:rsidR="003E1EEC" w:rsidRPr="00C93B8A" w:rsidRDefault="003E1EEC" w:rsidP="003C7FD2">
      <w:pPr>
        <w:pBdr>
          <w:bottom w:val="single" w:sz="6" w:space="1" w:color="auto"/>
        </w:pBdr>
        <w:spacing w:line="480" w:lineRule="auto"/>
        <w:jc w:val="both"/>
      </w:pPr>
    </w:p>
    <w:p w14:paraId="47344AEE" w14:textId="77777777" w:rsidR="003E1EEC" w:rsidRDefault="003E1EEC" w:rsidP="003C7FD2">
      <w:pPr>
        <w:spacing w:line="480" w:lineRule="auto"/>
        <w:jc w:val="both"/>
      </w:pPr>
    </w:p>
    <w:p w14:paraId="1B67D45D" w14:textId="77777777" w:rsidR="003E1EEC" w:rsidRDefault="003E1EEC" w:rsidP="003C7FD2">
      <w:pPr>
        <w:spacing w:line="480" w:lineRule="auto"/>
        <w:jc w:val="both"/>
      </w:pPr>
      <w:r>
        <w:t>In 215 B.C., Queen Ada was made aware by the King of Parthia that his army that was advancing to the north of her borders posed her no threat. He proposed a sketchy trade deal – he asked her to trade him horses and sheep in return for money, but she did not trust him as she had heard from another ally that the Parthian king was intending to invade her.</w:t>
      </w:r>
    </w:p>
    <w:p w14:paraId="2C0ECA5A" w14:textId="77777777" w:rsidR="003E1EEC" w:rsidRDefault="003E1EEC" w:rsidP="003C7FD2">
      <w:pPr>
        <w:spacing w:line="480" w:lineRule="auto"/>
        <w:jc w:val="both"/>
      </w:pPr>
      <w:r>
        <w:t>She therefore called an emergency council with Media and Persia, who immediately rallied their troops and had them on standby to defend our lands from such cowardly colonists.</w:t>
      </w:r>
    </w:p>
    <w:p w14:paraId="3575E5B7" w14:textId="77777777" w:rsidR="00793BD4" w:rsidRDefault="003E1EEC" w:rsidP="003C7FD2">
      <w:pPr>
        <w:spacing w:line="480" w:lineRule="auto"/>
        <w:jc w:val="both"/>
      </w:pPr>
      <w:r>
        <w:t xml:space="preserve">At the time, Bactria had </w:t>
      </w:r>
      <w:proofErr w:type="gramStart"/>
      <w:r>
        <w:t>twenty two</w:t>
      </w:r>
      <w:proofErr w:type="gramEnd"/>
      <w:r>
        <w:t xml:space="preserve"> thousand men, ten-thousand cavalry including Cataphract cavalry at three to four-thousand, ten-thousand Greek infantry, and two-thousand Greek cavalry.</w:t>
      </w:r>
      <w:r>
        <w:rPr>
          <w:rStyle w:val="FootnoteReference"/>
        </w:rPr>
        <w:footnoteReference w:id="16"/>
      </w:r>
      <w:r>
        <w:t xml:space="preserve"> The plan was to fight a guerrilla battle with the reinforcements from Media and Persia. Bactria was much better armed than Parthia was, and it is believed that Bactria, Media, and Persia would have won, had Queen Ada not been called away on urgent business elsewhere.</w:t>
      </w:r>
    </w:p>
    <w:p w14:paraId="5F9A012E" w14:textId="52D4CA49" w:rsidR="00C0472A" w:rsidRDefault="00793BD4" w:rsidP="003C7FD2">
      <w:pPr>
        <w:spacing w:line="480" w:lineRule="auto"/>
        <w:jc w:val="both"/>
      </w:pPr>
      <w:r>
        <w:t>However, despite the loss in Bactria, the invasion by Parthia proved that the alliance between Bactria, Media, and Persia was solid.</w:t>
      </w:r>
      <w:r w:rsidR="00C0472A">
        <w:br w:type="page"/>
      </w:r>
    </w:p>
    <w:p w14:paraId="2CCC1239" w14:textId="7DA2914E" w:rsidR="00D018BE" w:rsidRDefault="00C0472A" w:rsidP="00647B35">
      <w:pPr>
        <w:pStyle w:val="Heading1"/>
      </w:pPr>
      <w:r>
        <w:lastRenderedPageBreak/>
        <w:t>Bibliography</w:t>
      </w:r>
    </w:p>
    <w:p w14:paraId="60AD4988" w14:textId="72EACB55" w:rsidR="00647B35" w:rsidRDefault="00647B35" w:rsidP="00647B35"/>
    <w:p w14:paraId="34876F6B" w14:textId="770FEB62" w:rsidR="00647B35" w:rsidRPr="00647B35" w:rsidRDefault="00647B35" w:rsidP="00647B35">
      <w:pPr>
        <w:pStyle w:val="Heading2"/>
      </w:pPr>
      <w:r>
        <w:t>Ancient:</w:t>
      </w:r>
    </w:p>
    <w:p w14:paraId="301F520D" w14:textId="09134ACA" w:rsidR="00C0472A" w:rsidRDefault="00C0472A">
      <w:r>
        <w:t xml:space="preserve">Strabo, </w:t>
      </w:r>
      <w:r>
        <w:rPr>
          <w:i/>
        </w:rPr>
        <w:t xml:space="preserve">The Geography of Strabo. </w:t>
      </w:r>
      <w:r w:rsidRPr="00C0472A">
        <w:t>H. C. Hamilton (trans.), W. Falconer (trans.). 1903. London: George Bell &amp; Sons.</w:t>
      </w:r>
    </w:p>
    <w:p w14:paraId="4428D550" w14:textId="0AECE084" w:rsidR="00647B35" w:rsidRDefault="00647B35" w:rsidP="00647B35">
      <w:pPr>
        <w:pStyle w:val="Heading2"/>
      </w:pPr>
      <w:r>
        <w:t>Modern:</w:t>
      </w:r>
    </w:p>
    <w:p w14:paraId="311FA58E" w14:textId="0DAE9854" w:rsidR="00DC0D8F" w:rsidRDefault="00DC0D8F" w:rsidP="00DC0D8F">
      <w:pPr>
        <w:spacing w:line="240" w:lineRule="auto"/>
        <w:jc w:val="both"/>
      </w:pPr>
      <w:r>
        <w:t xml:space="preserve">Clayman, Dee. L. 2014. </w:t>
      </w:r>
      <w:r>
        <w:rPr>
          <w:i/>
        </w:rPr>
        <w:t xml:space="preserve">Berenice II and the Golden Age of Ptolemaic Egypt. </w:t>
      </w:r>
      <w:r>
        <w:t>Oxford University Press: Oxford.</w:t>
      </w:r>
    </w:p>
    <w:p w14:paraId="13357B91" w14:textId="00F4AEFD" w:rsidR="00DC0D8F" w:rsidRPr="00DC0D8F" w:rsidRDefault="00DC0D8F">
      <w:r>
        <w:t xml:space="preserve">Johnson, C.G. 1999. The Divinization of the Ptolemies and the Gold </w:t>
      </w:r>
      <w:proofErr w:type="spellStart"/>
      <w:r>
        <w:t>Octadrachms</w:t>
      </w:r>
      <w:proofErr w:type="spellEnd"/>
      <w:r>
        <w:t xml:space="preserve"> </w:t>
      </w:r>
      <w:proofErr w:type="spellStart"/>
      <w:r>
        <w:t>Honoring</w:t>
      </w:r>
      <w:proofErr w:type="spellEnd"/>
      <w:r>
        <w:t xml:space="preserve"> Ptolemy III. </w:t>
      </w:r>
      <w:r>
        <w:rPr>
          <w:i/>
        </w:rPr>
        <w:t xml:space="preserve">Phoenix, </w:t>
      </w:r>
      <w:r>
        <w:t>Vol 53, Issue ½. Classical Association of Canada.</w:t>
      </w:r>
    </w:p>
    <w:p w14:paraId="3B633BDA" w14:textId="7AEA0299" w:rsidR="00C0472A" w:rsidRDefault="00C0472A">
      <w:proofErr w:type="spellStart"/>
      <w:r>
        <w:t>Molcho</w:t>
      </w:r>
      <w:proofErr w:type="spellEnd"/>
      <w:r>
        <w:t xml:space="preserve">, M. 2014. Breeding in the Crocodile Cults of the Graeco-Roman Fayum. </w:t>
      </w:r>
      <w:r>
        <w:rPr>
          <w:i/>
        </w:rPr>
        <w:t xml:space="preserve">The Journal of Egyptian Archaeology. </w:t>
      </w:r>
      <w:r>
        <w:t>Sage Publications, Ltd.</w:t>
      </w:r>
    </w:p>
    <w:p w14:paraId="7E72A3E2" w14:textId="38941D30" w:rsidR="003E1EEC" w:rsidRDefault="003E1EEC">
      <w:proofErr w:type="spellStart"/>
      <w:r>
        <w:t>Nikonorov</w:t>
      </w:r>
      <w:proofErr w:type="spellEnd"/>
      <w:r>
        <w:t xml:space="preserve">, V.P. </w:t>
      </w:r>
      <w:r w:rsidR="00793BD4">
        <w:t xml:space="preserve">1997. The Armies of Bactria 700 BC – 450 AD. </w:t>
      </w:r>
      <w:proofErr w:type="spellStart"/>
      <w:r w:rsidR="00793BD4">
        <w:t>Montvert</w:t>
      </w:r>
      <w:proofErr w:type="spellEnd"/>
      <w:r w:rsidR="00793BD4">
        <w:t xml:space="preserve"> Publications</w:t>
      </w:r>
    </w:p>
    <w:p w14:paraId="241B1A29" w14:textId="207F1153" w:rsidR="00342E70" w:rsidRDefault="00342E70" w:rsidP="00342E70">
      <w:pPr>
        <w:spacing w:line="240" w:lineRule="auto"/>
        <w:jc w:val="both"/>
      </w:pPr>
      <w:r>
        <w:t xml:space="preserve">Pomeroy, S. B. 1990. </w:t>
      </w:r>
      <w:r>
        <w:rPr>
          <w:i/>
        </w:rPr>
        <w:t xml:space="preserve">Women in Hellenistic Egypt From Alexander to Cleopatra. </w:t>
      </w:r>
      <w:r>
        <w:t>Wayne State University Press: Detroit, Michigan.</w:t>
      </w:r>
    </w:p>
    <w:p w14:paraId="45C86083" w14:textId="5CE29973" w:rsidR="00D82870" w:rsidRPr="00D82870" w:rsidRDefault="00D82870" w:rsidP="00342E70">
      <w:pPr>
        <w:spacing w:line="240" w:lineRule="auto"/>
        <w:jc w:val="both"/>
      </w:pPr>
      <w:r>
        <w:t xml:space="preserve">Rawlinson, H.G. 1909. </w:t>
      </w:r>
      <w:r>
        <w:rPr>
          <w:i/>
        </w:rPr>
        <w:t xml:space="preserve">Bactria From the Earliest Times to the Extinction of </w:t>
      </w:r>
      <w:proofErr w:type="spellStart"/>
      <w:r>
        <w:rPr>
          <w:i/>
        </w:rPr>
        <w:t>Bactrio</w:t>
      </w:r>
      <w:proofErr w:type="spellEnd"/>
      <w:r>
        <w:rPr>
          <w:i/>
        </w:rPr>
        <w:t xml:space="preserve">-Greek Rule in the Punjab. </w:t>
      </w:r>
    </w:p>
    <w:p w14:paraId="13DB10D7" w14:textId="1FB70111" w:rsidR="00C0472A" w:rsidRDefault="00C0472A">
      <w:r>
        <w:t>Wilson, H. 2017. Performers of the Rituals</w:t>
      </w:r>
      <w:r w:rsidR="00022958">
        <w:t xml:space="preserve">. </w:t>
      </w:r>
      <w:r w:rsidR="00022958">
        <w:rPr>
          <w:i/>
        </w:rPr>
        <w:t xml:space="preserve">Ancient Egypt Magazine, </w:t>
      </w:r>
      <w:r w:rsidR="00022958">
        <w:t>Vol 18 Issue 1.</w:t>
      </w:r>
    </w:p>
    <w:p w14:paraId="4AB0BBD2" w14:textId="2850B906" w:rsidR="00E21B35" w:rsidRPr="00E21B35" w:rsidRDefault="00E21B35">
      <w:proofErr w:type="spellStart"/>
      <w:r>
        <w:t>Venit</w:t>
      </w:r>
      <w:proofErr w:type="spellEnd"/>
      <w:r>
        <w:t xml:space="preserve">, M.S. 1997. The Tomb from </w:t>
      </w:r>
      <w:proofErr w:type="spellStart"/>
      <w:r>
        <w:t>Tigrane</w:t>
      </w:r>
      <w:proofErr w:type="spellEnd"/>
      <w:r>
        <w:t xml:space="preserve"> Pasha Street and the Iconography of Death in Roman Alexandria. </w:t>
      </w:r>
      <w:r>
        <w:rPr>
          <w:i/>
        </w:rPr>
        <w:t>American Journal of Archaeology</w:t>
      </w:r>
      <w:r>
        <w:t>, Vol 101, Issue 4</w:t>
      </w:r>
      <w:r>
        <w:rPr>
          <w:i/>
        </w:rPr>
        <w:t xml:space="preserve">. </w:t>
      </w:r>
      <w:r>
        <w:t>Archaeological Institute of America.</w:t>
      </w:r>
    </w:p>
    <w:sectPr w:rsidR="00E21B35" w:rsidRPr="00E21B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C09E3" w14:textId="77777777" w:rsidR="004C6906" w:rsidRDefault="004C6906" w:rsidP="002851B9">
      <w:pPr>
        <w:spacing w:after="0" w:line="240" w:lineRule="auto"/>
      </w:pPr>
      <w:r>
        <w:separator/>
      </w:r>
    </w:p>
  </w:endnote>
  <w:endnote w:type="continuationSeparator" w:id="0">
    <w:p w14:paraId="2D6CDFCF" w14:textId="77777777" w:rsidR="004C6906" w:rsidRDefault="004C6906" w:rsidP="00285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AC573" w14:textId="77777777" w:rsidR="004C6906" w:rsidRDefault="004C6906" w:rsidP="002851B9">
      <w:pPr>
        <w:spacing w:after="0" w:line="240" w:lineRule="auto"/>
      </w:pPr>
      <w:r>
        <w:separator/>
      </w:r>
    </w:p>
  </w:footnote>
  <w:footnote w:type="continuationSeparator" w:id="0">
    <w:p w14:paraId="1E03BA73" w14:textId="77777777" w:rsidR="004C6906" w:rsidRDefault="004C6906" w:rsidP="002851B9">
      <w:pPr>
        <w:spacing w:after="0" w:line="240" w:lineRule="auto"/>
      </w:pPr>
      <w:r>
        <w:continuationSeparator/>
      </w:r>
    </w:p>
  </w:footnote>
  <w:footnote w:id="1">
    <w:p w14:paraId="6F26FABA" w14:textId="077270E2" w:rsidR="00DC0D8F" w:rsidRDefault="00DC0D8F">
      <w:pPr>
        <w:pStyle w:val="FootnoteText"/>
      </w:pPr>
      <w:r>
        <w:rPr>
          <w:rStyle w:val="FootnoteReference"/>
        </w:rPr>
        <w:footnoteRef/>
      </w:r>
      <w:r>
        <w:t xml:space="preserve"> Clayman 2014: 6</w:t>
      </w:r>
    </w:p>
  </w:footnote>
  <w:footnote w:id="2">
    <w:p w14:paraId="1DC57993" w14:textId="2C1DB5FB" w:rsidR="006B4F50" w:rsidRDefault="006B4F50">
      <w:pPr>
        <w:pStyle w:val="FootnoteText"/>
      </w:pPr>
      <w:r>
        <w:rPr>
          <w:rStyle w:val="FootnoteReference"/>
        </w:rPr>
        <w:footnoteRef/>
      </w:r>
      <w:r>
        <w:t xml:space="preserve"> Wilson 2017, </w:t>
      </w:r>
      <w:proofErr w:type="spellStart"/>
      <w:r>
        <w:t>Venit</w:t>
      </w:r>
      <w:proofErr w:type="spellEnd"/>
      <w:r>
        <w:t xml:space="preserve"> 1997</w:t>
      </w:r>
      <w:r w:rsidR="00DC0D8F">
        <w:t>, Johnson 1999: 50</w:t>
      </w:r>
    </w:p>
  </w:footnote>
  <w:footnote w:id="3">
    <w:p w14:paraId="4FBD0AE2" w14:textId="4C613D62" w:rsidR="004D69E5" w:rsidRDefault="004D69E5">
      <w:pPr>
        <w:pStyle w:val="FootnoteText"/>
      </w:pPr>
      <w:r>
        <w:rPr>
          <w:rStyle w:val="FootnoteReference"/>
        </w:rPr>
        <w:footnoteRef/>
      </w:r>
      <w:r>
        <w:t xml:space="preserve"> Clayman 2014: 6</w:t>
      </w:r>
    </w:p>
  </w:footnote>
  <w:footnote w:id="4">
    <w:p w14:paraId="6AAB9DD2" w14:textId="19B8C4EF" w:rsidR="004D69E5" w:rsidRDefault="004D69E5">
      <w:pPr>
        <w:pStyle w:val="FootnoteText"/>
      </w:pPr>
      <w:r>
        <w:rPr>
          <w:rStyle w:val="FootnoteReference"/>
        </w:rPr>
        <w:footnoteRef/>
      </w:r>
      <w:r>
        <w:t xml:space="preserve"> Clayman 2014</w:t>
      </w:r>
    </w:p>
  </w:footnote>
  <w:footnote w:id="5">
    <w:p w14:paraId="54EC2D93" w14:textId="46FD27CC" w:rsidR="00FA077F" w:rsidRDefault="00FA077F">
      <w:pPr>
        <w:pStyle w:val="FootnoteText"/>
      </w:pPr>
      <w:r>
        <w:rPr>
          <w:rStyle w:val="FootnoteReference"/>
        </w:rPr>
        <w:footnoteRef/>
      </w:r>
      <w:r>
        <w:t xml:space="preserve"> Wilson 2017</w:t>
      </w:r>
    </w:p>
  </w:footnote>
  <w:footnote w:id="6">
    <w:p w14:paraId="02290D6D" w14:textId="74F5C71F" w:rsidR="002851B9" w:rsidRDefault="002851B9">
      <w:pPr>
        <w:pStyle w:val="FootnoteText"/>
      </w:pPr>
      <w:r>
        <w:rPr>
          <w:rStyle w:val="FootnoteReference"/>
        </w:rPr>
        <w:footnoteRef/>
      </w:r>
      <w:r>
        <w:t xml:space="preserve"> Wilson</w:t>
      </w:r>
      <w:r w:rsidR="003F48D9">
        <w:t xml:space="preserve"> 2017: 57</w:t>
      </w:r>
    </w:p>
  </w:footnote>
  <w:footnote w:id="7">
    <w:p w14:paraId="40D455D1" w14:textId="4841D429" w:rsidR="00342E70" w:rsidRDefault="00342E70">
      <w:pPr>
        <w:pStyle w:val="FootnoteText"/>
      </w:pPr>
      <w:r>
        <w:rPr>
          <w:rStyle w:val="FootnoteReference"/>
        </w:rPr>
        <w:footnoteRef/>
      </w:r>
      <w:r>
        <w:t xml:space="preserve"> Clayman 2014: 159</w:t>
      </w:r>
    </w:p>
  </w:footnote>
  <w:footnote w:id="8">
    <w:p w14:paraId="5627F410" w14:textId="6DBEE153" w:rsidR="00D463DC" w:rsidRDefault="00D463DC">
      <w:pPr>
        <w:pStyle w:val="FootnoteText"/>
      </w:pPr>
      <w:r>
        <w:rPr>
          <w:rStyle w:val="FootnoteReference"/>
        </w:rPr>
        <w:footnoteRef/>
      </w:r>
      <w:r>
        <w:t xml:space="preserve"> </w:t>
      </w:r>
      <w:proofErr w:type="spellStart"/>
      <w:r w:rsidR="00C0472A" w:rsidRPr="00C0472A">
        <w:t>Strab</w:t>
      </w:r>
      <w:proofErr w:type="spellEnd"/>
      <w:r w:rsidR="00C0472A" w:rsidRPr="00C0472A">
        <w:t>. 17.1.38</w:t>
      </w:r>
    </w:p>
  </w:footnote>
  <w:footnote w:id="9">
    <w:p w14:paraId="5C4E04A0" w14:textId="2BBFB4FA" w:rsidR="004872E0" w:rsidRDefault="004872E0">
      <w:pPr>
        <w:pStyle w:val="FootnoteText"/>
      </w:pPr>
      <w:r>
        <w:rPr>
          <w:rStyle w:val="FootnoteReference"/>
        </w:rPr>
        <w:footnoteRef/>
      </w:r>
      <w:r>
        <w:t xml:space="preserve"> </w:t>
      </w:r>
      <w:proofErr w:type="spellStart"/>
      <w:r>
        <w:t>Molcho</w:t>
      </w:r>
      <w:proofErr w:type="spellEnd"/>
      <w:r>
        <w:t xml:space="preserve"> 2014: 181</w:t>
      </w:r>
    </w:p>
  </w:footnote>
  <w:footnote w:id="10">
    <w:p w14:paraId="1C24C29D" w14:textId="0F7DDAB0" w:rsidR="00342E70" w:rsidRDefault="00342E70">
      <w:pPr>
        <w:pStyle w:val="FootnoteText"/>
      </w:pPr>
      <w:r>
        <w:rPr>
          <w:rStyle w:val="FootnoteReference"/>
        </w:rPr>
        <w:footnoteRef/>
      </w:r>
      <w:r>
        <w:t xml:space="preserve"> Pomeroy 1990: 23</w:t>
      </w:r>
    </w:p>
  </w:footnote>
  <w:footnote w:id="11">
    <w:p w14:paraId="796D08AB" w14:textId="23A47420" w:rsidR="004872E0" w:rsidRDefault="004872E0">
      <w:pPr>
        <w:pStyle w:val="FootnoteText"/>
      </w:pPr>
      <w:r>
        <w:rPr>
          <w:rStyle w:val="FootnoteReference"/>
        </w:rPr>
        <w:footnoteRef/>
      </w:r>
      <w:r>
        <w:t xml:space="preserve"> </w:t>
      </w:r>
      <w:proofErr w:type="spellStart"/>
      <w:r>
        <w:t>Molcho</w:t>
      </w:r>
      <w:proofErr w:type="spellEnd"/>
      <w:r>
        <w:t xml:space="preserve"> 2014: 181</w:t>
      </w:r>
    </w:p>
  </w:footnote>
  <w:footnote w:id="12">
    <w:p w14:paraId="4E956B0B" w14:textId="05A2AA2A" w:rsidR="00552ADE" w:rsidRDefault="00552ADE">
      <w:pPr>
        <w:pStyle w:val="FootnoteText"/>
      </w:pPr>
      <w:r>
        <w:rPr>
          <w:rStyle w:val="FootnoteReference"/>
        </w:rPr>
        <w:footnoteRef/>
      </w:r>
      <w:r>
        <w:t xml:space="preserve"> Rawlinson 1909: iii</w:t>
      </w:r>
    </w:p>
  </w:footnote>
  <w:footnote w:id="13">
    <w:p w14:paraId="7451D18A" w14:textId="565DA207" w:rsidR="00D82870" w:rsidRDefault="00D82870">
      <w:pPr>
        <w:pStyle w:val="FootnoteText"/>
      </w:pPr>
      <w:r>
        <w:rPr>
          <w:rStyle w:val="FootnoteReference"/>
        </w:rPr>
        <w:footnoteRef/>
      </w:r>
      <w:r>
        <w:t xml:space="preserve"> Rawlinson 1909: iii</w:t>
      </w:r>
    </w:p>
  </w:footnote>
  <w:footnote w:id="14">
    <w:p w14:paraId="59EBCDAE" w14:textId="2A6BCEB6" w:rsidR="00552ADE" w:rsidRDefault="00552ADE">
      <w:pPr>
        <w:pStyle w:val="FootnoteText"/>
      </w:pPr>
      <w:r>
        <w:rPr>
          <w:rStyle w:val="FootnoteReference"/>
        </w:rPr>
        <w:footnoteRef/>
      </w:r>
      <w:r>
        <w:t xml:space="preserve"> Rawlinson 1909: iii</w:t>
      </w:r>
    </w:p>
  </w:footnote>
  <w:footnote w:id="15">
    <w:p w14:paraId="12F176FF" w14:textId="1061A873" w:rsidR="00552ADE" w:rsidRDefault="00552ADE">
      <w:pPr>
        <w:pStyle w:val="FootnoteText"/>
      </w:pPr>
      <w:r>
        <w:rPr>
          <w:rStyle w:val="FootnoteReference"/>
        </w:rPr>
        <w:footnoteRef/>
      </w:r>
      <w:r>
        <w:t xml:space="preserve"> Rawlinson 1909: iii</w:t>
      </w:r>
    </w:p>
  </w:footnote>
  <w:footnote w:id="16">
    <w:p w14:paraId="42F9C94F" w14:textId="1FB7794E" w:rsidR="003E1EEC" w:rsidRDefault="003E1EEC">
      <w:pPr>
        <w:pStyle w:val="FootnoteText"/>
      </w:pPr>
      <w:r>
        <w:rPr>
          <w:rStyle w:val="FootnoteReference"/>
        </w:rPr>
        <w:footnoteRef/>
      </w:r>
      <w:r>
        <w:t xml:space="preserve"> </w:t>
      </w:r>
      <w:proofErr w:type="spellStart"/>
      <w:r>
        <w:t>Nikonorov</w:t>
      </w:r>
      <w:proofErr w:type="spellEnd"/>
      <w:r w:rsidR="00793BD4">
        <w:t xml:space="preserve"> 1997: 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C8398B"/>
    <w:multiLevelType w:val="hybridMultilevel"/>
    <w:tmpl w:val="3B601F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A2B"/>
    <w:rsid w:val="00022958"/>
    <w:rsid w:val="00082EB8"/>
    <w:rsid w:val="000E7165"/>
    <w:rsid w:val="00146BB3"/>
    <w:rsid w:val="00165A6A"/>
    <w:rsid w:val="0019136C"/>
    <w:rsid w:val="001D6309"/>
    <w:rsid w:val="002851B9"/>
    <w:rsid w:val="00342E70"/>
    <w:rsid w:val="003C7FD2"/>
    <w:rsid w:val="003E1EEC"/>
    <w:rsid w:val="003F48D9"/>
    <w:rsid w:val="00414470"/>
    <w:rsid w:val="0044134C"/>
    <w:rsid w:val="004872E0"/>
    <w:rsid w:val="004B19E9"/>
    <w:rsid w:val="004C6906"/>
    <w:rsid w:val="004D69E5"/>
    <w:rsid w:val="0053355B"/>
    <w:rsid w:val="00543FF0"/>
    <w:rsid w:val="00552ADE"/>
    <w:rsid w:val="005A1F94"/>
    <w:rsid w:val="005B0600"/>
    <w:rsid w:val="00647B35"/>
    <w:rsid w:val="006B4F50"/>
    <w:rsid w:val="00725F34"/>
    <w:rsid w:val="00793BD4"/>
    <w:rsid w:val="00880B56"/>
    <w:rsid w:val="00967998"/>
    <w:rsid w:val="009A26FE"/>
    <w:rsid w:val="009C7194"/>
    <w:rsid w:val="009D2077"/>
    <w:rsid w:val="00A72309"/>
    <w:rsid w:val="00A7638D"/>
    <w:rsid w:val="00AA01CE"/>
    <w:rsid w:val="00AA45E6"/>
    <w:rsid w:val="00AC67E1"/>
    <w:rsid w:val="00B50ABD"/>
    <w:rsid w:val="00BC085C"/>
    <w:rsid w:val="00C0472A"/>
    <w:rsid w:val="00C732DC"/>
    <w:rsid w:val="00C93B8A"/>
    <w:rsid w:val="00CE3AAA"/>
    <w:rsid w:val="00CF4175"/>
    <w:rsid w:val="00D018BE"/>
    <w:rsid w:val="00D32326"/>
    <w:rsid w:val="00D44D67"/>
    <w:rsid w:val="00D463DC"/>
    <w:rsid w:val="00D82870"/>
    <w:rsid w:val="00DC0D8F"/>
    <w:rsid w:val="00E21B35"/>
    <w:rsid w:val="00E26EC2"/>
    <w:rsid w:val="00E42A2B"/>
    <w:rsid w:val="00E60A63"/>
    <w:rsid w:val="00F37D7D"/>
    <w:rsid w:val="00FA0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0A6C7"/>
  <w15:chartTrackingRefBased/>
  <w15:docId w15:val="{AE326F4A-D14A-4359-A6F2-E918D9F31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B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7B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51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51B9"/>
    <w:rPr>
      <w:sz w:val="20"/>
      <w:szCs w:val="20"/>
    </w:rPr>
  </w:style>
  <w:style w:type="character" w:styleId="FootnoteReference">
    <w:name w:val="footnote reference"/>
    <w:basedOn w:val="DefaultParagraphFont"/>
    <w:uiPriority w:val="99"/>
    <w:semiHidden/>
    <w:unhideWhenUsed/>
    <w:rsid w:val="002851B9"/>
    <w:rPr>
      <w:vertAlign w:val="superscript"/>
    </w:rPr>
  </w:style>
  <w:style w:type="character" w:customStyle="1" w:styleId="Heading1Char">
    <w:name w:val="Heading 1 Char"/>
    <w:basedOn w:val="DefaultParagraphFont"/>
    <w:link w:val="Heading1"/>
    <w:uiPriority w:val="9"/>
    <w:rsid w:val="00647B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7B3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76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D8767-53E8-43E3-AD5A-3BAB6BE31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7</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Betsy Woodhouse</dc:creator>
  <cp:keywords/>
  <dc:description/>
  <cp:lastModifiedBy>Betsy Woodhouse</cp:lastModifiedBy>
  <cp:revision>23</cp:revision>
  <dcterms:created xsi:type="dcterms:W3CDTF">2018-05-01T12:07:00Z</dcterms:created>
  <dcterms:modified xsi:type="dcterms:W3CDTF">2018-05-01T22:22:00Z</dcterms:modified>
</cp:coreProperties>
</file>