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Times New Roman" w:hAnsi="Times New Roman" w:cs="Times New Roman" w:eastAsia="Times New Roman"/>
          <w:b/>
          <w:color w:val="000000"/>
          <w:spacing w:val="5"/>
          <w:position w:val="0"/>
          <w:sz w:val="36"/>
          <w:shd w:fill="auto" w:val="clear"/>
        </w:rPr>
      </w:pPr>
      <w:r>
        <w:object w:dxaOrig="8301" w:dyaOrig="2328">
          <v:rect xmlns:o="urn:schemas-microsoft-com:office:office" xmlns:v="urn:schemas-microsoft-com:vml" id="rectole0000000000" style="width:415.050000pt;height:116.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center"/>
        <w:rPr>
          <w:rFonts w:ascii="Times New Roman" w:hAnsi="Times New Roman" w:cs="Times New Roman" w:eastAsia="Times New Roman"/>
          <w:b/>
          <w:color w:val="000000"/>
          <w:spacing w:val="5"/>
          <w:position w:val="0"/>
          <w:sz w:val="36"/>
          <w:shd w:fill="auto" w:val="clear"/>
        </w:rPr>
      </w:pPr>
    </w:p>
    <w:p>
      <w:pPr>
        <w:spacing w:before="0" w:after="0" w:line="240"/>
        <w:ind w:right="0" w:left="0" w:firstLine="0"/>
        <w:jc w:val="center"/>
        <w:rPr>
          <w:rFonts w:ascii="Times New Roman" w:hAnsi="Times New Roman" w:cs="Times New Roman" w:eastAsia="Times New Roman"/>
          <w:b/>
          <w:color w:val="000000"/>
          <w:spacing w:val="5"/>
          <w:position w:val="0"/>
          <w:sz w:val="36"/>
          <w:shd w:fill="auto" w:val="clear"/>
        </w:rPr>
      </w:pPr>
    </w:p>
    <w:p>
      <w:pPr>
        <w:spacing w:before="0" w:after="0" w:line="240"/>
        <w:ind w:right="0" w:left="0" w:firstLine="0"/>
        <w:jc w:val="both"/>
        <w:rPr>
          <w:rFonts w:ascii="Times New Roman" w:hAnsi="Times New Roman" w:cs="Times New Roman" w:eastAsia="Times New Roman"/>
          <w:b/>
          <w:color w:val="000000"/>
          <w:spacing w:val="5"/>
          <w:position w:val="0"/>
          <w:sz w:val="36"/>
          <w:shd w:fill="auto" w:val="clear"/>
        </w:rPr>
      </w:pPr>
    </w:p>
    <w:p>
      <w:pPr>
        <w:spacing w:before="0" w:after="0" w:line="240"/>
        <w:ind w:right="0" w:left="0" w:firstLine="0"/>
        <w:jc w:val="center"/>
        <w:rPr>
          <w:rFonts w:ascii="Times New Roman" w:hAnsi="Times New Roman" w:cs="Times New Roman" w:eastAsia="Times New Roman"/>
          <w:b/>
          <w:color w:val="000000"/>
          <w:spacing w:val="5"/>
          <w:position w:val="0"/>
          <w:sz w:val="36"/>
          <w:shd w:fill="auto" w:val="clear"/>
        </w:rPr>
      </w:pPr>
    </w:p>
    <w:p>
      <w:pPr>
        <w:spacing w:before="0" w:after="0" w:line="240"/>
        <w:ind w:right="0" w:left="0" w:firstLine="0"/>
        <w:jc w:val="center"/>
        <w:rPr>
          <w:rFonts w:ascii="Times New Roman" w:hAnsi="Times New Roman" w:cs="Times New Roman" w:eastAsia="Times New Roman"/>
          <w:b/>
          <w:color w:val="000000"/>
          <w:spacing w:val="5"/>
          <w:position w:val="0"/>
          <w:sz w:val="36"/>
          <w:shd w:fill="auto" w:val="clear"/>
        </w:rPr>
      </w:pPr>
    </w:p>
    <w:p>
      <w:pPr>
        <w:spacing w:before="0" w:after="0" w:line="240"/>
        <w:ind w:right="0" w:left="0" w:firstLine="0"/>
        <w:jc w:val="center"/>
        <w:rPr>
          <w:rFonts w:ascii="Times New Roman" w:hAnsi="Times New Roman" w:cs="Times New Roman" w:eastAsia="Times New Roman"/>
          <w:b/>
          <w:color w:val="000000"/>
          <w:spacing w:val="5"/>
          <w:position w:val="0"/>
          <w:sz w:val="36"/>
          <w:shd w:fill="auto" w:val="clear"/>
        </w:rPr>
      </w:pPr>
    </w:p>
    <w:p>
      <w:pPr>
        <w:spacing w:before="0" w:after="0" w:line="240"/>
        <w:ind w:right="0" w:left="0" w:firstLine="0"/>
        <w:jc w:val="center"/>
        <w:rPr>
          <w:rFonts w:ascii="Times New Roman" w:hAnsi="Times New Roman" w:cs="Times New Roman" w:eastAsia="Times New Roman"/>
          <w:b/>
          <w:color w:val="000000"/>
          <w:spacing w:val="5"/>
          <w:position w:val="0"/>
          <w:sz w:val="36"/>
          <w:shd w:fill="auto" w:val="clear"/>
        </w:rPr>
      </w:pPr>
    </w:p>
    <w:p>
      <w:pPr>
        <w:spacing w:before="0" w:after="300" w:line="240"/>
        <w:ind w:right="0" w:left="0" w:firstLine="0"/>
        <w:jc w:val="center"/>
        <w:rPr>
          <w:rFonts w:ascii="Times New Roman" w:hAnsi="Times New Roman" w:cs="Times New Roman" w:eastAsia="Times New Roman"/>
          <w:b/>
          <w:color w:val="000000"/>
          <w:spacing w:val="5"/>
          <w:position w:val="0"/>
          <w:sz w:val="36"/>
          <w:shd w:fill="auto" w:val="clear"/>
        </w:rPr>
      </w:pPr>
      <w:r>
        <w:rPr>
          <w:rFonts w:ascii="Times New Roman" w:hAnsi="Times New Roman" w:cs="Times New Roman" w:eastAsia="Times New Roman"/>
          <w:b/>
          <w:color w:val="000000"/>
          <w:spacing w:val="5"/>
          <w:position w:val="0"/>
          <w:sz w:val="36"/>
          <w:shd w:fill="auto" w:val="clear"/>
        </w:rPr>
        <w:t xml:space="preserve">ACADEMIC AND EMPLOYABILITY SKILLS</w:t>
      </w: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8"/>
          <w:u w:val="single"/>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8"/>
          <w:u w:val="single"/>
          <w:shd w:fill="auto" w:val="clear"/>
        </w:rPr>
      </w:pPr>
      <w:r>
        <w:rPr>
          <w:rFonts w:ascii="Times New Roman" w:hAnsi="Times New Roman" w:cs="Times New Roman" w:eastAsia="Times New Roman"/>
          <w:color w:val="000000"/>
          <w:spacing w:val="0"/>
          <w:position w:val="0"/>
          <w:sz w:val="28"/>
          <w:u w:val="single"/>
          <w:shd w:fill="auto" w:val="clear"/>
        </w:rPr>
        <w:t xml:space="preserve">STUDENT NAME: STRATULAT DIDINA-MARIA</w:t>
      </w:r>
    </w:p>
    <w:p>
      <w:pPr>
        <w:spacing w:before="0" w:after="0" w:line="360"/>
        <w:ind w:right="0" w:left="0" w:firstLine="0"/>
        <w:jc w:val="both"/>
        <w:rPr>
          <w:rFonts w:ascii="Times New Roman" w:hAnsi="Times New Roman" w:cs="Times New Roman" w:eastAsia="Times New Roman"/>
          <w:color w:val="000000"/>
          <w:spacing w:val="0"/>
          <w:position w:val="0"/>
          <w:sz w:val="28"/>
          <w:u w:val="single"/>
          <w:shd w:fill="auto" w:val="clear"/>
        </w:rPr>
      </w:pPr>
      <w:r>
        <w:rPr>
          <w:rFonts w:ascii="Times New Roman" w:hAnsi="Times New Roman" w:cs="Times New Roman" w:eastAsia="Times New Roman"/>
          <w:color w:val="000000"/>
          <w:spacing w:val="0"/>
          <w:position w:val="0"/>
          <w:sz w:val="28"/>
          <w:u w:val="single"/>
          <w:shd w:fill="auto" w:val="clear"/>
        </w:rPr>
        <w:t xml:space="preserve">STUDENT NUMBER: 1909067</w:t>
      </w:r>
    </w:p>
    <w:p>
      <w:pPr>
        <w:spacing w:before="0" w:after="0" w:line="360"/>
        <w:ind w:right="0" w:left="0" w:firstLine="0"/>
        <w:jc w:val="both"/>
        <w:rPr>
          <w:rFonts w:ascii="Times New Roman" w:hAnsi="Times New Roman" w:cs="Times New Roman" w:eastAsia="Times New Roman"/>
          <w:color w:val="000000"/>
          <w:spacing w:val="0"/>
          <w:position w:val="0"/>
          <w:sz w:val="28"/>
          <w:u w:val="single"/>
          <w:shd w:fill="auto" w:val="clear"/>
        </w:rPr>
      </w:pPr>
      <w:r>
        <w:rPr>
          <w:rFonts w:ascii="Times New Roman" w:hAnsi="Times New Roman" w:cs="Times New Roman" w:eastAsia="Times New Roman"/>
          <w:color w:val="000000"/>
          <w:spacing w:val="0"/>
          <w:position w:val="0"/>
          <w:sz w:val="28"/>
          <w:u w:val="single"/>
          <w:shd w:fill="auto" w:val="clear"/>
        </w:rPr>
        <w:t xml:space="preserve">LECTURE NAME: ANITA NAN</w:t>
      </w:r>
    </w:p>
    <w:p>
      <w:pPr>
        <w:spacing w:before="0" w:after="0" w:line="360"/>
        <w:ind w:right="0" w:left="0" w:firstLine="0"/>
        <w:jc w:val="both"/>
        <w:rPr>
          <w:rFonts w:ascii="Times New Roman" w:hAnsi="Times New Roman" w:cs="Times New Roman" w:eastAsia="Times New Roman"/>
          <w:color w:val="000000"/>
          <w:spacing w:val="0"/>
          <w:position w:val="0"/>
          <w:sz w:val="28"/>
          <w:u w:val="single"/>
          <w:shd w:fill="auto" w:val="clear"/>
        </w:rPr>
      </w:pPr>
      <w:r>
        <w:rPr>
          <w:rFonts w:ascii="Times New Roman" w:hAnsi="Times New Roman" w:cs="Times New Roman" w:eastAsia="Times New Roman"/>
          <w:color w:val="000000"/>
          <w:spacing w:val="0"/>
          <w:position w:val="0"/>
          <w:sz w:val="28"/>
          <w:u w:val="single"/>
          <w:shd w:fill="auto" w:val="clear"/>
        </w:rPr>
        <w:t xml:space="preserve">MODULE NAME: ACADEMIC AND EMPLOYABILITY SKILLS</w:t>
      </w:r>
    </w:p>
    <w:p>
      <w:pPr>
        <w:spacing w:before="0" w:after="0" w:line="360"/>
        <w:ind w:right="0" w:left="0" w:firstLine="0"/>
        <w:jc w:val="both"/>
        <w:rPr>
          <w:rFonts w:ascii="Times New Roman" w:hAnsi="Times New Roman" w:cs="Times New Roman" w:eastAsia="Times New Roman"/>
          <w:color w:val="000000"/>
          <w:spacing w:val="0"/>
          <w:position w:val="0"/>
          <w:sz w:val="28"/>
          <w:u w:val="single"/>
          <w:shd w:fill="auto" w:val="clear"/>
        </w:rPr>
      </w:pPr>
      <w:r>
        <w:rPr>
          <w:rFonts w:ascii="Times New Roman" w:hAnsi="Times New Roman" w:cs="Times New Roman" w:eastAsia="Times New Roman"/>
          <w:color w:val="000000"/>
          <w:spacing w:val="0"/>
          <w:position w:val="0"/>
          <w:sz w:val="28"/>
          <w:u w:val="single"/>
          <w:shd w:fill="auto" w:val="clear"/>
        </w:rPr>
        <w:t xml:space="preserve">MODULE CODE: BMSW 4001 LONDON</w:t>
      </w: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200" w:line="360"/>
        <w:ind w:right="0" w:left="0" w:firstLine="0"/>
        <w:jc w:val="center"/>
        <w:rPr>
          <w:rFonts w:ascii="Cambria" w:hAnsi="Cambria" w:cs="Cambria" w:eastAsia="Cambria"/>
          <w:b/>
          <w:color w:val="366091"/>
          <w:spacing w:val="0"/>
          <w:position w:val="0"/>
          <w:sz w:val="28"/>
          <w:u w:val="single"/>
          <w:shd w:fill="auto" w:val="clear"/>
        </w:rPr>
      </w:pPr>
      <w:r>
        <w:rPr>
          <w:rFonts w:ascii="Times New Roman" w:hAnsi="Times New Roman" w:cs="Times New Roman" w:eastAsia="Times New Roman"/>
          <w:b/>
          <w:color w:val="000000"/>
          <w:spacing w:val="0"/>
          <w:position w:val="0"/>
          <w:sz w:val="24"/>
          <w:shd w:fill="auto" w:val="clear"/>
        </w:rPr>
        <w:t xml:space="preserve">Table of Content</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Introduction.....................................................................................................1</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Analysis- To provide an analysis in segment of Academic skills........................2</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Communication................................................................................................3</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Critical thinking…………………………………………………………….......4</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Problem solving………………………………………………………………5</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Time management…………………………………………………………6</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Segment of employability skills......................................................................7</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Decision making…………………………………………………………………………8</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Team working…………………………………………………………………9</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Negotiation……………………………………………………………………….10</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Paraphrasing........................................................................................................11</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Summarasing.......................................................................................................12</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Conclusion ......................................................................................................... 13 </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References………………………………………………………………………….14</w:t>
      </w:r>
    </w:p>
    <w:p>
      <w:pPr>
        <w:spacing w:before="0" w:after="20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Appendix............................................................................................................15 </w:t>
      </w:r>
    </w:p>
    <w:p>
      <w:pPr>
        <w:spacing w:before="0" w:after="200" w:line="276"/>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Introduction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Employability skills are defined as the qualities and the skills required by an individual for making them employable in the long end. Such skills are essentially transferrable in nature and are required for acquiring employment within an organisation. The normalised approach includes the outlining of required skills by a concerned employer. Similarly, academic skills are defined as the collection of the multiple strategies applied for learning as well as boosting the ability of an individual for retaining and applying of technical information in the long end.</w:t>
      </w:r>
    </w:p>
    <w:p>
      <w:pPr>
        <w:spacing w:before="0" w:after="200" w:line="360"/>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The purpose this study lies in the identification and critical analysis of the self-academic skills coupled with the development of the employability skills. Additional purpose of the study included the understanding of the required skills in the modern academic and professional space. Similarly, the mentioned study would lead to the identification of the basic difference between the two skills coupled with the areas of integration of the same. The aim of this study includes the analysis of the expertise in the skills that are self possesses.</w:t>
      </w:r>
    </w:p>
    <w:p>
      <w:pPr>
        <w:spacing w:before="0" w:after="200" w:line="360"/>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 All of the skills that would be discussed are segmented into the respective academic and employability skills. The seven skills include the following: Communication, Critical thinking, Problem solving, Time management, Decision-making, Team working,  Negotiation.</w:t>
      </w:r>
    </w:p>
    <w:p>
      <w:pPr>
        <w:spacing w:before="0" w:after="20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00" w:line="48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24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Analysis</w:t>
      </w:r>
    </w:p>
    <w:p>
      <w:pPr>
        <w:spacing w:before="0" w:after="0" w:line="24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To provide an analysis in segment of Academic skills </w:t>
      </w: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Communication</w:t>
      </w:r>
    </w:p>
    <w:p>
      <w:pPr>
        <w:spacing w:before="0" w:after="0" w:line="240"/>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Academic communication is defined as the mechanism of presentation of relative ideas that the effective and has a high degree of efficacy in the academic environment (Learn.org, 2019). The individual thinks that the individual posses an efficient communication skill across all the available types. This includes the verbal communication coupled with non-verbal communication. The segment of visual communication includes the use of body postures and common hand and eyes signals to understand the potential response from the receiver. </w:t>
      </w:r>
    </w:p>
    <w:p>
      <w:pPr>
        <w:spacing w:before="0" w:after="0" w:line="240"/>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At work is very important to have this skill because you can understand the demands, you can easily tell your opinions and you can convey your ideas. If your want to advance in your career good communication is vital because you will need to discuss problems, give instruction, work in team, interact with each other. In every day life communication is helping people develop relationships, to know new things and to share their ideas.</w:t>
      </w:r>
    </w:p>
    <w:p>
      <w:pPr>
        <w:spacing w:before="0" w:after="0" w:line="240"/>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I think I have the communication skill due to the reality I talk as it should be with a giant variety of people at the same time as maintaining up exquisite eye connection and listening. I am capable of transmitting correct information and making me understand. A good communication skills is important in work place and daily life.</w:t>
      </w:r>
    </w:p>
    <w:p>
      <w:pPr>
        <w:spacing w:before="0" w:after="200" w:line="276"/>
        <w:ind w:right="0" w:left="0" w:firstLine="0"/>
        <w:jc w:val="both"/>
        <w:rPr>
          <w:rFonts w:ascii="Times New Roman" w:hAnsi="Times New Roman" w:cs="Times New Roman" w:eastAsia="Times New Roman"/>
          <w:b/>
          <w:color w:val="000000"/>
          <w:spacing w:val="0"/>
          <w:position w:val="0"/>
          <w:sz w:val="16"/>
          <w:shd w:fill="auto" w:val="clear"/>
        </w:rPr>
      </w:pPr>
    </w:p>
    <w:p>
      <w:pPr>
        <w:spacing w:before="0" w:after="200" w:line="276"/>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Critical thinking </w:t>
      </w:r>
    </w:p>
    <w:p>
      <w:pPr>
        <w:spacing w:before="0" w:after="0" w:line="276"/>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Critical thinking is defined as the ability of an individual in executing a high degree of logical reasoning and reflective thinking against a particular situation (Library.leeds.ac.uk, 2019). Critical thinking is characterised by the rational approach in execution of study. The major advantage includes the identification of the logical connections among multiple variables. The individual thinks that a moderate degree of critical thinking capability in the academic segment. The rationale includes the limited exposure to the corporate environment or pressure situations that aids in the development of critical thinking of an individual (</w:t>
      </w:r>
      <w:r>
        <w:rPr>
          <w:rFonts w:ascii="Times New Roman" w:hAnsi="Times New Roman" w:cs="Times New Roman" w:eastAsia="Times New Roman"/>
          <w:color w:val="000000"/>
          <w:spacing w:val="0"/>
          <w:position w:val="0"/>
          <w:sz w:val="28"/>
          <w:shd w:fill="FFFFFF" w:val="clear"/>
        </w:rPr>
        <w:t xml:space="preserve">Shiraev and Levy, 2016</w:t>
      </w:r>
      <w:r>
        <w:rPr>
          <w:rFonts w:ascii="Times New Roman" w:hAnsi="Times New Roman" w:cs="Times New Roman" w:eastAsia="Times New Roman"/>
          <w:color w:val="000000"/>
          <w:spacing w:val="0"/>
          <w:position w:val="0"/>
          <w:sz w:val="28"/>
          <w:shd w:fill="auto" w:val="clear"/>
        </w:rPr>
        <w:t xml:space="preserve">). Additional rationale could include the limited presence of the multiple individuals based on which the critical thinking could be developed in the academic segment. </w:t>
      </w:r>
    </w:p>
    <w:p>
      <w:pPr>
        <w:spacing w:before="0" w:after="0" w:line="276"/>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I do not have this ability. I want to attribute it to me because at work it would help me a lot when I get in touch with certain people I have contact with.</w:t>
      </w:r>
    </w:p>
    <w:p>
      <w:pPr>
        <w:spacing w:before="0" w:after="200" w:line="276"/>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276"/>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Problem solving</w:t>
      </w:r>
    </w:p>
    <w:p>
      <w:pPr>
        <w:spacing w:before="0" w:after="0" w:line="240"/>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The aspect of problem solving skills in the academic segment is defined as the effective and the positive handling of the multiple issues those crops up suddenly (Macmillanihe.com, 2019). This additionally includes the analysis of the complex situation and the identification of the basic reason for the development of the situation. The individual thinks that the person has a moderate problem solving skills in the current domain. The rationale includes the limited exposure to extremely complex situation in the academic domain. Additional rationale includes the presence of a high-segmented process for issues resolution within the organisational framework. However, the same could be improved by the incorporation of multiple problem solving exercises and models and in the long end. This could include the six-step problem solving approach.</w:t>
      </w:r>
    </w:p>
    <w:p>
      <w:pPr>
        <w:spacing w:before="0" w:after="0" w:line="240"/>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In companies, for employers it is essential to demonstrate that you have the ability to solve major problems through creativity imagination and determination. As a student solving problems improves learning and allows you to observe in the team a lot of individual answers.</w:t>
      </w:r>
    </w:p>
    <w:p>
      <w:pPr>
        <w:spacing w:before="0" w:after="0" w:line="240"/>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I think I have this ability, because at the workplace it was once a massive problem and I solved it in a short time and with very good results later.</w:t>
      </w:r>
    </w:p>
    <w:p>
      <w:pPr>
        <w:spacing w:before="0" w:after="200" w:line="24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276"/>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Time management</w:t>
      </w:r>
    </w:p>
    <w:p>
      <w:pPr>
        <w:spacing w:before="0" w:after="0" w:line="276"/>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The skills of time management is characterised by the assortment of the available time to particular study sessions or academic executions (</w:t>
      </w:r>
      <w:r>
        <w:rPr>
          <w:rFonts w:ascii="Times New Roman" w:hAnsi="Times New Roman" w:cs="Times New Roman" w:eastAsia="Times New Roman"/>
          <w:color w:val="000000"/>
          <w:spacing w:val="0"/>
          <w:position w:val="0"/>
          <w:sz w:val="28"/>
          <w:shd w:fill="FFFFFF" w:val="clear"/>
        </w:rPr>
        <w:t xml:space="preserve">Adebayo, 2015</w:t>
      </w:r>
      <w:r>
        <w:rPr>
          <w:rFonts w:ascii="Times New Roman" w:hAnsi="Times New Roman" w:cs="Times New Roman" w:eastAsia="Times New Roman"/>
          <w:color w:val="000000"/>
          <w:spacing w:val="0"/>
          <w:position w:val="0"/>
          <w:sz w:val="28"/>
          <w:shd w:fill="auto" w:val="clear"/>
        </w:rPr>
        <w:t xml:space="preserve">). Overall, the skills of time management is defined and the assignment of the required and effective time by the incorporation of scheduling. Some of the approach used in this segment includes the development of the timeline based work schedule and critical path if required. On a personal front, the individual thinks that the learner possesses a high degree of time management skill. The rationale would include the development and submission of the multiples tasks provided by the academic service provider as the professor. Additional rationale includes the effective sorting of the current case. Multiple skills have been identified and the analysed based on critical thinking and time management of analysis.</w:t>
      </w:r>
    </w:p>
    <w:p>
      <w:pPr>
        <w:spacing w:before="0" w:after="0" w:line="24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8"/>
          <w:shd w:fill="auto" w:val="clear"/>
        </w:rPr>
        <w:t xml:space="preserve">I think I have this ability because I manage my time so I do not mix my professional life with my personal one. I solve everything during the time I set myself. I am capable of achieving several tasks within set timeframes.</w:t>
      </w:r>
      <w:r>
        <w:rPr>
          <w:rFonts w:ascii="Times New Roman" w:hAnsi="Times New Roman" w:cs="Times New Roman" w:eastAsia="Times New Roman"/>
          <w:color w:val="000000"/>
          <w:spacing w:val="0"/>
          <w:position w:val="0"/>
          <w:sz w:val="24"/>
          <w:shd w:fill="auto" w:val="clear"/>
        </w:rPr>
        <w:t xml:space="preserve"> </w:t>
      </w:r>
    </w:p>
    <w:p>
      <w:pPr>
        <w:spacing w:before="0" w:after="0" w:line="240"/>
        <w:ind w:right="0" w:left="0" w:firstLine="0"/>
        <w:jc w:val="both"/>
        <w:rPr>
          <w:rFonts w:ascii="Times New Roman" w:hAnsi="Times New Roman" w:cs="Times New Roman" w:eastAsia="Times New Roman"/>
          <w:color w:val="000000"/>
          <w:spacing w:val="0"/>
          <w:position w:val="0"/>
          <w:sz w:val="28"/>
          <w:shd w:fill="auto" w:val="clear"/>
        </w:rPr>
      </w:pPr>
    </w:p>
    <w:p>
      <w:pPr>
        <w:spacing w:before="0" w:after="200" w:line="276"/>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Segment of employability skills </w:t>
      </w:r>
    </w:p>
    <w:p>
      <w:pPr>
        <w:spacing w:before="0" w:after="200" w:line="276"/>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Decision making</w:t>
      </w:r>
    </w:p>
    <w:p>
      <w:pPr>
        <w:spacing w:before="0" w:after="0" w:line="276"/>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The employability skill of decision-making is characterised by the process of choosing between multiple available choices in multiple situations (Lent </w:t>
      </w:r>
      <w:r>
        <w:rPr>
          <w:rFonts w:ascii="Times New Roman" w:hAnsi="Times New Roman" w:cs="Times New Roman" w:eastAsia="Times New Roman"/>
          <w:i/>
          <w:color w:val="000000"/>
          <w:spacing w:val="0"/>
          <w:position w:val="0"/>
          <w:sz w:val="28"/>
          <w:shd w:fill="auto" w:val="clear"/>
        </w:rPr>
        <w:t xml:space="preserve">et al</w:t>
      </w:r>
      <w:r>
        <w:rPr>
          <w:rFonts w:ascii="Times New Roman" w:hAnsi="Times New Roman" w:cs="Times New Roman" w:eastAsia="Times New Roman"/>
          <w:color w:val="000000"/>
          <w:spacing w:val="0"/>
          <w:position w:val="0"/>
          <w:sz w:val="28"/>
          <w:shd w:fill="auto" w:val="clear"/>
        </w:rPr>
        <w:t xml:space="preserve">., 2016).  An individual could execute the process of decision-making through the process of reasoned process as well the intuitive decision. On the personal front, the individual thinks that the individual have a strong skill of decision-making. The rationale against the same could be attributed to two domains. First, the individual has been involved with multiple decision-making situations like the identification of the required topic among multiple ones. Second, the rationale includes the incorporation of a segmented and phased approach in the taking of a decision. This includes the identification of the multiple consequences associated with a particular situation coupled efficacy of the same against a particular situation.</w:t>
      </w:r>
    </w:p>
    <w:p>
      <w:pPr>
        <w:spacing w:before="0" w:after="0" w:line="276"/>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The capacity to settle on a choice and stick to it is the foundation of good administration aptitudes. Basic leadership is an on-going procedure in each business: huge or little. Having basis resolving aptitude’s enables one to determine the issue and think of an answer that is avantageous to the organization and its representatives. </w:t>
      </w:r>
    </w:p>
    <w:p>
      <w:pPr>
        <w:spacing w:before="0" w:after="0" w:line="276"/>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I think I have this skill at work because I have often been forced to make certain decisions in a short time. And over time I noticed that absolutely all the decisions I made were very good and effective.</w:t>
      </w:r>
    </w:p>
    <w:p>
      <w:pPr>
        <w:spacing w:before="0" w:after="0" w:line="276"/>
        <w:ind w:right="0" w:left="0" w:firstLine="0"/>
        <w:jc w:val="both"/>
        <w:rPr>
          <w:rFonts w:ascii="Times New Roman" w:hAnsi="Times New Roman" w:cs="Times New Roman" w:eastAsia="Times New Roman"/>
          <w:color w:val="000000"/>
          <w:spacing w:val="0"/>
          <w:position w:val="0"/>
          <w:sz w:val="28"/>
          <w:shd w:fill="auto" w:val="clear"/>
        </w:rPr>
      </w:pPr>
    </w:p>
    <w:p>
      <w:pPr>
        <w:spacing w:before="0" w:after="200" w:line="276"/>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Team working </w:t>
      </w:r>
    </w:p>
    <w:p>
      <w:pPr>
        <w:spacing w:before="0" w:after="200" w:line="276"/>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Team working in the employability segment includes constructive feedback provided by the organisation and the introduction of the same in the long end (</w:t>
      </w:r>
      <w:r>
        <w:rPr>
          <w:rFonts w:ascii="Times New Roman" w:hAnsi="Times New Roman" w:cs="Times New Roman" w:eastAsia="Times New Roman"/>
          <w:color w:val="000000"/>
          <w:spacing w:val="0"/>
          <w:position w:val="0"/>
          <w:sz w:val="28"/>
          <w:shd w:fill="FFFFFF" w:val="clear"/>
        </w:rPr>
        <w:t xml:space="preserve">Wilson and Ortiz, 2017</w:t>
      </w:r>
      <w:r>
        <w:rPr>
          <w:rFonts w:ascii="Times New Roman" w:hAnsi="Times New Roman" w:cs="Times New Roman" w:eastAsia="Times New Roman"/>
          <w:color w:val="000000"/>
          <w:spacing w:val="0"/>
          <w:position w:val="0"/>
          <w:sz w:val="28"/>
          <w:shd w:fill="auto" w:val="clear"/>
        </w:rPr>
        <w:t xml:space="preserve">). This is executed by the integration of the individual skills of the team members coupled with positive cooperation among the same. The measurement of team working capability is usually identified through the analysis team dynamic and leadership. On a personal front, the individual thinks that the individual possesses a moderate team working positive skills in the employment domain. The rationale includes the relative experience of working with set team members for a longer time. Additional rationale could include the mitigation of the multiple issues that usually crops between the members.</w:t>
      </w:r>
    </w:p>
    <w:p>
      <w:pPr>
        <w:spacing w:before="0" w:after="0" w:line="276"/>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Viable groups moreover permit the activity to improve, in turn making a competitive edge to achieve objectives and destinations. Sharing varying suppositions and encounters reinforces responsibility and can offer assistance make successful choices speedier, than when done alone. Team exertion increments yield by having fast criticism and numerous sets of abilities come into play to support your work. You'll be able do the stages of planning, arranging, and usage much more effectively when a group is working well.</w:t>
      </w:r>
    </w:p>
    <w:p>
      <w:pPr>
        <w:spacing w:before="0" w:after="0" w:line="276"/>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 I have this ability because I like to collaborate and work with people. I respect their decisions and accept the points of view of everyone in my team at work. I show respect, creativity and contribution of group members. I can share credit for good ideas with all my group members. I think collaboration is very important in a team.</w:t>
      </w:r>
    </w:p>
    <w:p>
      <w:pPr>
        <w:spacing w:before="0" w:after="0" w:line="276"/>
        <w:ind w:right="0" w:left="0" w:firstLine="0"/>
        <w:jc w:val="both"/>
        <w:rPr>
          <w:rFonts w:ascii="Times New Roman" w:hAnsi="Times New Roman" w:cs="Times New Roman" w:eastAsia="Times New Roman"/>
          <w:color w:val="000000"/>
          <w:spacing w:val="0"/>
          <w:position w:val="0"/>
          <w:sz w:val="28"/>
          <w:shd w:fill="auto" w:val="clear"/>
        </w:rPr>
      </w:pPr>
    </w:p>
    <w:p>
      <w:pPr>
        <w:spacing w:before="0" w:after="200" w:line="276"/>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276"/>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b/>
          <w:color w:val="000000"/>
          <w:spacing w:val="0"/>
          <w:position w:val="0"/>
          <w:sz w:val="32"/>
          <w:shd w:fill="auto" w:val="clear"/>
        </w:rPr>
        <w:t xml:space="preserve">Negotiation</w:t>
      </w:r>
    </w:p>
    <w:p>
      <w:pPr>
        <w:spacing w:before="0" w:after="0" w:line="276"/>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The skill of negotiation is defined as the strategic approach undertaken for the execution of discussion for mutually benefited decision in the long end (Stevens </w:t>
      </w:r>
      <w:r>
        <w:rPr>
          <w:rFonts w:ascii="Times New Roman" w:hAnsi="Times New Roman" w:cs="Times New Roman" w:eastAsia="Times New Roman"/>
          <w:i/>
          <w:color w:val="000000"/>
          <w:spacing w:val="0"/>
          <w:position w:val="0"/>
          <w:sz w:val="28"/>
          <w:shd w:fill="auto" w:val="clear"/>
        </w:rPr>
        <w:t xml:space="preserve">et al</w:t>
      </w:r>
      <w:r>
        <w:rPr>
          <w:rFonts w:ascii="Times New Roman" w:hAnsi="Times New Roman" w:cs="Times New Roman" w:eastAsia="Times New Roman"/>
          <w:color w:val="000000"/>
          <w:spacing w:val="0"/>
          <w:position w:val="0"/>
          <w:sz w:val="28"/>
          <w:shd w:fill="auto" w:val="clear"/>
        </w:rPr>
        <w:t xml:space="preserve">., 2016). This additionally is characterised by the resolution of multiple issues that exists within a group. The requirement of negotiation lies in the identification of the acceptable solutions among multiple stakeholders. On a personal front, the individuals identify a highly effective negotiation skill relative to the employability skills. This would be against two rationales. First, self has multiple negotiation experience with peers and group members in the execution of multiple tasks in the long end. This includes the projects that have been conducted under the academic service provider. Second, the rationale would the idea about multiple negotiation mechanisms coupled with incorporation of multiple theories in the same domain. </w:t>
      </w:r>
    </w:p>
    <w:p>
      <w:pPr>
        <w:spacing w:before="0" w:after="0" w:line="276"/>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In business, negotiation skills are necessary in each informal daily interactions and formal transactions like negotiating conditions of sale, lease, service delivery, and different legal contracts. sensible negotiations contribute considerably to business success, as they: assist you build higher relationships.</w:t>
      </w:r>
    </w:p>
    <w:p>
      <w:pPr>
        <w:spacing w:before="0" w:after="0" w:line="276"/>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This ability, I think should be attributed to me because I had a situation in the workplace, when a client wanted a certain price and having this ability to negotiate and I was put in a difficult situation.</w:t>
      </w:r>
    </w:p>
    <w:p>
      <w:pPr>
        <w:spacing w:before="0" w:after="200" w:line="276"/>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276"/>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Paraphrasing </w:t>
      </w:r>
    </w:p>
    <w:p>
      <w:pPr>
        <w:spacing w:before="0" w:after="200" w:line="276"/>
        <w:ind w:right="0" w:left="0" w:firstLine="0"/>
        <w:jc w:val="both"/>
        <w:rPr>
          <w:rFonts w:ascii="Times New Roman" w:hAnsi="Times New Roman" w:cs="Times New Roman" w:eastAsia="Times New Roman"/>
          <w:color w:val="000000"/>
          <w:spacing w:val="0"/>
          <w:position w:val="0"/>
          <w:sz w:val="32"/>
          <w:shd w:fill="auto" w:val="clear"/>
        </w:rPr>
      </w:pPr>
      <w:r>
        <w:rPr>
          <w:rFonts w:ascii="Times New Roman" w:hAnsi="Times New Roman" w:cs="Times New Roman" w:eastAsia="Times New Roman"/>
          <w:color w:val="000000"/>
          <w:spacing w:val="0"/>
          <w:position w:val="0"/>
          <w:sz w:val="32"/>
          <w:shd w:fill="auto" w:val="clear"/>
        </w:rPr>
        <w:t xml:space="preserve">E've all watched tv shows or detected news stories we tend to wished to inform others regarding. we tend to might have told our friends, our family, or our coworkers regarding what happened, however it happened, and why it happened. we tend to recounted the plot line, the most characters, the events, and details victimisation our own words. this can be paraphrasing - victimisation your own words to specific somebody else's message or concepts. during a paraphrase, the concepts and that means of the initial supply should be maintained; the most ideas got to return through, however the phraseology needs to be your own.</w:t>
      </w:r>
    </w:p>
    <w:p>
      <w:pPr>
        <w:spacing w:before="0" w:after="200" w:line="276"/>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276"/>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Summarasing</w:t>
      </w:r>
    </w:p>
    <w:p>
      <w:pPr>
        <w:spacing w:before="0" w:after="200" w:line="276"/>
        <w:ind w:right="0" w:left="0" w:firstLine="0"/>
        <w:jc w:val="both"/>
        <w:rPr>
          <w:rFonts w:ascii="Times New Roman" w:hAnsi="Times New Roman" w:cs="Times New Roman" w:eastAsia="Times New Roman"/>
          <w:color w:val="000000"/>
          <w:spacing w:val="0"/>
          <w:position w:val="0"/>
          <w:sz w:val="32"/>
          <w:shd w:fill="auto" w:val="clear"/>
        </w:rPr>
      </w:pPr>
      <w:r>
        <w:rPr>
          <w:rFonts w:ascii="Times New Roman" w:hAnsi="Times New Roman" w:cs="Times New Roman" w:eastAsia="Times New Roman"/>
          <w:color w:val="000000"/>
          <w:spacing w:val="0"/>
          <w:position w:val="0"/>
          <w:sz w:val="32"/>
          <w:shd w:fill="auto" w:val="clear"/>
        </w:rPr>
        <w:t xml:space="preserve">Summarizing. A summary could be a synthesis of the key thoughts of a piece of composing, rehashed in your possess words </w:t>
      </w:r>
      <w:r>
        <w:rPr>
          <w:rFonts w:ascii="Times New Roman" w:hAnsi="Times New Roman" w:cs="Times New Roman" w:eastAsia="Times New Roman"/>
          <w:color w:val="000000"/>
          <w:spacing w:val="0"/>
          <w:position w:val="0"/>
          <w:sz w:val="32"/>
          <w:shd w:fill="auto" w:val="clear"/>
        </w:rPr>
        <w:t xml:space="preserve">–</w:t>
      </w:r>
      <w:r>
        <w:rPr>
          <w:rFonts w:ascii="Times New Roman" w:hAnsi="Times New Roman" w:cs="Times New Roman" w:eastAsia="Times New Roman"/>
          <w:color w:val="000000"/>
          <w:spacing w:val="0"/>
          <w:position w:val="0"/>
          <w:sz w:val="32"/>
          <w:shd w:fill="auto" w:val="clear"/>
        </w:rPr>
        <w:t xml:space="preserve"> i.e., reworded. You'll type in a rundown as a stand-alone task or as part of a longer paper. At whatever point you summarize, you must use caution not to duplicate the precise wording of the initial source.</w:t>
      </w:r>
    </w:p>
    <w:p>
      <w:pPr>
        <w:spacing w:before="0" w:after="200" w:line="276"/>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276"/>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276"/>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b/>
          <w:color w:val="000000"/>
          <w:spacing w:val="0"/>
          <w:position w:val="0"/>
          <w:sz w:val="32"/>
          <w:shd w:fill="auto" w:val="clear"/>
        </w:rPr>
        <w:t xml:space="preserve">Conclusion </w:t>
      </w:r>
    </w:p>
    <w:p>
      <w:pPr>
        <w:spacing w:before="0" w:after="200" w:line="480"/>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Relative to the conducted study, two concluding statements could be identified. First, in the segment of employment skills, it could be concluded that the learner has multiple skills with varying expertise. Evidence against the same includes an expertise in the communication skills coupled with a moderate approach in critical thinking. Second, in the domain of the employability skills, it could be concluded that the individual has five major employability skills. Rationale for the same includes limited exposure to corporate environment</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8"/>
          <w:shd w:fill="auto" w:val="clear"/>
        </w:rPr>
        <w:t xml:space="preserve">I am sure that those who have the necessary training in communication will only have the win, I know that the employers want from the employees to bring only the benefit of the companies and therefore I want to have this skills. I wish to succeed to get a place of better work. All this skills are important for a person to be successful in business and beyond.</w:t>
      </w:r>
      <w:r>
        <w:rPr>
          <w:rFonts w:ascii="Times New Roman" w:hAnsi="Times New Roman" w:cs="Times New Roman" w:eastAsia="Times New Roman"/>
          <w:color w:val="000000"/>
          <w:spacing w:val="0"/>
          <w:position w:val="0"/>
          <w:sz w:val="24"/>
          <w:shd w:fill="auto" w:val="clear"/>
        </w:rPr>
        <w:t xml:space="preserve"> </w:t>
      </w:r>
    </w:p>
    <w:p>
      <w:pPr>
        <w:spacing w:before="0" w:after="200" w:line="480"/>
        <w:ind w:right="0" w:left="0" w:firstLine="0"/>
        <w:jc w:val="both"/>
        <w:rPr>
          <w:rFonts w:ascii="Times New Roman" w:hAnsi="Times New Roman" w:cs="Times New Roman" w:eastAsia="Times New Roman"/>
          <w:color w:val="000000"/>
          <w:spacing w:val="0"/>
          <w:position w:val="0"/>
          <w:sz w:val="28"/>
          <w:shd w:fill="auto" w:val="clear"/>
        </w:rPr>
      </w:pPr>
    </w:p>
    <w:p>
      <w:pPr>
        <w:spacing w:before="0" w:after="200" w:line="276"/>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References</w:t>
      </w:r>
    </w:p>
    <w:p>
      <w:pPr>
        <w:spacing w:before="0" w:after="200" w:line="276"/>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Adebayo, F.A., (2015). Time management and students academic performance in higher institutions, Nigeria a case study of Ekiti state. </w:t>
      </w:r>
      <w:r>
        <w:rPr>
          <w:rFonts w:ascii="Times New Roman" w:hAnsi="Times New Roman" w:cs="Times New Roman" w:eastAsia="Times New Roman"/>
          <w:i/>
          <w:color w:val="000000"/>
          <w:spacing w:val="0"/>
          <w:position w:val="0"/>
          <w:sz w:val="24"/>
          <w:shd w:fill="FFFFFF" w:val="clear"/>
        </w:rPr>
        <w:t xml:space="preserve">International Research in Education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w:t>
      </w:r>
      <w:r>
        <w:rPr>
          <w:rFonts w:ascii="Times New Roman" w:hAnsi="Times New Roman" w:cs="Times New Roman" w:eastAsia="Times New Roman"/>
          <w:color w:val="000000"/>
          <w:spacing w:val="0"/>
          <w:position w:val="0"/>
          <w:sz w:val="24"/>
          <w:shd w:fill="FFFFFF" w:val="clear"/>
        </w:rPr>
        <w:t xml:space="preserve">(2), pp.1-12.</w:t>
      </w:r>
    </w:p>
    <w:p>
      <w:pPr>
        <w:spacing w:before="0" w:after="200" w:line="276"/>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Birgili, B., 2015. Creative and critical thinking skills in problem-based learning environments. </w:t>
      </w:r>
      <w:r>
        <w:rPr>
          <w:rFonts w:ascii="Times New Roman" w:hAnsi="Times New Roman" w:cs="Times New Roman" w:eastAsia="Times New Roman"/>
          <w:i/>
          <w:color w:val="000000"/>
          <w:spacing w:val="0"/>
          <w:position w:val="0"/>
          <w:sz w:val="24"/>
          <w:shd w:fill="FFFFFF" w:val="clear"/>
        </w:rPr>
        <w:t xml:space="preserve">Üstün Zekal</w:t>
      </w:r>
      <w:r>
        <w:rPr>
          <w:rFonts w:ascii="Times New Roman" w:hAnsi="Times New Roman" w:cs="Times New Roman" w:eastAsia="Times New Roman"/>
          <w:i/>
          <w:color w:val="000000"/>
          <w:spacing w:val="0"/>
          <w:position w:val="0"/>
          <w:sz w:val="24"/>
          <w:shd w:fill="FFFFFF" w:val="clear"/>
        </w:rPr>
        <w:t xml:space="preserve">ılar Eğitimi ve Yaratıcılık Dergisi</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w:t>
      </w:r>
      <w:r>
        <w:rPr>
          <w:rFonts w:ascii="Times New Roman" w:hAnsi="Times New Roman" w:cs="Times New Roman" w:eastAsia="Times New Roman"/>
          <w:color w:val="000000"/>
          <w:spacing w:val="0"/>
          <w:position w:val="0"/>
          <w:sz w:val="24"/>
          <w:shd w:fill="FFFFFF" w:val="clear"/>
        </w:rPr>
        <w:t xml:space="preserve">(2), pp.71-80.</w:t>
      </w:r>
    </w:p>
    <w:p>
      <w:pPr>
        <w:spacing w:before="0" w:after="0" w:line="276"/>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Learn.org. 2019. </w:t>
      </w:r>
      <w:r>
        <w:rPr>
          <w:rFonts w:ascii="Times New Roman" w:hAnsi="Times New Roman" w:cs="Times New Roman" w:eastAsia="Times New Roman"/>
          <w:i/>
          <w:color w:val="000000"/>
          <w:spacing w:val="0"/>
          <w:position w:val="0"/>
          <w:sz w:val="24"/>
          <w:shd w:fill="auto" w:val="clear"/>
        </w:rPr>
        <w:t xml:space="preserve">Learn.org - </w:t>
      </w:r>
      <w:r>
        <w:rPr>
          <w:rFonts w:ascii="Times New Roman" w:hAnsi="Times New Roman" w:cs="Times New Roman" w:eastAsia="Times New Roman"/>
          <w:color w:val="000000"/>
          <w:spacing w:val="0"/>
          <w:position w:val="0"/>
          <w:sz w:val="24"/>
          <w:shd w:fill="auto" w:val="clear"/>
        </w:rPr>
        <w:t xml:space="preserve">. [online] Available at: </w:t>
      </w:r>
      <w:hyperlink xmlns:r="http://schemas.openxmlformats.org/officeDocument/2006/relationships" r:id="docRId2">
        <w:r>
          <w:rPr>
            <w:rFonts w:ascii="Times New Roman" w:hAnsi="Times New Roman" w:cs="Times New Roman" w:eastAsia="Times New Roman"/>
            <w:color w:val="000000"/>
            <w:spacing w:val="0"/>
            <w:position w:val="0"/>
            <w:sz w:val="24"/>
            <w:u w:val="single"/>
            <w:shd w:fill="auto" w:val="clear"/>
          </w:rPr>
          <w:t xml:space="preserve">https://learn.org/articles/What_are_Academic_Communications.[Accessed</w:t>
        </w:r>
      </w:hyperlink>
      <w:r>
        <w:rPr>
          <w:rFonts w:ascii="Times New Roman" w:hAnsi="Times New Roman" w:cs="Times New Roman" w:eastAsia="Times New Roman"/>
          <w:color w:val="000000"/>
          <w:spacing w:val="0"/>
          <w:position w:val="0"/>
          <w:sz w:val="24"/>
          <w:shd w:fill="auto" w:val="clear"/>
        </w:rPr>
        <w:t xml:space="preserve"> 29 Nov. 2019].</w:t>
      </w:r>
    </w:p>
    <w:p>
      <w:pPr>
        <w:spacing w:before="0" w:after="0" w:line="276"/>
        <w:ind w:right="0" w:left="0" w:firstLine="0"/>
        <w:jc w:val="both"/>
        <w:rPr>
          <w:rFonts w:ascii="Times New Roman" w:hAnsi="Times New Roman" w:cs="Times New Roman" w:eastAsia="Times New Roman"/>
          <w:color w:val="000000"/>
          <w:spacing w:val="0"/>
          <w:position w:val="0"/>
          <w:sz w:val="24"/>
          <w:shd w:fill="auto" w:val="clear"/>
        </w:rPr>
      </w:pPr>
    </w:p>
    <w:p>
      <w:pPr>
        <w:spacing w:before="0" w:after="200" w:line="276"/>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Lent, R.W., Ezeofor, I., Morrison, M.A., Penn, L.T. and Ireland, G.W., 2016. Applying the social cognitive model of career self-management to career exploration and decision-making. </w:t>
      </w:r>
      <w:r>
        <w:rPr>
          <w:rFonts w:ascii="Times New Roman" w:hAnsi="Times New Roman" w:cs="Times New Roman" w:eastAsia="Times New Roman"/>
          <w:i/>
          <w:color w:val="000000"/>
          <w:spacing w:val="0"/>
          <w:position w:val="0"/>
          <w:sz w:val="24"/>
          <w:shd w:fill="FFFFFF" w:val="clear"/>
        </w:rPr>
        <w:t xml:space="preserve">Journal of Vocational Behavior</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93</w:t>
      </w:r>
      <w:r>
        <w:rPr>
          <w:rFonts w:ascii="Times New Roman" w:hAnsi="Times New Roman" w:cs="Times New Roman" w:eastAsia="Times New Roman"/>
          <w:color w:val="000000"/>
          <w:spacing w:val="0"/>
          <w:position w:val="0"/>
          <w:sz w:val="24"/>
          <w:shd w:fill="FFFFFF" w:val="clear"/>
        </w:rPr>
        <w:t xml:space="preserve">, pp.47-57.</w:t>
      </w:r>
    </w:p>
    <w:p>
      <w:pPr>
        <w:spacing w:before="0" w:after="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Macmillanihe.com. 2019. </w:t>
      </w:r>
      <w:r>
        <w:rPr>
          <w:rFonts w:ascii="Times New Roman" w:hAnsi="Times New Roman" w:cs="Times New Roman" w:eastAsia="Times New Roman"/>
          <w:i/>
          <w:color w:val="auto"/>
          <w:spacing w:val="0"/>
          <w:position w:val="0"/>
          <w:sz w:val="24"/>
          <w:shd w:fill="auto" w:val="clear"/>
        </w:rPr>
        <w:t xml:space="preserve">Problem Solving Skills</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https://www.macmillanihe.com/studentstudyskills/page/problem-solving-skills/</w:t>
        </w:r>
      </w:hyperlink>
      <w:r>
        <w:rPr>
          <w:rFonts w:ascii="Times New Roman" w:hAnsi="Times New Roman" w:cs="Times New Roman" w:eastAsia="Times New Roman"/>
          <w:color w:val="auto"/>
          <w:spacing w:val="0"/>
          <w:position w:val="0"/>
          <w:sz w:val="24"/>
          <w:shd w:fill="auto" w:val="clear"/>
        </w:rPr>
        <w:t xml:space="preserve"> [Accessed 29 Nov. 2019].</w:t>
      </w:r>
    </w:p>
    <w:p>
      <w:pPr>
        <w:spacing w:before="0" w:after="200" w:line="276"/>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Shiraev, E.B. and Levy, D.A., 2016. </w:t>
      </w:r>
      <w:r>
        <w:rPr>
          <w:rFonts w:ascii="Times New Roman" w:hAnsi="Times New Roman" w:cs="Times New Roman" w:eastAsia="Times New Roman"/>
          <w:i/>
          <w:color w:val="000000"/>
          <w:spacing w:val="0"/>
          <w:position w:val="0"/>
          <w:sz w:val="24"/>
          <w:shd w:fill="FFFFFF" w:val="clear"/>
        </w:rPr>
        <w:t xml:space="preserve">Cross-cultural psychology: Critical thinking and contemporary applications</w:t>
      </w:r>
      <w:r>
        <w:rPr>
          <w:rFonts w:ascii="Times New Roman" w:hAnsi="Times New Roman" w:cs="Times New Roman" w:eastAsia="Times New Roman"/>
          <w:color w:val="000000"/>
          <w:spacing w:val="0"/>
          <w:position w:val="0"/>
          <w:sz w:val="24"/>
          <w:shd w:fill="FFFFFF" w:val="clear"/>
        </w:rPr>
        <w:t xml:space="preserve">. Routledge.</w:t>
      </w:r>
    </w:p>
    <w:p>
      <w:pPr>
        <w:spacing w:before="0" w:after="200" w:line="276"/>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Stevens, C.A., de Weerd, H., Cnossen, F. and Taatgen, N.A., 2016. A metacognitive agent for training negotiation skills. In </w:t>
      </w:r>
      <w:r>
        <w:rPr>
          <w:rFonts w:ascii="Times New Roman" w:hAnsi="Times New Roman" w:cs="Times New Roman" w:eastAsia="Times New Roman"/>
          <w:i/>
          <w:color w:val="000000"/>
          <w:spacing w:val="0"/>
          <w:position w:val="0"/>
          <w:sz w:val="24"/>
          <w:shd w:fill="FFFFFF" w:val="clear"/>
        </w:rPr>
        <w:t xml:space="preserve">Proceedings of the 14th International Conference on Cognitive Modeling (ICCM 2016)</w:t>
      </w:r>
      <w:r>
        <w:rPr>
          <w:rFonts w:ascii="Times New Roman" w:hAnsi="Times New Roman" w:cs="Times New Roman" w:eastAsia="Times New Roman"/>
          <w:color w:val="000000"/>
          <w:spacing w:val="0"/>
          <w:position w:val="0"/>
          <w:sz w:val="24"/>
          <w:shd w:fill="FFFFFF" w:val="clear"/>
        </w:rPr>
        <w:t xml:space="preserve">.</w:t>
      </w:r>
    </w:p>
    <w:p>
      <w:pPr>
        <w:spacing w:before="0" w:after="200" w:line="276"/>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Suleman, F., 2016. Employability skills of higher education graduates: Little consensus on a much-discussed subject. </w:t>
      </w:r>
      <w:r>
        <w:rPr>
          <w:rFonts w:ascii="Times New Roman" w:hAnsi="Times New Roman" w:cs="Times New Roman" w:eastAsia="Times New Roman"/>
          <w:i/>
          <w:color w:val="000000"/>
          <w:spacing w:val="0"/>
          <w:position w:val="0"/>
          <w:sz w:val="24"/>
          <w:shd w:fill="FFFFFF" w:val="clear"/>
        </w:rPr>
        <w:t xml:space="preserve">Procedia-Social and Behavioral Sciences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228</w:t>
      </w:r>
      <w:r>
        <w:rPr>
          <w:rFonts w:ascii="Times New Roman" w:hAnsi="Times New Roman" w:cs="Times New Roman" w:eastAsia="Times New Roman"/>
          <w:color w:val="000000"/>
          <w:spacing w:val="0"/>
          <w:position w:val="0"/>
          <w:sz w:val="24"/>
          <w:shd w:fill="FFFFFF" w:val="clear"/>
        </w:rPr>
        <w:t xml:space="preserve">, pp.169-174.</w:t>
      </w:r>
    </w:p>
    <w:p>
      <w:pPr>
        <w:spacing w:before="0" w:after="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Vocabulary.com. 2019. </w:t>
      </w:r>
      <w:r>
        <w:rPr>
          <w:rFonts w:ascii="Times New Roman" w:hAnsi="Times New Roman" w:cs="Times New Roman" w:eastAsia="Times New Roman"/>
          <w:i/>
          <w:color w:val="auto"/>
          <w:spacing w:val="0"/>
          <w:position w:val="0"/>
          <w:sz w:val="24"/>
          <w:shd w:fill="auto" w:val="clear"/>
        </w:rPr>
        <w:t xml:space="preserve">convincing - Dictionary Definition</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https://www.vocabulary.com/dictionary/convincing</w:t>
        </w:r>
      </w:hyperlink>
      <w:r>
        <w:rPr>
          <w:rFonts w:ascii="Times New Roman" w:hAnsi="Times New Roman" w:cs="Times New Roman" w:eastAsia="Times New Roman"/>
          <w:color w:val="auto"/>
          <w:spacing w:val="0"/>
          <w:position w:val="0"/>
          <w:sz w:val="24"/>
          <w:shd w:fill="auto" w:val="clear"/>
        </w:rPr>
        <w:t xml:space="preserve">. [Accessed 29 Nov. 2019].</w:t>
      </w:r>
    </w:p>
    <w:p>
      <w:pPr>
        <w:spacing w:before="0" w:after="200" w:line="276"/>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Wilson, I. and Ortiz, S., 2017. Solution Based Learning in Higher Education: Enhancing Employability Skills.</w:t>
      </w:r>
    </w:p>
    <w:p>
      <w:pPr>
        <w:spacing w:before="0" w:after="200" w:line="276"/>
        <w:ind w:right="0" w:left="0" w:firstLine="0"/>
        <w:jc w:val="both"/>
        <w:rPr>
          <w:rFonts w:ascii="Calibri" w:hAnsi="Calibri" w:cs="Calibri" w:eastAsia="Calibri"/>
          <w:color w:val="auto"/>
          <w:spacing w:val="0"/>
          <w:position w:val="0"/>
          <w:sz w:val="22"/>
          <w:shd w:fill="auto" w:val="clear"/>
        </w:rPr>
      </w:pPr>
      <w:r>
        <w:object w:dxaOrig="8422" w:dyaOrig="11906">
          <v:rect xmlns:o="urn:schemas-microsoft-com:office:office" xmlns:v="urn:schemas-microsoft-com:vml" id="rectole0000000001" style="width:421.100000pt;height:595.300000pt" o:preferrelative="t" o:ole="">
            <o:lock v:ext="edit"/>
            <v:imagedata xmlns:r="http://schemas.openxmlformats.org/officeDocument/2006/relationships" r:id="docRId6" o:title=""/>
          </v:rect>
          <o:OLEObject xmlns:r="http://schemas.openxmlformats.org/officeDocument/2006/relationships" xmlns:o="urn:schemas-microsoft-com:office:office" Type="Embed" ProgID="StaticMetafile" DrawAspect="Content" ObjectID="0000000001" ShapeID="rectole0000000001" r:id="docRId5"/>
        </w:object>
      </w: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r>
        <w:object w:dxaOrig="8422" w:dyaOrig="14962">
          <v:rect xmlns:o="urn:schemas-microsoft-com:office:office" xmlns:v="urn:schemas-microsoft-com:vml" id="rectole0000000002" style="width:421.100000pt;height:748.100000pt" o:preferrelative="t" o:ole="">
            <o:lock v:ext="edit"/>
            <v:imagedata xmlns:r="http://schemas.openxmlformats.org/officeDocument/2006/relationships" r:id="docRId8" o:title=""/>
          </v:rect>
          <o:OLEObject xmlns:r="http://schemas.openxmlformats.org/officeDocument/2006/relationships" xmlns:o="urn:schemas-microsoft-com:office:office" Type="Embed" ProgID="StaticMetafile" DrawAspect="Content" ObjectID="0000000002" ShapeID="rectole0000000002" r:id="docRId7"/>
        </w:object>
      </w: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r>
        <w:object w:dxaOrig="8422" w:dyaOrig="14962">
          <v:rect xmlns:o="urn:schemas-microsoft-com:office:office" xmlns:v="urn:schemas-microsoft-com:vml" id="rectole0000000003" style="width:421.100000pt;height:748.100000pt" o:preferrelative="t" o:ole="">
            <o:lock v:ext="edit"/>
            <v:imagedata xmlns:r="http://schemas.openxmlformats.org/officeDocument/2006/relationships" r:id="docRId10" o:title=""/>
          </v:rect>
          <o:OLEObject xmlns:r="http://schemas.openxmlformats.org/officeDocument/2006/relationships" xmlns:o="urn:schemas-microsoft-com:office:office" Type="Embed" ProgID="StaticMetafile" DrawAspect="Content" ObjectID="0000000003" ShapeID="rectole0000000003" r:id="docRId9"/>
        </w:object>
      </w: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r>
        <w:object w:dxaOrig="8422" w:dyaOrig="11906">
          <v:rect xmlns:o="urn:schemas-microsoft-com:office:office" xmlns:v="urn:schemas-microsoft-com:vml" id="rectole0000000004" style="width:421.100000pt;height:595.300000pt" o:preferrelative="t" o:ole="">
            <o:lock v:ext="edit"/>
            <v:imagedata xmlns:r="http://schemas.openxmlformats.org/officeDocument/2006/relationships" r:id="docRId12" o:title=""/>
          </v:rect>
          <o:OLEObject xmlns:r="http://schemas.openxmlformats.org/officeDocument/2006/relationships" xmlns:o="urn:schemas-microsoft-com:office:office" Type="Embed" ProgID="StaticMetafile" DrawAspect="Content" ObjectID="0000000004" ShapeID="rectole0000000004" r:id="docRId11"/>
        </w:object>
      </w: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both"/>
        <w:rPr>
          <w:rFonts w:ascii="Times New Roman" w:hAnsi="Times New Roman" w:cs="Times New Roman" w:eastAsia="Times New Roman"/>
          <w:color w:val="000000"/>
          <w:spacing w:val="0"/>
          <w:position w:val="0"/>
          <w:sz w:val="24"/>
          <w:shd w:fill="FFFFFF"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13" Type="http://schemas.openxmlformats.org/officeDocument/2006/relationships/numbering" /><Relationship TargetMode="External" Target="https://www.macmillanihe.com/studentstudyskills/page/problem-solving-skills/" Id="docRId3" Type="http://schemas.openxmlformats.org/officeDocument/2006/relationships/hyperlink" /><Relationship Target="embeddings/oleObject2.bin" Id="docRId7" Type="http://schemas.openxmlformats.org/officeDocument/2006/relationships/oleObject" /><Relationship Target="media/image3.wmf" Id="docRId10" Type="http://schemas.openxmlformats.org/officeDocument/2006/relationships/image" /><Relationship Target="styles.xml" Id="docRId14" Type="http://schemas.openxmlformats.org/officeDocument/2006/relationships/styles" /><Relationship TargetMode="External" Target="https://learn.org/articles/What_are_Academic_Communications.%5BAccessed" Id="docRId2" Type="http://schemas.openxmlformats.org/officeDocument/2006/relationships/hyperlink" /><Relationship Target="media/image1.wmf" Id="docRId6" Type="http://schemas.openxmlformats.org/officeDocument/2006/relationships/image" /><Relationship Target="media/image0.wmf" Id="docRId1" Type="http://schemas.openxmlformats.org/officeDocument/2006/relationships/image" /><Relationship Target="embeddings/oleObject4.bin" Id="docRId11" Type="http://schemas.openxmlformats.org/officeDocument/2006/relationships/oleObject" /><Relationship Target="embeddings/oleObject1.bin" Id="docRId5" Type="http://schemas.openxmlformats.org/officeDocument/2006/relationships/oleObject" /><Relationship Target="embeddings/oleObject3.bin" Id="docRId9" Type="http://schemas.openxmlformats.org/officeDocument/2006/relationships/oleObject" /><Relationship Target="embeddings/oleObject0.bin" Id="docRId0" Type="http://schemas.openxmlformats.org/officeDocument/2006/relationships/oleObject" /><Relationship Target="media/image4.wmf" Id="docRId12" Type="http://schemas.openxmlformats.org/officeDocument/2006/relationships/image" /><Relationship TargetMode="External" Target="https://www.vocabulary.com/dictionary/convincing" Id="docRId4" Type="http://schemas.openxmlformats.org/officeDocument/2006/relationships/hyperlink" /><Relationship Target="media/image2.wmf" Id="docRId8" Type="http://schemas.openxmlformats.org/officeDocument/2006/relationships/image" /></Relationships>
</file>