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 Type="http://schemas.microsoft.com/office/2011/relationships/webextensiontaskpanes" Target="/word/webextensions/taskpanes.xml" Id="R4be15a7286d7484b"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37CD4FB" w:rsidP="737CD4FB" w:rsidRDefault="737CD4FB" w14:noSpellErr="1" w14:paraId="3D5FF536" w14:textId="389C2DA6">
      <w:pPr>
        <w:spacing w:line="360" w:lineRule="auto"/>
        <w:jc w:val="both"/>
        <w:rPr>
          <w:rFonts w:ascii="Calibri" w:hAnsi="Calibri" w:eastAsia="Calibri" w:cs="Calibri"/>
          <w:b w:val="1"/>
          <w:bCs w:val="1"/>
          <w:noProof w:val="0"/>
          <w:sz w:val="28"/>
          <w:szCs w:val="28"/>
          <w:u w:val="single"/>
          <w:lang w:val="en-GB"/>
        </w:rPr>
      </w:pPr>
      <w:r w:rsidRPr="737CD4FB" w:rsidR="737CD4FB">
        <w:rPr>
          <w:rFonts w:ascii="Calibri" w:hAnsi="Calibri" w:eastAsia="Calibri" w:cs="Calibri"/>
          <w:b w:val="1"/>
          <w:bCs w:val="1"/>
          <w:noProof w:val="0"/>
          <w:sz w:val="28"/>
          <w:szCs w:val="28"/>
          <w:u w:val="single"/>
          <w:lang w:val="en-GB"/>
        </w:rPr>
        <w:t>Communication and counselling</w:t>
      </w:r>
    </w:p>
    <w:p w:rsidR="737CD4FB" w:rsidP="737CD4FB" w:rsidRDefault="737CD4FB" w14:noSpellErr="1" w14:paraId="229791A5" w14:textId="16644342">
      <w:pPr>
        <w:spacing w:line="360" w:lineRule="auto"/>
        <w:jc w:val="both"/>
        <w:rPr>
          <w:rFonts w:ascii="Calibri" w:hAnsi="Calibri" w:eastAsia="Calibri" w:cs="Calibri"/>
          <w:noProof w:val="0"/>
          <w:sz w:val="22"/>
          <w:szCs w:val="22"/>
          <w:lang w:val="en-GB"/>
        </w:rPr>
      </w:pPr>
      <w:r w:rsidRPr="737CD4FB" w:rsidR="737CD4FB">
        <w:rPr>
          <w:rFonts w:ascii="Calibri" w:hAnsi="Calibri" w:eastAsia="Calibri" w:cs="Calibri"/>
          <w:b w:val="1"/>
          <w:bCs w:val="1"/>
          <w:noProof w:val="0"/>
          <w:sz w:val="28"/>
          <w:szCs w:val="28"/>
          <w:u w:val="single"/>
          <w:lang w:val="en-GB"/>
        </w:rPr>
        <w:t>Comparison of therapy theories</w:t>
      </w:r>
    </w:p>
    <w:p w:rsidR="737CD4FB" w:rsidP="737CD4FB" w:rsidRDefault="737CD4FB" w14:noSpellErr="1" w14:paraId="7C4901CF" w14:textId="72B64040">
      <w:pPr>
        <w:spacing w:line="360" w:lineRule="auto"/>
        <w:jc w:val="both"/>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 xml:space="preserve">This assignment is to compare and contrast three different methods of therapy and to find out how they are beneficial in the nursing environment.  At the same time, the ethical codes of today will be reviewed as well as the boundaries that apply to the professional counselling setting. The three theories that will be covered are: Psychodynamic theory, Person Centred Theory (PCT), and Cognitive Behavioural Therapy. The essay will discuss what they are and how each one relates to the other as well as their original design.  Person centred theory was defined </w:t>
      </w:r>
      <w:r w:rsidRPr="737CD4FB" w:rsidR="737CD4FB">
        <w:rPr>
          <w:rFonts w:ascii="Calibri" w:hAnsi="Calibri" w:eastAsia="Calibri" w:cs="Calibri"/>
          <w:noProof w:val="0"/>
          <w:sz w:val="22"/>
          <w:szCs w:val="22"/>
          <w:lang w:val="en-GB"/>
        </w:rPr>
        <w:t xml:space="preserve">in the 1940s </w:t>
      </w:r>
      <w:r w:rsidRPr="737CD4FB" w:rsidR="737CD4FB">
        <w:rPr>
          <w:rFonts w:ascii="Calibri" w:hAnsi="Calibri" w:eastAsia="Calibri" w:cs="Calibri"/>
          <w:noProof w:val="0"/>
          <w:sz w:val="22"/>
          <w:szCs w:val="22"/>
          <w:lang w:val="en-GB"/>
        </w:rPr>
        <w:t xml:space="preserve">and developed </w:t>
      </w:r>
      <w:r w:rsidRPr="737CD4FB" w:rsidR="737CD4FB">
        <w:rPr>
          <w:rFonts w:ascii="Calibri" w:hAnsi="Calibri" w:eastAsia="Calibri" w:cs="Calibri"/>
          <w:noProof w:val="0"/>
          <w:sz w:val="22"/>
          <w:szCs w:val="22"/>
          <w:lang w:val="en-GB"/>
        </w:rPr>
        <w:t xml:space="preserve">in the 1950s </w:t>
      </w:r>
      <w:r w:rsidRPr="737CD4FB" w:rsidR="737CD4FB">
        <w:rPr>
          <w:rFonts w:ascii="Calibri" w:hAnsi="Calibri" w:eastAsia="Calibri" w:cs="Calibri"/>
          <w:noProof w:val="0"/>
          <w:sz w:val="22"/>
          <w:szCs w:val="22"/>
          <w:lang w:val="en-GB"/>
        </w:rPr>
        <w:t>by Carl Rogers, (Wilkins. P,2016, Page 13</w:t>
      </w:r>
      <w:proofErr w:type="gramStart"/>
      <w:r w:rsidRPr="737CD4FB" w:rsidR="737CD4FB">
        <w:rPr>
          <w:rFonts w:ascii="Calibri" w:hAnsi="Calibri" w:eastAsia="Calibri" w:cs="Calibri"/>
          <w:noProof w:val="0"/>
          <w:sz w:val="22"/>
          <w:szCs w:val="22"/>
          <w:lang w:val="en-GB"/>
        </w:rPr>
        <w:t>) .</w:t>
      </w:r>
      <w:proofErr w:type="gramEnd"/>
      <w:r w:rsidRPr="737CD4FB" w:rsidR="737CD4FB">
        <w:rPr>
          <w:rFonts w:ascii="Calibri" w:hAnsi="Calibri" w:eastAsia="Calibri" w:cs="Calibri"/>
          <w:noProof w:val="0"/>
          <w:sz w:val="22"/>
          <w:szCs w:val="22"/>
          <w:lang w:val="en-GB"/>
        </w:rPr>
        <w:t xml:space="preserve"> The theory is based on the belief that people are able to solve their own problems when provided the correct environment. Carl Rogers believed that if a person was given the right environment then they could achieve self-actualization. This theory </w:t>
      </w:r>
      <w:r w:rsidRPr="737CD4FB" w:rsidR="737CD4FB">
        <w:rPr>
          <w:rFonts w:ascii="Calibri" w:hAnsi="Calibri" w:eastAsia="Calibri" w:cs="Calibri"/>
          <w:noProof w:val="0"/>
          <w:sz w:val="22"/>
          <w:szCs w:val="22"/>
          <w:lang w:val="en-GB"/>
        </w:rPr>
        <w:t>f</w:t>
      </w:r>
      <w:r w:rsidRPr="737CD4FB" w:rsidR="737CD4FB">
        <w:rPr>
          <w:rFonts w:ascii="Calibri" w:hAnsi="Calibri" w:eastAsia="Calibri" w:cs="Calibri"/>
          <w:noProof w:val="0"/>
          <w:sz w:val="22"/>
          <w:szCs w:val="22"/>
          <w:lang w:val="en-GB"/>
        </w:rPr>
        <w:t>ocuses on the client being the centre of the therapy and the therapist allowing the client to express themselves whilst showing unconditional positive regard. Carl Rogers Theory has three core conditions of empathy congruence and unconditional positive regard (Quinn. A, 2015, Page 1). Rogers believed that when all three of these conditions for a present a person could achieve self-actualisation.</w:t>
      </w:r>
    </w:p>
    <w:p w:rsidR="737CD4FB" w:rsidP="737CD4FB" w:rsidRDefault="737CD4FB" w14:paraId="25CC9B94" w14:textId="6E21ADC6">
      <w:pPr>
        <w:pStyle w:val="Normal"/>
        <w:spacing w:line="360" w:lineRule="auto"/>
        <w:jc w:val="both"/>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 xml:space="preserve"> Person-centred theory is predominantly client-centred however, Sigmund Freud's psychodynamic Theory (</w:t>
      </w:r>
      <w:proofErr w:type="spellStart"/>
      <w:r w:rsidRPr="737CD4FB" w:rsidR="737CD4FB">
        <w:rPr>
          <w:rFonts w:ascii="Calibri" w:hAnsi="Calibri" w:eastAsia="Calibri" w:cs="Calibri"/>
          <w:noProof w:val="0"/>
          <w:sz w:val="22"/>
          <w:szCs w:val="22"/>
          <w:lang w:val="en-GB"/>
        </w:rPr>
        <w:t>Bienenfeld</w:t>
      </w:r>
      <w:proofErr w:type="spellEnd"/>
      <w:r w:rsidRPr="737CD4FB" w:rsidR="737CD4FB">
        <w:rPr>
          <w:rFonts w:ascii="Calibri" w:hAnsi="Calibri" w:eastAsia="Calibri" w:cs="Calibri"/>
          <w:noProof w:val="0"/>
          <w:sz w:val="22"/>
          <w:szCs w:val="22"/>
          <w:lang w:val="en-GB"/>
        </w:rPr>
        <w:t>. D, 2006, Page 8) was developed between the 1890s and 1930s</w:t>
      </w:r>
      <w:r w:rsidRPr="737CD4FB" w:rsidR="737CD4FB">
        <w:rPr>
          <w:rFonts w:ascii="Calibri" w:hAnsi="Calibri" w:eastAsia="Calibri" w:cs="Calibri"/>
          <w:noProof w:val="0"/>
          <w:sz w:val="22"/>
          <w:szCs w:val="22"/>
          <w:lang w:val="en-GB"/>
        </w:rPr>
        <w:t xml:space="preserve"> (Dombeck. M, 2019)</w:t>
      </w:r>
      <w:r w:rsidRPr="737CD4FB" w:rsidR="737CD4FB">
        <w:rPr>
          <w:rFonts w:ascii="Calibri" w:hAnsi="Calibri" w:eastAsia="Calibri" w:cs="Calibri"/>
          <w:noProof w:val="0"/>
          <w:sz w:val="22"/>
          <w:szCs w:val="22"/>
          <w:lang w:val="en-GB"/>
        </w:rPr>
        <w:t xml:space="preserve"> is more of an even split between the client and the counsellor.   Psychodynamic Theory is based on diving into the unconscious mind of the patient in order to extract problems and deal with them at the source. Sigmund Freud believed that the mind was divided into three sections the conscious the preconscious and the subconscious (Taylor. E, 2009, Page 64). The conscious is fully aware of the surroundings, what is happening and deals with the current situation, the preconscious is made up of memories that have drifted out of the conscious but can be recalled with the write stimulus such as names dates telephone numbers. The unconscious part is the largest part of the mind is beyond awareness, is inaccessible and always remains as hidden unconscious mental activity.  Freud believed that the sub conscious inspired our day to day actions, however, the sub conscious can often leak through</w:t>
      </w:r>
      <w:r w:rsidRPr="737CD4FB" w:rsidR="737CD4FB">
        <w:rPr>
          <w:rFonts w:ascii="Calibri" w:hAnsi="Calibri" w:eastAsia="Calibri" w:cs="Calibri"/>
          <w:noProof w:val="0"/>
          <w:sz w:val="22"/>
          <w:szCs w:val="22"/>
          <w:lang w:val="en-GB"/>
        </w:rPr>
        <w:t xml:space="preserve"> into the conscious mind</w:t>
      </w:r>
      <w:r w:rsidRPr="737CD4FB" w:rsidR="737CD4FB">
        <w:rPr>
          <w:rFonts w:ascii="Calibri" w:hAnsi="Calibri" w:eastAsia="Calibri" w:cs="Calibri"/>
          <w:noProof w:val="0"/>
          <w:sz w:val="22"/>
          <w:szCs w:val="22"/>
          <w:lang w:val="en-GB"/>
        </w:rPr>
        <w:t xml:space="preserve"> in the form of dreams.  Psychodynamic theory deals with the past to correct the present, it delves into the mind to extract issues from the client’s past and therefore is different to person-centred Theory, which deals with the here and now where as psychodynamic theory believes that all issues that happen now are to do with something that happened in the past.  Therefore, under hypnosis, the counsellor will try to recall memories that may have caused the issues in the present.  The focus in psychodynamic theory is very much based in the past.  </w:t>
      </w:r>
    </w:p>
    <w:p w:rsidR="737CD4FB" w:rsidP="737CD4FB" w:rsidRDefault="737CD4FB" w14:noSpellErr="1" w14:paraId="3F4C02FC" w14:textId="429C113B">
      <w:pPr>
        <w:spacing w:line="360" w:lineRule="auto"/>
        <w:jc w:val="both"/>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 xml:space="preserve">While, both of these theories deal with the thoughts and feelings of the client, Cognitive Behavioural Therapy constructed by Albert Ellis in the 1960s (Dobson. K, Dozois. D, 2019, Page 11) (Jorn. A, 2018) believed that thought process affects how they act as a person through the thought, feeling, behaviour triangle. </w:t>
      </w:r>
      <w:r w:rsidRPr="737CD4FB" w:rsidR="737CD4FB">
        <w:rPr>
          <w:rFonts w:ascii="Calibri" w:hAnsi="Calibri" w:eastAsia="Calibri" w:cs="Calibri"/>
          <w:noProof w:val="0"/>
          <w:sz w:val="22"/>
          <w:szCs w:val="22"/>
          <w:lang w:val="en-GB"/>
        </w:rPr>
        <w:t>As an example of this triangle at work could include, a person</w:t>
      </w:r>
      <w:r w:rsidRPr="737CD4FB" w:rsidR="737CD4FB">
        <w:rPr>
          <w:rFonts w:ascii="Calibri" w:hAnsi="Calibri" w:eastAsia="Calibri" w:cs="Calibri"/>
          <w:noProof w:val="0"/>
          <w:sz w:val="22"/>
          <w:szCs w:val="22"/>
          <w:lang w:val="en-GB"/>
        </w:rPr>
        <w:t xml:space="preserve"> </w:t>
      </w:r>
      <w:r w:rsidRPr="737CD4FB" w:rsidR="737CD4FB">
        <w:rPr>
          <w:rFonts w:ascii="Calibri" w:hAnsi="Calibri" w:eastAsia="Calibri" w:cs="Calibri"/>
          <w:noProof w:val="0"/>
          <w:sz w:val="22"/>
          <w:szCs w:val="22"/>
          <w:lang w:val="en-GB"/>
        </w:rPr>
        <w:t xml:space="preserve">who </w:t>
      </w:r>
      <w:r w:rsidRPr="737CD4FB" w:rsidR="737CD4FB">
        <w:rPr>
          <w:rFonts w:ascii="Calibri" w:hAnsi="Calibri" w:eastAsia="Calibri" w:cs="Calibri"/>
          <w:noProof w:val="0"/>
          <w:sz w:val="22"/>
          <w:szCs w:val="22"/>
          <w:lang w:val="en-GB"/>
        </w:rPr>
        <w:t>sees something from the outside world</w:t>
      </w:r>
      <w:r w:rsidRPr="737CD4FB" w:rsidR="737CD4FB">
        <w:rPr>
          <w:rFonts w:ascii="Calibri" w:hAnsi="Calibri" w:eastAsia="Calibri" w:cs="Calibri"/>
          <w:noProof w:val="0"/>
          <w:sz w:val="22"/>
          <w:szCs w:val="22"/>
          <w:lang w:val="en-GB"/>
        </w:rPr>
        <w:t>;</w:t>
      </w:r>
      <w:r w:rsidRPr="737CD4FB" w:rsidR="737CD4FB">
        <w:rPr>
          <w:rFonts w:ascii="Calibri" w:hAnsi="Calibri" w:eastAsia="Calibri" w:cs="Calibri"/>
          <w:noProof w:val="0"/>
          <w:sz w:val="22"/>
          <w:szCs w:val="22"/>
          <w:lang w:val="en-GB"/>
        </w:rPr>
        <w:t xml:space="preserve"> they then develop thoughts about </w:t>
      </w:r>
      <w:r w:rsidRPr="737CD4FB" w:rsidR="737CD4FB">
        <w:rPr>
          <w:rFonts w:ascii="Calibri" w:hAnsi="Calibri" w:eastAsia="Calibri" w:cs="Calibri"/>
          <w:noProof w:val="0"/>
          <w:sz w:val="22"/>
          <w:szCs w:val="22"/>
          <w:lang w:val="en-GB"/>
        </w:rPr>
        <w:t>what</w:t>
      </w:r>
      <w:r w:rsidRPr="737CD4FB" w:rsidR="737CD4FB">
        <w:rPr>
          <w:rFonts w:ascii="Calibri" w:hAnsi="Calibri" w:eastAsia="Calibri" w:cs="Calibri"/>
          <w:noProof w:val="0"/>
          <w:sz w:val="22"/>
          <w:szCs w:val="22"/>
          <w:lang w:val="en-GB"/>
        </w:rPr>
        <w:t xml:space="preserve"> </w:t>
      </w:r>
      <w:r w:rsidRPr="737CD4FB" w:rsidR="737CD4FB">
        <w:rPr>
          <w:rFonts w:ascii="Calibri" w:hAnsi="Calibri" w:eastAsia="Calibri" w:cs="Calibri"/>
          <w:noProof w:val="0"/>
          <w:sz w:val="22"/>
          <w:szCs w:val="22"/>
          <w:lang w:val="en-GB"/>
        </w:rPr>
        <w:t xml:space="preserve">they have witnessed </w:t>
      </w:r>
      <w:r w:rsidRPr="737CD4FB" w:rsidR="737CD4FB">
        <w:rPr>
          <w:rFonts w:ascii="Calibri" w:hAnsi="Calibri" w:eastAsia="Calibri" w:cs="Calibri"/>
          <w:noProof w:val="0"/>
          <w:sz w:val="22"/>
          <w:szCs w:val="22"/>
          <w:lang w:val="en-GB"/>
        </w:rPr>
        <w:t xml:space="preserve">which then affects their feelings </w:t>
      </w:r>
      <w:r w:rsidRPr="737CD4FB" w:rsidR="737CD4FB">
        <w:rPr>
          <w:rFonts w:ascii="Calibri" w:hAnsi="Calibri" w:eastAsia="Calibri" w:cs="Calibri"/>
          <w:noProof w:val="0"/>
          <w:sz w:val="22"/>
          <w:szCs w:val="22"/>
          <w:lang w:val="en-GB"/>
        </w:rPr>
        <w:t>and subsequently this will</w:t>
      </w:r>
      <w:r w:rsidRPr="737CD4FB" w:rsidR="737CD4FB">
        <w:rPr>
          <w:rFonts w:ascii="Calibri" w:hAnsi="Calibri" w:eastAsia="Calibri" w:cs="Calibri"/>
          <w:noProof w:val="0"/>
          <w:sz w:val="22"/>
          <w:szCs w:val="22"/>
          <w:lang w:val="en-GB"/>
        </w:rPr>
        <w:t xml:space="preserve"> affect the behaviour around th</w:t>
      </w:r>
      <w:r w:rsidRPr="737CD4FB" w:rsidR="737CD4FB">
        <w:rPr>
          <w:rFonts w:ascii="Calibri" w:hAnsi="Calibri" w:eastAsia="Calibri" w:cs="Calibri"/>
          <w:noProof w:val="0"/>
          <w:sz w:val="22"/>
          <w:szCs w:val="22"/>
          <w:lang w:val="en-GB"/>
        </w:rPr>
        <w:t>e</w:t>
      </w:r>
      <w:r w:rsidRPr="737CD4FB" w:rsidR="737CD4FB">
        <w:rPr>
          <w:rFonts w:ascii="Calibri" w:hAnsi="Calibri" w:eastAsia="Calibri" w:cs="Calibri"/>
          <w:noProof w:val="0"/>
          <w:sz w:val="22"/>
          <w:szCs w:val="22"/>
          <w:lang w:val="en-GB"/>
        </w:rPr>
        <w:t xml:space="preserve"> situation</w:t>
      </w:r>
      <w:r w:rsidRPr="737CD4FB" w:rsidR="737CD4FB">
        <w:rPr>
          <w:rFonts w:ascii="Calibri" w:hAnsi="Calibri" w:eastAsia="Calibri" w:cs="Calibri"/>
          <w:noProof w:val="0"/>
          <w:sz w:val="22"/>
          <w:szCs w:val="22"/>
          <w:lang w:val="en-GB"/>
        </w:rPr>
        <w:t xml:space="preserve">. </w:t>
      </w:r>
      <w:r w:rsidRPr="737CD4FB" w:rsidR="737CD4FB">
        <w:rPr>
          <w:rFonts w:ascii="Calibri" w:hAnsi="Calibri" w:eastAsia="Calibri" w:cs="Calibri"/>
          <w:noProof w:val="0"/>
          <w:sz w:val="22"/>
          <w:szCs w:val="22"/>
          <w:lang w:val="en-GB"/>
        </w:rPr>
        <w:t xml:space="preserve"> </w:t>
      </w:r>
      <w:r w:rsidRPr="737CD4FB" w:rsidR="737CD4FB">
        <w:rPr>
          <w:rFonts w:ascii="Calibri" w:hAnsi="Calibri" w:eastAsia="Calibri" w:cs="Calibri"/>
          <w:noProof w:val="0"/>
          <w:sz w:val="22"/>
          <w:szCs w:val="22"/>
          <w:lang w:val="en-GB"/>
        </w:rPr>
        <w:t>The behaviour then</w:t>
      </w:r>
      <w:r w:rsidRPr="737CD4FB" w:rsidR="737CD4FB">
        <w:rPr>
          <w:rFonts w:ascii="Calibri" w:hAnsi="Calibri" w:eastAsia="Calibri" w:cs="Calibri"/>
          <w:noProof w:val="0"/>
          <w:sz w:val="22"/>
          <w:szCs w:val="22"/>
          <w:lang w:val="en-GB"/>
        </w:rPr>
        <w:t xml:space="preserve"> returns to </w:t>
      </w:r>
      <w:r w:rsidRPr="737CD4FB" w:rsidR="737CD4FB">
        <w:rPr>
          <w:rFonts w:ascii="Calibri" w:hAnsi="Calibri" w:eastAsia="Calibri" w:cs="Calibri"/>
          <w:noProof w:val="0"/>
          <w:sz w:val="22"/>
          <w:szCs w:val="22"/>
          <w:lang w:val="en-GB"/>
        </w:rPr>
        <w:t>reinforce the feelings.</w:t>
      </w:r>
      <w:r w:rsidRPr="737CD4FB" w:rsidR="737CD4FB">
        <w:rPr>
          <w:rFonts w:ascii="Calibri" w:hAnsi="Calibri" w:eastAsia="Calibri" w:cs="Calibri"/>
          <w:noProof w:val="0"/>
          <w:sz w:val="22"/>
          <w:szCs w:val="22"/>
          <w:lang w:val="en-GB"/>
        </w:rPr>
        <w:t xml:space="preserve">  Albert Ellis considers it a, “Downward Spiral,” that he could correct via interjecting positive thoughts to counteract the negative ones that he believed were affecting the thought feeling behaviour triangle. It is believed that what people thought of the world affected how they thought and feel at the time and overall affected their behaviour which would leave to automatic negative thoughts and assumptions which would lead to distortion or irrational thinking such as catastrophising or overgeneralization. Despite the lack of client awareness, it is shown to be effective in areas of anxiety, depression and phobias by retraining the thoughts of the person to think </w:t>
      </w:r>
      <w:r w:rsidRPr="737CD4FB" w:rsidR="737CD4FB">
        <w:rPr>
          <w:rFonts w:ascii="Calibri" w:hAnsi="Calibri" w:eastAsia="Calibri" w:cs="Calibri"/>
          <w:noProof w:val="0"/>
          <w:sz w:val="22"/>
          <w:szCs w:val="22"/>
          <w:lang w:val="en-GB"/>
        </w:rPr>
        <w:t>in</w:t>
      </w:r>
      <w:r w:rsidRPr="737CD4FB" w:rsidR="737CD4FB">
        <w:rPr>
          <w:rFonts w:ascii="Calibri" w:hAnsi="Calibri" w:eastAsia="Calibri" w:cs="Calibri"/>
          <w:noProof w:val="0"/>
          <w:sz w:val="22"/>
          <w:szCs w:val="22"/>
          <w:lang w:val="en-GB"/>
        </w:rPr>
        <w:t xml:space="preserve"> </w:t>
      </w:r>
      <w:r w:rsidRPr="737CD4FB" w:rsidR="737CD4FB">
        <w:rPr>
          <w:rFonts w:ascii="Calibri" w:hAnsi="Calibri" w:eastAsia="Calibri" w:cs="Calibri"/>
          <w:noProof w:val="0"/>
          <w:sz w:val="22"/>
          <w:szCs w:val="22"/>
          <w:lang w:val="en-GB"/>
        </w:rPr>
        <w:t xml:space="preserve">a more positive fashion </w:t>
      </w:r>
      <w:r w:rsidRPr="737CD4FB" w:rsidR="737CD4FB">
        <w:rPr>
          <w:rFonts w:ascii="Calibri" w:hAnsi="Calibri" w:eastAsia="Calibri" w:cs="Calibri"/>
          <w:noProof w:val="0"/>
          <w:sz w:val="22"/>
          <w:szCs w:val="22"/>
          <w:lang w:val="en-GB"/>
        </w:rPr>
        <w:t>such as daily mantras</w:t>
      </w:r>
      <w:r w:rsidRPr="737CD4FB" w:rsidR="737CD4FB">
        <w:rPr>
          <w:rFonts w:ascii="Calibri" w:hAnsi="Calibri" w:eastAsia="Calibri" w:cs="Calibri"/>
          <w:noProof w:val="0"/>
          <w:sz w:val="22"/>
          <w:szCs w:val="22"/>
          <w:lang w:val="en-GB"/>
        </w:rPr>
        <w:t>,</w:t>
      </w:r>
      <w:r w:rsidRPr="737CD4FB" w:rsidR="737CD4FB">
        <w:rPr>
          <w:rFonts w:ascii="Calibri" w:hAnsi="Calibri" w:eastAsia="Calibri" w:cs="Calibri"/>
          <w:noProof w:val="0"/>
          <w:sz w:val="22"/>
          <w:szCs w:val="22"/>
          <w:lang w:val="en-GB"/>
        </w:rPr>
        <w:t xml:space="preserve"> strategies in order to cope with stressful situations</w:t>
      </w:r>
      <w:r w:rsidRPr="737CD4FB" w:rsidR="737CD4FB">
        <w:rPr>
          <w:rFonts w:ascii="Calibri" w:hAnsi="Calibri" w:eastAsia="Calibri" w:cs="Calibri"/>
          <w:noProof w:val="0"/>
          <w:sz w:val="22"/>
          <w:szCs w:val="22"/>
          <w:lang w:val="en-GB"/>
        </w:rPr>
        <w:t>.</w:t>
      </w:r>
    </w:p>
    <w:p w:rsidR="737CD4FB" w:rsidP="737CD4FB" w:rsidRDefault="737CD4FB" w14:noSpellErr="1" w14:paraId="36A23144" w14:textId="247100D5">
      <w:pPr>
        <w:spacing w:line="360" w:lineRule="auto"/>
        <w:jc w:val="both"/>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 xml:space="preserve">The ethical side of therapy must also be considered when using these theories.  The two governing bodies that have both set up ethical frameworks for counselling in the UK are, the UK Counsel for Psychotherapy (UKCP) (UK Counsel for Psychotherapy, 2019) and the British Association for Counselling and Psychotherapy (BACP) (British Association for Counselling and Psychotherapy, 2019).  At times the two governing bodies appeared to be at odds with each other but on some certain issues they agree such as the counsellor patient relationship in that the patient relationship must have strict boundaries that are not breached.  This is high on the agenda of both governing bodies who strongly encourage the counsellors to keep their practice within the codes. The counsellor must have self-respect for the patient's identity, self-knowledge and their care.  Both frameworks agree that the counsellors have to promote the client's well-being. Councillors have to be fair and impartial with every client that they help to make sure that the client does not come to any harm whilst they are in their care. These codes maintain a professional barrier between the client and the counsellor meaning that work between the two is strictly confidential, private and professional and there will be sanctions if the counsellor breaks the codes. </w:t>
      </w:r>
    </w:p>
    <w:p w:rsidR="737CD4FB" w:rsidP="737CD4FB" w:rsidRDefault="737CD4FB" w14:noSpellErr="1" w14:paraId="47ECF5E9" w14:textId="29C1BA4B">
      <w:pPr>
        <w:spacing w:line="360" w:lineRule="auto"/>
        <w:jc w:val="both"/>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 xml:space="preserve">There is also an expectation in the BACP Ethical framework that if practitioners should encounter circumstances where it is impossible to use the appropriate methods, then the practitioner can prioritise what to do first and which way would be best in order to provide help.  It should be noted that the Counsellor is responsible and will be held accountable for decisions made. The framework also implies that there has to be a strong connection between practitioner and client in order for the best care to be given to the client. This means there should be correct counselling methods such as SOLER in order to gain a better bond with the client and therefore better care. The BACP regulations are quite strict in the fact that they put clients first: meaning that the Client is the primary concern whilst they are working with the practitioner and that the standard service is appropriate, that the work that they are giving is within the competence of the practitioner and that knowledge and skills are up-to-date. Counsellors must be willing to collaborate with other colleagues to improve the quality of care to clients and appropriate records are kept of the session. Counsellors must ensure they show respect for a client by evaluate them as a person and protecting their confidentiality and privacy whilst developing a partnership with the client.  The relationship must remain appropriate; the client clearly needs to state what they are expecting and the counsellor state the rights of the client, including any costs or other commitments that may affect the relationship. The counsellor cannot exploit or abuse the client in any way. Counsellors must maintain their integrity by being honest, by keeping up to date and explaining any legal obligations. Counsellors must demonstrate accountability and candour, they need to set boundaries for their discussions with the client and what the agreed desired outcomes are for the therapy sessions. The client must be informed if anything outside the session has happened that would put the client in harm's way. The client must be made aware that the session will be reviewed under supervision with other colleagues that the client has previously worked with. </w:t>
      </w:r>
    </w:p>
    <w:p w:rsidR="737CD4FB" w:rsidP="737CD4FB" w:rsidRDefault="737CD4FB" w14:paraId="2E411D35" w14:textId="70DE912A">
      <w:pPr>
        <w:pStyle w:val="Normal"/>
        <w:spacing w:line="360" w:lineRule="auto"/>
        <w:jc w:val="both"/>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In nursing practice, counselling and effective communication are vital, whether it's administrating medicines or talking to patients or service users.  The first thing any nurse has to do when they first meet a patient is to gain the patient’s trust and gain consent.  To do this the nurse has to identify their role and the authority which is often stated in the first moments of meeting the patient as they introduce themselves via their name and their job title. They will have to explain the contract of care in a way the patient understands. (Midwinter. R, Dickinson. J, 2015, Page 11). Usually, the client has enough information about the nurse or doctor to either consent or not consent to the counselling process. Consent in nursing is a vital area that is required in almost every part of the nursing profession which may be gained through communication and counselling (NMC, 2015). Should the patient want to reveal anything more to the nurse whilst they are performing their general duties then counselling takes precedent and the nurse should be able to counsel the patient for the time that the nurse has with the patient(</w:t>
      </w:r>
      <w:proofErr w:type="spellStart"/>
      <w:r w:rsidRPr="737CD4FB" w:rsidR="737CD4FB">
        <w:rPr>
          <w:noProof w:val="0"/>
          <w:lang w:val="en-GB"/>
        </w:rPr>
        <w:t>Paavilainen</w:t>
      </w:r>
      <w:proofErr w:type="spellEnd"/>
      <w:r w:rsidRPr="737CD4FB" w:rsidR="737CD4FB">
        <w:rPr>
          <w:noProof w:val="0"/>
          <w:lang w:val="en-GB"/>
        </w:rPr>
        <w:t xml:space="preserve">. E, </w:t>
      </w:r>
      <w:r w:rsidRPr="737CD4FB" w:rsidR="737CD4FB">
        <w:rPr>
          <w:noProof w:val="0"/>
          <w:lang w:val="en-GB"/>
        </w:rPr>
        <w:t>Salminen-</w:t>
      </w:r>
      <w:proofErr w:type="spellStart"/>
      <w:r w:rsidRPr="737CD4FB" w:rsidR="737CD4FB">
        <w:rPr>
          <w:noProof w:val="0"/>
          <w:lang w:val="en-GB"/>
        </w:rPr>
        <w:t>Tuomaala</w:t>
      </w:r>
      <w:proofErr w:type="spellEnd"/>
      <w:r w:rsidRPr="737CD4FB" w:rsidR="737CD4FB">
        <w:rPr>
          <w:noProof w:val="0"/>
          <w:lang w:val="en-GB"/>
        </w:rPr>
        <w:t xml:space="preserve">. </w:t>
      </w:r>
      <w:r w:rsidRPr="737CD4FB" w:rsidR="737CD4FB">
        <w:rPr>
          <w:noProof w:val="0"/>
          <w:lang w:val="en-GB"/>
        </w:rPr>
        <w:t>M</w:t>
      </w:r>
      <w:r w:rsidRPr="737CD4FB" w:rsidR="737CD4FB">
        <w:rPr>
          <w:noProof w:val="0"/>
          <w:lang w:val="en-GB"/>
        </w:rPr>
        <w:t>,</w:t>
      </w:r>
      <w:r w:rsidRPr="737CD4FB" w:rsidR="737CD4FB">
        <w:rPr>
          <w:noProof w:val="0"/>
          <w:lang w:val="en-GB"/>
        </w:rPr>
        <w:t xml:space="preserve"> </w:t>
      </w:r>
      <w:proofErr w:type="spellStart"/>
      <w:r w:rsidRPr="737CD4FB" w:rsidR="737CD4FB">
        <w:rPr>
          <w:noProof w:val="0"/>
          <w:lang w:val="en-GB"/>
        </w:rPr>
        <w:t>Leikkola</w:t>
      </w:r>
      <w:proofErr w:type="spellEnd"/>
      <w:r w:rsidRPr="737CD4FB" w:rsidR="737CD4FB">
        <w:rPr>
          <w:noProof w:val="0"/>
          <w:lang w:val="en-GB"/>
        </w:rPr>
        <w:t>.</w:t>
      </w:r>
      <w:r w:rsidRPr="737CD4FB" w:rsidR="737CD4FB">
        <w:rPr>
          <w:noProof w:val="0"/>
          <w:lang w:val="en-GB"/>
        </w:rPr>
        <w:t xml:space="preserve"> P</w:t>
      </w:r>
      <w:r w:rsidRPr="737CD4FB" w:rsidR="737CD4FB">
        <w:rPr>
          <w:noProof w:val="0"/>
          <w:lang w:val="en-GB"/>
        </w:rPr>
        <w:t xml:space="preserve">, </w:t>
      </w:r>
      <w:r w:rsidRPr="737CD4FB" w:rsidR="737CD4FB">
        <w:rPr>
          <w:noProof w:val="0"/>
          <w:lang w:val="en-GB"/>
        </w:rPr>
        <w:t>2012</w:t>
      </w:r>
      <w:r w:rsidRPr="737CD4FB" w:rsidR="737CD4FB">
        <w:rPr>
          <w:noProof w:val="0"/>
          <w:lang w:val="en-GB"/>
        </w:rPr>
        <w:t>)</w:t>
      </w:r>
      <w:r w:rsidRPr="737CD4FB" w:rsidR="737CD4FB">
        <w:rPr>
          <w:rFonts w:ascii="Calibri" w:hAnsi="Calibri" w:eastAsia="Calibri" w:cs="Calibri"/>
          <w:noProof w:val="0"/>
          <w:sz w:val="22"/>
          <w:szCs w:val="22"/>
          <w:lang w:val="en-GB"/>
        </w:rPr>
        <w:t xml:space="preserve">.  On such an occasion, the nurse would introduce counselling methods such as their physical position, active listening and maintaining a connection with the patient. Depending on the situation, the nurse counsellor or practitioner may consider applying the theories that have been described in this assignment if the practitioner has gained consent and works within the communication and counselling guidelines. When the patient is able to trust the practitioner in what they are doing they will be more comfortable, and also be more accepting to consent to medical processes such as drug administration </w:t>
      </w:r>
      <w:r w:rsidRPr="737CD4FB" w:rsidR="737CD4FB">
        <w:rPr>
          <w:rFonts w:ascii="Calibri" w:hAnsi="Calibri" w:eastAsia="Calibri" w:cs="Calibri"/>
          <w:noProof w:val="0"/>
          <w:sz w:val="22"/>
          <w:szCs w:val="22"/>
          <w:lang w:val="en-GB"/>
        </w:rPr>
        <w:t>(Royal College of Nursing, 2017)</w:t>
      </w:r>
      <w:r w:rsidRPr="737CD4FB" w:rsidR="737CD4FB">
        <w:rPr>
          <w:rFonts w:ascii="Calibri" w:hAnsi="Calibri" w:eastAsia="Calibri" w:cs="Calibri"/>
          <w:noProof w:val="0"/>
          <w:sz w:val="22"/>
          <w:szCs w:val="22"/>
          <w:lang w:val="en-GB"/>
        </w:rPr>
        <w:t>. A drug cannot be administered to a patient without consent either from the patient or the patient's guardian at the time. Therefore, communication counselling can be utilised in order to gain consent from the patient or guardian. Should the patient or guardian begin to get nervous during the procedure then counselling and communication can be used in order to calm down the patient or guardian whilst administering the drug that is needed. Should a client or patient reject the treatment offered or does not give consent then the alternative is to offer counselling in order for the client or patient to see the benefits of the treatment and therefore may or may not change their opinion of it and in the end may consent to it. Overall counselling facilitates a richer quality of care between the patient and the practitioner.</w:t>
      </w:r>
    </w:p>
    <w:p w:rsidR="737CD4FB" w:rsidP="737CD4FB" w:rsidRDefault="737CD4FB" w14:noSpellErr="1" w14:paraId="6BAEB130" w14:textId="0624436E">
      <w:pPr>
        <w:spacing w:line="360" w:lineRule="auto"/>
        <w:jc w:val="both"/>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 xml:space="preserve">In summary the three theories differ in some places but then also relate to each other in other places, regardless of whether it is the BACP or UKCP both </w:t>
      </w:r>
      <w:r w:rsidRPr="737CD4FB" w:rsidR="737CD4FB">
        <w:rPr>
          <w:rFonts w:ascii="Calibri" w:hAnsi="Calibri" w:eastAsia="Calibri" w:cs="Calibri"/>
          <w:noProof w:val="0"/>
          <w:sz w:val="22"/>
          <w:szCs w:val="22"/>
          <w:lang w:val="en-GB"/>
        </w:rPr>
        <w:t>organisations</w:t>
      </w:r>
      <w:r w:rsidRPr="737CD4FB" w:rsidR="737CD4FB">
        <w:rPr>
          <w:rFonts w:ascii="Calibri" w:hAnsi="Calibri" w:eastAsia="Calibri" w:cs="Calibri"/>
          <w:noProof w:val="0"/>
          <w:sz w:val="22"/>
          <w:szCs w:val="22"/>
          <w:lang w:val="en-GB"/>
        </w:rPr>
        <w:t xml:space="preserve"> agreed that the counsellors should maintain a professional standing with the client to build a relationship with the client that is purely professional. In </w:t>
      </w:r>
      <w:proofErr w:type="gramStart"/>
      <w:r w:rsidRPr="737CD4FB" w:rsidR="737CD4FB">
        <w:rPr>
          <w:rFonts w:ascii="Calibri" w:hAnsi="Calibri" w:eastAsia="Calibri" w:cs="Calibri"/>
          <w:noProof w:val="0"/>
          <w:sz w:val="22"/>
          <w:szCs w:val="22"/>
          <w:lang w:val="en-GB"/>
        </w:rPr>
        <w:t>addition  confidentiality</w:t>
      </w:r>
      <w:proofErr w:type="gramEnd"/>
      <w:r w:rsidRPr="737CD4FB" w:rsidR="737CD4FB">
        <w:rPr>
          <w:rFonts w:ascii="Calibri" w:hAnsi="Calibri" w:eastAsia="Calibri" w:cs="Calibri"/>
          <w:noProof w:val="0"/>
          <w:sz w:val="22"/>
          <w:szCs w:val="22"/>
          <w:lang w:val="en-GB"/>
        </w:rPr>
        <w:t xml:space="preserve"> between the counsellor and the client must be maintained at all times and must not be breached. All three series can be applied when dealing with patients, however the practitioner dealing with the patient can use their professional judgement in order to provide the best help possible for that patient. Communication in counselling is vital </w:t>
      </w:r>
      <w:proofErr w:type="gramStart"/>
      <w:r w:rsidRPr="737CD4FB" w:rsidR="737CD4FB">
        <w:rPr>
          <w:rFonts w:ascii="Calibri" w:hAnsi="Calibri" w:eastAsia="Calibri" w:cs="Calibri"/>
          <w:noProof w:val="0"/>
          <w:sz w:val="22"/>
          <w:szCs w:val="22"/>
          <w:lang w:val="en-GB"/>
        </w:rPr>
        <w:t>to  nursing</w:t>
      </w:r>
      <w:proofErr w:type="gramEnd"/>
      <w:r w:rsidRPr="737CD4FB" w:rsidR="737CD4FB">
        <w:rPr>
          <w:rFonts w:ascii="Calibri" w:hAnsi="Calibri" w:eastAsia="Calibri" w:cs="Calibri"/>
          <w:noProof w:val="0"/>
          <w:sz w:val="22"/>
          <w:szCs w:val="22"/>
          <w:lang w:val="en-GB"/>
        </w:rPr>
        <w:t xml:space="preserve"> practice as most of the day-to-day functions would not be able to occur because of a lack of consent which would have been gained by communication and counselling.</w:t>
      </w:r>
    </w:p>
    <w:p w:rsidR="737CD4FB" w:rsidP="737CD4FB" w:rsidRDefault="737CD4FB" w14:paraId="6E17BD73" w14:textId="57619C7E">
      <w:pPr>
        <w:spacing w:line="360" w:lineRule="auto"/>
        <w:jc w:val="both"/>
        <w:rPr>
          <w:noProof w:val="0"/>
          <w:lang w:val="en-GB"/>
        </w:rPr>
      </w:pPr>
    </w:p>
    <w:p w:rsidR="737CD4FB" w:rsidP="737CD4FB" w:rsidRDefault="737CD4FB" w14:paraId="64C02CE1" w14:textId="2AAE1E1A">
      <w:pPr>
        <w:spacing w:line="360" w:lineRule="auto"/>
        <w:jc w:val="both"/>
        <w:rPr>
          <w:noProof w:val="0"/>
          <w:lang w:val="en-GB"/>
        </w:rPr>
      </w:pPr>
    </w:p>
    <w:p w:rsidR="737CD4FB" w:rsidP="737CD4FB" w:rsidRDefault="737CD4FB" w14:paraId="252342B5" w14:textId="04FD44E9">
      <w:pPr>
        <w:spacing w:line="360" w:lineRule="auto"/>
        <w:jc w:val="both"/>
        <w:rPr>
          <w:noProof w:val="0"/>
          <w:lang w:val="en-GB"/>
        </w:rPr>
      </w:pPr>
    </w:p>
    <w:p w:rsidR="737CD4FB" w:rsidP="737CD4FB" w:rsidRDefault="737CD4FB" w14:paraId="3057F989" w14:textId="2801BBD1">
      <w:pPr>
        <w:spacing w:line="360" w:lineRule="auto"/>
        <w:jc w:val="both"/>
        <w:rPr>
          <w:noProof w:val="0"/>
          <w:lang w:val="en-GB"/>
        </w:rPr>
      </w:pPr>
    </w:p>
    <w:p w:rsidR="737CD4FB" w:rsidP="737CD4FB" w:rsidRDefault="737CD4FB" w14:paraId="606098E9" w14:textId="22DBA1FD">
      <w:pPr>
        <w:spacing w:line="360" w:lineRule="auto"/>
        <w:jc w:val="both"/>
        <w:rPr>
          <w:noProof w:val="0"/>
          <w:lang w:val="en-GB"/>
        </w:rPr>
      </w:pPr>
    </w:p>
    <w:p w:rsidR="737CD4FB" w:rsidP="737CD4FB" w:rsidRDefault="737CD4FB" w14:paraId="0DBDF28E" w14:textId="60B3CB09">
      <w:pPr>
        <w:spacing w:line="360" w:lineRule="auto"/>
        <w:jc w:val="both"/>
        <w:rPr>
          <w:noProof w:val="0"/>
          <w:lang w:val="en-GB"/>
        </w:rPr>
      </w:pPr>
    </w:p>
    <w:p w:rsidR="737CD4FB" w:rsidP="737CD4FB" w:rsidRDefault="737CD4FB" w14:paraId="6D6AAF1B" w14:textId="3ADB0CB0">
      <w:pPr>
        <w:spacing w:line="360" w:lineRule="auto"/>
        <w:jc w:val="both"/>
        <w:rPr>
          <w:noProof w:val="0"/>
          <w:lang w:val="en-GB"/>
        </w:rPr>
      </w:pPr>
    </w:p>
    <w:p w:rsidR="737CD4FB" w:rsidP="737CD4FB" w:rsidRDefault="737CD4FB" w14:paraId="44BB0A5E" w14:textId="0860DE39">
      <w:pPr>
        <w:spacing w:line="360" w:lineRule="auto"/>
        <w:jc w:val="both"/>
        <w:rPr>
          <w:noProof w:val="0"/>
          <w:lang w:val="en-GB"/>
        </w:rPr>
      </w:pPr>
    </w:p>
    <w:p w:rsidR="737CD4FB" w:rsidP="737CD4FB" w:rsidRDefault="737CD4FB" w14:paraId="2CC5D21B" w14:textId="61AF16C9">
      <w:pPr>
        <w:spacing w:line="360" w:lineRule="auto"/>
        <w:jc w:val="both"/>
        <w:rPr>
          <w:noProof w:val="0"/>
          <w:lang w:val="en-GB"/>
        </w:rPr>
      </w:pPr>
    </w:p>
    <w:p w:rsidR="737CD4FB" w:rsidP="737CD4FB" w:rsidRDefault="737CD4FB" w14:paraId="1F84D1C3" w14:textId="44FC9D89">
      <w:pPr>
        <w:spacing w:line="360" w:lineRule="auto"/>
        <w:jc w:val="both"/>
        <w:rPr>
          <w:noProof w:val="0"/>
          <w:lang w:val="en-GB"/>
        </w:rPr>
      </w:pPr>
    </w:p>
    <w:p w:rsidR="737CD4FB" w:rsidP="737CD4FB" w:rsidRDefault="737CD4FB" w14:paraId="57E3E029" w14:textId="0D0D4318">
      <w:pPr>
        <w:spacing w:line="360" w:lineRule="auto"/>
        <w:jc w:val="both"/>
        <w:rPr>
          <w:noProof w:val="0"/>
          <w:lang w:val="en-GB"/>
        </w:rPr>
      </w:pPr>
    </w:p>
    <w:p w:rsidR="737CD4FB" w:rsidP="737CD4FB" w:rsidRDefault="737CD4FB" w14:paraId="7357A6F6" w14:textId="279F2CA4">
      <w:pPr>
        <w:spacing w:line="360" w:lineRule="auto"/>
        <w:jc w:val="both"/>
        <w:rPr>
          <w:noProof w:val="0"/>
          <w:lang w:val="en-GB"/>
        </w:rPr>
      </w:pPr>
    </w:p>
    <w:p w:rsidR="737CD4FB" w:rsidP="737CD4FB" w:rsidRDefault="737CD4FB" w14:paraId="7D10D710" w14:textId="15DC1175">
      <w:pPr>
        <w:spacing w:line="360" w:lineRule="auto"/>
        <w:jc w:val="both"/>
        <w:rPr>
          <w:noProof w:val="0"/>
          <w:lang w:val="en-GB"/>
        </w:rPr>
      </w:pPr>
    </w:p>
    <w:p w:rsidR="737CD4FB" w:rsidP="737CD4FB" w:rsidRDefault="737CD4FB" w14:paraId="13165A8D" w14:textId="005029A8">
      <w:pPr>
        <w:spacing w:line="360" w:lineRule="auto"/>
        <w:jc w:val="both"/>
        <w:rPr>
          <w:noProof w:val="0"/>
          <w:lang w:val="en-GB"/>
        </w:rPr>
      </w:pPr>
    </w:p>
    <w:p w:rsidR="737CD4FB" w:rsidP="737CD4FB" w:rsidRDefault="737CD4FB" w14:paraId="19DABA08" w14:textId="41E45885">
      <w:pPr>
        <w:spacing w:line="360" w:lineRule="auto"/>
        <w:jc w:val="both"/>
        <w:rPr>
          <w:noProof w:val="0"/>
          <w:lang w:val="en-GB"/>
        </w:rPr>
      </w:pPr>
    </w:p>
    <w:p w:rsidR="737CD4FB" w:rsidP="737CD4FB" w:rsidRDefault="737CD4FB" w14:paraId="1E189769" w14:textId="1A4409DF">
      <w:pPr>
        <w:spacing w:line="360" w:lineRule="auto"/>
        <w:jc w:val="both"/>
        <w:rPr>
          <w:noProof w:val="0"/>
          <w:lang w:val="en-GB"/>
        </w:rPr>
      </w:pPr>
    </w:p>
    <w:p w:rsidR="737CD4FB" w:rsidP="737CD4FB" w:rsidRDefault="737CD4FB" w14:paraId="17E82AE9" w14:textId="5D505566">
      <w:pPr>
        <w:spacing w:line="360" w:lineRule="auto"/>
        <w:jc w:val="both"/>
        <w:rPr>
          <w:noProof w:val="0"/>
          <w:lang w:val="en-GB"/>
        </w:rPr>
      </w:pPr>
    </w:p>
    <w:p w:rsidR="737CD4FB" w:rsidP="737CD4FB" w:rsidRDefault="737CD4FB" w14:paraId="7E3F1C9A" w14:textId="45D078AB">
      <w:pPr>
        <w:spacing w:line="360" w:lineRule="auto"/>
        <w:jc w:val="both"/>
        <w:rPr>
          <w:noProof w:val="0"/>
          <w:lang w:val="en-GB"/>
        </w:rPr>
      </w:pPr>
    </w:p>
    <w:p w:rsidR="737CD4FB" w:rsidP="737CD4FB" w:rsidRDefault="737CD4FB" w14:paraId="02EEFEB8" w14:textId="57A21093">
      <w:pPr>
        <w:spacing w:line="360" w:lineRule="auto"/>
        <w:jc w:val="both"/>
        <w:rPr>
          <w:noProof w:val="0"/>
          <w:lang w:val="en-GB"/>
        </w:rPr>
      </w:pPr>
    </w:p>
    <w:p w:rsidR="737CD4FB" w:rsidP="737CD4FB" w:rsidRDefault="737CD4FB" w14:paraId="7BF90E0C" w14:textId="42232D28">
      <w:pPr>
        <w:spacing w:line="360" w:lineRule="auto"/>
        <w:jc w:val="both"/>
        <w:rPr>
          <w:noProof w:val="0"/>
          <w:lang w:val="en-GB"/>
        </w:rPr>
      </w:pPr>
    </w:p>
    <w:p w:rsidR="737CD4FB" w:rsidP="737CD4FB" w:rsidRDefault="737CD4FB" w14:paraId="238ECEEA" w14:textId="417CB6ED">
      <w:pPr>
        <w:spacing w:line="360" w:lineRule="auto"/>
        <w:jc w:val="both"/>
        <w:rPr>
          <w:noProof w:val="0"/>
          <w:lang w:val="en-GB"/>
        </w:rPr>
      </w:pPr>
    </w:p>
    <w:p w:rsidR="737CD4FB" w:rsidP="737CD4FB" w:rsidRDefault="737CD4FB" w14:paraId="4E3EEF88" w14:textId="4805F49B">
      <w:pPr>
        <w:spacing w:line="360" w:lineRule="auto"/>
        <w:jc w:val="both"/>
        <w:rPr>
          <w:noProof w:val="0"/>
          <w:lang w:val="en-GB"/>
        </w:rPr>
      </w:pPr>
    </w:p>
    <w:p w:rsidR="737CD4FB" w:rsidP="737CD4FB" w:rsidRDefault="737CD4FB" w14:paraId="7019367B" w14:textId="287010BB">
      <w:pPr>
        <w:spacing w:line="360" w:lineRule="auto"/>
        <w:jc w:val="both"/>
        <w:rPr>
          <w:noProof w:val="0"/>
          <w:lang w:val="en-GB"/>
        </w:rPr>
      </w:pPr>
    </w:p>
    <w:p w:rsidR="737CD4FB" w:rsidP="737CD4FB" w:rsidRDefault="737CD4FB" w14:paraId="1D6F9B9E" w14:textId="65DD9906">
      <w:pPr>
        <w:spacing w:line="360" w:lineRule="auto"/>
        <w:jc w:val="both"/>
        <w:rPr>
          <w:noProof w:val="0"/>
          <w:lang w:val="en-GB"/>
        </w:rPr>
      </w:pPr>
    </w:p>
    <w:p w:rsidR="737CD4FB" w:rsidP="737CD4FB" w:rsidRDefault="737CD4FB" w14:paraId="258E646E" w14:textId="63FD5361">
      <w:pPr>
        <w:spacing w:line="360" w:lineRule="auto"/>
        <w:jc w:val="both"/>
        <w:rPr>
          <w:noProof w:val="0"/>
          <w:lang w:val="en-GB"/>
        </w:rPr>
      </w:pPr>
    </w:p>
    <w:p w:rsidR="737CD4FB" w:rsidP="737CD4FB" w:rsidRDefault="737CD4FB" w14:paraId="1D0FC728" w14:textId="6BA60537">
      <w:pPr>
        <w:spacing w:line="360" w:lineRule="auto"/>
        <w:jc w:val="both"/>
        <w:rPr>
          <w:noProof w:val="0"/>
          <w:lang w:val="en-GB"/>
        </w:rPr>
      </w:pPr>
    </w:p>
    <w:p w:rsidR="737CD4FB" w:rsidP="737CD4FB" w:rsidRDefault="737CD4FB" w14:paraId="19279F6C" w14:textId="100E7F9D">
      <w:pPr>
        <w:spacing w:line="360" w:lineRule="auto"/>
        <w:jc w:val="both"/>
        <w:rPr>
          <w:noProof w:val="0"/>
          <w:lang w:val="en-GB"/>
        </w:rPr>
      </w:pPr>
    </w:p>
    <w:p w:rsidR="737CD4FB" w:rsidP="737CD4FB" w:rsidRDefault="737CD4FB" w14:paraId="04A8CEBC" w14:textId="6E990B47">
      <w:pPr>
        <w:spacing w:line="360" w:lineRule="auto"/>
        <w:jc w:val="both"/>
        <w:rPr>
          <w:noProof w:val="0"/>
          <w:lang w:val="en-GB"/>
        </w:rPr>
      </w:pPr>
    </w:p>
    <w:p w:rsidR="737CD4FB" w:rsidP="737CD4FB" w:rsidRDefault="737CD4FB" w14:noSpellErr="1" w14:paraId="599ECB2B" w14:textId="6793EE1E">
      <w:pPr>
        <w:spacing w:line="360" w:lineRule="auto"/>
        <w:jc w:val="left"/>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References</w:t>
      </w:r>
    </w:p>
    <w:p w:rsidR="737CD4FB" w:rsidP="737CD4FB" w:rsidRDefault="737CD4FB" w14:noSpellErr="1" w14:paraId="5A87FBBF" w14:textId="5780ACEE">
      <w:pPr>
        <w:spacing w:line="360" w:lineRule="auto"/>
        <w:jc w:val="left"/>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Wilkins. P, 2016, Person-</w:t>
      </w:r>
      <w:r w:rsidRPr="737CD4FB" w:rsidR="737CD4FB">
        <w:rPr>
          <w:rFonts w:ascii="Calibri" w:hAnsi="Calibri" w:eastAsia="Calibri" w:cs="Calibri"/>
          <w:noProof w:val="0"/>
          <w:sz w:val="22"/>
          <w:szCs w:val="22"/>
          <w:lang w:val="en-GB"/>
        </w:rPr>
        <w:t>Centred</w:t>
      </w:r>
      <w:r w:rsidRPr="737CD4FB" w:rsidR="737CD4FB">
        <w:rPr>
          <w:rFonts w:ascii="Calibri" w:hAnsi="Calibri" w:eastAsia="Calibri" w:cs="Calibri"/>
          <w:noProof w:val="0"/>
          <w:sz w:val="22"/>
          <w:szCs w:val="22"/>
          <w:lang w:val="en-GB"/>
        </w:rPr>
        <w:t xml:space="preserve"> Therapy: 100 Key Points,1st Edition, Oxon: Routledge </w:t>
      </w:r>
    </w:p>
    <w:p w:rsidR="737CD4FB" w:rsidP="737CD4FB" w:rsidRDefault="737CD4FB" w14:noSpellErr="1" w14:paraId="4FE47BBE" w14:textId="29F49860">
      <w:pPr>
        <w:spacing w:line="360" w:lineRule="auto"/>
        <w:jc w:val="left"/>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Quinn. A, 2015, A Person-</w:t>
      </w:r>
      <w:r w:rsidRPr="737CD4FB" w:rsidR="737CD4FB">
        <w:rPr>
          <w:rFonts w:ascii="Calibri" w:hAnsi="Calibri" w:eastAsia="Calibri" w:cs="Calibri"/>
          <w:noProof w:val="0"/>
          <w:sz w:val="22"/>
          <w:szCs w:val="22"/>
          <w:lang w:val="en-GB"/>
        </w:rPr>
        <w:t>Centred</w:t>
      </w:r>
      <w:r w:rsidRPr="737CD4FB" w:rsidR="737CD4FB">
        <w:rPr>
          <w:rFonts w:ascii="Calibri" w:hAnsi="Calibri" w:eastAsia="Calibri" w:cs="Calibri"/>
          <w:noProof w:val="0"/>
          <w:sz w:val="22"/>
          <w:szCs w:val="22"/>
          <w:lang w:val="en-GB"/>
        </w:rPr>
        <w:t xml:space="preserve"> approach and the Rogerian tradition: A handbook, 1st Edition, United States of America: CreateSpace</w:t>
      </w:r>
    </w:p>
    <w:p w:rsidR="737CD4FB" w:rsidP="737CD4FB" w:rsidRDefault="737CD4FB" w14:paraId="12CBC4B2" w14:textId="040BDDEC">
      <w:pPr>
        <w:spacing w:line="360" w:lineRule="auto"/>
        <w:jc w:val="left"/>
        <w:rPr>
          <w:rFonts w:ascii="Calibri" w:hAnsi="Calibri" w:eastAsia="Calibri" w:cs="Calibri"/>
          <w:noProof w:val="0"/>
          <w:sz w:val="22"/>
          <w:szCs w:val="22"/>
          <w:lang w:val="en-GB"/>
        </w:rPr>
      </w:pPr>
      <w:proofErr w:type="spellStart"/>
      <w:r w:rsidRPr="737CD4FB" w:rsidR="737CD4FB">
        <w:rPr>
          <w:rFonts w:ascii="Calibri" w:hAnsi="Calibri" w:eastAsia="Calibri" w:cs="Calibri"/>
          <w:noProof w:val="0"/>
          <w:sz w:val="22"/>
          <w:szCs w:val="22"/>
          <w:lang w:val="en-GB"/>
        </w:rPr>
        <w:t>Bienenfeld</w:t>
      </w:r>
      <w:proofErr w:type="spellEnd"/>
      <w:r w:rsidRPr="737CD4FB" w:rsidR="737CD4FB">
        <w:rPr>
          <w:rFonts w:ascii="Calibri" w:hAnsi="Calibri" w:eastAsia="Calibri" w:cs="Calibri"/>
          <w:noProof w:val="0"/>
          <w:sz w:val="22"/>
          <w:szCs w:val="22"/>
          <w:lang w:val="en-GB"/>
        </w:rPr>
        <w:t>. D, 2006, Psychodynamic Theory for Clinicians, 1st Edition, Philadelphia: Lippincott Williams &amp; Wilkins</w:t>
      </w:r>
    </w:p>
    <w:p w:rsidR="737CD4FB" w:rsidP="737CD4FB" w:rsidRDefault="737CD4FB" w14:noSpellErr="1" w14:paraId="50ADC47C" w14:textId="101763E1">
      <w:pPr>
        <w:spacing w:line="360" w:lineRule="auto"/>
        <w:jc w:val="left"/>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 xml:space="preserve">Dombeck. M, MentalHelp.net, 2019, Psychodynamic Theories, </w:t>
      </w:r>
      <w:hyperlink r:id="R21346ecd5097467d">
        <w:r w:rsidRPr="737CD4FB" w:rsidR="737CD4FB">
          <w:rPr>
            <w:rStyle w:val="Hyperlink"/>
            <w:rFonts w:ascii="Calibri" w:hAnsi="Calibri" w:eastAsia="Calibri" w:cs="Calibri"/>
            <w:noProof w:val="0"/>
            <w:sz w:val="22"/>
            <w:szCs w:val="22"/>
            <w:lang w:val="en-GB"/>
          </w:rPr>
          <w:t>https://www.mentalhelp.net/articles/psychodynamic-theories/</w:t>
        </w:r>
      </w:hyperlink>
      <w:r w:rsidRPr="737CD4FB" w:rsidR="737CD4FB">
        <w:rPr>
          <w:rFonts w:ascii="Calibri" w:hAnsi="Calibri" w:eastAsia="Calibri" w:cs="Calibri"/>
          <w:noProof w:val="0"/>
          <w:sz w:val="22"/>
          <w:szCs w:val="22"/>
          <w:lang w:val="en-GB"/>
        </w:rPr>
        <w:t xml:space="preserve">, 23/01/2019 </w:t>
      </w:r>
    </w:p>
    <w:p w:rsidR="737CD4FB" w:rsidP="737CD4FB" w:rsidRDefault="737CD4FB" w14:noSpellErr="1" w14:paraId="19D62A9E" w14:textId="28084069">
      <w:pPr>
        <w:spacing w:line="360" w:lineRule="auto"/>
        <w:jc w:val="left"/>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Taylor. E, 2009, The Mystery of Personality: A History of Psychodynamic Theories, 1st Edition, New York: Springer</w:t>
      </w:r>
    </w:p>
    <w:p w:rsidR="737CD4FB" w:rsidP="737CD4FB" w:rsidRDefault="737CD4FB" w14:noSpellErr="1" w14:paraId="1D798CB2" w14:textId="1DD58B89">
      <w:pPr>
        <w:spacing w:line="360" w:lineRule="auto"/>
        <w:jc w:val="left"/>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Dobson. K, Dozois. D, 2019, Handbook of Cognitive-</w:t>
      </w:r>
      <w:r w:rsidRPr="737CD4FB" w:rsidR="737CD4FB">
        <w:rPr>
          <w:rFonts w:ascii="Calibri" w:hAnsi="Calibri" w:eastAsia="Calibri" w:cs="Calibri"/>
          <w:noProof w:val="0"/>
          <w:sz w:val="22"/>
          <w:szCs w:val="22"/>
          <w:lang w:val="en-GB"/>
        </w:rPr>
        <w:t>Behavioural</w:t>
      </w:r>
      <w:r w:rsidRPr="737CD4FB" w:rsidR="737CD4FB">
        <w:rPr>
          <w:rFonts w:ascii="Calibri" w:hAnsi="Calibri" w:eastAsia="Calibri" w:cs="Calibri"/>
          <w:noProof w:val="0"/>
          <w:sz w:val="22"/>
          <w:szCs w:val="22"/>
          <w:lang w:val="en-GB"/>
        </w:rPr>
        <w:t xml:space="preserve"> Therapies, 3rd Edition, New York: The Guilford Press</w:t>
      </w:r>
    </w:p>
    <w:p w:rsidR="737CD4FB" w:rsidP="737CD4FB" w:rsidRDefault="737CD4FB" w14:paraId="05369E1F" w14:textId="5C98C1BB">
      <w:pPr>
        <w:spacing w:line="360" w:lineRule="auto"/>
        <w:jc w:val="left"/>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 xml:space="preserve">Jorn. A, </w:t>
      </w:r>
      <w:proofErr w:type="spellStart"/>
      <w:r w:rsidRPr="737CD4FB" w:rsidR="737CD4FB">
        <w:rPr>
          <w:rFonts w:ascii="Calibri" w:hAnsi="Calibri" w:eastAsia="Calibri" w:cs="Calibri"/>
          <w:noProof w:val="0"/>
          <w:sz w:val="22"/>
          <w:szCs w:val="22"/>
          <w:lang w:val="en-GB"/>
        </w:rPr>
        <w:t>PsychCentral</w:t>
      </w:r>
      <w:proofErr w:type="spellEnd"/>
      <w:r w:rsidRPr="737CD4FB" w:rsidR="737CD4FB">
        <w:rPr>
          <w:rFonts w:ascii="Calibri" w:hAnsi="Calibri" w:eastAsia="Calibri" w:cs="Calibri"/>
          <w:noProof w:val="0"/>
          <w:sz w:val="22"/>
          <w:szCs w:val="22"/>
          <w:lang w:val="en-GB"/>
        </w:rPr>
        <w:t xml:space="preserve">, 2018, Rational Emotive </w:t>
      </w:r>
      <w:proofErr w:type="spellStart"/>
      <w:r w:rsidRPr="737CD4FB" w:rsidR="737CD4FB">
        <w:rPr>
          <w:rFonts w:ascii="Calibri" w:hAnsi="Calibri" w:eastAsia="Calibri" w:cs="Calibri"/>
          <w:noProof w:val="0"/>
          <w:sz w:val="22"/>
          <w:szCs w:val="22"/>
          <w:lang w:val="en-GB"/>
        </w:rPr>
        <w:t>Behavior</w:t>
      </w:r>
      <w:proofErr w:type="spellEnd"/>
      <w:r w:rsidRPr="737CD4FB" w:rsidR="737CD4FB">
        <w:rPr>
          <w:rFonts w:ascii="Calibri" w:hAnsi="Calibri" w:eastAsia="Calibri" w:cs="Calibri"/>
          <w:noProof w:val="0"/>
          <w:sz w:val="22"/>
          <w:szCs w:val="22"/>
          <w:lang w:val="en-GB"/>
        </w:rPr>
        <w:t xml:space="preserve"> Therapy, </w:t>
      </w:r>
      <w:hyperlink r:id="Rf73a0cf27e5d4e62">
        <w:r w:rsidRPr="737CD4FB" w:rsidR="737CD4FB">
          <w:rPr>
            <w:rStyle w:val="Hyperlink"/>
            <w:rFonts w:ascii="Calibri" w:hAnsi="Calibri" w:eastAsia="Calibri" w:cs="Calibri"/>
            <w:noProof w:val="0"/>
            <w:sz w:val="22"/>
            <w:szCs w:val="22"/>
            <w:lang w:val="en-GB"/>
          </w:rPr>
          <w:t>https://psychcentral.com/lib/rational-emotive-behavior-therapy/</w:t>
        </w:r>
      </w:hyperlink>
      <w:r w:rsidRPr="737CD4FB" w:rsidR="737CD4FB">
        <w:rPr>
          <w:rFonts w:ascii="Calibri" w:hAnsi="Calibri" w:eastAsia="Calibri" w:cs="Calibri"/>
          <w:noProof w:val="0"/>
          <w:sz w:val="22"/>
          <w:szCs w:val="22"/>
          <w:lang w:val="en-GB"/>
        </w:rPr>
        <w:t>, 23/01/2019</w:t>
      </w:r>
    </w:p>
    <w:p w:rsidR="737CD4FB" w:rsidP="737CD4FB" w:rsidRDefault="737CD4FB" w14:noSpellErr="1" w14:paraId="541B4FAD" w14:textId="1C5308C0">
      <w:pPr>
        <w:spacing w:line="360" w:lineRule="auto"/>
        <w:jc w:val="left"/>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 xml:space="preserve">UK Counsel of Psychotherapy, 2019, Ethical Principles and Code of Professional Conduct, </w:t>
      </w:r>
      <w:hyperlink r:id="R3d31a368f8344cc2">
        <w:r w:rsidRPr="737CD4FB" w:rsidR="737CD4FB">
          <w:rPr>
            <w:rStyle w:val="Hyperlink"/>
            <w:rFonts w:ascii="Calibri" w:hAnsi="Calibri" w:eastAsia="Calibri" w:cs="Calibri"/>
            <w:noProof w:val="0"/>
            <w:sz w:val="22"/>
            <w:szCs w:val="22"/>
            <w:lang w:val="en-GB"/>
          </w:rPr>
          <w:t>https://www.psychotherapy.org.uk/wp-content/uploads/2017/11/UKCP-Ethical-Principles-and-Code-of-Professional-Conduct.pdf</w:t>
        </w:r>
      </w:hyperlink>
      <w:r w:rsidRPr="737CD4FB" w:rsidR="737CD4FB">
        <w:rPr>
          <w:rFonts w:ascii="Calibri" w:hAnsi="Calibri" w:eastAsia="Calibri" w:cs="Calibri"/>
          <w:noProof w:val="0"/>
          <w:sz w:val="22"/>
          <w:szCs w:val="22"/>
          <w:lang w:val="en-GB"/>
        </w:rPr>
        <w:t xml:space="preserve">, 23/01/2019 </w:t>
      </w:r>
    </w:p>
    <w:p w:rsidR="737CD4FB" w:rsidP="737CD4FB" w:rsidRDefault="737CD4FB" w14:noSpellErr="1" w14:paraId="19B3C97A" w14:textId="5EF057B4">
      <w:pPr>
        <w:spacing w:line="360" w:lineRule="auto"/>
        <w:jc w:val="left"/>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 xml:space="preserve">British Association for Counselling and Psychotherapy, 2019, Ethical Framework for the Counselling Professions, </w:t>
      </w:r>
      <w:hyperlink r:id="R38e1e82170334f10">
        <w:r w:rsidRPr="737CD4FB" w:rsidR="737CD4FB">
          <w:rPr>
            <w:rStyle w:val="Hyperlink"/>
            <w:rFonts w:ascii="Calibri" w:hAnsi="Calibri" w:eastAsia="Calibri" w:cs="Calibri"/>
            <w:noProof w:val="0"/>
            <w:sz w:val="22"/>
            <w:szCs w:val="22"/>
            <w:lang w:val="en-GB"/>
          </w:rPr>
          <w:t>https://www.bacp.co.uk/events-and-resources/ethics-and-standards/ethical-framework-for-the-counselling-professions/</w:t>
        </w:r>
      </w:hyperlink>
      <w:r w:rsidRPr="737CD4FB" w:rsidR="737CD4FB">
        <w:rPr>
          <w:rFonts w:ascii="Calibri" w:hAnsi="Calibri" w:eastAsia="Calibri" w:cs="Calibri"/>
          <w:noProof w:val="0"/>
          <w:sz w:val="22"/>
          <w:szCs w:val="22"/>
          <w:lang w:val="en-GB"/>
        </w:rPr>
        <w:t xml:space="preserve">, 23/01/2019 </w:t>
      </w:r>
    </w:p>
    <w:p w:rsidR="737CD4FB" w:rsidP="737CD4FB" w:rsidRDefault="737CD4FB" w14:noSpellErr="1" w14:paraId="596223F2" w14:textId="6587D5B6">
      <w:pPr>
        <w:spacing w:line="360" w:lineRule="auto"/>
        <w:jc w:val="left"/>
        <w:rPr>
          <w:rFonts w:ascii="Calibri" w:hAnsi="Calibri" w:eastAsia="Calibri" w:cs="Calibri"/>
          <w:noProof w:val="0"/>
          <w:sz w:val="22"/>
          <w:szCs w:val="22"/>
          <w:lang w:val="en-GB"/>
        </w:rPr>
      </w:pPr>
      <w:r w:rsidRPr="737CD4FB" w:rsidR="737CD4FB">
        <w:rPr>
          <w:rFonts w:ascii="Calibri" w:hAnsi="Calibri" w:eastAsia="Calibri" w:cs="Calibri"/>
          <w:noProof w:val="0"/>
          <w:sz w:val="22"/>
          <w:szCs w:val="22"/>
          <w:lang w:val="en-GB"/>
        </w:rPr>
        <w:t>Midwinter. R, Dickinson. J, 2015, Embedding counselling and Communication Skills, 1st Edition, Sussex: Routledge</w:t>
      </w:r>
    </w:p>
    <w:p w:rsidR="737CD4FB" w:rsidP="737CD4FB" w:rsidRDefault="737CD4FB" w14:noSpellErr="1" w14:paraId="2B2399EA" w14:textId="5B71CCE2">
      <w:pPr>
        <w:pStyle w:val="Normal"/>
        <w:spacing w:line="360" w:lineRule="auto"/>
        <w:jc w:val="left"/>
        <w:rPr>
          <w:noProof w:val="0"/>
          <w:lang w:val="en-GB"/>
        </w:rPr>
      </w:pPr>
      <w:r w:rsidRPr="737CD4FB" w:rsidR="737CD4FB">
        <w:rPr>
          <w:noProof w:val="0"/>
          <w:lang w:val="en-GB"/>
        </w:rPr>
        <w:t>Royal College of Nursing, 2017</w:t>
      </w:r>
      <w:r w:rsidRPr="737CD4FB" w:rsidR="737CD4FB">
        <w:rPr>
          <w:noProof w:val="0"/>
          <w:lang w:val="en-GB"/>
        </w:rPr>
        <w:t xml:space="preserve">, Principles of Consent: Guidance for Nursing Staff, </w:t>
      </w:r>
      <w:r w:rsidRPr="737CD4FB" w:rsidR="737CD4FB">
        <w:rPr>
          <w:noProof w:val="0"/>
          <w:lang w:val="en-GB"/>
        </w:rPr>
        <w:t>https://www.rcn.org.uk/-/media/royal-college-of-nursing/.../2017/.../pub-006047.pdf</w:t>
      </w:r>
      <w:r w:rsidRPr="737CD4FB" w:rsidR="737CD4FB">
        <w:rPr>
          <w:noProof w:val="0"/>
          <w:lang w:val="en-GB"/>
        </w:rPr>
        <w:t>, 24/01/2019</w:t>
      </w:r>
    </w:p>
    <w:p w:rsidR="737CD4FB" w:rsidP="737CD4FB" w:rsidRDefault="737CD4FB" w14:noSpellErr="1" w14:paraId="0EFF2401" w14:textId="157A6763">
      <w:pPr>
        <w:pStyle w:val="Normal"/>
        <w:spacing w:line="360" w:lineRule="auto"/>
        <w:jc w:val="left"/>
      </w:pPr>
      <w:r w:rsidRPr="737CD4FB" w:rsidR="737CD4FB">
        <w:rPr>
          <w:rFonts w:ascii="Calibri" w:hAnsi="Calibri" w:eastAsia="Calibri" w:cs="Calibri"/>
          <w:noProof w:val="0"/>
          <w:sz w:val="22"/>
          <w:szCs w:val="22"/>
          <w:lang w:val="en-GB"/>
        </w:rPr>
        <w:t>Nursing and Midwifery Council, 2015, The Code: Professional standards of practice and behaviour for nurses and midwives, London: NMC.</w:t>
      </w:r>
    </w:p>
    <w:p w:rsidR="737CD4FB" w:rsidP="737CD4FB" w:rsidRDefault="737CD4FB" w14:paraId="3206D680" w14:textId="10CA9C2A">
      <w:pPr>
        <w:pStyle w:val="Normal"/>
        <w:jc w:val="left"/>
        <w:rPr>
          <w:noProof w:val="0"/>
          <w:lang w:val="en-GB"/>
        </w:rPr>
      </w:pPr>
      <w:proofErr w:type="spellStart"/>
      <w:r w:rsidRPr="737CD4FB" w:rsidR="737CD4FB">
        <w:rPr>
          <w:noProof w:val="0"/>
          <w:lang w:val="en-GB"/>
        </w:rPr>
        <w:t>Paavilainen,E</w:t>
      </w:r>
      <w:proofErr w:type="spellEnd"/>
      <w:r w:rsidRPr="737CD4FB" w:rsidR="737CD4FB">
        <w:rPr>
          <w:noProof w:val="0"/>
          <w:lang w:val="en-GB"/>
        </w:rPr>
        <w:t>., Salminen-</w:t>
      </w:r>
      <w:proofErr w:type="spellStart"/>
      <w:r w:rsidRPr="737CD4FB" w:rsidR="737CD4FB">
        <w:rPr>
          <w:noProof w:val="0"/>
          <w:lang w:val="en-GB"/>
        </w:rPr>
        <w:t>Tuomaala,M</w:t>
      </w:r>
      <w:proofErr w:type="spellEnd"/>
      <w:r w:rsidRPr="737CD4FB" w:rsidR="737CD4FB">
        <w:rPr>
          <w:noProof w:val="0"/>
          <w:lang w:val="en-GB"/>
        </w:rPr>
        <w:t xml:space="preserve">., </w:t>
      </w:r>
      <w:proofErr w:type="spellStart"/>
      <w:r w:rsidRPr="737CD4FB" w:rsidR="737CD4FB">
        <w:rPr>
          <w:noProof w:val="0"/>
          <w:lang w:val="en-GB"/>
        </w:rPr>
        <w:t>Leikkola</w:t>
      </w:r>
      <w:proofErr w:type="spellEnd"/>
      <w:r w:rsidRPr="737CD4FB" w:rsidR="737CD4FB">
        <w:rPr>
          <w:noProof w:val="0"/>
          <w:lang w:val="en-GB"/>
        </w:rPr>
        <w:t xml:space="preserve">, P.,2012 </w:t>
      </w:r>
      <w:r w:rsidRPr="737CD4FB" w:rsidR="737CD4FB">
        <w:rPr/>
        <w:t>Counselling for Patients and Family Members: A Follow-</w:t>
      </w:r>
      <w:proofErr w:type="spellStart"/>
      <w:r w:rsidRPr="737CD4FB" w:rsidR="737CD4FB">
        <w:rPr/>
        <w:t>UpStudyintheEmergencyDepartment</w:t>
      </w:r>
      <w:proofErr w:type="spellEnd"/>
      <w:r w:rsidRPr="737CD4FB" w:rsidR="737CD4FB">
        <w:rPr/>
        <w:t>,</w:t>
      </w:r>
      <w:r w:rsidRPr="737CD4FB" w:rsidR="737CD4FB">
        <w:rPr/>
        <w:t xml:space="preserve"> </w:t>
      </w:r>
      <w:r w:rsidRPr="737CD4FB" w:rsidR="737CD4FB">
        <w:rPr>
          <w:noProof w:val="0"/>
          <w:lang w:val="en-GB"/>
        </w:rPr>
        <w:t>https://www.ncbi.nlm.nih.gov/pmc/articles/PMC3447345/, 14/01/2019</w:t>
      </w:r>
    </w:p>
    <w:p w:rsidR="737CD4FB" w:rsidP="737CD4FB" w:rsidRDefault="737CD4FB" w14:noSpellErr="1" w14:paraId="5A26B646" w14:textId="1D67B77F">
      <w:pPr>
        <w:pStyle w:val="Normal"/>
        <w:spacing w:line="360" w:lineRule="auto"/>
        <w:jc w:val="both"/>
        <w:rPr>
          <w:rFonts w:ascii="Calibri" w:hAnsi="Calibri" w:eastAsia="Calibri" w:cs="Calibri"/>
          <w:noProof w:val="0"/>
          <w:sz w:val="22"/>
          <w:szCs w:val="22"/>
          <w:lang w:val="en-GB"/>
        </w:rPr>
      </w:pPr>
    </w:p>
    <w:p w:rsidR="737CD4FB" w:rsidP="737CD4FB" w:rsidRDefault="737CD4FB" w14:noSpellErr="1" w14:paraId="0D9144A7" w14:textId="77C7896E">
      <w:pPr>
        <w:pStyle w:val="Normal"/>
        <w:rPr>
          <w:rFonts w:ascii="Calibri" w:hAnsi="Calibri" w:eastAsia="Calibri" w:cs="Calibri"/>
          <w:noProof w:val="0"/>
          <w:sz w:val="22"/>
          <w:szCs w:val="22"/>
          <w:lang w:val="en-GB"/>
        </w:rPr>
      </w:pPr>
    </w:p>
    <w:p w:rsidR="737CD4FB" w:rsidP="737CD4FB" w:rsidRDefault="737CD4FB" w14:noSpellErr="1" w14:paraId="1FA40B32" w14:textId="7DCAD538">
      <w:pPr>
        <w:jc w:val="center"/>
      </w:pPr>
    </w:p>
    <w:p w:rsidR="737CD4FB" w:rsidP="737CD4FB" w:rsidRDefault="737CD4FB" w14:paraId="0AA15E4F" w14:textId="733919C8">
      <w:pPr>
        <w:rPr>
          <w:rFonts w:ascii="Arial" w:hAnsi="Arial" w:eastAsia="Arial" w:cs="Arial"/>
          <w:noProof w:val="0"/>
          <w:color w:val="642A8F"/>
          <w:sz w:val="19"/>
          <w:szCs w:val="19"/>
          <w:lang w:val="en-GB"/>
        </w:rPr>
      </w:pPr>
    </w:p>
    <w:sectPr>
      <w:pgSz w:w="12240" w:h="15840" w:orient="portrait"/>
      <w:pgMar w:top="1440" w:right="1440" w:bottom="1440" w:left="1440" w:header="720" w:footer="720" w:gutter="0"/>
      <w:cols w:space="720"/>
      <w:docGrid w:linePitch="360"/>
      <w:headerReference w:type="default" r:id="Rb40dbed4278c48b1"/>
      <w:footerReference w:type="default" r:id="R8e09991b50264e4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37CD4FB" w:rsidTr="737CD4FB" w14:paraId="37B56ECB">
      <w:tc>
        <w:tcPr>
          <w:tcW w:w="3120" w:type="dxa"/>
          <w:tcMar/>
        </w:tcPr>
        <w:p w:rsidR="737CD4FB" w:rsidP="737CD4FB" w:rsidRDefault="737CD4FB" w14:paraId="373C1648" w14:textId="01419B04">
          <w:pPr>
            <w:pStyle w:val="Header"/>
            <w:bidi w:val="0"/>
            <w:ind w:left="-115"/>
            <w:jc w:val="left"/>
          </w:pPr>
        </w:p>
      </w:tc>
      <w:tc>
        <w:tcPr>
          <w:tcW w:w="3120" w:type="dxa"/>
          <w:tcMar/>
        </w:tcPr>
        <w:p w:rsidR="737CD4FB" w:rsidP="737CD4FB" w:rsidRDefault="737CD4FB" w14:paraId="161D4555" w14:textId="2E12220B">
          <w:pPr>
            <w:pStyle w:val="Header"/>
            <w:bidi w:val="0"/>
            <w:jc w:val="center"/>
          </w:pPr>
        </w:p>
      </w:tc>
      <w:tc>
        <w:tcPr>
          <w:tcW w:w="3120" w:type="dxa"/>
          <w:tcMar/>
        </w:tcPr>
        <w:p w:rsidR="737CD4FB" w:rsidP="737CD4FB" w:rsidRDefault="737CD4FB" w14:paraId="1B537904" w14:textId="6CC08B86">
          <w:pPr>
            <w:pStyle w:val="Header"/>
            <w:bidi w:val="0"/>
            <w:ind w:right="-115"/>
            <w:jc w:val="right"/>
          </w:pPr>
        </w:p>
      </w:tc>
    </w:tr>
  </w:tbl>
  <w:p w:rsidR="737CD4FB" w:rsidP="737CD4FB" w:rsidRDefault="737CD4FB" w14:paraId="3B863F9E" w14:textId="26FF8C0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37CD4FB" w:rsidTr="737CD4FB" w14:paraId="097DEC42">
      <w:tc>
        <w:tcPr>
          <w:tcW w:w="3120" w:type="dxa"/>
          <w:tcMar/>
        </w:tcPr>
        <w:p w:rsidR="737CD4FB" w:rsidP="737CD4FB" w:rsidRDefault="737CD4FB" w14:noSpellErr="1" w14:paraId="492DD0DD" w14:textId="498D42F6">
          <w:pPr>
            <w:pStyle w:val="Header"/>
            <w:bidi w:val="0"/>
            <w:ind w:left="-115"/>
            <w:jc w:val="left"/>
          </w:pPr>
          <w:r w:rsidR="737CD4FB">
            <w:rPr/>
            <w:t>Jonathan Ratcliffe 1810380</w:t>
          </w:r>
        </w:p>
      </w:tc>
      <w:tc>
        <w:tcPr>
          <w:tcW w:w="3120" w:type="dxa"/>
          <w:tcMar/>
        </w:tcPr>
        <w:p w:rsidR="737CD4FB" w:rsidP="737CD4FB" w:rsidRDefault="737CD4FB" w14:paraId="3DCE1527" w14:textId="7A15CC04">
          <w:pPr>
            <w:pStyle w:val="Header"/>
            <w:bidi w:val="0"/>
            <w:jc w:val="center"/>
          </w:pPr>
        </w:p>
      </w:tc>
      <w:tc>
        <w:tcPr>
          <w:tcW w:w="3120" w:type="dxa"/>
          <w:tcMar/>
        </w:tcPr>
        <w:p w:rsidR="737CD4FB" w:rsidP="737CD4FB" w:rsidRDefault="737CD4FB" w14:noSpellErr="1" w14:paraId="27B1641A" w14:textId="27B5F4BB">
          <w:pPr>
            <w:pStyle w:val="Header"/>
            <w:bidi w:val="0"/>
            <w:ind w:right="-115"/>
            <w:jc w:val="right"/>
          </w:pPr>
          <w:r>
            <w:fldChar w:fldCharType="begin"/>
          </w:r>
          <w:r>
            <w:instrText xml:space="preserve">PAGE</w:instrText>
          </w:r>
          <w:r>
            <w:fldChar w:fldCharType="end"/>
          </w:r>
        </w:p>
      </w:tc>
    </w:tr>
  </w:tbl>
  <w:p w:rsidR="737CD4FB" w:rsidP="737CD4FB" w:rsidRDefault="737CD4FB" w14:paraId="1EFB49EE" w14:textId="76432555">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1851592"/>
  <w15:docId w15:val="{3130f1a0-8450-45fc-a132-97003db5a7e4}"/>
  <w:rsids>
    <w:rsidRoot w:val="4A746BBF"/>
    <w:rsid w:val="21851592"/>
    <w:rsid w:val="4A746BBF"/>
    <w:rsid w:val="737CD4F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mentalhelp.net/articles/psychodynamic-theories/" TargetMode="External" Id="R21346ecd5097467d" /><Relationship Type="http://schemas.openxmlformats.org/officeDocument/2006/relationships/hyperlink" Target="https://psychcentral.com/lib/rational-emotive-behavior-therapy/" TargetMode="External" Id="Rf73a0cf27e5d4e62" /><Relationship Type="http://schemas.openxmlformats.org/officeDocument/2006/relationships/hyperlink" Target="https://www.psychotherapy.org.uk/wp-content/uploads/2017/11/UKCP-Ethical-Principles-and-Code-of-Professional-Conduct.pdf" TargetMode="External" Id="R3d31a368f8344cc2" /><Relationship Type="http://schemas.openxmlformats.org/officeDocument/2006/relationships/hyperlink" Target="https://www.bacp.co.uk/events-and-resources/ethics-and-standards/ethical-framework-for-the-counselling-professions/" TargetMode="External" Id="R38e1e82170334f10" /><Relationship Type="http://schemas.openxmlformats.org/officeDocument/2006/relationships/header" Target="/word/header.xml" Id="Rb40dbed4278c48b1" /><Relationship Type="http://schemas.openxmlformats.org/officeDocument/2006/relationships/footer" Target="/word/footer.xml" Id="R8e09991b50264e4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92bfee83246a4484"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92bfee83246a4484"/>
  </wetp:taskpane>
</wetp:taskpanes>
</file>

<file path=word/webextensions/webextension.xml><?xml version="1.0" encoding="utf-8"?>
<we:webextension xmlns:we="http://schemas.microsoft.com/office/webextensions/webextension/2010/11" id="c0bffa77-830d-4ba7-8b14-3891e7998cde">
  <we:reference id="WA104124372" version="1.2.0.0" store="en-US" storeType="OMEX"/>
  <we:alternateReferences/>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2019-01-24T20:52:27.6125637Z</dcterms:created>
  <dcterms:modified xsi:type="dcterms:W3CDTF">2019-01-24T22:03:54.2023662Z</dcterms:modified>
  <dc:creator>Jonathan Ratcliffe</dc:creator>
  <lastModifiedBy>Jonathan Ratcliffe</lastModifiedBy>
</coreProperties>
</file>