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2B46B940"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 xml:space="preserve">Assessment </w:t>
          </w:r>
          <w:r w:rsidR="00095DBD">
            <w:rPr>
              <w:rFonts w:ascii="Times New Roman" w:hAnsi="Times New Roman" w:cs="Times New Roman"/>
            </w:rPr>
            <w:t>2</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53B7B05D" w:rsidR="003266D6" w:rsidRDefault="003266D6" w:rsidP="003266D6">
          <w:pPr>
            <w:spacing w:after="0" w:line="360" w:lineRule="auto"/>
            <w:jc w:val="center"/>
            <w:rPr>
              <w:rFonts w:ascii="Times New Roman" w:hAnsi="Times New Roman" w:cs="Times New Roman"/>
              <w:sz w:val="22"/>
              <w:szCs w:val="22"/>
            </w:rPr>
          </w:pPr>
          <w:bookmarkStart w:id="0" w:name="_GoBack"/>
          <w:bookmarkEnd w:id="0"/>
        </w:p>
        <w:p w14:paraId="48F5CF5B" w14:textId="1920B24C" w:rsidR="00624A16" w:rsidRDefault="00624A16" w:rsidP="003266D6">
          <w:pPr>
            <w:spacing w:after="0" w:line="360" w:lineRule="auto"/>
            <w:jc w:val="center"/>
            <w:rPr>
              <w:rFonts w:ascii="Times New Roman" w:hAnsi="Times New Roman" w:cs="Times New Roman"/>
              <w:sz w:val="22"/>
              <w:szCs w:val="22"/>
            </w:rPr>
          </w:pPr>
        </w:p>
        <w:p w14:paraId="1664D817" w14:textId="77777777" w:rsidR="00624A16" w:rsidRPr="003266D6" w:rsidRDefault="00624A16" w:rsidP="003266D6">
          <w:pPr>
            <w:spacing w:after="0" w:line="360" w:lineRule="auto"/>
            <w:jc w:val="center"/>
            <w:rPr>
              <w:rFonts w:ascii="Times New Roman" w:hAnsi="Times New Roman" w:cs="Times New Roman"/>
              <w:sz w:val="22"/>
              <w:szCs w:val="22"/>
            </w:rPr>
          </w:pPr>
        </w:p>
        <w:p w14:paraId="64A6FEC3" w14:textId="77777777" w:rsidR="003266D6" w:rsidRPr="003266D6" w:rsidRDefault="003266D6"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6E3368B0" w:rsidR="003266D6" w:rsidRDefault="003F2487"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3F2487">
            <w:rPr>
              <w:rFonts w:ascii="Times New Roman" w:eastAsiaTheme="majorEastAsia" w:hAnsi="Times New Roman" w:cs="Times New Roman"/>
              <w:b/>
              <w:bCs/>
              <w:spacing w:val="-10"/>
              <w:kern w:val="28"/>
              <w:sz w:val="56"/>
              <w:szCs w:val="56"/>
            </w:rPr>
            <w:t>LCBB5004</w:t>
          </w:r>
          <w:r w:rsidR="004A6745">
            <w:rPr>
              <w:rFonts w:ascii="Times New Roman" w:eastAsiaTheme="majorEastAsia" w:hAnsi="Times New Roman" w:cs="Times New Roman"/>
              <w:b/>
              <w:bCs/>
              <w:spacing w:val="-10"/>
              <w:kern w:val="28"/>
              <w:sz w:val="56"/>
              <w:szCs w:val="56"/>
            </w:rPr>
            <w:t xml:space="preserve"> </w:t>
          </w:r>
          <w:r w:rsidR="003266D6">
            <w:rPr>
              <w:rFonts w:ascii="Times New Roman" w:eastAsiaTheme="majorEastAsia" w:hAnsi="Times New Roman" w:cs="Times New Roman"/>
              <w:b/>
              <w:bCs/>
              <w:spacing w:val="-10"/>
              <w:kern w:val="28"/>
              <w:sz w:val="56"/>
              <w:szCs w:val="56"/>
            </w:rPr>
            <w:t xml:space="preserve">– </w:t>
          </w:r>
          <w:r w:rsidR="00345324" w:rsidRPr="00345324">
            <w:rPr>
              <w:rFonts w:ascii="Times New Roman" w:eastAsiaTheme="majorEastAsia" w:hAnsi="Times New Roman" w:cs="Times New Roman"/>
              <w:b/>
              <w:bCs/>
              <w:spacing w:val="-10"/>
              <w:kern w:val="28"/>
              <w:sz w:val="56"/>
              <w:szCs w:val="56"/>
            </w:rPr>
            <w:t>Manag</w:t>
          </w:r>
          <w:r>
            <w:rPr>
              <w:rFonts w:ascii="Times New Roman" w:eastAsiaTheme="majorEastAsia" w:hAnsi="Times New Roman" w:cs="Times New Roman"/>
              <w:b/>
              <w:bCs/>
              <w:spacing w:val="-10"/>
              <w:kern w:val="28"/>
              <w:sz w:val="56"/>
              <w:szCs w:val="56"/>
            </w:rPr>
            <w:t>ing People</w:t>
          </w:r>
        </w:p>
        <w:p w14:paraId="490C6350" w14:textId="7EA69732" w:rsidR="003266D6" w:rsidRDefault="003F2487" w:rsidP="003266D6">
          <w:pPr>
            <w:spacing w:after="0" w:line="360" w:lineRule="auto"/>
            <w:jc w:val="center"/>
            <w:rPr>
              <w:rFonts w:ascii="Times New Roman" w:hAnsi="Times New Roman" w:cs="Times New Roman"/>
              <w:sz w:val="22"/>
              <w:szCs w:val="22"/>
            </w:rPr>
          </w:pPr>
          <w:r w:rsidRPr="00345324">
            <w:rPr>
              <w:rFonts w:ascii="Times New Roman" w:eastAsiaTheme="majorEastAsia" w:hAnsi="Times New Roman" w:cs="Times New Roman"/>
              <w:b/>
              <w:bCs/>
              <w:spacing w:val="-10"/>
              <w:kern w:val="28"/>
              <w:sz w:val="48"/>
              <w:szCs w:val="48"/>
            </w:rPr>
            <w:t>Ass</w:t>
          </w:r>
          <w:r>
            <w:rPr>
              <w:rFonts w:ascii="Times New Roman" w:eastAsiaTheme="majorEastAsia" w:hAnsi="Times New Roman" w:cs="Times New Roman"/>
              <w:b/>
              <w:bCs/>
              <w:spacing w:val="-10"/>
              <w:kern w:val="28"/>
              <w:sz w:val="48"/>
              <w:szCs w:val="48"/>
            </w:rPr>
            <w:t xml:space="preserve">essment </w:t>
          </w:r>
          <w:r w:rsidR="00095DBD">
            <w:rPr>
              <w:rFonts w:ascii="Times New Roman" w:eastAsiaTheme="majorEastAsia" w:hAnsi="Times New Roman" w:cs="Times New Roman"/>
              <w:b/>
              <w:bCs/>
              <w:spacing w:val="-10"/>
              <w:kern w:val="28"/>
              <w:sz w:val="48"/>
              <w:szCs w:val="48"/>
            </w:rPr>
            <w:t>2</w:t>
          </w:r>
          <w:r>
            <w:rPr>
              <w:rFonts w:ascii="Times New Roman" w:eastAsiaTheme="majorEastAsia" w:hAnsi="Times New Roman" w:cs="Times New Roman"/>
              <w:b/>
              <w:bCs/>
              <w:spacing w:val="-10"/>
              <w:kern w:val="28"/>
              <w:sz w:val="48"/>
              <w:szCs w:val="48"/>
            </w:rPr>
            <w:t xml:space="preserve"> </w:t>
          </w:r>
          <w:r w:rsidR="00345324" w:rsidRPr="00345324">
            <w:rPr>
              <w:rFonts w:ascii="Times New Roman" w:eastAsiaTheme="majorEastAsia" w:hAnsi="Times New Roman" w:cs="Times New Roman"/>
              <w:b/>
              <w:bCs/>
              <w:spacing w:val="-10"/>
              <w:kern w:val="28"/>
              <w:sz w:val="48"/>
              <w:szCs w:val="48"/>
            </w:rPr>
            <w:t>Report</w:t>
          </w: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7FA7B9F9" w14:textId="77777777" w:rsidR="00345324" w:rsidRDefault="00345324" w:rsidP="003266D6">
          <w:pPr>
            <w:spacing w:after="0" w:line="360" w:lineRule="auto"/>
            <w:jc w:val="center"/>
            <w:rPr>
              <w:rFonts w:ascii="Times New Roman" w:hAnsi="Times New Roman" w:cs="Times New Roman"/>
              <w:sz w:val="22"/>
              <w:szCs w:val="22"/>
            </w:rPr>
          </w:pPr>
        </w:p>
        <w:p w14:paraId="080E6787" w14:textId="77777777" w:rsidR="00345324" w:rsidRDefault="00345324" w:rsidP="003266D6">
          <w:pPr>
            <w:spacing w:after="0" w:line="360" w:lineRule="auto"/>
            <w:jc w:val="center"/>
            <w:rPr>
              <w:rFonts w:ascii="Times New Roman" w:hAnsi="Times New Roman" w:cs="Times New Roman"/>
              <w:sz w:val="22"/>
              <w:szCs w:val="22"/>
            </w:rPr>
          </w:pPr>
        </w:p>
        <w:p w14:paraId="6ACD1DBD" w14:textId="5803644E" w:rsid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152BEA04" w14:textId="46977992" w:rsidR="00095DBD" w:rsidRPr="003266D6" w:rsidRDefault="00095DBD" w:rsidP="003266D6">
          <w:pPr>
            <w:spacing w:after="0" w:line="360" w:lineRule="auto"/>
            <w:jc w:val="center"/>
            <w:rPr>
              <w:rFonts w:ascii="Times New Roman" w:hAnsi="Times New Roman" w:cs="Times New Roman"/>
              <w:sz w:val="22"/>
              <w:szCs w:val="22"/>
            </w:rPr>
          </w:pPr>
          <w:r>
            <w:rPr>
              <w:rFonts w:ascii="Times New Roman" w:hAnsi="Times New Roman" w:cs="Times New Roman"/>
              <w:sz w:val="22"/>
              <w:szCs w:val="22"/>
            </w:rPr>
            <w:t>Student Name: Virginia-</w:t>
          </w:r>
          <w:proofErr w:type="spellStart"/>
          <w:r>
            <w:rPr>
              <w:rFonts w:ascii="Times New Roman" w:hAnsi="Times New Roman" w:cs="Times New Roman"/>
              <w:sz w:val="22"/>
              <w:szCs w:val="22"/>
            </w:rPr>
            <w:t>Andreea</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Sirbu</w:t>
          </w:r>
          <w:proofErr w:type="spellEnd"/>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4ACA4E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345324">
            <w:rPr>
              <w:rFonts w:ascii="Times New Roman" w:hAnsi="Times New Roman" w:cs="Times New Roman"/>
              <w:sz w:val="22"/>
              <w:szCs w:val="22"/>
            </w:rPr>
            <w:t>0</w:t>
          </w:r>
          <w:r w:rsidR="00095DBD">
            <w:rPr>
              <w:rFonts w:ascii="Times New Roman" w:hAnsi="Times New Roman" w:cs="Times New Roman"/>
              <w:sz w:val="22"/>
              <w:szCs w:val="22"/>
            </w:rPr>
            <w:t>9</w:t>
          </w:r>
          <w:r w:rsidR="00345324">
            <w:rPr>
              <w:rFonts w:ascii="Times New Roman" w:hAnsi="Times New Roman" w:cs="Times New Roman"/>
              <w:sz w:val="22"/>
              <w:szCs w:val="22"/>
            </w:rPr>
            <w:t>.05</w:t>
          </w:r>
          <w:r>
            <w:rPr>
              <w:rFonts w:ascii="Times New Roman" w:hAnsi="Times New Roman" w:cs="Times New Roman"/>
              <w:sz w:val="22"/>
              <w:szCs w:val="22"/>
            </w:rPr>
            <w:t>.2022</w:t>
          </w:r>
        </w:p>
        <w:p w14:paraId="486FAA34" w14:textId="15F89AEB" w:rsidR="003266D6" w:rsidRPr="003266D6" w:rsidRDefault="00095DBD" w:rsidP="003266D6">
          <w:pPr>
            <w:spacing w:after="0" w:line="360" w:lineRule="auto"/>
            <w:jc w:val="center"/>
            <w:rPr>
              <w:rFonts w:ascii="Times New Roman" w:hAnsi="Times New Roman" w:cs="Times New Roman"/>
              <w:sz w:val="22"/>
              <w:szCs w:val="22"/>
            </w:rPr>
          </w:pPr>
          <w:r>
            <w:rPr>
              <w:rFonts w:ascii="Times New Roman" w:hAnsi="Times New Roman" w:cs="Times New Roman"/>
              <w:sz w:val="22"/>
              <w:szCs w:val="22"/>
            </w:rPr>
            <w:t xml:space="preserve">Word count: </w:t>
          </w:r>
          <w:r w:rsidR="00A95205">
            <w:rPr>
              <w:rFonts w:ascii="Times New Roman" w:hAnsi="Times New Roman" w:cs="Times New Roman"/>
              <w:sz w:val="22"/>
              <w:szCs w:val="22"/>
            </w:rPr>
            <w:t>1998</w:t>
          </w: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09586196" w14:textId="77777777" w:rsidR="00624A16" w:rsidRDefault="00624A16" w:rsidP="003266D6">
          <w:pPr>
            <w:rPr>
              <w:b/>
            </w:rPr>
          </w:pPr>
        </w:p>
        <w:p w14:paraId="2BACF4EC" w14:textId="35C2B2F6" w:rsidR="0054644A" w:rsidRPr="00F8798D" w:rsidRDefault="00DF4A8B" w:rsidP="003266D6">
          <w:pPr>
            <w:rPr>
              <w:b/>
            </w:rPr>
          </w:pPr>
          <w:r w:rsidRPr="00F8798D">
            <w:rPr>
              <w:noProof/>
            </w:rPr>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C62F61" w:rsidRDefault="00C62F61">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C62F61" w:rsidRDefault="00C62F61">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23CA387D" w14:textId="360B772C" w:rsidR="00A95205" w:rsidRDefault="00C628D7">
          <w:pPr>
            <w:pStyle w:val="TOC1"/>
            <w:tabs>
              <w:tab w:val="right" w:leader="dot" w:pos="8268"/>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103014442" w:history="1">
            <w:r w:rsidR="00A95205" w:rsidRPr="002949DE">
              <w:rPr>
                <w:rStyle w:val="Hyperlink"/>
                <w:noProof/>
              </w:rPr>
              <w:t>Introduction</w:t>
            </w:r>
            <w:r w:rsidR="00A95205">
              <w:rPr>
                <w:noProof/>
                <w:webHidden/>
              </w:rPr>
              <w:tab/>
            </w:r>
            <w:r w:rsidR="00A95205">
              <w:rPr>
                <w:noProof/>
                <w:webHidden/>
              </w:rPr>
              <w:fldChar w:fldCharType="begin"/>
            </w:r>
            <w:r w:rsidR="00A95205">
              <w:rPr>
                <w:noProof/>
                <w:webHidden/>
              </w:rPr>
              <w:instrText xml:space="preserve"> PAGEREF _Toc103014442 \h </w:instrText>
            </w:r>
            <w:r w:rsidR="00A95205">
              <w:rPr>
                <w:noProof/>
                <w:webHidden/>
              </w:rPr>
            </w:r>
            <w:r w:rsidR="00A95205">
              <w:rPr>
                <w:noProof/>
                <w:webHidden/>
              </w:rPr>
              <w:fldChar w:fldCharType="separate"/>
            </w:r>
            <w:r w:rsidR="00A95205">
              <w:rPr>
                <w:noProof/>
                <w:webHidden/>
              </w:rPr>
              <w:t>3</w:t>
            </w:r>
            <w:r w:rsidR="00A95205">
              <w:rPr>
                <w:noProof/>
                <w:webHidden/>
              </w:rPr>
              <w:fldChar w:fldCharType="end"/>
            </w:r>
          </w:hyperlink>
        </w:p>
        <w:p w14:paraId="1FE5E7EE" w14:textId="72D6A866" w:rsidR="00A95205" w:rsidRDefault="00A95205">
          <w:pPr>
            <w:pStyle w:val="TOC1"/>
            <w:tabs>
              <w:tab w:val="right" w:leader="dot" w:pos="8268"/>
            </w:tabs>
            <w:rPr>
              <w:rFonts w:asciiTheme="minorHAnsi" w:eastAsiaTheme="minorEastAsia" w:hAnsiTheme="minorHAnsi" w:cstheme="minorBidi"/>
              <w:noProof/>
              <w:sz w:val="22"/>
              <w:szCs w:val="22"/>
              <w:lang w:eastAsia="en-GB"/>
            </w:rPr>
          </w:pPr>
          <w:hyperlink w:anchor="_Toc103014443" w:history="1">
            <w:r w:rsidRPr="002949DE">
              <w:rPr>
                <w:rStyle w:val="Hyperlink"/>
                <w:noProof/>
              </w:rPr>
              <w:t>Employee engagement influencing factors</w:t>
            </w:r>
            <w:r>
              <w:rPr>
                <w:noProof/>
                <w:webHidden/>
              </w:rPr>
              <w:tab/>
            </w:r>
            <w:r>
              <w:rPr>
                <w:noProof/>
                <w:webHidden/>
              </w:rPr>
              <w:fldChar w:fldCharType="begin"/>
            </w:r>
            <w:r>
              <w:rPr>
                <w:noProof/>
                <w:webHidden/>
              </w:rPr>
              <w:instrText xml:space="preserve"> PAGEREF _Toc103014443 \h </w:instrText>
            </w:r>
            <w:r>
              <w:rPr>
                <w:noProof/>
                <w:webHidden/>
              </w:rPr>
            </w:r>
            <w:r>
              <w:rPr>
                <w:noProof/>
                <w:webHidden/>
              </w:rPr>
              <w:fldChar w:fldCharType="separate"/>
            </w:r>
            <w:r>
              <w:rPr>
                <w:noProof/>
                <w:webHidden/>
              </w:rPr>
              <w:t>3</w:t>
            </w:r>
            <w:r>
              <w:rPr>
                <w:noProof/>
                <w:webHidden/>
              </w:rPr>
              <w:fldChar w:fldCharType="end"/>
            </w:r>
          </w:hyperlink>
        </w:p>
        <w:p w14:paraId="51FF6B1A" w14:textId="001078A2" w:rsidR="00A95205" w:rsidRDefault="00A95205">
          <w:pPr>
            <w:pStyle w:val="TOC1"/>
            <w:tabs>
              <w:tab w:val="right" w:leader="dot" w:pos="8268"/>
            </w:tabs>
            <w:rPr>
              <w:rFonts w:asciiTheme="minorHAnsi" w:eastAsiaTheme="minorEastAsia" w:hAnsiTheme="minorHAnsi" w:cstheme="minorBidi"/>
              <w:noProof/>
              <w:sz w:val="22"/>
              <w:szCs w:val="22"/>
              <w:lang w:eastAsia="en-GB"/>
            </w:rPr>
          </w:pPr>
          <w:hyperlink w:anchor="_Toc103014444" w:history="1">
            <w:r w:rsidRPr="002949DE">
              <w:rPr>
                <w:rStyle w:val="Hyperlink"/>
                <w:noProof/>
              </w:rPr>
              <w:t>Diagnostic tools to measure engagement</w:t>
            </w:r>
            <w:r>
              <w:rPr>
                <w:noProof/>
                <w:webHidden/>
              </w:rPr>
              <w:tab/>
            </w:r>
            <w:r>
              <w:rPr>
                <w:noProof/>
                <w:webHidden/>
              </w:rPr>
              <w:fldChar w:fldCharType="begin"/>
            </w:r>
            <w:r>
              <w:rPr>
                <w:noProof/>
                <w:webHidden/>
              </w:rPr>
              <w:instrText xml:space="preserve"> PAGEREF _Toc103014444 \h </w:instrText>
            </w:r>
            <w:r>
              <w:rPr>
                <w:noProof/>
                <w:webHidden/>
              </w:rPr>
            </w:r>
            <w:r>
              <w:rPr>
                <w:noProof/>
                <w:webHidden/>
              </w:rPr>
              <w:fldChar w:fldCharType="separate"/>
            </w:r>
            <w:r>
              <w:rPr>
                <w:noProof/>
                <w:webHidden/>
              </w:rPr>
              <w:t>5</w:t>
            </w:r>
            <w:r>
              <w:rPr>
                <w:noProof/>
                <w:webHidden/>
              </w:rPr>
              <w:fldChar w:fldCharType="end"/>
            </w:r>
          </w:hyperlink>
        </w:p>
        <w:p w14:paraId="4EBCB5E3" w14:textId="68A26EEE" w:rsidR="00A95205" w:rsidRDefault="00A95205">
          <w:pPr>
            <w:pStyle w:val="TOC1"/>
            <w:tabs>
              <w:tab w:val="right" w:leader="dot" w:pos="8268"/>
            </w:tabs>
            <w:rPr>
              <w:rFonts w:asciiTheme="minorHAnsi" w:eastAsiaTheme="minorEastAsia" w:hAnsiTheme="minorHAnsi" w:cstheme="minorBidi"/>
              <w:noProof/>
              <w:sz w:val="22"/>
              <w:szCs w:val="22"/>
              <w:lang w:eastAsia="en-GB"/>
            </w:rPr>
          </w:pPr>
          <w:hyperlink w:anchor="_Toc103014445" w:history="1">
            <w:r w:rsidRPr="002949DE">
              <w:rPr>
                <w:rStyle w:val="Hyperlink"/>
                <w:noProof/>
              </w:rPr>
              <w:t>Strategies to raise levels of engagement</w:t>
            </w:r>
            <w:r>
              <w:rPr>
                <w:noProof/>
                <w:webHidden/>
              </w:rPr>
              <w:tab/>
            </w:r>
            <w:r>
              <w:rPr>
                <w:noProof/>
                <w:webHidden/>
              </w:rPr>
              <w:fldChar w:fldCharType="begin"/>
            </w:r>
            <w:r>
              <w:rPr>
                <w:noProof/>
                <w:webHidden/>
              </w:rPr>
              <w:instrText xml:space="preserve"> PAGEREF _Toc103014445 \h </w:instrText>
            </w:r>
            <w:r>
              <w:rPr>
                <w:noProof/>
                <w:webHidden/>
              </w:rPr>
            </w:r>
            <w:r>
              <w:rPr>
                <w:noProof/>
                <w:webHidden/>
              </w:rPr>
              <w:fldChar w:fldCharType="separate"/>
            </w:r>
            <w:r>
              <w:rPr>
                <w:noProof/>
                <w:webHidden/>
              </w:rPr>
              <w:t>7</w:t>
            </w:r>
            <w:r>
              <w:rPr>
                <w:noProof/>
                <w:webHidden/>
              </w:rPr>
              <w:fldChar w:fldCharType="end"/>
            </w:r>
          </w:hyperlink>
        </w:p>
        <w:p w14:paraId="389A9F74" w14:textId="6C1C53A9" w:rsidR="00A95205" w:rsidRDefault="00A95205">
          <w:pPr>
            <w:pStyle w:val="TOC1"/>
            <w:tabs>
              <w:tab w:val="right" w:leader="dot" w:pos="8268"/>
            </w:tabs>
            <w:rPr>
              <w:rFonts w:asciiTheme="minorHAnsi" w:eastAsiaTheme="minorEastAsia" w:hAnsiTheme="minorHAnsi" w:cstheme="minorBidi"/>
              <w:noProof/>
              <w:sz w:val="22"/>
              <w:szCs w:val="22"/>
              <w:lang w:eastAsia="en-GB"/>
            </w:rPr>
          </w:pPr>
          <w:hyperlink w:anchor="_Toc103014446" w:history="1">
            <w:r w:rsidRPr="002949DE">
              <w:rPr>
                <w:rStyle w:val="Hyperlink"/>
                <w:noProof/>
              </w:rPr>
              <w:t>Conclusion</w:t>
            </w:r>
            <w:r>
              <w:rPr>
                <w:noProof/>
                <w:webHidden/>
              </w:rPr>
              <w:tab/>
            </w:r>
            <w:r>
              <w:rPr>
                <w:noProof/>
                <w:webHidden/>
              </w:rPr>
              <w:fldChar w:fldCharType="begin"/>
            </w:r>
            <w:r>
              <w:rPr>
                <w:noProof/>
                <w:webHidden/>
              </w:rPr>
              <w:instrText xml:space="preserve"> PAGEREF _Toc103014446 \h </w:instrText>
            </w:r>
            <w:r>
              <w:rPr>
                <w:noProof/>
                <w:webHidden/>
              </w:rPr>
            </w:r>
            <w:r>
              <w:rPr>
                <w:noProof/>
                <w:webHidden/>
              </w:rPr>
              <w:fldChar w:fldCharType="separate"/>
            </w:r>
            <w:r>
              <w:rPr>
                <w:noProof/>
                <w:webHidden/>
              </w:rPr>
              <w:t>9</w:t>
            </w:r>
            <w:r>
              <w:rPr>
                <w:noProof/>
                <w:webHidden/>
              </w:rPr>
              <w:fldChar w:fldCharType="end"/>
            </w:r>
          </w:hyperlink>
        </w:p>
        <w:p w14:paraId="1EE404C0" w14:textId="6D7391D6" w:rsidR="00A95205" w:rsidRDefault="00A95205">
          <w:pPr>
            <w:pStyle w:val="TOC1"/>
            <w:tabs>
              <w:tab w:val="right" w:leader="dot" w:pos="8268"/>
            </w:tabs>
            <w:rPr>
              <w:rFonts w:asciiTheme="minorHAnsi" w:eastAsiaTheme="minorEastAsia" w:hAnsiTheme="minorHAnsi" w:cstheme="minorBidi"/>
              <w:noProof/>
              <w:sz w:val="22"/>
              <w:szCs w:val="22"/>
              <w:lang w:eastAsia="en-GB"/>
            </w:rPr>
          </w:pPr>
          <w:hyperlink w:anchor="_Toc103014447" w:history="1">
            <w:r w:rsidRPr="002949DE">
              <w:rPr>
                <w:rStyle w:val="Hyperlink"/>
                <w:noProof/>
              </w:rPr>
              <w:t>References</w:t>
            </w:r>
            <w:r>
              <w:rPr>
                <w:noProof/>
                <w:webHidden/>
              </w:rPr>
              <w:tab/>
            </w:r>
            <w:r>
              <w:rPr>
                <w:noProof/>
                <w:webHidden/>
              </w:rPr>
              <w:fldChar w:fldCharType="begin"/>
            </w:r>
            <w:r>
              <w:rPr>
                <w:noProof/>
                <w:webHidden/>
              </w:rPr>
              <w:instrText xml:space="preserve"> PAGEREF _Toc103014447 \h </w:instrText>
            </w:r>
            <w:r>
              <w:rPr>
                <w:noProof/>
                <w:webHidden/>
              </w:rPr>
            </w:r>
            <w:r>
              <w:rPr>
                <w:noProof/>
                <w:webHidden/>
              </w:rPr>
              <w:fldChar w:fldCharType="separate"/>
            </w:r>
            <w:r>
              <w:rPr>
                <w:noProof/>
                <w:webHidden/>
              </w:rPr>
              <w:t>10</w:t>
            </w:r>
            <w:r>
              <w:rPr>
                <w:noProof/>
                <w:webHidden/>
              </w:rPr>
              <w:fldChar w:fldCharType="end"/>
            </w:r>
          </w:hyperlink>
        </w:p>
        <w:p w14:paraId="58BC45FC" w14:textId="1210A658"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59F65E8B" w:rsidR="00496BAF" w:rsidRDefault="00496BAF" w:rsidP="00F23D61">
      <w:pPr>
        <w:spacing w:after="0" w:line="360" w:lineRule="auto"/>
        <w:jc w:val="both"/>
      </w:pPr>
    </w:p>
    <w:p w14:paraId="5B95D323" w14:textId="23AF1B95" w:rsidR="00345324" w:rsidRDefault="00345324" w:rsidP="00F23D61">
      <w:pPr>
        <w:spacing w:after="0" w:line="360" w:lineRule="auto"/>
        <w:jc w:val="both"/>
      </w:pPr>
    </w:p>
    <w:p w14:paraId="0FC1F5EE" w14:textId="1CFB7963" w:rsidR="00345324" w:rsidRDefault="00345324" w:rsidP="00F23D61">
      <w:pPr>
        <w:spacing w:after="0" w:line="360" w:lineRule="auto"/>
        <w:jc w:val="both"/>
      </w:pPr>
    </w:p>
    <w:p w14:paraId="766C887A" w14:textId="3CBCB565" w:rsidR="00345324" w:rsidRDefault="00345324" w:rsidP="00F23D61">
      <w:pPr>
        <w:spacing w:after="0" w:line="360" w:lineRule="auto"/>
        <w:jc w:val="both"/>
      </w:pPr>
    </w:p>
    <w:p w14:paraId="2E87ADF2" w14:textId="2628F6FB" w:rsidR="00345324" w:rsidRDefault="00345324" w:rsidP="00F23D61">
      <w:pPr>
        <w:spacing w:after="0" w:line="360" w:lineRule="auto"/>
        <w:jc w:val="both"/>
      </w:pPr>
    </w:p>
    <w:p w14:paraId="0C97BB67" w14:textId="33FD0515" w:rsidR="00345324" w:rsidRDefault="00345324" w:rsidP="00F23D61">
      <w:pPr>
        <w:spacing w:after="0" w:line="360" w:lineRule="auto"/>
        <w:jc w:val="both"/>
      </w:pPr>
    </w:p>
    <w:p w14:paraId="0CB8C5FB" w14:textId="278FEF5F" w:rsidR="00345324" w:rsidRDefault="00345324" w:rsidP="00F23D61">
      <w:pPr>
        <w:spacing w:after="0" w:line="360" w:lineRule="auto"/>
        <w:jc w:val="both"/>
      </w:pPr>
    </w:p>
    <w:p w14:paraId="57DEEA66" w14:textId="1DD3318F" w:rsidR="00345324" w:rsidRDefault="00345324" w:rsidP="00F23D61">
      <w:pPr>
        <w:spacing w:after="0" w:line="360" w:lineRule="auto"/>
        <w:jc w:val="both"/>
      </w:pPr>
    </w:p>
    <w:p w14:paraId="4A210102" w14:textId="6F307D32" w:rsidR="00345324" w:rsidRDefault="00345324" w:rsidP="00F23D61">
      <w:pPr>
        <w:spacing w:after="0" w:line="360" w:lineRule="auto"/>
        <w:jc w:val="both"/>
      </w:pPr>
    </w:p>
    <w:p w14:paraId="323FCE57" w14:textId="54DBBE17" w:rsidR="00345324" w:rsidRDefault="00345324" w:rsidP="00F23D61">
      <w:pPr>
        <w:spacing w:after="0" w:line="360" w:lineRule="auto"/>
        <w:jc w:val="both"/>
      </w:pPr>
    </w:p>
    <w:p w14:paraId="0D185412" w14:textId="795DF699" w:rsidR="00345324" w:rsidRDefault="00345324" w:rsidP="00F23D61">
      <w:pPr>
        <w:spacing w:after="0" w:line="360" w:lineRule="auto"/>
        <w:jc w:val="both"/>
      </w:pPr>
    </w:p>
    <w:p w14:paraId="24CA5766" w14:textId="28B6409B" w:rsidR="00345324" w:rsidRDefault="00345324" w:rsidP="00F23D61">
      <w:pPr>
        <w:spacing w:after="0" w:line="360" w:lineRule="auto"/>
        <w:jc w:val="both"/>
      </w:pPr>
    </w:p>
    <w:p w14:paraId="72D933B3" w14:textId="6D6AC86A" w:rsidR="0068073F" w:rsidRDefault="0068073F" w:rsidP="00F23D61">
      <w:pPr>
        <w:spacing w:after="0" w:line="360" w:lineRule="auto"/>
        <w:jc w:val="both"/>
      </w:pPr>
    </w:p>
    <w:p w14:paraId="34976ED6" w14:textId="403B9EE9" w:rsidR="0068073F" w:rsidRDefault="0068073F" w:rsidP="00F23D61">
      <w:pPr>
        <w:spacing w:after="0" w:line="360" w:lineRule="auto"/>
        <w:jc w:val="both"/>
      </w:pPr>
    </w:p>
    <w:p w14:paraId="4A4C1727" w14:textId="77777777" w:rsidR="00AB7F96" w:rsidRDefault="00AB7F96" w:rsidP="00F23D61">
      <w:pPr>
        <w:spacing w:after="0" w:line="360" w:lineRule="auto"/>
        <w:jc w:val="both"/>
      </w:pPr>
    </w:p>
    <w:p w14:paraId="4F3C4F7C" w14:textId="564A5F0D" w:rsidR="00345324" w:rsidRDefault="00345324" w:rsidP="00F23D61">
      <w:pPr>
        <w:spacing w:after="0" w:line="360" w:lineRule="auto"/>
        <w:jc w:val="both"/>
      </w:pPr>
    </w:p>
    <w:p w14:paraId="7E2D5C4C" w14:textId="37958BE2" w:rsidR="00B52818" w:rsidRDefault="00B52818" w:rsidP="00F23D61">
      <w:pPr>
        <w:spacing w:after="0" w:line="360" w:lineRule="auto"/>
        <w:jc w:val="both"/>
      </w:pPr>
    </w:p>
    <w:p w14:paraId="05360DE3" w14:textId="525B6CA3" w:rsidR="00D90B5A" w:rsidRDefault="00BE6296" w:rsidP="00D90B5A">
      <w:pPr>
        <w:pStyle w:val="Heading1"/>
        <w:spacing w:before="0" w:line="360" w:lineRule="auto"/>
        <w:rPr>
          <w:rFonts w:ascii="Arial" w:hAnsi="Arial" w:cs="Arial"/>
          <w:color w:val="auto"/>
          <w:sz w:val="32"/>
          <w:szCs w:val="32"/>
        </w:rPr>
      </w:pPr>
      <w:bookmarkStart w:id="1" w:name="_Hlk92385035"/>
      <w:bookmarkStart w:id="2" w:name="_Toc103014442"/>
      <w:r>
        <w:rPr>
          <w:rFonts w:ascii="Arial" w:hAnsi="Arial" w:cs="Arial"/>
          <w:color w:val="auto"/>
          <w:sz w:val="32"/>
          <w:szCs w:val="32"/>
        </w:rPr>
        <w:lastRenderedPageBreak/>
        <w:t>Introduction</w:t>
      </w:r>
      <w:bookmarkEnd w:id="2"/>
    </w:p>
    <w:p w14:paraId="02C274CF" w14:textId="77777777" w:rsidR="00054E10" w:rsidRDefault="00054E10" w:rsidP="00D50479">
      <w:pPr>
        <w:spacing w:after="0" w:line="360" w:lineRule="auto"/>
        <w:jc w:val="both"/>
      </w:pPr>
    </w:p>
    <w:bookmarkEnd w:id="1"/>
    <w:p w14:paraId="15045602" w14:textId="080E1249" w:rsidR="00880448" w:rsidRDefault="00880448" w:rsidP="00880448">
      <w:pPr>
        <w:spacing w:after="0" w:line="360" w:lineRule="auto"/>
        <w:jc w:val="both"/>
      </w:pPr>
      <w:r>
        <w:t>Engagement in the employee is more than just having a good time. Rather, it is the commitment that employees feel for a firm. If an employee is devoted, he is driven, productive and, above all, he cares about his work and the success of the firm</w:t>
      </w:r>
      <w:r w:rsidR="00D72136">
        <w:t xml:space="preserve"> </w:t>
      </w:r>
      <w:sdt>
        <w:sdtPr>
          <w:id w:val="854848081"/>
          <w:citation/>
        </w:sdtPr>
        <w:sdtContent>
          <w:r w:rsidR="00D72136">
            <w:fldChar w:fldCharType="begin"/>
          </w:r>
          <w:r w:rsidR="00D72136">
            <w:instrText xml:space="preserve"> CITATION Man09 \l 2057 </w:instrText>
          </w:r>
          <w:r w:rsidR="00D72136">
            <w:fldChar w:fldCharType="separate"/>
          </w:r>
          <w:r w:rsidR="00A95205" w:rsidRPr="00A95205">
            <w:rPr>
              <w:noProof/>
            </w:rPr>
            <w:t>(Mankin, 2009)</w:t>
          </w:r>
          <w:r w:rsidR="00D72136">
            <w:fldChar w:fldCharType="end"/>
          </w:r>
        </w:sdtContent>
      </w:sdt>
      <w:r>
        <w:t>.</w:t>
      </w:r>
    </w:p>
    <w:p w14:paraId="39827046" w14:textId="77777777" w:rsidR="00880448" w:rsidRDefault="00880448" w:rsidP="00880448">
      <w:pPr>
        <w:spacing w:after="0" w:line="360" w:lineRule="auto"/>
        <w:jc w:val="both"/>
      </w:pPr>
      <w:r>
        <w:t>A company's entire success depends on its employees' commitment. Done well, it results in a "family" of employees who are driven by emotion rather than their pay or forthcoming promotion.</w:t>
      </w:r>
    </w:p>
    <w:p w14:paraId="66E26492" w14:textId="4B3D24DA" w:rsidR="00880448" w:rsidRDefault="00880448" w:rsidP="00880448">
      <w:pPr>
        <w:spacing w:after="0" w:line="360" w:lineRule="auto"/>
        <w:jc w:val="both"/>
      </w:pPr>
      <w:r>
        <w:t xml:space="preserve">Along with higher productivity, better employee retention, and less labour expenses, </w:t>
      </w:r>
      <w:r>
        <w:t xml:space="preserve">one will be able to </w:t>
      </w:r>
      <w:r>
        <w:t xml:space="preserve">observe everyday improvements in employee behaviour. It might be the employee who always gives exceptional customer service, regardless of the situation. The people that work in the shop to keep it running smoothly. The </w:t>
      </w:r>
      <w:r>
        <w:t>co-worker</w:t>
      </w:r>
      <w:r>
        <w:t xml:space="preserve"> who </w:t>
      </w:r>
      <w:r>
        <w:t xml:space="preserve">does the </w:t>
      </w:r>
      <w:r>
        <w:t xml:space="preserve">overtime without </w:t>
      </w:r>
      <w:r>
        <w:t xml:space="preserve">questioning the reasons </w:t>
      </w:r>
      <w:r>
        <w:t>or executes top-level responsibilities without supervision. Once management starts engaging their workforce, they may instantly start experiencing the rewards</w:t>
      </w:r>
      <w:r>
        <w:t xml:space="preserve"> of this endeavour</w:t>
      </w:r>
      <w:r>
        <w:t>.</w:t>
      </w:r>
    </w:p>
    <w:p w14:paraId="6FDDA142" w14:textId="31A474F8" w:rsidR="00B97E3D" w:rsidRDefault="00B97E3D" w:rsidP="00112787">
      <w:pPr>
        <w:spacing w:after="0" w:line="360" w:lineRule="auto"/>
        <w:jc w:val="both"/>
        <w:rPr>
          <w:b/>
        </w:rPr>
      </w:pPr>
    </w:p>
    <w:p w14:paraId="5130FEA4" w14:textId="1A40CB27" w:rsidR="00BE6296" w:rsidRPr="00C96B93" w:rsidRDefault="00C01EBA" w:rsidP="00E51715">
      <w:pPr>
        <w:pStyle w:val="Heading1"/>
        <w:spacing w:before="0" w:line="360" w:lineRule="auto"/>
        <w:rPr>
          <w:rFonts w:ascii="Arial" w:hAnsi="Arial" w:cs="Arial"/>
          <w:color w:val="000000" w:themeColor="text1"/>
        </w:rPr>
      </w:pPr>
      <w:bookmarkStart w:id="3" w:name="_Toc103014443"/>
      <w:r>
        <w:rPr>
          <w:rFonts w:ascii="Arial" w:hAnsi="Arial" w:cs="Arial"/>
          <w:color w:val="auto"/>
          <w:sz w:val="32"/>
          <w:szCs w:val="32"/>
        </w:rPr>
        <w:t>E</w:t>
      </w:r>
      <w:r w:rsidR="00095DBD" w:rsidRPr="00095DBD">
        <w:rPr>
          <w:rFonts w:ascii="Arial" w:hAnsi="Arial" w:cs="Arial"/>
          <w:color w:val="auto"/>
          <w:sz w:val="32"/>
          <w:szCs w:val="32"/>
        </w:rPr>
        <w:t>mployee engagement</w:t>
      </w:r>
      <w:r w:rsidR="00277FB9" w:rsidRPr="00277FB9">
        <w:rPr>
          <w:rFonts w:ascii="Arial" w:hAnsi="Arial" w:cs="Arial"/>
          <w:color w:val="000000" w:themeColor="text1"/>
        </w:rPr>
        <w:t xml:space="preserve"> </w:t>
      </w:r>
      <w:r>
        <w:rPr>
          <w:rFonts w:ascii="Arial" w:hAnsi="Arial" w:cs="Arial"/>
          <w:color w:val="000000" w:themeColor="text1"/>
        </w:rPr>
        <w:t>influencing factors</w:t>
      </w:r>
      <w:bookmarkEnd w:id="3"/>
    </w:p>
    <w:p w14:paraId="1BCAF526" w14:textId="6197E2E4" w:rsidR="00277FB9" w:rsidRDefault="00277FB9" w:rsidP="00345324">
      <w:pPr>
        <w:spacing w:after="0" w:line="360" w:lineRule="auto"/>
        <w:jc w:val="both"/>
      </w:pPr>
    </w:p>
    <w:p w14:paraId="4C77D83D" w14:textId="77777777" w:rsidR="00AF4D69" w:rsidRPr="00AF4D69" w:rsidRDefault="00AF4D69" w:rsidP="00AF4D69">
      <w:pPr>
        <w:spacing w:after="0" w:line="360" w:lineRule="auto"/>
        <w:jc w:val="both"/>
        <w:rPr>
          <w:b/>
        </w:rPr>
      </w:pPr>
      <w:r w:rsidRPr="00AF4D69">
        <w:rPr>
          <w:b/>
        </w:rPr>
        <w:t>Organizational culture</w:t>
      </w:r>
    </w:p>
    <w:p w14:paraId="60C7C142" w14:textId="676C3E2D" w:rsidR="00AF4D69" w:rsidRDefault="00AF4D69" w:rsidP="00AF4D69">
      <w:pPr>
        <w:spacing w:after="0" w:line="360" w:lineRule="auto"/>
        <w:jc w:val="both"/>
      </w:pPr>
      <w:r>
        <w:t>Culture has a substantial effect on employee motivations and engagement levels, and both engagement and culture are influenced by dominant leadership and management practises inside the firm</w:t>
      </w:r>
      <w:r w:rsidR="00D72136">
        <w:t xml:space="preserve"> </w:t>
      </w:r>
      <w:sdt>
        <w:sdtPr>
          <w:id w:val="449903863"/>
          <w:citation/>
        </w:sdtPr>
        <w:sdtContent>
          <w:r w:rsidR="00D72136">
            <w:fldChar w:fldCharType="begin"/>
          </w:r>
          <w:r w:rsidR="00D72136">
            <w:instrText xml:space="preserve"> CITATION Arm14 \l 2057 </w:instrText>
          </w:r>
          <w:r w:rsidR="00D72136">
            <w:fldChar w:fldCharType="separate"/>
          </w:r>
          <w:r w:rsidR="00A95205" w:rsidRPr="00A95205">
            <w:rPr>
              <w:noProof/>
            </w:rPr>
            <w:t>(Armstrong &amp; Taylor, 2020)</w:t>
          </w:r>
          <w:r w:rsidR="00D72136">
            <w:fldChar w:fldCharType="end"/>
          </w:r>
        </w:sdtContent>
      </w:sdt>
      <w:r>
        <w:t>. The capacity to communicate one's thoughts and ideas is an important component of employee engagement, especially in a firm recognised for its innovative culture. Alternatively, an organisational culture centred on operational performance might incorporate engagement aspects relating to cooperation and execution</w:t>
      </w:r>
      <w:r w:rsidR="00D72136">
        <w:t xml:space="preserve"> </w:t>
      </w:r>
      <w:sdt>
        <w:sdtPr>
          <w:id w:val="-579060067"/>
          <w:citation/>
        </w:sdtPr>
        <w:sdtContent>
          <w:r w:rsidR="00D72136">
            <w:fldChar w:fldCharType="begin"/>
          </w:r>
          <w:r w:rsidR="00D72136">
            <w:instrText xml:space="preserve"> CITATION Swa15 \l 2057 </w:instrText>
          </w:r>
          <w:r w:rsidR="00D72136">
            <w:fldChar w:fldCharType="separate"/>
          </w:r>
          <w:r w:rsidR="00A95205" w:rsidRPr="00A95205">
            <w:rPr>
              <w:noProof/>
            </w:rPr>
            <w:t>(Swart, et al., 2015)</w:t>
          </w:r>
          <w:r w:rsidR="00D72136">
            <w:fldChar w:fldCharType="end"/>
          </w:r>
        </w:sdtContent>
      </w:sdt>
      <w:r>
        <w:t>.</w:t>
      </w:r>
    </w:p>
    <w:p w14:paraId="6A4DF1BE" w14:textId="617CDEA9" w:rsidR="00AF4D69" w:rsidRDefault="00AF4D69" w:rsidP="00AF4D69">
      <w:pPr>
        <w:spacing w:after="0" w:line="360" w:lineRule="auto"/>
        <w:jc w:val="both"/>
      </w:pPr>
    </w:p>
    <w:p w14:paraId="4B3FEE06" w14:textId="77777777" w:rsidR="00AF4D69" w:rsidRPr="00806FB7" w:rsidRDefault="00AF4D69" w:rsidP="00AF4D69">
      <w:pPr>
        <w:spacing w:after="0" w:line="360" w:lineRule="auto"/>
        <w:jc w:val="both"/>
        <w:rPr>
          <w:b/>
        </w:rPr>
      </w:pPr>
      <w:r w:rsidRPr="00806FB7">
        <w:rPr>
          <w:b/>
        </w:rPr>
        <w:t>Industry</w:t>
      </w:r>
    </w:p>
    <w:p w14:paraId="5420A7BA" w14:textId="6D4C94EE" w:rsidR="00AF4D69" w:rsidRDefault="00AF4D69" w:rsidP="00AF4D69">
      <w:pPr>
        <w:spacing w:after="0" w:line="360" w:lineRule="auto"/>
        <w:jc w:val="both"/>
      </w:pPr>
      <w:r>
        <w:t xml:space="preserve">If </w:t>
      </w:r>
      <w:r w:rsidR="00D72136">
        <w:t xml:space="preserve">one </w:t>
      </w:r>
      <w:r>
        <w:t>ask</w:t>
      </w:r>
      <w:r w:rsidR="00806FB7">
        <w:t>s</w:t>
      </w:r>
      <w:r>
        <w:t xml:space="preserve"> managers at two different organisations what drives their people engagement, you may end up with two entirely different lists. For example, an </w:t>
      </w:r>
      <w:r>
        <w:lastRenderedPageBreak/>
        <w:t xml:space="preserve">employee of a charity may need the job to be relevant and tied to community goals in order to be recruited. On the other side, an automobile worker might prioritise safety at work and connections with </w:t>
      </w:r>
      <w:r w:rsidR="00806FB7">
        <w:t>co-workers.</w:t>
      </w:r>
      <w:r>
        <w:t xml:space="preserve"> Like organisational culture, an employee's engagement variables are impacted by the industry they work in and the colleagues around them.</w:t>
      </w:r>
    </w:p>
    <w:p w14:paraId="4970BD9B" w14:textId="77777777" w:rsidR="00AF4D69" w:rsidRDefault="00AF4D69" w:rsidP="00AF4D69">
      <w:pPr>
        <w:spacing w:after="0" w:line="360" w:lineRule="auto"/>
        <w:jc w:val="both"/>
      </w:pPr>
      <w:r>
        <w:t>Employees may have a variety of ways to get more involved in their job, depending on the firm. Industry conferences, trade exhibitions and webinars provide professionals the opportunity to upgrade their abilities, acquire new contacts and display their expertise to larger circles.</w:t>
      </w:r>
    </w:p>
    <w:p w14:paraId="39AEF26D" w14:textId="77777777" w:rsidR="00AF4D69" w:rsidRDefault="00AF4D69" w:rsidP="00AF4D69">
      <w:pPr>
        <w:spacing w:after="0" w:line="360" w:lineRule="auto"/>
        <w:jc w:val="both"/>
      </w:pPr>
      <w:r>
        <w:t>These events may appear different in any firm, but they all serve to stimulate workers to learn more, display their abilities, or establish tighter relationships with their colleagues, which has a big effect on employee engagement.</w:t>
      </w:r>
    </w:p>
    <w:p w14:paraId="079716BE" w14:textId="77777777" w:rsidR="00AF4D69" w:rsidRDefault="00AF4D69" w:rsidP="00AF4D69">
      <w:pPr>
        <w:spacing w:after="0" w:line="360" w:lineRule="auto"/>
        <w:jc w:val="both"/>
      </w:pPr>
    </w:p>
    <w:p w14:paraId="4A503404" w14:textId="1908F85E" w:rsidR="00AF4D69" w:rsidRPr="00806FB7" w:rsidRDefault="00806FB7" w:rsidP="00AF4D69">
      <w:pPr>
        <w:spacing w:after="0" w:line="360" w:lineRule="auto"/>
        <w:jc w:val="both"/>
        <w:rPr>
          <w:b/>
        </w:rPr>
      </w:pPr>
      <w:r w:rsidRPr="00806FB7">
        <w:rPr>
          <w:b/>
        </w:rPr>
        <w:t>Job description or position within the company</w:t>
      </w:r>
    </w:p>
    <w:p w14:paraId="66AB7010" w14:textId="77777777" w:rsidR="00AF4D69" w:rsidRDefault="00AF4D69" w:rsidP="00AF4D69">
      <w:pPr>
        <w:spacing w:after="0" w:line="360" w:lineRule="auto"/>
        <w:jc w:val="both"/>
      </w:pPr>
      <w:r>
        <w:t>An employee's specific professional job can significantly decide what drives him.</w:t>
      </w:r>
    </w:p>
    <w:p w14:paraId="726B7ECB" w14:textId="46F30AFF" w:rsidR="00AF4D69" w:rsidRDefault="00AF4D69" w:rsidP="00AF4D69">
      <w:pPr>
        <w:spacing w:after="0" w:line="360" w:lineRule="auto"/>
        <w:jc w:val="both"/>
      </w:pPr>
      <w:r>
        <w:t>For some workers, meaningful work is in itself motivation</w:t>
      </w:r>
      <w:r w:rsidR="00A17EA6">
        <w:t xml:space="preserve"> </w:t>
      </w:r>
      <w:sdt>
        <w:sdtPr>
          <w:id w:val="-390736929"/>
          <w:citation/>
        </w:sdtPr>
        <w:sdtContent>
          <w:r w:rsidR="00A17EA6">
            <w:fldChar w:fldCharType="begin"/>
          </w:r>
          <w:r w:rsidR="00A17EA6">
            <w:instrText xml:space="preserve"> CITATION Tor18 \l 2057 </w:instrText>
          </w:r>
          <w:r w:rsidR="00A17EA6">
            <w:fldChar w:fldCharType="separate"/>
          </w:r>
          <w:r w:rsidR="00A95205" w:rsidRPr="00A95205">
            <w:rPr>
              <w:noProof/>
            </w:rPr>
            <w:t>(Torrington, et al., 2018)</w:t>
          </w:r>
          <w:r w:rsidR="00A17EA6">
            <w:fldChar w:fldCharType="end"/>
          </w:r>
        </w:sdtContent>
      </w:sdt>
      <w:r>
        <w:t>. The meaning of work is unique to each employee and can be difficult to gauge, but motivating employees to do their best is crucial. Employees that are really driven by their job think they are serving the greater good or contributing to bigger aims</w:t>
      </w:r>
      <w:r w:rsidR="00A17EA6">
        <w:t xml:space="preserve"> </w:t>
      </w:r>
      <w:sdt>
        <w:sdtPr>
          <w:id w:val="-2122291689"/>
          <w:citation/>
        </w:sdtPr>
        <w:sdtContent>
          <w:r w:rsidR="00A17EA6">
            <w:fldChar w:fldCharType="begin"/>
          </w:r>
          <w:r w:rsidR="00A17EA6">
            <w:instrText xml:space="preserve"> CITATION Cal18 \l 2057 </w:instrText>
          </w:r>
          <w:r w:rsidR="00A17EA6">
            <w:fldChar w:fldCharType="separate"/>
          </w:r>
          <w:r w:rsidR="00A95205" w:rsidRPr="00A95205">
            <w:rPr>
              <w:noProof/>
            </w:rPr>
            <w:t>(Caldwell &amp; Anderson, 2018)</w:t>
          </w:r>
          <w:r w:rsidR="00A17EA6">
            <w:fldChar w:fldCharType="end"/>
          </w:r>
        </w:sdtContent>
      </w:sdt>
      <w:r>
        <w:t>.</w:t>
      </w:r>
    </w:p>
    <w:p w14:paraId="1DC9C5AF" w14:textId="704F5BF2" w:rsidR="00AF4D69" w:rsidRDefault="00AF4D69" w:rsidP="00AF4D69">
      <w:pPr>
        <w:spacing w:after="0" w:line="360" w:lineRule="auto"/>
        <w:jc w:val="both"/>
      </w:pPr>
      <w:r>
        <w:t xml:space="preserve">Workers in other departments may be spurred on to action by advancements in their positions or shifts in their job descriptions. To motivate an employee, </w:t>
      </w:r>
      <w:r w:rsidR="00806FB7">
        <w:t xml:space="preserve">HR management should </w:t>
      </w:r>
      <w:r>
        <w:t>give them more freedom in their current role or provide them the opportunity to work on different projects that are more closely related to their passions.</w:t>
      </w:r>
    </w:p>
    <w:p w14:paraId="14C4A452" w14:textId="134EA4EB" w:rsidR="00AF4D69" w:rsidRDefault="00AF4D69" w:rsidP="00AF4D69">
      <w:pPr>
        <w:spacing w:after="0" w:line="360" w:lineRule="auto"/>
        <w:jc w:val="both"/>
      </w:pPr>
      <w:r>
        <w:t>Workplace relationships, rather than job responsibilities, are what motivate some employees to put in their best engagement</w:t>
      </w:r>
      <w:r w:rsidR="00A17EA6">
        <w:t xml:space="preserve"> </w:t>
      </w:r>
      <w:sdt>
        <w:sdtPr>
          <w:id w:val="-1967957998"/>
          <w:citation/>
        </w:sdtPr>
        <w:sdtContent>
          <w:r w:rsidR="00A17EA6">
            <w:fldChar w:fldCharType="begin"/>
          </w:r>
          <w:r w:rsidR="00A17EA6">
            <w:instrText xml:space="preserve"> CITATION Hoo19 \l 2057 </w:instrText>
          </w:r>
          <w:r w:rsidR="00A17EA6">
            <w:fldChar w:fldCharType="separate"/>
          </w:r>
          <w:r w:rsidR="00A95205" w:rsidRPr="00A95205">
            <w:rPr>
              <w:noProof/>
            </w:rPr>
            <w:t>(Hook &amp; Jenkins, 2019)</w:t>
          </w:r>
          <w:r w:rsidR="00A17EA6">
            <w:fldChar w:fldCharType="end"/>
          </w:r>
        </w:sdtContent>
      </w:sdt>
      <w:r>
        <w:t xml:space="preserve">. They desire fantastic connections with </w:t>
      </w:r>
      <w:r w:rsidR="00806FB7">
        <w:t>co-workers</w:t>
      </w:r>
      <w:r>
        <w:t xml:space="preserve"> and superiors, a healthy work-life balance, employment security, or anything entirely unrelated to their job obligations. With this in mind, managers need to pay attention to how unique job needs effect the employment of some, but not all, workers.</w:t>
      </w:r>
    </w:p>
    <w:p w14:paraId="403DC294" w14:textId="4A413125" w:rsidR="00806FB7" w:rsidRDefault="00806FB7" w:rsidP="00AF4D69">
      <w:pPr>
        <w:spacing w:after="0" w:line="360" w:lineRule="auto"/>
        <w:jc w:val="both"/>
      </w:pPr>
    </w:p>
    <w:p w14:paraId="42072744" w14:textId="77777777" w:rsidR="00A95205" w:rsidRDefault="00A95205" w:rsidP="00AF4D69">
      <w:pPr>
        <w:spacing w:after="0" w:line="360" w:lineRule="auto"/>
        <w:jc w:val="both"/>
      </w:pPr>
    </w:p>
    <w:p w14:paraId="7FD89361" w14:textId="38DF962F" w:rsidR="00AF4D69" w:rsidRPr="00806FB7" w:rsidRDefault="00806FB7" w:rsidP="00AF4D69">
      <w:pPr>
        <w:spacing w:after="0" w:line="360" w:lineRule="auto"/>
        <w:jc w:val="both"/>
        <w:rPr>
          <w:b/>
        </w:rPr>
      </w:pPr>
      <w:r w:rsidRPr="00806FB7">
        <w:rPr>
          <w:b/>
        </w:rPr>
        <w:lastRenderedPageBreak/>
        <w:t>P</w:t>
      </w:r>
      <w:r w:rsidR="00AF4D69" w:rsidRPr="00806FB7">
        <w:rPr>
          <w:b/>
        </w:rPr>
        <w:t>rofessional success</w:t>
      </w:r>
    </w:p>
    <w:p w14:paraId="7EDB7BCA" w14:textId="77777777" w:rsidR="00AF4D69" w:rsidRDefault="00AF4D69" w:rsidP="00AF4D69">
      <w:pPr>
        <w:spacing w:after="0" w:line="360" w:lineRule="auto"/>
        <w:jc w:val="both"/>
      </w:pPr>
      <w:r>
        <w:t>Career objectives - and progress towards them - are another aspect that contributes to employee engagement. Depending on a given employee's career level, they might be motivated by many causes.</w:t>
      </w:r>
    </w:p>
    <w:p w14:paraId="4E531ACA" w14:textId="736CB617" w:rsidR="00AF4D69" w:rsidRDefault="00AF4D69" w:rsidP="00AF4D69">
      <w:pPr>
        <w:spacing w:after="0" w:line="360" w:lineRule="auto"/>
        <w:jc w:val="both"/>
      </w:pPr>
      <w:r>
        <w:t xml:space="preserve">A focus on competitive compensation and good leaders who assist early-career workers </w:t>
      </w:r>
      <w:r w:rsidR="00806FB7">
        <w:t xml:space="preserve">might </w:t>
      </w:r>
      <w:r>
        <w:t xml:space="preserve">enhance </w:t>
      </w:r>
      <w:r w:rsidR="00806FB7">
        <w:t xml:space="preserve">employees’ </w:t>
      </w:r>
      <w:r>
        <w:t>abilities</w:t>
      </w:r>
      <w:r w:rsidR="00A17EA6">
        <w:t xml:space="preserve"> </w:t>
      </w:r>
      <w:sdt>
        <w:sdtPr>
          <w:id w:val="-1298833293"/>
          <w:citation/>
        </w:sdtPr>
        <w:sdtContent>
          <w:r w:rsidR="00A17EA6">
            <w:fldChar w:fldCharType="begin"/>
          </w:r>
          <w:r w:rsidR="00A17EA6">
            <w:instrText xml:space="preserve"> CITATION Tor18 \l 2057 </w:instrText>
          </w:r>
          <w:r w:rsidR="00A17EA6">
            <w:fldChar w:fldCharType="separate"/>
          </w:r>
          <w:r w:rsidR="00A95205" w:rsidRPr="00A95205">
            <w:rPr>
              <w:noProof/>
            </w:rPr>
            <w:t>(Torrington, et al., 2018)</w:t>
          </w:r>
          <w:r w:rsidR="00A17EA6">
            <w:fldChar w:fldCharType="end"/>
          </w:r>
        </w:sdtContent>
      </w:sdt>
      <w:r>
        <w:t>. More experienced professionals may place higher importance on outstanding connections with colleagues or flexible ways of working that match their schedules. Relationships, work culture, and employee autonomy may be more important motivators for employees with varied job histories than they are for their peers.</w:t>
      </w:r>
    </w:p>
    <w:p w14:paraId="6537933E" w14:textId="77777777" w:rsidR="00AF4D69" w:rsidRDefault="00AF4D69" w:rsidP="00AF4D69">
      <w:pPr>
        <w:spacing w:after="0" w:line="360" w:lineRule="auto"/>
        <w:jc w:val="both"/>
      </w:pPr>
    </w:p>
    <w:p w14:paraId="2973F79A" w14:textId="7EB276E8" w:rsidR="00E51715" w:rsidRPr="00C96B93" w:rsidRDefault="00095DBD" w:rsidP="00E51715">
      <w:pPr>
        <w:pStyle w:val="Heading1"/>
        <w:spacing w:before="0" w:line="360" w:lineRule="auto"/>
        <w:rPr>
          <w:rFonts w:ascii="Arial" w:hAnsi="Arial" w:cs="Arial"/>
          <w:color w:val="000000" w:themeColor="text1"/>
        </w:rPr>
      </w:pPr>
      <w:bookmarkStart w:id="4" w:name="_Toc103014444"/>
      <w:r>
        <w:rPr>
          <w:rFonts w:ascii="Arial" w:hAnsi="Arial" w:cs="Arial"/>
          <w:color w:val="auto"/>
          <w:sz w:val="32"/>
          <w:szCs w:val="32"/>
        </w:rPr>
        <w:t>D</w:t>
      </w:r>
      <w:r w:rsidRPr="00095DBD">
        <w:rPr>
          <w:rFonts w:ascii="Arial" w:hAnsi="Arial" w:cs="Arial"/>
          <w:color w:val="auto"/>
          <w:sz w:val="32"/>
          <w:szCs w:val="32"/>
        </w:rPr>
        <w:t>iagnostic tools to measure engagement</w:t>
      </w:r>
      <w:bookmarkEnd w:id="4"/>
      <w:r w:rsidR="00E51715" w:rsidRPr="00277FB9">
        <w:rPr>
          <w:rFonts w:ascii="Arial" w:hAnsi="Arial" w:cs="Arial"/>
          <w:color w:val="000000" w:themeColor="text1"/>
        </w:rPr>
        <w:t xml:space="preserve"> </w:t>
      </w:r>
    </w:p>
    <w:p w14:paraId="60EEAACE" w14:textId="77777777" w:rsidR="00E51715" w:rsidRDefault="00E51715" w:rsidP="00E51715">
      <w:pPr>
        <w:spacing w:after="0" w:line="360" w:lineRule="auto"/>
        <w:jc w:val="both"/>
      </w:pPr>
    </w:p>
    <w:p w14:paraId="132C0859" w14:textId="29AD6C2B" w:rsidR="001F1365" w:rsidRPr="001F1365" w:rsidRDefault="001F1365" w:rsidP="001F1365">
      <w:pPr>
        <w:spacing w:after="0" w:line="360" w:lineRule="auto"/>
        <w:jc w:val="both"/>
        <w:rPr>
          <w:b/>
        </w:rPr>
      </w:pPr>
      <w:r w:rsidRPr="001F1365">
        <w:rPr>
          <w:b/>
        </w:rPr>
        <w:t>Employee polls</w:t>
      </w:r>
      <w:r w:rsidRPr="001F1365">
        <w:rPr>
          <w:b/>
        </w:rPr>
        <w:t xml:space="preserve"> and surveys</w:t>
      </w:r>
    </w:p>
    <w:p w14:paraId="1B48FB67" w14:textId="376B2745" w:rsidR="001F1365" w:rsidRDefault="001F1365" w:rsidP="001F1365">
      <w:pPr>
        <w:spacing w:after="0" w:line="360" w:lineRule="auto"/>
        <w:jc w:val="both"/>
      </w:pPr>
      <w:r>
        <w:t>Surveys are the most common way for measuring worker engagement in order to get employee feedback on their feelings and attitudes. The most effective surveys may be designed and submitted anonymously, which increases response rates and enables employees to offer more constructive feedback</w:t>
      </w:r>
      <w:r w:rsidR="00A17EA6">
        <w:t xml:space="preserve"> </w:t>
      </w:r>
      <w:sdt>
        <w:sdtPr>
          <w:id w:val="-1933732598"/>
          <w:citation/>
        </w:sdtPr>
        <w:sdtContent>
          <w:r w:rsidR="00A17EA6">
            <w:fldChar w:fldCharType="begin"/>
          </w:r>
          <w:r w:rsidR="00A17EA6">
            <w:instrText xml:space="preserve"> CITATION Des08 \l 2057 </w:instrText>
          </w:r>
          <w:r w:rsidR="00A17EA6">
            <w:fldChar w:fldCharType="separate"/>
          </w:r>
          <w:r w:rsidR="00A95205" w:rsidRPr="00A95205">
            <w:rPr>
              <w:noProof/>
            </w:rPr>
            <w:t>(Dessler, 2008)</w:t>
          </w:r>
          <w:r w:rsidR="00A17EA6">
            <w:fldChar w:fldCharType="end"/>
          </w:r>
        </w:sdtContent>
      </w:sdt>
      <w:r>
        <w:t>.</w:t>
      </w:r>
    </w:p>
    <w:p w14:paraId="59E15351" w14:textId="012D83F5" w:rsidR="001F1365" w:rsidRDefault="001F1365" w:rsidP="001F1365">
      <w:pPr>
        <w:spacing w:after="0" w:line="360" w:lineRule="auto"/>
        <w:jc w:val="both"/>
      </w:pPr>
      <w:r>
        <w:t xml:space="preserve">Using a third-party administrator (such as </w:t>
      </w:r>
      <w:r>
        <w:t>Google Forms</w:t>
      </w:r>
      <w:r>
        <w:t>) might help convince employees that they can submit honest feedback without fear of retribution</w:t>
      </w:r>
      <w:r>
        <w:t>.</w:t>
      </w:r>
    </w:p>
    <w:p w14:paraId="08DEB9DB" w14:textId="77777777" w:rsidR="001F1365" w:rsidRDefault="001F1365" w:rsidP="001F1365">
      <w:pPr>
        <w:spacing w:after="0" w:line="360" w:lineRule="auto"/>
        <w:jc w:val="both"/>
      </w:pPr>
      <w:r>
        <w:t>Managers may determine the level of employee engagement by asking questions such as:</w:t>
      </w:r>
    </w:p>
    <w:p w14:paraId="40A8354D" w14:textId="77777777" w:rsidR="001F1365" w:rsidRDefault="001F1365" w:rsidP="001F1365">
      <w:pPr>
        <w:pStyle w:val="ListParagraph"/>
        <w:numPr>
          <w:ilvl w:val="0"/>
          <w:numId w:val="37"/>
        </w:numPr>
        <w:spacing w:after="0" w:line="360" w:lineRule="auto"/>
        <w:jc w:val="both"/>
      </w:pPr>
      <w:r>
        <w:t>Are you devoted to giving your best effort every day at work?</w:t>
      </w:r>
    </w:p>
    <w:p w14:paraId="155DBE28" w14:textId="77777777" w:rsidR="001F1365" w:rsidRDefault="001F1365" w:rsidP="001F1365">
      <w:pPr>
        <w:pStyle w:val="ListParagraph"/>
        <w:numPr>
          <w:ilvl w:val="0"/>
          <w:numId w:val="37"/>
        </w:numPr>
        <w:spacing w:after="0" w:line="360" w:lineRule="auto"/>
        <w:jc w:val="both"/>
      </w:pPr>
      <w:r>
        <w:t>Are you pleased with the culture of your workplace?</w:t>
      </w:r>
    </w:p>
    <w:p w14:paraId="23EE1078" w14:textId="77777777" w:rsidR="001F1365" w:rsidRDefault="001F1365" w:rsidP="001F1365">
      <w:pPr>
        <w:pStyle w:val="ListParagraph"/>
        <w:numPr>
          <w:ilvl w:val="0"/>
          <w:numId w:val="37"/>
        </w:numPr>
        <w:spacing w:after="0" w:line="360" w:lineRule="auto"/>
        <w:jc w:val="both"/>
      </w:pPr>
      <w:r>
        <w:t>Can you establish a direct link between your employment and the company's goals?</w:t>
      </w:r>
    </w:p>
    <w:p w14:paraId="039EAB46" w14:textId="6823F96A" w:rsidR="001F1365" w:rsidRDefault="001F1365" w:rsidP="001F1365">
      <w:pPr>
        <w:spacing w:after="0" w:line="360" w:lineRule="auto"/>
        <w:jc w:val="both"/>
      </w:pPr>
      <w:r>
        <w:t xml:space="preserve">A good survey should help </w:t>
      </w:r>
      <w:r>
        <w:t xml:space="preserve">HR </w:t>
      </w:r>
      <w:r>
        <w:t xml:space="preserve">understand </w:t>
      </w:r>
      <w:r>
        <w:t xml:space="preserve">the </w:t>
      </w:r>
      <w:r>
        <w:t>employees' motivations, interests, job satisfaction levels, and quality of work relationships. In addition to monetary incentives, employees are often motivated by professional advancement, work-life balance, and community involvement.</w:t>
      </w:r>
    </w:p>
    <w:p w14:paraId="03F60EAF" w14:textId="77777777" w:rsidR="001F1365" w:rsidRDefault="001F1365" w:rsidP="001F1365">
      <w:pPr>
        <w:spacing w:after="0" w:line="360" w:lineRule="auto"/>
        <w:jc w:val="both"/>
      </w:pPr>
    </w:p>
    <w:p w14:paraId="7C4B934B" w14:textId="7E68579D" w:rsidR="001F1365" w:rsidRPr="001F1365" w:rsidRDefault="001F1365" w:rsidP="001F1365">
      <w:pPr>
        <w:spacing w:after="0" w:line="360" w:lineRule="auto"/>
        <w:jc w:val="both"/>
        <w:rPr>
          <w:b/>
        </w:rPr>
      </w:pPr>
      <w:r w:rsidRPr="001F1365">
        <w:rPr>
          <w:b/>
        </w:rPr>
        <w:lastRenderedPageBreak/>
        <w:t>HR techniques</w:t>
      </w:r>
      <w:r w:rsidRPr="001F1365">
        <w:rPr>
          <w:b/>
        </w:rPr>
        <w:t xml:space="preserve"> and tools</w:t>
      </w:r>
    </w:p>
    <w:p w14:paraId="459C4F8D" w14:textId="6C922FAF" w:rsidR="001F1365" w:rsidRDefault="001F1365" w:rsidP="001F1365">
      <w:pPr>
        <w:spacing w:after="0" w:line="360" w:lineRule="auto"/>
        <w:jc w:val="both"/>
      </w:pPr>
      <w:r>
        <w:t xml:space="preserve">The issue with doing employee surveys once or twice year is that they do not provide ongoing, real-time, or complete feedback. This is the reason why companies are increasingly supplementing quarterly surveys with flexible software solutions that can gather and assess employee engagement throughout the whole </w:t>
      </w:r>
      <w:proofErr w:type="spellStart"/>
      <w:r>
        <w:t>yea</w:t>
      </w:r>
      <w:r w:rsidR="00A17EA6">
        <w:t xml:space="preserve"> </w:t>
      </w:r>
      <w:sdt>
        <w:sdtPr>
          <w:id w:val="-1318184154"/>
          <w:citation/>
        </w:sdtPr>
        <w:sdtContent>
          <w:proofErr w:type="spellEnd"/>
          <w:r w:rsidR="00A17EA6">
            <w:fldChar w:fldCharType="begin"/>
          </w:r>
          <w:r w:rsidR="00A17EA6">
            <w:instrText xml:space="preserve"> CITATION Sto14 \l 2057 </w:instrText>
          </w:r>
          <w:r w:rsidR="00A17EA6">
            <w:fldChar w:fldCharType="separate"/>
          </w:r>
          <w:r w:rsidR="00A95205" w:rsidRPr="00A95205">
            <w:rPr>
              <w:noProof/>
            </w:rPr>
            <w:t>(Storey, 2014)</w:t>
          </w:r>
          <w:r w:rsidR="00A17EA6">
            <w:fldChar w:fldCharType="end"/>
          </w:r>
          <w:proofErr w:type="spellStart"/>
        </w:sdtContent>
      </w:sdt>
      <w:r>
        <w:t>r</w:t>
      </w:r>
      <w:proofErr w:type="spellEnd"/>
      <w:r>
        <w:t>.</w:t>
      </w:r>
    </w:p>
    <w:p w14:paraId="2334A871" w14:textId="777A020E" w:rsidR="00A14200" w:rsidRDefault="001F1365" w:rsidP="00A14200">
      <w:pPr>
        <w:spacing w:after="0" w:line="360" w:lineRule="auto"/>
        <w:jc w:val="both"/>
      </w:pPr>
      <w:r>
        <w:t xml:space="preserve">Modern HR platforms provide tools for collecting employee feedback and measuring employee satisfaction, while also allowing </w:t>
      </w:r>
      <w:r w:rsidR="00A14200">
        <w:t>HR</w:t>
      </w:r>
      <w:r>
        <w:t xml:space="preserve"> to manage </w:t>
      </w:r>
      <w:r w:rsidR="00A14200">
        <w:t xml:space="preserve">their </w:t>
      </w:r>
      <w:r>
        <w:t xml:space="preserve">employees and their data by storing survey results </w:t>
      </w:r>
      <w:r w:rsidR="00A14200">
        <w:t>electronically and access them later for further analysis and comparison</w:t>
      </w:r>
    </w:p>
    <w:p w14:paraId="270930B2" w14:textId="77777777" w:rsidR="001F1365" w:rsidRDefault="001F1365" w:rsidP="001F1365">
      <w:pPr>
        <w:spacing w:after="0" w:line="360" w:lineRule="auto"/>
        <w:jc w:val="both"/>
      </w:pPr>
    </w:p>
    <w:p w14:paraId="269DF35C" w14:textId="0B22AB91" w:rsidR="001F1365" w:rsidRPr="00A14200" w:rsidRDefault="001F1365" w:rsidP="001F1365">
      <w:pPr>
        <w:spacing w:after="0" w:line="360" w:lineRule="auto"/>
        <w:jc w:val="both"/>
        <w:rPr>
          <w:b/>
        </w:rPr>
      </w:pPr>
      <w:r w:rsidRPr="00A14200">
        <w:rPr>
          <w:b/>
        </w:rPr>
        <w:t>Social networking sites</w:t>
      </w:r>
    </w:p>
    <w:p w14:paraId="47B51F84" w14:textId="1939B2C7" w:rsidR="001F1365" w:rsidRDefault="001F1365" w:rsidP="001F1365">
      <w:pPr>
        <w:spacing w:after="0" w:line="360" w:lineRule="auto"/>
        <w:jc w:val="both"/>
      </w:pPr>
      <w:r>
        <w:t>With the expansion of social media, employers now have access to an additional valuable resource. By monitoring Glassdoor ratings and reviews, companies may, for example, measure employee disposition</w:t>
      </w:r>
      <w:r w:rsidR="00A17EA6">
        <w:t xml:space="preserve"> </w:t>
      </w:r>
      <w:sdt>
        <w:sdtPr>
          <w:id w:val="-1293661168"/>
          <w:citation/>
        </w:sdtPr>
        <w:sdtContent>
          <w:r w:rsidR="00A17EA6">
            <w:fldChar w:fldCharType="begin"/>
          </w:r>
          <w:r w:rsidR="00A17EA6">
            <w:instrText xml:space="preserve"> CITATION Sto14 \l 2057 </w:instrText>
          </w:r>
          <w:r w:rsidR="00A17EA6">
            <w:fldChar w:fldCharType="separate"/>
          </w:r>
          <w:r w:rsidR="00A95205" w:rsidRPr="00A95205">
            <w:rPr>
              <w:noProof/>
            </w:rPr>
            <w:t>(Storey, 2014)</w:t>
          </w:r>
          <w:r w:rsidR="00A17EA6">
            <w:fldChar w:fldCharType="end"/>
          </w:r>
        </w:sdtContent>
      </w:sdt>
      <w:r>
        <w:t>. A social media network similar to an intranet that allows employees to submit ideas and engage in conversations is also advantageous. This gives managers the chance to have a better grasp of the morale and culture of their team.</w:t>
      </w:r>
    </w:p>
    <w:p w14:paraId="0A86EC5D" w14:textId="77777777" w:rsidR="001F1365" w:rsidRDefault="001F1365" w:rsidP="001F1365">
      <w:pPr>
        <w:spacing w:after="0" w:line="360" w:lineRule="auto"/>
        <w:jc w:val="both"/>
      </w:pPr>
    </w:p>
    <w:p w14:paraId="51FAF032" w14:textId="594EA860" w:rsidR="001F1365" w:rsidRPr="00A14200" w:rsidRDefault="00A14200" w:rsidP="001F1365">
      <w:pPr>
        <w:spacing w:after="0" w:line="360" w:lineRule="auto"/>
        <w:jc w:val="both"/>
        <w:rPr>
          <w:b/>
        </w:rPr>
      </w:pPr>
      <w:r w:rsidRPr="00A14200">
        <w:rPr>
          <w:b/>
        </w:rPr>
        <w:t>E</w:t>
      </w:r>
      <w:r w:rsidR="001F1365" w:rsidRPr="00A14200">
        <w:rPr>
          <w:b/>
        </w:rPr>
        <w:t xml:space="preserve">xit </w:t>
      </w:r>
      <w:r w:rsidRPr="00A14200">
        <w:rPr>
          <w:b/>
        </w:rPr>
        <w:t>surveys and interviews</w:t>
      </w:r>
    </w:p>
    <w:p w14:paraId="6A8C7F07" w14:textId="74450BF1" w:rsidR="001F1365" w:rsidRDefault="001F1365" w:rsidP="001F1365">
      <w:pPr>
        <w:spacing w:after="0" w:line="360" w:lineRule="auto"/>
        <w:jc w:val="both"/>
      </w:pPr>
      <w:r>
        <w:t xml:space="preserve">Equally as important as asking the right questions via a well-designed engagement survey is asking the tough questions about why employees, particularly top achievers, decide to leave the organisation. This informed feedback may help identify areas for improvement in order to attract and retain the most brilliant, fully engaged </w:t>
      </w:r>
      <w:r w:rsidR="00A14200">
        <w:t>employees</w:t>
      </w:r>
      <w:r>
        <w:t>. Numerous experts advise combining a single written questionnaire with an exit interview and, if possible, a follow-up phone interview one month or later</w:t>
      </w:r>
      <w:r w:rsidR="00A17EA6">
        <w:t xml:space="preserve"> </w:t>
      </w:r>
      <w:sdt>
        <w:sdtPr>
          <w:id w:val="2030671759"/>
          <w:citation/>
        </w:sdtPr>
        <w:sdtContent>
          <w:r w:rsidR="00A17EA6">
            <w:fldChar w:fldCharType="begin"/>
          </w:r>
          <w:r w:rsidR="00A17EA6">
            <w:instrText xml:space="preserve"> CITATION Sto14 \l 2057 </w:instrText>
          </w:r>
          <w:r w:rsidR="00A17EA6">
            <w:fldChar w:fldCharType="separate"/>
          </w:r>
          <w:r w:rsidR="00A95205" w:rsidRPr="00A95205">
            <w:rPr>
              <w:noProof/>
            </w:rPr>
            <w:t>(Storey, 2014)</w:t>
          </w:r>
          <w:r w:rsidR="00A17EA6">
            <w:fldChar w:fldCharType="end"/>
          </w:r>
        </w:sdtContent>
      </w:sdt>
      <w:r>
        <w:t>.</w:t>
      </w:r>
    </w:p>
    <w:p w14:paraId="2AF21F7D" w14:textId="77777777" w:rsidR="001F1365" w:rsidRDefault="001F1365" w:rsidP="001F1365">
      <w:pPr>
        <w:spacing w:after="0" w:line="360" w:lineRule="auto"/>
        <w:jc w:val="both"/>
      </w:pPr>
    </w:p>
    <w:p w14:paraId="64F26654" w14:textId="27410BA6" w:rsidR="001F1365" w:rsidRPr="00A14200" w:rsidRDefault="00A14200" w:rsidP="001F1365">
      <w:pPr>
        <w:spacing w:after="0" w:line="360" w:lineRule="auto"/>
        <w:jc w:val="both"/>
        <w:rPr>
          <w:b/>
        </w:rPr>
      </w:pPr>
      <w:r w:rsidRPr="00A14200">
        <w:rPr>
          <w:b/>
        </w:rPr>
        <w:t>Lifecycle of the employee advantages</w:t>
      </w:r>
    </w:p>
    <w:p w14:paraId="38F5A60D" w14:textId="02BC486B" w:rsidR="00AF4D69" w:rsidRDefault="001F1365" w:rsidP="001F1365">
      <w:pPr>
        <w:spacing w:after="0" w:line="360" w:lineRule="auto"/>
        <w:jc w:val="both"/>
      </w:pPr>
      <w:r>
        <w:t xml:space="preserve">An employee lifecycle refers to the phases that employees pass through throughout their employment, starting with recruitment and onboarding, and continuing with development, performance management, retention, and separation. Throughout the many stages of the employee experience, </w:t>
      </w:r>
      <w:r w:rsidR="00A14200">
        <w:t xml:space="preserve">HR department </w:t>
      </w:r>
      <w:r>
        <w:t xml:space="preserve">ay collect employee feedback and establish employee </w:t>
      </w:r>
      <w:r>
        <w:lastRenderedPageBreak/>
        <w:t xml:space="preserve">engagement activities to strengthen the value proposition of </w:t>
      </w:r>
      <w:r w:rsidR="00A14200">
        <w:t xml:space="preserve">the </w:t>
      </w:r>
      <w:r>
        <w:t>company's brand and culture.</w:t>
      </w:r>
    </w:p>
    <w:p w14:paraId="21FA753D" w14:textId="77777777" w:rsidR="00095DBD" w:rsidRDefault="00095DBD" w:rsidP="0068073F">
      <w:pPr>
        <w:spacing w:after="0" w:line="360" w:lineRule="auto"/>
        <w:jc w:val="both"/>
      </w:pPr>
    </w:p>
    <w:p w14:paraId="537A7602" w14:textId="47E19438" w:rsidR="00095DBD" w:rsidRPr="00C96B93" w:rsidRDefault="00095DBD" w:rsidP="00095DBD">
      <w:pPr>
        <w:pStyle w:val="Heading1"/>
        <w:spacing w:before="0" w:line="360" w:lineRule="auto"/>
        <w:rPr>
          <w:rFonts w:ascii="Arial" w:hAnsi="Arial" w:cs="Arial"/>
          <w:color w:val="000000" w:themeColor="text1"/>
        </w:rPr>
      </w:pPr>
      <w:bookmarkStart w:id="5" w:name="_Toc103014445"/>
      <w:r>
        <w:rPr>
          <w:rFonts w:ascii="Arial" w:hAnsi="Arial" w:cs="Arial"/>
          <w:color w:val="auto"/>
          <w:sz w:val="32"/>
          <w:szCs w:val="32"/>
        </w:rPr>
        <w:t>S</w:t>
      </w:r>
      <w:r w:rsidRPr="00095DBD">
        <w:rPr>
          <w:rFonts w:ascii="Arial" w:hAnsi="Arial" w:cs="Arial"/>
          <w:color w:val="auto"/>
          <w:sz w:val="32"/>
          <w:szCs w:val="32"/>
        </w:rPr>
        <w:t>trategies to raise levels of engagement</w:t>
      </w:r>
      <w:bookmarkEnd w:id="5"/>
      <w:r w:rsidRPr="00277FB9">
        <w:rPr>
          <w:rFonts w:ascii="Arial" w:hAnsi="Arial" w:cs="Arial"/>
          <w:color w:val="000000" w:themeColor="text1"/>
        </w:rPr>
        <w:t xml:space="preserve"> </w:t>
      </w:r>
    </w:p>
    <w:p w14:paraId="1C0E1A4C" w14:textId="77777777" w:rsidR="00095DBD" w:rsidRDefault="00095DBD" w:rsidP="00095DBD">
      <w:pPr>
        <w:spacing w:after="0" w:line="360" w:lineRule="auto"/>
        <w:jc w:val="both"/>
      </w:pPr>
    </w:p>
    <w:p w14:paraId="1C1A4780" w14:textId="3F9B5299" w:rsidR="00A14200" w:rsidRDefault="00D72136" w:rsidP="00A14200">
      <w:pPr>
        <w:spacing w:after="0" w:line="360" w:lineRule="auto"/>
        <w:jc w:val="both"/>
      </w:pPr>
      <w:r>
        <w:t xml:space="preserve">The </w:t>
      </w:r>
      <w:r w:rsidR="00A14200">
        <w:t>only objective as a</w:t>
      </w:r>
      <w:r>
        <w:t xml:space="preserve"> manager </w:t>
      </w:r>
      <w:r w:rsidR="00A14200">
        <w:t xml:space="preserve">is the expansion of </w:t>
      </w:r>
      <w:r>
        <w:t xml:space="preserve">the </w:t>
      </w:r>
      <w:r w:rsidR="00A14200">
        <w:t xml:space="preserve">organisation. </w:t>
      </w:r>
      <w:r>
        <w:t xml:space="preserve">A manager </w:t>
      </w:r>
      <w:r w:rsidR="00A14200">
        <w:t xml:space="preserve">may use all the levers and sophisticated tools </w:t>
      </w:r>
      <w:r>
        <w:t xml:space="preserve">one </w:t>
      </w:r>
      <w:r w:rsidR="00A14200">
        <w:t>want</w:t>
      </w:r>
      <w:r>
        <w:t>s</w:t>
      </w:r>
      <w:r w:rsidR="00A14200">
        <w:t xml:space="preserve"> for this aim, but if </w:t>
      </w:r>
      <w:r>
        <w:t xml:space="preserve">they </w:t>
      </w:r>
      <w:r w:rsidR="00A14200">
        <w:t xml:space="preserve">fail to adequately encourage </w:t>
      </w:r>
      <w:r>
        <w:t xml:space="preserve">their </w:t>
      </w:r>
      <w:r w:rsidR="00A14200">
        <w:t xml:space="preserve">staff, </w:t>
      </w:r>
      <w:r>
        <w:t xml:space="preserve">the </w:t>
      </w:r>
      <w:r w:rsidR="00A14200">
        <w:t>efforts will be useless.</w:t>
      </w:r>
    </w:p>
    <w:p w14:paraId="0AA9D585" w14:textId="6F10C573" w:rsidR="00A14200" w:rsidRDefault="00A14200" w:rsidP="00A14200">
      <w:pPr>
        <w:spacing w:after="0" w:line="360" w:lineRule="auto"/>
        <w:jc w:val="both"/>
      </w:pPr>
      <w:r>
        <w:t xml:space="preserve">If </w:t>
      </w:r>
      <w:r w:rsidR="00D72136">
        <w:t xml:space="preserve">HR department is </w:t>
      </w:r>
      <w:r>
        <w:t xml:space="preserve">seeking for ways to enhance the motivation of </w:t>
      </w:r>
      <w:r w:rsidR="00D72136">
        <w:t xml:space="preserve">the </w:t>
      </w:r>
      <w:r>
        <w:t xml:space="preserve">staff, here are </w:t>
      </w:r>
      <w:r w:rsidR="00D72136">
        <w:t xml:space="preserve">a few </w:t>
      </w:r>
      <w:r>
        <w:t>easy ways to keep team</w:t>
      </w:r>
      <w:r w:rsidR="00D72136">
        <w:t>s</w:t>
      </w:r>
      <w:r>
        <w:t xml:space="preserve"> motivated:</w:t>
      </w:r>
    </w:p>
    <w:p w14:paraId="70186FEC" w14:textId="77777777" w:rsidR="00A14200" w:rsidRDefault="00A14200" w:rsidP="00A14200">
      <w:pPr>
        <w:spacing w:after="0" w:line="360" w:lineRule="auto"/>
        <w:jc w:val="both"/>
      </w:pPr>
    </w:p>
    <w:p w14:paraId="748AAB3D" w14:textId="77777777" w:rsidR="00A14200" w:rsidRDefault="00A14200" w:rsidP="00A14200">
      <w:pPr>
        <w:spacing w:after="0" w:line="360" w:lineRule="auto"/>
        <w:jc w:val="both"/>
      </w:pPr>
      <w:r w:rsidRPr="00D72136">
        <w:rPr>
          <w:b/>
        </w:rPr>
        <w:t>Recognize exceptional accomplishments</w:t>
      </w:r>
      <w:r>
        <w:t>: Employee motivation increases dramatically when their effort is acknowledged by superiors.</w:t>
      </w:r>
    </w:p>
    <w:p w14:paraId="22921CB0" w14:textId="7651DE59" w:rsidR="00A14200" w:rsidRDefault="00A14200" w:rsidP="00A14200">
      <w:pPr>
        <w:spacing w:after="0" w:line="360" w:lineRule="auto"/>
        <w:jc w:val="both"/>
      </w:pPr>
      <w:r w:rsidRPr="00D72136">
        <w:rPr>
          <w:b/>
        </w:rPr>
        <w:t xml:space="preserve">Assure staff that </w:t>
      </w:r>
      <w:r w:rsidR="00D72136" w:rsidRPr="00D72136">
        <w:rPr>
          <w:b/>
        </w:rPr>
        <w:t xml:space="preserve">the management has </w:t>
      </w:r>
      <w:r w:rsidRPr="00D72136">
        <w:rPr>
          <w:b/>
        </w:rPr>
        <w:t>confidence in them</w:t>
      </w:r>
      <w:r>
        <w:t xml:space="preserve">, and they will not let </w:t>
      </w:r>
      <w:r w:rsidR="00D72136">
        <w:t xml:space="preserve">the company </w:t>
      </w:r>
      <w:r>
        <w:t xml:space="preserve">down. A vote of confidence is more valuable than </w:t>
      </w:r>
      <w:r w:rsidR="00D72136">
        <w:t xml:space="preserve">one </w:t>
      </w:r>
      <w:r>
        <w:t>may realise.</w:t>
      </w:r>
    </w:p>
    <w:p w14:paraId="7BC8ADF4" w14:textId="5FBFD434" w:rsidR="00A14200" w:rsidRDefault="00A14200" w:rsidP="00A14200">
      <w:pPr>
        <w:spacing w:after="0" w:line="360" w:lineRule="auto"/>
        <w:jc w:val="both"/>
      </w:pPr>
      <w:r w:rsidRPr="00D72136">
        <w:rPr>
          <w:b/>
        </w:rPr>
        <w:t>Flexibility</w:t>
      </w:r>
      <w:r>
        <w:t xml:space="preserve"> is the most crucial feature for the younger generation, followed by money. They will be extremely driven if </w:t>
      </w:r>
      <w:r w:rsidR="00D72136">
        <w:t xml:space="preserve">management is </w:t>
      </w:r>
      <w:r>
        <w:t>adaptable about the workplace, working hours, and methods.</w:t>
      </w:r>
    </w:p>
    <w:p w14:paraId="1B9BCE6D" w14:textId="12144982" w:rsidR="00A14200" w:rsidRDefault="00A14200" w:rsidP="00A14200">
      <w:pPr>
        <w:spacing w:after="0" w:line="360" w:lineRule="auto"/>
        <w:jc w:val="both"/>
      </w:pPr>
      <w:r w:rsidRPr="00D72136">
        <w:rPr>
          <w:b/>
        </w:rPr>
        <w:t>Set a target</w:t>
      </w:r>
      <w:r>
        <w:t xml:space="preserve">: </w:t>
      </w:r>
      <w:r w:rsidR="00D72136">
        <w:t>HR must e</w:t>
      </w:r>
      <w:r>
        <w:t>nsure that workers understand the objective of their job and underline its significance.</w:t>
      </w:r>
    </w:p>
    <w:p w14:paraId="63878E95" w14:textId="77777777" w:rsidR="00A14200" w:rsidRDefault="00A14200" w:rsidP="00A14200">
      <w:pPr>
        <w:spacing w:after="0" w:line="360" w:lineRule="auto"/>
        <w:jc w:val="both"/>
      </w:pPr>
      <w:r w:rsidRPr="00D72136">
        <w:rPr>
          <w:b/>
        </w:rPr>
        <w:t>Set quantifiable objectives</w:t>
      </w:r>
      <w:r>
        <w:t>: This increases employee engagement whenever an objective is met and keeps the team on pace.</w:t>
      </w:r>
    </w:p>
    <w:p w14:paraId="256EAA40" w14:textId="79AD4E56" w:rsidR="00A14200" w:rsidRDefault="00A14200" w:rsidP="00A14200">
      <w:pPr>
        <w:spacing w:after="0" w:line="360" w:lineRule="auto"/>
        <w:jc w:val="both"/>
      </w:pPr>
      <w:r w:rsidRPr="00D72136">
        <w:rPr>
          <w:b/>
        </w:rPr>
        <w:t>Recognize accomplishments</w:t>
      </w:r>
      <w:r>
        <w:t xml:space="preserve">: </w:t>
      </w:r>
      <w:r w:rsidR="00D72136">
        <w:t>E</w:t>
      </w:r>
      <w:r>
        <w:t xml:space="preserve">stablishing quantifiable objectives provides several </w:t>
      </w:r>
      <w:r w:rsidR="00D72136">
        <w:t>opportunities</w:t>
      </w:r>
      <w:r>
        <w:t xml:space="preserve"> to recognise effort. If </w:t>
      </w:r>
      <w:r w:rsidR="00D72136">
        <w:t xml:space="preserve">HR wants </w:t>
      </w:r>
      <w:r>
        <w:t xml:space="preserve">to encourage </w:t>
      </w:r>
      <w:r w:rsidR="00D72136">
        <w:t xml:space="preserve">their </w:t>
      </w:r>
      <w:r>
        <w:t>team</w:t>
      </w:r>
      <w:r w:rsidR="00D72136">
        <w:t>s</w:t>
      </w:r>
      <w:r>
        <w:t xml:space="preserve">, </w:t>
      </w:r>
      <w:r w:rsidR="00D72136">
        <w:t xml:space="preserve">they must </w:t>
      </w:r>
      <w:r>
        <w:t>be explicit about who and how they contributed to the organization's success.</w:t>
      </w:r>
    </w:p>
    <w:p w14:paraId="00D4AC74" w14:textId="32A957B8" w:rsidR="00A14200" w:rsidRDefault="00A14200" w:rsidP="00A14200">
      <w:pPr>
        <w:spacing w:after="0" w:line="360" w:lineRule="auto"/>
        <w:jc w:val="both"/>
      </w:pPr>
      <w:r w:rsidRPr="00D72136">
        <w:rPr>
          <w:b/>
        </w:rPr>
        <w:t>Encourage</w:t>
      </w:r>
      <w:r>
        <w:t xml:space="preserve"> </w:t>
      </w:r>
      <w:r w:rsidR="00D72136">
        <w:t xml:space="preserve">and </w:t>
      </w:r>
      <w:r>
        <w:t xml:space="preserve">if at all feasible, adopt fresh employee suggestions. Because they are the greatest at what they do, </w:t>
      </w:r>
      <w:r w:rsidR="00D72136">
        <w:t xml:space="preserve">management should </w:t>
      </w:r>
      <w:r>
        <w:t>listen closely to their recommendations.</w:t>
      </w:r>
    </w:p>
    <w:p w14:paraId="62F55849" w14:textId="0C51F6F7" w:rsidR="00A14200" w:rsidRDefault="00D72136" w:rsidP="00A14200">
      <w:pPr>
        <w:spacing w:after="0" w:line="360" w:lineRule="auto"/>
        <w:jc w:val="both"/>
      </w:pPr>
      <w:r w:rsidRPr="00D72136">
        <w:rPr>
          <w:b/>
        </w:rPr>
        <w:t>M</w:t>
      </w:r>
      <w:r w:rsidR="00A14200" w:rsidRPr="00D72136">
        <w:rPr>
          <w:b/>
        </w:rPr>
        <w:t>aintain a Positive Attitude</w:t>
      </w:r>
      <w:r w:rsidR="00A14200">
        <w:t xml:space="preserve">: Since optimism is crucial to the success of </w:t>
      </w:r>
      <w:r>
        <w:t>the</w:t>
      </w:r>
      <w:r w:rsidR="00A14200">
        <w:t xml:space="preserve"> company, it is essential to discover methods to infuse positivity into all of </w:t>
      </w:r>
      <w:r>
        <w:t xml:space="preserve">the company </w:t>
      </w:r>
      <w:r w:rsidR="00A14200">
        <w:t>team's interactions.</w:t>
      </w:r>
    </w:p>
    <w:p w14:paraId="1A103F8C" w14:textId="3F7C25C4" w:rsidR="00A14200" w:rsidRDefault="00A14200" w:rsidP="00A14200">
      <w:pPr>
        <w:spacing w:after="0" w:line="360" w:lineRule="auto"/>
        <w:jc w:val="both"/>
      </w:pPr>
      <w:r w:rsidRPr="00D72136">
        <w:rPr>
          <w:b/>
        </w:rPr>
        <w:lastRenderedPageBreak/>
        <w:t>Insist on work-life balance</w:t>
      </w:r>
      <w:r>
        <w:t>: A company with a culture that promotes work-life balance delivers more motivation, happiness, and job satisfaction overall.</w:t>
      </w:r>
    </w:p>
    <w:p w14:paraId="71ABCEDA" w14:textId="583DBE53" w:rsidR="00A14200" w:rsidRDefault="00A14200" w:rsidP="00A14200">
      <w:pPr>
        <w:spacing w:after="0" w:line="360" w:lineRule="auto"/>
        <w:jc w:val="both"/>
      </w:pPr>
      <w:r w:rsidRPr="00D72136">
        <w:rPr>
          <w:b/>
        </w:rPr>
        <w:t>Take frequent breaks</w:t>
      </w:r>
      <w:r>
        <w:t xml:space="preserve">: </w:t>
      </w:r>
      <w:r w:rsidR="00D72136">
        <w:t>A</w:t>
      </w:r>
      <w:r>
        <w:t>llow staff to reset their brains. Taking a break every hour or two is beneficial for the employee's health and mind, as well as the firm as a whole.</w:t>
      </w:r>
    </w:p>
    <w:p w14:paraId="6435B5BE" w14:textId="0C29E79A" w:rsidR="00A14200" w:rsidRDefault="00D72136" w:rsidP="00A14200">
      <w:pPr>
        <w:spacing w:after="0" w:line="360" w:lineRule="auto"/>
        <w:jc w:val="both"/>
      </w:pPr>
      <w:r w:rsidRPr="00D72136">
        <w:rPr>
          <w:b/>
        </w:rPr>
        <w:t xml:space="preserve">Company should have </w:t>
      </w:r>
      <w:r w:rsidR="00A14200" w:rsidRPr="00D72136">
        <w:rPr>
          <w:b/>
        </w:rPr>
        <w:t>an open-door policy</w:t>
      </w:r>
      <w:r w:rsidR="00A14200">
        <w:t xml:space="preserve">: </w:t>
      </w:r>
      <w:r>
        <w:t>W</w:t>
      </w:r>
      <w:r w:rsidR="00A14200">
        <w:t>hen workers are aware that their opinions are valued and heard, they feel driven and secure in their position within the organisation.</w:t>
      </w:r>
    </w:p>
    <w:p w14:paraId="263E22DD" w14:textId="10C1CFB6" w:rsidR="00A14200" w:rsidRDefault="00A14200" w:rsidP="00A14200">
      <w:pPr>
        <w:spacing w:after="0" w:line="360" w:lineRule="auto"/>
        <w:jc w:val="both"/>
      </w:pPr>
      <w:r w:rsidRPr="00D72136">
        <w:rPr>
          <w:b/>
        </w:rPr>
        <w:t>Offer promotions and bonuses</w:t>
      </w:r>
      <w:r>
        <w:t xml:space="preserve">: </w:t>
      </w:r>
      <w:r w:rsidR="00D72136">
        <w:t>N</w:t>
      </w:r>
      <w:r>
        <w:t xml:space="preserve">ot all positions allow for advancement, which is frustrating for workers. </w:t>
      </w:r>
      <w:r w:rsidR="00D72136">
        <w:t xml:space="preserve">Management </w:t>
      </w:r>
      <w:r>
        <w:t>must discover methods to monetarily incentivize them and provide them with a feeling of professional development.</w:t>
      </w:r>
    </w:p>
    <w:p w14:paraId="5B35B01F" w14:textId="6016FE30" w:rsidR="00A14200" w:rsidRDefault="00A14200" w:rsidP="00A14200">
      <w:pPr>
        <w:spacing w:after="0" w:line="360" w:lineRule="auto"/>
        <w:jc w:val="both"/>
      </w:pPr>
      <w:r>
        <w:t xml:space="preserve">As with every connection, the foundation of professional partnerships is mutual trust. Transparency is one of the most effective methods to foster a climate of trust between </w:t>
      </w:r>
      <w:r w:rsidR="00D72136">
        <w:t xml:space="preserve">management </w:t>
      </w:r>
      <w:r>
        <w:t xml:space="preserve">and </w:t>
      </w:r>
      <w:r w:rsidR="00D72136">
        <w:t xml:space="preserve">their </w:t>
      </w:r>
      <w:r>
        <w:t xml:space="preserve">team, and a team that trusts </w:t>
      </w:r>
      <w:r w:rsidR="00D72136">
        <w:t xml:space="preserve">leadership </w:t>
      </w:r>
      <w:r>
        <w:t>will be more driven and involved in their job.</w:t>
      </w:r>
    </w:p>
    <w:p w14:paraId="4A5E296A" w14:textId="4E2A4C40" w:rsidR="00A14200" w:rsidRDefault="00A14200" w:rsidP="00A14200">
      <w:pPr>
        <w:spacing w:after="0" w:line="360" w:lineRule="auto"/>
        <w:jc w:val="both"/>
      </w:pPr>
      <w:r>
        <w:t xml:space="preserve">Show summary: To comprehend the work's purpose is to realise how it fits into the bigger picture. You may enhance workplace motivation by ensuring that your staff knows how their individual efforts influence the business, its clients, and the community. Talented personnel will surpass </w:t>
      </w:r>
      <w:r w:rsidR="00D72136">
        <w:t xml:space="preserve">any </w:t>
      </w:r>
      <w:r>
        <w:t>expectations.</w:t>
      </w:r>
    </w:p>
    <w:p w14:paraId="6D2E8298" w14:textId="77777777" w:rsidR="00A14200" w:rsidRDefault="00A14200" w:rsidP="00A14200">
      <w:pPr>
        <w:spacing w:after="0" w:line="360" w:lineRule="auto"/>
        <w:jc w:val="both"/>
      </w:pPr>
      <w:r>
        <w:t>Let them lead: Whenever feasible, allow another team member to direct the conversation and discussion topics during meetings. Not only are they able to voice their thoughts and be heard, but they are also driven to put their words and ideas into action.</w:t>
      </w:r>
    </w:p>
    <w:p w14:paraId="4E00E5AB" w14:textId="0F5871B2" w:rsidR="00A14200" w:rsidRDefault="00A14200" w:rsidP="00A14200">
      <w:pPr>
        <w:spacing w:after="0" w:line="360" w:lineRule="auto"/>
        <w:jc w:val="both"/>
      </w:pPr>
      <w:r>
        <w:t>Encourage collaboration</w:t>
      </w:r>
      <w:r w:rsidR="00D72136">
        <w:t>:</w:t>
      </w:r>
      <w:r>
        <w:t xml:space="preserve"> It is essential to focus on the individual, but </w:t>
      </w:r>
      <w:r w:rsidR="00D72136">
        <w:t xml:space="preserve">management </w:t>
      </w:r>
      <w:r>
        <w:t xml:space="preserve">must also inspire teams and organisations. Teamwork is among the most powerful motivators. Knowing that your </w:t>
      </w:r>
      <w:r w:rsidR="00D72136">
        <w:t>co-workers</w:t>
      </w:r>
      <w:r>
        <w:t xml:space="preserve"> have your back and support you is an incredible feeling.</w:t>
      </w:r>
    </w:p>
    <w:p w14:paraId="69ACAE55" w14:textId="77777777" w:rsidR="00A14200" w:rsidRDefault="00A14200" w:rsidP="00A14200">
      <w:pPr>
        <w:spacing w:after="0" w:line="360" w:lineRule="auto"/>
        <w:jc w:val="both"/>
      </w:pPr>
      <w:r>
        <w:t>Help them continue their education by offering to cover a portion of their tuition or enrolling them in vocational training classes. Their confidence and drive will be elevated via schooling.</w:t>
      </w:r>
    </w:p>
    <w:p w14:paraId="20A8DCD4" w14:textId="77777777" w:rsidR="00A14200" w:rsidRDefault="00A14200" w:rsidP="00A14200">
      <w:pPr>
        <w:spacing w:after="0" w:line="360" w:lineRule="auto"/>
        <w:jc w:val="both"/>
      </w:pPr>
    </w:p>
    <w:p w14:paraId="7A2856C9" w14:textId="77777777" w:rsidR="00A14200" w:rsidRDefault="00A14200" w:rsidP="00A14200">
      <w:pPr>
        <w:spacing w:after="0" w:line="360" w:lineRule="auto"/>
        <w:jc w:val="both"/>
      </w:pPr>
      <w:r>
        <w:lastRenderedPageBreak/>
        <w:t>Be the sort of leader that others aspire to be. Work in tandem with them. Be their peer rather than their superior. Make it obvious that through your actions you are not requesting something that you are not requesting.</w:t>
      </w:r>
    </w:p>
    <w:p w14:paraId="5863DC3F" w14:textId="16DB6060" w:rsidR="00A14200" w:rsidRDefault="00A14200" w:rsidP="00A14200">
      <w:pPr>
        <w:spacing w:after="0" w:line="360" w:lineRule="auto"/>
        <w:jc w:val="both"/>
      </w:pPr>
      <w:r>
        <w:t>Create traditions and rituals in the workplace: provide your staff with something special.</w:t>
      </w:r>
    </w:p>
    <w:p w14:paraId="0835AFB4" w14:textId="3BC503F6" w:rsidR="00345324" w:rsidRDefault="00345324" w:rsidP="00112787">
      <w:pPr>
        <w:spacing w:after="0" w:line="360" w:lineRule="auto"/>
        <w:jc w:val="both"/>
        <w:rPr>
          <w:b/>
        </w:rPr>
      </w:pPr>
    </w:p>
    <w:p w14:paraId="0BB7E9DE" w14:textId="02F3A55A" w:rsidR="00E51715" w:rsidRDefault="00E51715" w:rsidP="00E51715">
      <w:pPr>
        <w:pStyle w:val="Heading1"/>
        <w:spacing w:before="0" w:line="360" w:lineRule="auto"/>
        <w:rPr>
          <w:rFonts w:ascii="Arial" w:hAnsi="Arial" w:cs="Arial"/>
          <w:color w:val="auto"/>
          <w:sz w:val="32"/>
          <w:szCs w:val="32"/>
        </w:rPr>
      </w:pPr>
      <w:bookmarkStart w:id="6" w:name="_Toc103014446"/>
      <w:r>
        <w:rPr>
          <w:rFonts w:ascii="Arial" w:hAnsi="Arial" w:cs="Arial"/>
          <w:color w:val="auto"/>
          <w:sz w:val="32"/>
          <w:szCs w:val="32"/>
        </w:rPr>
        <w:t>Conclusion</w:t>
      </w:r>
      <w:bookmarkEnd w:id="6"/>
    </w:p>
    <w:p w14:paraId="29939110" w14:textId="77777777" w:rsidR="00E51715" w:rsidRDefault="00E51715" w:rsidP="00E51715">
      <w:pPr>
        <w:spacing w:after="0" w:line="360" w:lineRule="auto"/>
        <w:jc w:val="both"/>
      </w:pPr>
    </w:p>
    <w:p w14:paraId="57BC44E8" w14:textId="08588194" w:rsidR="000A79AB" w:rsidRDefault="000A79AB" w:rsidP="000A79AB">
      <w:pPr>
        <w:spacing w:after="0" w:line="360" w:lineRule="auto"/>
        <w:jc w:val="both"/>
      </w:pPr>
      <w:r>
        <w:t>In the near future, businesses and legislation will continue to examine regulations with a focus on people-</w:t>
      </w:r>
      <w:r>
        <w:t>cantered</w:t>
      </w:r>
      <w:r>
        <w:t xml:space="preserve"> solutions that encourage workers, enable them to celebrate, recuperate, and handle personal events with ease. </w:t>
      </w:r>
    </w:p>
    <w:p w14:paraId="2BAEABBA" w14:textId="77777777" w:rsidR="000A79AB" w:rsidRDefault="000A79AB" w:rsidP="000A79AB">
      <w:pPr>
        <w:spacing w:after="0" w:line="360" w:lineRule="auto"/>
        <w:jc w:val="both"/>
      </w:pPr>
      <w:r>
        <w:t>Reviewing holiday rules and implementing creatively driven solutions can provide organisations with a competitive edge for the world's most talented, low-unemployment individuals, while also assisting businesses in keeping up with the speed of developing laws.</w:t>
      </w:r>
    </w:p>
    <w:p w14:paraId="1D603CC5" w14:textId="77777777" w:rsidR="000A79AB" w:rsidRDefault="000A79AB" w:rsidP="000A79AB">
      <w:pPr>
        <w:spacing w:after="0" w:line="360" w:lineRule="auto"/>
        <w:jc w:val="both"/>
      </w:pPr>
      <w:r>
        <w:t>Self-realization, according to psychologists, is a very human trait. It is in our nature to cultivate something and watch it flourish, and this applies to the majority of our everyday activities. This applies to both social and societal environments.</w:t>
      </w:r>
    </w:p>
    <w:p w14:paraId="23882DA1" w14:textId="77777777" w:rsidR="000A79AB" w:rsidRDefault="000A79AB" w:rsidP="000A79AB">
      <w:pPr>
        <w:spacing w:after="0" w:line="360" w:lineRule="auto"/>
        <w:jc w:val="both"/>
      </w:pPr>
      <w:r>
        <w:t>Motivation is a crucial aspect of a person's existence. Whether it is enhancing our performance or the performance of our company. Motivated personnel do not need to be told what to do; they take the initiative, are willing to assume extra duties, are imaginative, and are excellent entrepreneurs.</w:t>
      </w:r>
    </w:p>
    <w:p w14:paraId="345FC5D9" w14:textId="18E5B014" w:rsidR="000A79AB" w:rsidRDefault="000A79AB" w:rsidP="000A79AB">
      <w:pPr>
        <w:spacing w:after="0" w:line="360" w:lineRule="auto"/>
        <w:jc w:val="both"/>
      </w:pPr>
      <w:r>
        <w:t>Consequently, motivation plays a crucial role in ensuring that workers remain engaged and provide their best to their firm.</w:t>
      </w:r>
    </w:p>
    <w:p w14:paraId="5C429549" w14:textId="77777777" w:rsidR="0057204F" w:rsidRDefault="0057204F" w:rsidP="0068073F">
      <w:pPr>
        <w:spacing w:after="0" w:line="360" w:lineRule="auto"/>
        <w:jc w:val="both"/>
      </w:pPr>
    </w:p>
    <w:p w14:paraId="12FEDE62" w14:textId="13EAA9F2" w:rsidR="00D26CA9" w:rsidRDefault="00D26CA9" w:rsidP="00B419F3">
      <w:pPr>
        <w:spacing w:after="0" w:line="360" w:lineRule="auto"/>
        <w:jc w:val="center"/>
      </w:pPr>
    </w:p>
    <w:p w14:paraId="2C865619" w14:textId="77777777" w:rsidR="00A17EA6" w:rsidRDefault="00A17EA6" w:rsidP="00B419F3">
      <w:pPr>
        <w:spacing w:after="0" w:line="360" w:lineRule="auto"/>
        <w:jc w:val="center"/>
      </w:pPr>
    </w:p>
    <w:p w14:paraId="362715FA" w14:textId="277A38D7" w:rsidR="00696212" w:rsidRDefault="00696212" w:rsidP="00B419F3">
      <w:pPr>
        <w:spacing w:after="0" w:line="360" w:lineRule="auto"/>
        <w:jc w:val="center"/>
      </w:pPr>
    </w:p>
    <w:p w14:paraId="16E3617B" w14:textId="77777777" w:rsidR="00A95205" w:rsidRDefault="00A95205" w:rsidP="00B419F3">
      <w:pPr>
        <w:spacing w:after="0" w:line="360" w:lineRule="auto"/>
        <w:jc w:val="center"/>
      </w:pPr>
    </w:p>
    <w:p w14:paraId="54F47267" w14:textId="77777777" w:rsidR="00624A16" w:rsidRDefault="00624A16" w:rsidP="00B419F3">
      <w:pPr>
        <w:spacing w:after="0" w:line="360" w:lineRule="auto"/>
        <w:jc w:val="center"/>
      </w:pPr>
    </w:p>
    <w:bookmarkStart w:id="7" w:name="_Toc103014447"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7"/>
        </w:p>
        <w:p w14:paraId="400F98C1" w14:textId="77777777" w:rsidR="002B067C" w:rsidRPr="009433EF" w:rsidRDefault="002B067C" w:rsidP="002B067C"/>
        <w:sdt>
          <w:sdtPr>
            <w:id w:val="-573587230"/>
            <w:bibliography/>
          </w:sdtPr>
          <w:sdtEndPr/>
          <w:sdtContent>
            <w:p w14:paraId="290E1F17" w14:textId="77777777" w:rsidR="00A95205" w:rsidRDefault="008252C7" w:rsidP="00A95205">
              <w:pPr>
                <w:pStyle w:val="Bibliography"/>
                <w:rPr>
                  <w:noProof/>
                </w:rPr>
              </w:pPr>
              <w:r w:rsidRPr="00F806FB">
                <w:fldChar w:fldCharType="begin"/>
              </w:r>
              <w:r w:rsidRPr="00F806FB">
                <w:instrText xml:space="preserve"> BIBLIOGRAPHY </w:instrText>
              </w:r>
              <w:r w:rsidRPr="00F806FB">
                <w:fldChar w:fldCharType="separate"/>
              </w:r>
              <w:r w:rsidR="00A95205">
                <w:rPr>
                  <w:noProof/>
                </w:rPr>
                <w:t xml:space="preserve">Armstrong, M. &amp; Taylor, S., 2020. </w:t>
              </w:r>
              <w:r w:rsidR="00A95205">
                <w:rPr>
                  <w:i/>
                  <w:iCs/>
                  <w:noProof/>
                </w:rPr>
                <w:t xml:space="preserve">Armstrong's handbook of human resource management practice. </w:t>
              </w:r>
              <w:r w:rsidR="00A95205">
                <w:rPr>
                  <w:noProof/>
                </w:rPr>
                <w:t>15th ed. London: Kogan Page Publishers.</w:t>
              </w:r>
            </w:p>
            <w:p w14:paraId="1DCB7E90" w14:textId="77777777" w:rsidR="00A95205" w:rsidRDefault="00A95205" w:rsidP="00A95205">
              <w:pPr>
                <w:pStyle w:val="Bibliography"/>
                <w:rPr>
                  <w:noProof/>
                </w:rPr>
              </w:pPr>
              <w:r>
                <w:rPr>
                  <w:noProof/>
                </w:rPr>
                <w:t xml:space="preserve">Brewster, C., Sparrow, P., Vernon, G. &amp; Houldsworth, E., 2016. </w:t>
              </w:r>
              <w:r>
                <w:rPr>
                  <w:i/>
                  <w:iCs/>
                  <w:noProof/>
                </w:rPr>
                <w:t xml:space="preserve">International Human Resource Management. </w:t>
              </w:r>
              <w:r>
                <w:rPr>
                  <w:noProof/>
                </w:rPr>
                <w:t>4th ed. London : CIPD.</w:t>
              </w:r>
            </w:p>
            <w:p w14:paraId="22C31F8C" w14:textId="77777777" w:rsidR="00A95205" w:rsidRDefault="00A95205" w:rsidP="00A95205">
              <w:pPr>
                <w:pStyle w:val="Bibliography"/>
                <w:rPr>
                  <w:noProof/>
                </w:rPr>
              </w:pPr>
              <w:r>
                <w:rPr>
                  <w:noProof/>
                </w:rPr>
                <w:t xml:space="preserve">Caldwell, C. &amp; Anderson, V., 2018. </w:t>
              </w:r>
              <w:r>
                <w:rPr>
                  <w:i/>
                  <w:iCs/>
                  <w:noProof/>
                </w:rPr>
                <w:t xml:space="preserve">Strategic Human Resource Management. </w:t>
              </w:r>
              <w:r>
                <w:rPr>
                  <w:noProof/>
                </w:rPr>
                <w:t>New York: Nove Science Publishers.</w:t>
              </w:r>
            </w:p>
            <w:p w14:paraId="329E1168" w14:textId="77777777" w:rsidR="00A95205" w:rsidRDefault="00A95205" w:rsidP="00A95205">
              <w:pPr>
                <w:pStyle w:val="Bibliography"/>
                <w:rPr>
                  <w:noProof/>
                </w:rPr>
              </w:pPr>
              <w:r>
                <w:rPr>
                  <w:noProof/>
                </w:rPr>
                <w:t xml:space="preserve">CIPD, 2022. </w:t>
              </w:r>
              <w:r>
                <w:rPr>
                  <w:i/>
                  <w:iCs/>
                  <w:noProof/>
                </w:rPr>
                <w:t xml:space="preserve">Chartered Institute of Personnel and Development. </w:t>
              </w:r>
              <w:r>
                <w:rPr>
                  <w:noProof/>
                </w:rPr>
                <w:t xml:space="preserve">[Online] </w:t>
              </w:r>
              <w:r>
                <w:rPr>
                  <w:noProof/>
                </w:rPr>
                <w:br/>
                <w:t xml:space="preserve">Available at: </w:t>
              </w:r>
              <w:r>
                <w:rPr>
                  <w:noProof/>
                  <w:u w:val="single"/>
                </w:rPr>
                <w:t>https://www.cipd.co.uk</w:t>
              </w:r>
              <w:r>
                <w:rPr>
                  <w:noProof/>
                </w:rPr>
                <w:br/>
                <w:t>[Accessed 15 03 2022].</w:t>
              </w:r>
            </w:p>
            <w:p w14:paraId="750E8A8F" w14:textId="77777777" w:rsidR="00A95205" w:rsidRDefault="00A95205" w:rsidP="00A95205">
              <w:pPr>
                <w:pStyle w:val="Bibliography"/>
                <w:rPr>
                  <w:noProof/>
                </w:rPr>
              </w:pPr>
              <w:r>
                <w:rPr>
                  <w:noProof/>
                </w:rPr>
                <w:t xml:space="preserve">Dessler, G., 2008. </w:t>
              </w:r>
              <w:r>
                <w:rPr>
                  <w:i/>
                  <w:iCs/>
                  <w:noProof/>
                </w:rPr>
                <w:t xml:space="preserve">Human resource management. </w:t>
              </w:r>
              <w:r>
                <w:rPr>
                  <w:noProof/>
                </w:rPr>
                <w:t>11th ed. Upper Saddle River, NJ: Pearson, Prentice Hall.</w:t>
              </w:r>
            </w:p>
            <w:p w14:paraId="49E6909A" w14:textId="77777777" w:rsidR="00A95205" w:rsidRDefault="00A95205" w:rsidP="00A95205">
              <w:pPr>
                <w:pStyle w:val="Bibliography"/>
                <w:rPr>
                  <w:noProof/>
                </w:rPr>
              </w:pPr>
              <w:r>
                <w:rPr>
                  <w:noProof/>
                </w:rPr>
                <w:t xml:space="preserve">Hook, C. &amp; Jenkins, A., 2019. </w:t>
              </w:r>
              <w:r>
                <w:rPr>
                  <w:i/>
                  <w:iCs/>
                  <w:noProof/>
                </w:rPr>
                <w:t xml:space="preserve">Introducing Human Resource Management. </w:t>
              </w:r>
              <w:r>
                <w:rPr>
                  <w:noProof/>
                </w:rPr>
                <w:t>8th ed. Harlow: Perason Education Ltd..</w:t>
              </w:r>
            </w:p>
            <w:p w14:paraId="2D463924" w14:textId="77777777" w:rsidR="00A95205" w:rsidRDefault="00A95205" w:rsidP="00A95205">
              <w:pPr>
                <w:pStyle w:val="Bibliography"/>
                <w:rPr>
                  <w:noProof/>
                </w:rPr>
              </w:pPr>
              <w:r>
                <w:rPr>
                  <w:noProof/>
                </w:rPr>
                <w:t xml:space="preserve">Mankin, D., 2009. </w:t>
              </w:r>
              <w:r>
                <w:rPr>
                  <w:i/>
                  <w:iCs/>
                  <w:noProof/>
                </w:rPr>
                <w:t xml:space="preserve">Human Resource Development. </w:t>
              </w:r>
              <w:r>
                <w:rPr>
                  <w:noProof/>
                </w:rPr>
                <w:t>Oxford: Oxford University Press.</w:t>
              </w:r>
            </w:p>
            <w:p w14:paraId="7A0AE1B5" w14:textId="77777777" w:rsidR="00A95205" w:rsidRDefault="00A95205" w:rsidP="00A95205">
              <w:pPr>
                <w:pStyle w:val="Bibliography"/>
                <w:rPr>
                  <w:noProof/>
                </w:rPr>
              </w:pPr>
              <w:r>
                <w:rPr>
                  <w:noProof/>
                </w:rPr>
                <w:t xml:space="preserve">Saari, L. M. &amp; Judge, T. A., 2004. Employee attitudes and job satisfaction. </w:t>
              </w:r>
              <w:r>
                <w:rPr>
                  <w:i/>
                  <w:iCs/>
                  <w:noProof/>
                </w:rPr>
                <w:t xml:space="preserve">Human Resource Management, </w:t>
              </w:r>
              <w:r>
                <w:rPr>
                  <w:noProof/>
                </w:rPr>
                <w:t>43(4), pp. 390-410.</w:t>
              </w:r>
            </w:p>
            <w:p w14:paraId="0E81CF79" w14:textId="77777777" w:rsidR="00A95205" w:rsidRDefault="00A95205" w:rsidP="00A95205">
              <w:pPr>
                <w:pStyle w:val="Bibliography"/>
                <w:rPr>
                  <w:noProof/>
                </w:rPr>
              </w:pPr>
              <w:r>
                <w:rPr>
                  <w:noProof/>
                </w:rPr>
                <w:t xml:space="preserve">Sparrow, P., Brewster, C. &amp; Chung, C., 2016. </w:t>
              </w:r>
              <w:r>
                <w:rPr>
                  <w:i/>
                  <w:iCs/>
                  <w:noProof/>
                </w:rPr>
                <w:t xml:space="preserve">Globalizing human resource management. </w:t>
              </w:r>
              <w:r>
                <w:rPr>
                  <w:noProof/>
                </w:rPr>
                <w:t>s.l.:Routledge.</w:t>
              </w:r>
            </w:p>
            <w:p w14:paraId="25010C08" w14:textId="77777777" w:rsidR="00A95205" w:rsidRDefault="00A95205" w:rsidP="00A95205">
              <w:pPr>
                <w:pStyle w:val="Bibliography"/>
                <w:rPr>
                  <w:noProof/>
                </w:rPr>
              </w:pPr>
              <w:r>
                <w:rPr>
                  <w:noProof/>
                </w:rPr>
                <w:t xml:space="preserve">Storey, J., 2014. </w:t>
              </w:r>
              <w:r>
                <w:rPr>
                  <w:i/>
                  <w:iCs/>
                  <w:noProof/>
                </w:rPr>
                <w:t xml:space="preserve">New Perspectives on Human Resource Management. </w:t>
              </w:r>
              <w:r>
                <w:rPr>
                  <w:noProof/>
                </w:rPr>
                <w:t>s.l.:Routledge.</w:t>
              </w:r>
            </w:p>
            <w:p w14:paraId="343755CA" w14:textId="77777777" w:rsidR="00A95205" w:rsidRDefault="00A95205" w:rsidP="00A95205">
              <w:pPr>
                <w:pStyle w:val="Bibliography"/>
                <w:rPr>
                  <w:noProof/>
                </w:rPr>
              </w:pPr>
              <w:r>
                <w:rPr>
                  <w:noProof/>
                </w:rPr>
                <w:t xml:space="preserve">Swart, J., Mann, C., Brown, S. &amp; Price, A., 2015. </w:t>
              </w:r>
              <w:r>
                <w:rPr>
                  <w:i/>
                  <w:iCs/>
                  <w:noProof/>
                </w:rPr>
                <w:t xml:space="preserve">Human Resource Development: Strategy and Tactics. </w:t>
              </w:r>
              <w:r>
                <w:rPr>
                  <w:noProof/>
                </w:rPr>
                <w:t>London: Routledge.</w:t>
              </w:r>
            </w:p>
            <w:p w14:paraId="49E2F9C7" w14:textId="77777777" w:rsidR="00A95205" w:rsidRDefault="00A95205" w:rsidP="00A95205">
              <w:pPr>
                <w:pStyle w:val="Bibliography"/>
                <w:rPr>
                  <w:noProof/>
                </w:rPr>
              </w:pPr>
              <w:r>
                <w:rPr>
                  <w:noProof/>
                </w:rPr>
                <w:t xml:space="preserve">Torrington, D., Hall, L., Atkinson, C. &amp; Taylor, S., 2018. </w:t>
              </w:r>
              <w:r>
                <w:rPr>
                  <w:i/>
                  <w:iCs/>
                  <w:noProof/>
                </w:rPr>
                <w:t xml:space="preserve">Human Resource Management. </w:t>
              </w:r>
              <w:r>
                <w:rPr>
                  <w:noProof/>
                </w:rPr>
                <w:t>10th ed. London: Pearson.</w:t>
              </w:r>
            </w:p>
            <w:p w14:paraId="4C4B15BE" w14:textId="472AC2EF" w:rsidR="008252C7" w:rsidRPr="009439BF" w:rsidRDefault="008252C7" w:rsidP="00A95205">
              <w:r w:rsidRPr="00F806FB">
                <w:rPr>
                  <w:bCs/>
                  <w:noProof/>
                </w:rPr>
                <w:fldChar w:fldCharType="end"/>
              </w:r>
            </w:p>
          </w:sdtContent>
        </w:sdt>
      </w:sdtContent>
    </w:sdt>
    <w:p w14:paraId="0E931B3D" w14:textId="77777777" w:rsidR="005173FC" w:rsidRPr="00F8798D" w:rsidRDefault="005173FC" w:rsidP="008B24BF">
      <w:pPr>
        <w:spacing w:after="0" w:line="360" w:lineRule="auto"/>
        <w:jc w:val="both"/>
        <w:rPr>
          <w:bCs/>
          <w:sz w:val="28"/>
          <w:szCs w:val="28"/>
        </w:rPr>
      </w:pPr>
    </w:p>
    <w:sectPr w:rsidR="005173FC" w:rsidRPr="00F8798D" w:rsidSect="00095DBD">
      <w:headerReference w:type="default" r:id="rId9"/>
      <w:footerReference w:type="default" r:id="rId10"/>
      <w:pgSz w:w="11906" w:h="16838"/>
      <w:pgMar w:top="1418" w:right="1814" w:bottom="1418" w:left="181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AFF6C" w14:textId="77777777" w:rsidR="004539E6" w:rsidRDefault="004539E6" w:rsidP="009909E0">
      <w:pPr>
        <w:spacing w:after="0" w:line="240" w:lineRule="auto"/>
      </w:pPr>
      <w:r>
        <w:separator/>
      </w:r>
    </w:p>
  </w:endnote>
  <w:endnote w:type="continuationSeparator" w:id="0">
    <w:p w14:paraId="7CCC0883" w14:textId="77777777" w:rsidR="004539E6" w:rsidRDefault="004539E6"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C62F61" w:rsidRDefault="00C62F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C62F61" w:rsidRDefault="00C62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3765D" w14:textId="77777777" w:rsidR="004539E6" w:rsidRDefault="004539E6" w:rsidP="009909E0">
      <w:pPr>
        <w:spacing w:after="0" w:line="240" w:lineRule="auto"/>
      </w:pPr>
      <w:r>
        <w:separator/>
      </w:r>
    </w:p>
  </w:footnote>
  <w:footnote w:type="continuationSeparator" w:id="0">
    <w:p w14:paraId="191E90D6" w14:textId="77777777" w:rsidR="004539E6" w:rsidRDefault="004539E6"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7A7E8581" w:rsidR="00C62F61" w:rsidRPr="004A6745" w:rsidRDefault="00C62F61" w:rsidP="003266D6">
    <w:pPr>
      <w:pStyle w:val="Header"/>
    </w:pPr>
    <w:r w:rsidRPr="003266D6">
      <w:t>BA Business Management</w:t>
    </w:r>
    <w:r w:rsidRPr="003266D6">
      <w:tab/>
      <w:t>University of Wales</w:t>
    </w:r>
    <w:r w:rsidRPr="003266D6">
      <w:tab/>
    </w:r>
    <w:r w:rsidR="003F2487" w:rsidRPr="003F2487">
      <w:t>Managing 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07C5E"/>
    <w:multiLevelType w:val="hybridMultilevel"/>
    <w:tmpl w:val="5E1E2860"/>
    <w:lvl w:ilvl="0" w:tplc="948C699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1"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A77DAD"/>
    <w:multiLevelType w:val="hybridMultilevel"/>
    <w:tmpl w:val="8E9A228C"/>
    <w:lvl w:ilvl="0" w:tplc="00F404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5" w15:restartNumberingAfterBreak="0">
    <w:nsid w:val="39A951FE"/>
    <w:multiLevelType w:val="hybridMultilevel"/>
    <w:tmpl w:val="805C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8"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B140B"/>
    <w:multiLevelType w:val="hybridMultilevel"/>
    <w:tmpl w:val="1712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C7B77"/>
    <w:multiLevelType w:val="hybridMultilevel"/>
    <w:tmpl w:val="995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25"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8"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4F40C6"/>
    <w:multiLevelType w:val="hybridMultilevel"/>
    <w:tmpl w:val="4E0C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34"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35"/>
  </w:num>
  <w:num w:numId="3">
    <w:abstractNumId w:val="10"/>
  </w:num>
  <w:num w:numId="4">
    <w:abstractNumId w:val="7"/>
  </w:num>
  <w:num w:numId="5">
    <w:abstractNumId w:val="4"/>
  </w:num>
  <w:num w:numId="6">
    <w:abstractNumId w:val="34"/>
  </w:num>
  <w:num w:numId="7">
    <w:abstractNumId w:val="30"/>
  </w:num>
  <w:num w:numId="8">
    <w:abstractNumId w:val="9"/>
  </w:num>
  <w:num w:numId="9">
    <w:abstractNumId w:val="13"/>
  </w:num>
  <w:num w:numId="10">
    <w:abstractNumId w:val="16"/>
  </w:num>
  <w:num w:numId="11">
    <w:abstractNumId w:val="31"/>
  </w:num>
  <w:num w:numId="12">
    <w:abstractNumId w:val="6"/>
  </w:num>
  <w:num w:numId="13">
    <w:abstractNumId w:val="11"/>
  </w:num>
  <w:num w:numId="14">
    <w:abstractNumId w:val="21"/>
  </w:num>
  <w:num w:numId="15">
    <w:abstractNumId w:val="19"/>
  </w:num>
  <w:num w:numId="16">
    <w:abstractNumId w:val="26"/>
  </w:num>
  <w:num w:numId="17">
    <w:abstractNumId w:val="2"/>
  </w:num>
  <w:num w:numId="18">
    <w:abstractNumId w:val="28"/>
  </w:num>
  <w:num w:numId="19">
    <w:abstractNumId w:val="1"/>
  </w:num>
  <w:num w:numId="20">
    <w:abstractNumId w:val="5"/>
  </w:num>
  <w:num w:numId="21">
    <w:abstractNumId w:val="22"/>
  </w:num>
  <w:num w:numId="22">
    <w:abstractNumId w:val="25"/>
  </w:num>
  <w:num w:numId="23">
    <w:abstractNumId w:val="14"/>
  </w:num>
  <w:num w:numId="24">
    <w:abstractNumId w:val="17"/>
  </w:num>
  <w:num w:numId="25">
    <w:abstractNumId w:val="27"/>
  </w:num>
  <w:num w:numId="26">
    <w:abstractNumId w:val="36"/>
  </w:num>
  <w:num w:numId="27">
    <w:abstractNumId w:val="33"/>
  </w:num>
  <w:num w:numId="28">
    <w:abstractNumId w:val="24"/>
  </w:num>
  <w:num w:numId="29">
    <w:abstractNumId w:val="29"/>
  </w:num>
  <w:num w:numId="30">
    <w:abstractNumId w:val="18"/>
  </w:num>
  <w:num w:numId="31">
    <w:abstractNumId w:val="3"/>
  </w:num>
  <w:num w:numId="32">
    <w:abstractNumId w:val="32"/>
  </w:num>
  <w:num w:numId="33">
    <w:abstractNumId w:val="15"/>
  </w:num>
  <w:num w:numId="34">
    <w:abstractNumId w:val="23"/>
  </w:num>
  <w:num w:numId="35">
    <w:abstractNumId w:val="8"/>
  </w:num>
  <w:num w:numId="36">
    <w:abstractNumId w:val="12"/>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20B4"/>
    <w:rsid w:val="00052E16"/>
    <w:rsid w:val="00053D59"/>
    <w:rsid w:val="00054E10"/>
    <w:rsid w:val="00064C0B"/>
    <w:rsid w:val="00065D2C"/>
    <w:rsid w:val="0007173C"/>
    <w:rsid w:val="0007207A"/>
    <w:rsid w:val="000809F0"/>
    <w:rsid w:val="0008341C"/>
    <w:rsid w:val="00083B76"/>
    <w:rsid w:val="00083E21"/>
    <w:rsid w:val="0008439D"/>
    <w:rsid w:val="0009113B"/>
    <w:rsid w:val="000935E3"/>
    <w:rsid w:val="00095DBD"/>
    <w:rsid w:val="000A2E66"/>
    <w:rsid w:val="000A79AB"/>
    <w:rsid w:val="000A7B1D"/>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19C9"/>
    <w:rsid w:val="00105370"/>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502A0"/>
    <w:rsid w:val="00150ABE"/>
    <w:rsid w:val="00153998"/>
    <w:rsid w:val="00153C27"/>
    <w:rsid w:val="00155381"/>
    <w:rsid w:val="001647F6"/>
    <w:rsid w:val="00165081"/>
    <w:rsid w:val="00175076"/>
    <w:rsid w:val="00177DE3"/>
    <w:rsid w:val="001814B2"/>
    <w:rsid w:val="00184456"/>
    <w:rsid w:val="0018509C"/>
    <w:rsid w:val="00191FB7"/>
    <w:rsid w:val="00192B89"/>
    <w:rsid w:val="00195A20"/>
    <w:rsid w:val="001A0AD8"/>
    <w:rsid w:val="001B0B56"/>
    <w:rsid w:val="001B3D32"/>
    <w:rsid w:val="001B4C54"/>
    <w:rsid w:val="001B4ECC"/>
    <w:rsid w:val="001B7047"/>
    <w:rsid w:val="001C1708"/>
    <w:rsid w:val="001C2ACB"/>
    <w:rsid w:val="001C57C0"/>
    <w:rsid w:val="001D1B72"/>
    <w:rsid w:val="001D57FD"/>
    <w:rsid w:val="001D6957"/>
    <w:rsid w:val="001E31FD"/>
    <w:rsid w:val="001E5CD4"/>
    <w:rsid w:val="001F0265"/>
    <w:rsid w:val="001F0B0B"/>
    <w:rsid w:val="001F1365"/>
    <w:rsid w:val="00200848"/>
    <w:rsid w:val="002008C2"/>
    <w:rsid w:val="00201EA2"/>
    <w:rsid w:val="002031CB"/>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6217"/>
    <w:rsid w:val="00277FB9"/>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6207"/>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45324"/>
    <w:rsid w:val="0035208C"/>
    <w:rsid w:val="00352CA9"/>
    <w:rsid w:val="00353109"/>
    <w:rsid w:val="00354763"/>
    <w:rsid w:val="00355E90"/>
    <w:rsid w:val="00360183"/>
    <w:rsid w:val="00362ADB"/>
    <w:rsid w:val="00365D37"/>
    <w:rsid w:val="00366D22"/>
    <w:rsid w:val="00373163"/>
    <w:rsid w:val="003737F4"/>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B83"/>
    <w:rsid w:val="003B7C77"/>
    <w:rsid w:val="003C0951"/>
    <w:rsid w:val="003C424A"/>
    <w:rsid w:val="003C4829"/>
    <w:rsid w:val="003D2C34"/>
    <w:rsid w:val="003D3C7F"/>
    <w:rsid w:val="003D3EAA"/>
    <w:rsid w:val="003D4F64"/>
    <w:rsid w:val="003D72B5"/>
    <w:rsid w:val="003E0AF6"/>
    <w:rsid w:val="003E4E80"/>
    <w:rsid w:val="003E5882"/>
    <w:rsid w:val="003E588D"/>
    <w:rsid w:val="003E5CC1"/>
    <w:rsid w:val="003F2487"/>
    <w:rsid w:val="003F4DF8"/>
    <w:rsid w:val="00403F83"/>
    <w:rsid w:val="0040544E"/>
    <w:rsid w:val="004106D9"/>
    <w:rsid w:val="00411FBC"/>
    <w:rsid w:val="004121AA"/>
    <w:rsid w:val="00415DA2"/>
    <w:rsid w:val="00417879"/>
    <w:rsid w:val="0042396D"/>
    <w:rsid w:val="00423B16"/>
    <w:rsid w:val="00425E17"/>
    <w:rsid w:val="00425FA8"/>
    <w:rsid w:val="004270D1"/>
    <w:rsid w:val="004320EA"/>
    <w:rsid w:val="0043296E"/>
    <w:rsid w:val="004413AC"/>
    <w:rsid w:val="0044289C"/>
    <w:rsid w:val="004428FC"/>
    <w:rsid w:val="004448A0"/>
    <w:rsid w:val="00444F9E"/>
    <w:rsid w:val="00445E8C"/>
    <w:rsid w:val="00445FE8"/>
    <w:rsid w:val="00451994"/>
    <w:rsid w:val="00451B9E"/>
    <w:rsid w:val="00452860"/>
    <w:rsid w:val="004539E6"/>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3A7B"/>
    <w:rsid w:val="004949BF"/>
    <w:rsid w:val="004968B6"/>
    <w:rsid w:val="00496BAF"/>
    <w:rsid w:val="004A04B2"/>
    <w:rsid w:val="004A0E67"/>
    <w:rsid w:val="004A6745"/>
    <w:rsid w:val="004B208C"/>
    <w:rsid w:val="004B34AF"/>
    <w:rsid w:val="004B4399"/>
    <w:rsid w:val="004B5014"/>
    <w:rsid w:val="004B5B95"/>
    <w:rsid w:val="004B65DF"/>
    <w:rsid w:val="004B750B"/>
    <w:rsid w:val="004C02A4"/>
    <w:rsid w:val="004C47D9"/>
    <w:rsid w:val="004C54F8"/>
    <w:rsid w:val="004C7CC0"/>
    <w:rsid w:val="004D1FB0"/>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26F56"/>
    <w:rsid w:val="00531DB0"/>
    <w:rsid w:val="00532A10"/>
    <w:rsid w:val="00532C73"/>
    <w:rsid w:val="00534063"/>
    <w:rsid w:val="00535395"/>
    <w:rsid w:val="005362DE"/>
    <w:rsid w:val="00540669"/>
    <w:rsid w:val="0054290B"/>
    <w:rsid w:val="0054333B"/>
    <w:rsid w:val="0054644A"/>
    <w:rsid w:val="00547480"/>
    <w:rsid w:val="00547A19"/>
    <w:rsid w:val="0055317F"/>
    <w:rsid w:val="0055580B"/>
    <w:rsid w:val="00563235"/>
    <w:rsid w:val="00566ED8"/>
    <w:rsid w:val="00567B27"/>
    <w:rsid w:val="00567C3B"/>
    <w:rsid w:val="0057204F"/>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2994"/>
    <w:rsid w:val="005A6615"/>
    <w:rsid w:val="005B0DC9"/>
    <w:rsid w:val="005B154E"/>
    <w:rsid w:val="005B17E4"/>
    <w:rsid w:val="005B1846"/>
    <w:rsid w:val="005B22CF"/>
    <w:rsid w:val="005C4C4C"/>
    <w:rsid w:val="005C5142"/>
    <w:rsid w:val="005C5C5D"/>
    <w:rsid w:val="005C5C96"/>
    <w:rsid w:val="005C6092"/>
    <w:rsid w:val="005C7E9E"/>
    <w:rsid w:val="005D3138"/>
    <w:rsid w:val="005D3C89"/>
    <w:rsid w:val="005D4E80"/>
    <w:rsid w:val="005D56E1"/>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A16"/>
    <w:rsid w:val="00624DC2"/>
    <w:rsid w:val="0062749A"/>
    <w:rsid w:val="006324D8"/>
    <w:rsid w:val="00632600"/>
    <w:rsid w:val="006345CD"/>
    <w:rsid w:val="006345EA"/>
    <w:rsid w:val="0063774D"/>
    <w:rsid w:val="006535B9"/>
    <w:rsid w:val="00653737"/>
    <w:rsid w:val="0065645E"/>
    <w:rsid w:val="006572A2"/>
    <w:rsid w:val="00661FDE"/>
    <w:rsid w:val="00665376"/>
    <w:rsid w:val="00665B4D"/>
    <w:rsid w:val="006712AF"/>
    <w:rsid w:val="0067436D"/>
    <w:rsid w:val="006761C9"/>
    <w:rsid w:val="00676374"/>
    <w:rsid w:val="00676833"/>
    <w:rsid w:val="00677E6A"/>
    <w:rsid w:val="0068073F"/>
    <w:rsid w:val="006810D9"/>
    <w:rsid w:val="00682901"/>
    <w:rsid w:val="006834EA"/>
    <w:rsid w:val="006836A9"/>
    <w:rsid w:val="00693E83"/>
    <w:rsid w:val="006942C9"/>
    <w:rsid w:val="00696212"/>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E724A"/>
    <w:rsid w:val="006F006D"/>
    <w:rsid w:val="006F0AEF"/>
    <w:rsid w:val="006F21DA"/>
    <w:rsid w:val="006F251B"/>
    <w:rsid w:val="006F4790"/>
    <w:rsid w:val="00705BF8"/>
    <w:rsid w:val="00707496"/>
    <w:rsid w:val="00707769"/>
    <w:rsid w:val="00710055"/>
    <w:rsid w:val="00711B56"/>
    <w:rsid w:val="00712CB6"/>
    <w:rsid w:val="0071572D"/>
    <w:rsid w:val="00715C34"/>
    <w:rsid w:val="007224E7"/>
    <w:rsid w:val="0072365B"/>
    <w:rsid w:val="00727BB6"/>
    <w:rsid w:val="00731A5C"/>
    <w:rsid w:val="00732681"/>
    <w:rsid w:val="00732BA6"/>
    <w:rsid w:val="00735922"/>
    <w:rsid w:val="00742D14"/>
    <w:rsid w:val="007476E0"/>
    <w:rsid w:val="00760174"/>
    <w:rsid w:val="00767599"/>
    <w:rsid w:val="00767F66"/>
    <w:rsid w:val="00770584"/>
    <w:rsid w:val="00783BD4"/>
    <w:rsid w:val="0078429A"/>
    <w:rsid w:val="0078717A"/>
    <w:rsid w:val="00792F44"/>
    <w:rsid w:val="00793475"/>
    <w:rsid w:val="0079470D"/>
    <w:rsid w:val="00796265"/>
    <w:rsid w:val="00796AC0"/>
    <w:rsid w:val="007A1666"/>
    <w:rsid w:val="007A6B3A"/>
    <w:rsid w:val="007B00F8"/>
    <w:rsid w:val="007B1194"/>
    <w:rsid w:val="007B1F8F"/>
    <w:rsid w:val="007B3016"/>
    <w:rsid w:val="007B574B"/>
    <w:rsid w:val="007D6003"/>
    <w:rsid w:val="007D6737"/>
    <w:rsid w:val="007E083A"/>
    <w:rsid w:val="007E1071"/>
    <w:rsid w:val="007E19BD"/>
    <w:rsid w:val="007E2A26"/>
    <w:rsid w:val="007F2BAD"/>
    <w:rsid w:val="007F6F70"/>
    <w:rsid w:val="008017EC"/>
    <w:rsid w:val="00803001"/>
    <w:rsid w:val="00806FB7"/>
    <w:rsid w:val="00810B9B"/>
    <w:rsid w:val="00810E2F"/>
    <w:rsid w:val="008110B2"/>
    <w:rsid w:val="008128AC"/>
    <w:rsid w:val="00812CDC"/>
    <w:rsid w:val="00813B3D"/>
    <w:rsid w:val="00813D6B"/>
    <w:rsid w:val="00816029"/>
    <w:rsid w:val="0081669F"/>
    <w:rsid w:val="008168D0"/>
    <w:rsid w:val="008229C5"/>
    <w:rsid w:val="00822E6E"/>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8CA"/>
    <w:rsid w:val="00872C1E"/>
    <w:rsid w:val="00874C7D"/>
    <w:rsid w:val="008754E6"/>
    <w:rsid w:val="00875947"/>
    <w:rsid w:val="00876CB9"/>
    <w:rsid w:val="00880448"/>
    <w:rsid w:val="00880E1A"/>
    <w:rsid w:val="00881AF1"/>
    <w:rsid w:val="008837FC"/>
    <w:rsid w:val="008877D7"/>
    <w:rsid w:val="00893E41"/>
    <w:rsid w:val="008949DA"/>
    <w:rsid w:val="008A00C4"/>
    <w:rsid w:val="008A0703"/>
    <w:rsid w:val="008A382A"/>
    <w:rsid w:val="008A7B1F"/>
    <w:rsid w:val="008B24BF"/>
    <w:rsid w:val="008B5324"/>
    <w:rsid w:val="008B7E5A"/>
    <w:rsid w:val="008C2701"/>
    <w:rsid w:val="008C2D28"/>
    <w:rsid w:val="008C2DE8"/>
    <w:rsid w:val="008C2E37"/>
    <w:rsid w:val="008D21F1"/>
    <w:rsid w:val="008D3B13"/>
    <w:rsid w:val="008D3B9D"/>
    <w:rsid w:val="008D6C97"/>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4FA9"/>
    <w:rsid w:val="0098050F"/>
    <w:rsid w:val="00980FF4"/>
    <w:rsid w:val="00984104"/>
    <w:rsid w:val="00987A30"/>
    <w:rsid w:val="00987DA9"/>
    <w:rsid w:val="009909E0"/>
    <w:rsid w:val="00991609"/>
    <w:rsid w:val="009916EC"/>
    <w:rsid w:val="00992432"/>
    <w:rsid w:val="00992DDF"/>
    <w:rsid w:val="00995439"/>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3F4"/>
    <w:rsid w:val="009F5377"/>
    <w:rsid w:val="009F57B1"/>
    <w:rsid w:val="009F6295"/>
    <w:rsid w:val="009F6808"/>
    <w:rsid w:val="00A03731"/>
    <w:rsid w:val="00A053EE"/>
    <w:rsid w:val="00A05B3E"/>
    <w:rsid w:val="00A0737C"/>
    <w:rsid w:val="00A10EFC"/>
    <w:rsid w:val="00A14200"/>
    <w:rsid w:val="00A1612C"/>
    <w:rsid w:val="00A17EA6"/>
    <w:rsid w:val="00A205F6"/>
    <w:rsid w:val="00A24A7A"/>
    <w:rsid w:val="00A2570B"/>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556B"/>
    <w:rsid w:val="00A860A3"/>
    <w:rsid w:val="00A87C49"/>
    <w:rsid w:val="00A90485"/>
    <w:rsid w:val="00A95205"/>
    <w:rsid w:val="00A958D9"/>
    <w:rsid w:val="00A968F3"/>
    <w:rsid w:val="00A96CDC"/>
    <w:rsid w:val="00AA3BAF"/>
    <w:rsid w:val="00AA6408"/>
    <w:rsid w:val="00AB0935"/>
    <w:rsid w:val="00AB15C3"/>
    <w:rsid w:val="00AB4D38"/>
    <w:rsid w:val="00AB5092"/>
    <w:rsid w:val="00AB609E"/>
    <w:rsid w:val="00AB63DD"/>
    <w:rsid w:val="00AB7BFC"/>
    <w:rsid w:val="00AB7F96"/>
    <w:rsid w:val="00AC4CA3"/>
    <w:rsid w:val="00AD30FF"/>
    <w:rsid w:val="00AD320B"/>
    <w:rsid w:val="00AD7E0D"/>
    <w:rsid w:val="00AE1FA7"/>
    <w:rsid w:val="00AE23FF"/>
    <w:rsid w:val="00AE2B7B"/>
    <w:rsid w:val="00AF33C9"/>
    <w:rsid w:val="00AF4D69"/>
    <w:rsid w:val="00B02BA5"/>
    <w:rsid w:val="00B06187"/>
    <w:rsid w:val="00B11DC2"/>
    <w:rsid w:val="00B16D56"/>
    <w:rsid w:val="00B17980"/>
    <w:rsid w:val="00B20207"/>
    <w:rsid w:val="00B22F90"/>
    <w:rsid w:val="00B231F6"/>
    <w:rsid w:val="00B24822"/>
    <w:rsid w:val="00B27974"/>
    <w:rsid w:val="00B3527E"/>
    <w:rsid w:val="00B3770B"/>
    <w:rsid w:val="00B37F6D"/>
    <w:rsid w:val="00B419F3"/>
    <w:rsid w:val="00B4309C"/>
    <w:rsid w:val="00B43418"/>
    <w:rsid w:val="00B44176"/>
    <w:rsid w:val="00B44E44"/>
    <w:rsid w:val="00B44E92"/>
    <w:rsid w:val="00B46640"/>
    <w:rsid w:val="00B5152C"/>
    <w:rsid w:val="00B52818"/>
    <w:rsid w:val="00B53158"/>
    <w:rsid w:val="00B533DB"/>
    <w:rsid w:val="00B54709"/>
    <w:rsid w:val="00B7106E"/>
    <w:rsid w:val="00B7131A"/>
    <w:rsid w:val="00B76C8C"/>
    <w:rsid w:val="00B82307"/>
    <w:rsid w:val="00B8247C"/>
    <w:rsid w:val="00B82C16"/>
    <w:rsid w:val="00B84290"/>
    <w:rsid w:val="00B8677E"/>
    <w:rsid w:val="00B8713C"/>
    <w:rsid w:val="00B962F2"/>
    <w:rsid w:val="00B97039"/>
    <w:rsid w:val="00B97E3D"/>
    <w:rsid w:val="00B97EF1"/>
    <w:rsid w:val="00BA54E3"/>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396D"/>
    <w:rsid w:val="00BF531B"/>
    <w:rsid w:val="00BF7730"/>
    <w:rsid w:val="00C01EBA"/>
    <w:rsid w:val="00C05B31"/>
    <w:rsid w:val="00C06AAC"/>
    <w:rsid w:val="00C10FCA"/>
    <w:rsid w:val="00C25499"/>
    <w:rsid w:val="00C276C2"/>
    <w:rsid w:val="00C30D1F"/>
    <w:rsid w:val="00C33C62"/>
    <w:rsid w:val="00C344A0"/>
    <w:rsid w:val="00C40695"/>
    <w:rsid w:val="00C5306D"/>
    <w:rsid w:val="00C553B1"/>
    <w:rsid w:val="00C5642F"/>
    <w:rsid w:val="00C57C5D"/>
    <w:rsid w:val="00C6008B"/>
    <w:rsid w:val="00C60913"/>
    <w:rsid w:val="00C6212C"/>
    <w:rsid w:val="00C628D7"/>
    <w:rsid w:val="00C62F61"/>
    <w:rsid w:val="00C62F93"/>
    <w:rsid w:val="00C643B7"/>
    <w:rsid w:val="00C653F5"/>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53B9"/>
    <w:rsid w:val="00CB59E0"/>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9A4"/>
    <w:rsid w:val="00D23D27"/>
    <w:rsid w:val="00D240A2"/>
    <w:rsid w:val="00D24233"/>
    <w:rsid w:val="00D26CA9"/>
    <w:rsid w:val="00D340C1"/>
    <w:rsid w:val="00D3651C"/>
    <w:rsid w:val="00D42BB6"/>
    <w:rsid w:val="00D42F0B"/>
    <w:rsid w:val="00D43E79"/>
    <w:rsid w:val="00D43F1D"/>
    <w:rsid w:val="00D442B3"/>
    <w:rsid w:val="00D50479"/>
    <w:rsid w:val="00D512C7"/>
    <w:rsid w:val="00D53EC5"/>
    <w:rsid w:val="00D56D38"/>
    <w:rsid w:val="00D61DC4"/>
    <w:rsid w:val="00D633A3"/>
    <w:rsid w:val="00D6348A"/>
    <w:rsid w:val="00D666EA"/>
    <w:rsid w:val="00D719A1"/>
    <w:rsid w:val="00D72136"/>
    <w:rsid w:val="00D72234"/>
    <w:rsid w:val="00D82A8B"/>
    <w:rsid w:val="00D86C2E"/>
    <w:rsid w:val="00D87D79"/>
    <w:rsid w:val="00D90B5A"/>
    <w:rsid w:val="00D9378C"/>
    <w:rsid w:val="00D93C51"/>
    <w:rsid w:val="00D950DC"/>
    <w:rsid w:val="00D96562"/>
    <w:rsid w:val="00D96858"/>
    <w:rsid w:val="00D96CBD"/>
    <w:rsid w:val="00D97F18"/>
    <w:rsid w:val="00DA16C0"/>
    <w:rsid w:val="00DB1BB0"/>
    <w:rsid w:val="00DB4720"/>
    <w:rsid w:val="00DB76A2"/>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1E2"/>
    <w:rsid w:val="00E165B4"/>
    <w:rsid w:val="00E16B21"/>
    <w:rsid w:val="00E202F2"/>
    <w:rsid w:val="00E26CEC"/>
    <w:rsid w:val="00E271F0"/>
    <w:rsid w:val="00E2775F"/>
    <w:rsid w:val="00E33DFA"/>
    <w:rsid w:val="00E40F24"/>
    <w:rsid w:val="00E46B16"/>
    <w:rsid w:val="00E51715"/>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4171"/>
    <w:rsid w:val="00EF5FF0"/>
    <w:rsid w:val="00EF722C"/>
    <w:rsid w:val="00F131A5"/>
    <w:rsid w:val="00F16042"/>
    <w:rsid w:val="00F16059"/>
    <w:rsid w:val="00F17126"/>
    <w:rsid w:val="00F20346"/>
    <w:rsid w:val="00F211DF"/>
    <w:rsid w:val="00F23D61"/>
    <w:rsid w:val="00F27EC2"/>
    <w:rsid w:val="00F3195F"/>
    <w:rsid w:val="00F337C7"/>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A0735"/>
    <w:rsid w:val="00FA3C4C"/>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93"/>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5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4676022">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3892704">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3842504">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66611793">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02689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26596">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39687367">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8133017">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3449618">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5656669">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1356179">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8817786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451537">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8197303">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29731945">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323200">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654370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86015324">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398119">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1832267">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287470">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5343103">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3498966">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48745544">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604187">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167009">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32612">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169048">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4367804">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476956">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480224">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307800">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127146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698310981">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39642132">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5484236">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068590">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8612894">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213968">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025357">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5408200">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2808285">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262069">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3928122">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690954">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517607">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56640382">
      <w:bodyDiv w:val="1"/>
      <w:marLeft w:val="0"/>
      <w:marRight w:val="0"/>
      <w:marTop w:val="0"/>
      <w:marBottom w:val="0"/>
      <w:divBdr>
        <w:top w:val="none" w:sz="0" w:space="0" w:color="auto"/>
        <w:left w:val="none" w:sz="0" w:space="0" w:color="auto"/>
        <w:bottom w:val="none" w:sz="0" w:space="0" w:color="auto"/>
        <w:right w:val="none" w:sz="0" w:space="0" w:color="auto"/>
      </w:divBdr>
    </w:div>
    <w:div w:id="965426012">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0384183">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670917">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507849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7968864">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6795069">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7791584">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5771029">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6274701">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3818252">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66863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399258">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5460923">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8669903">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79683208">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08210345">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15243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201795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425902">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113556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599558451">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5918518">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403619">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2901985">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69208293">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3606180">
      <w:bodyDiv w:val="1"/>
      <w:marLeft w:val="0"/>
      <w:marRight w:val="0"/>
      <w:marTop w:val="0"/>
      <w:marBottom w:val="0"/>
      <w:divBdr>
        <w:top w:val="none" w:sz="0" w:space="0" w:color="auto"/>
        <w:left w:val="none" w:sz="0" w:space="0" w:color="auto"/>
        <w:bottom w:val="none" w:sz="0" w:space="0" w:color="auto"/>
        <w:right w:val="none" w:sz="0" w:space="0" w:color="auto"/>
      </w:divBdr>
    </w:div>
    <w:div w:id="1675378913">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8607817">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1054358">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59209594">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056296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78330006">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507664">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8402536">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2253373">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2784783">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46763878">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3534008">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1784426">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145784">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414412">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2847237">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Tor18</b:Tag>
    <b:SourceType>Book</b:SourceType>
    <b:Guid>{9F386A65-A99D-46D0-83ED-5D3FB069CE76}</b:Guid>
    <b:Title>Human Resource Management</b:Title>
    <b:Year>2018</b:Year>
    <b:City>London</b:City>
    <b:Publisher>Pearson</b:Publisher>
    <b:Edition>10th</b:Edition>
    <b:Author>
      <b:Author>
        <b:NameList>
          <b:Person>
            <b:Last>Torrington</b:Last>
            <b:First>Derek</b:First>
          </b:Person>
          <b:Person>
            <b:Last>Hall</b:Last>
            <b:First>Laura</b:First>
          </b:Person>
          <b:Person>
            <b:Last>Atkinson</b:Last>
            <b:First>Carol</b:First>
          </b:Person>
          <b:Person>
            <b:Last>Taylor</b:Last>
            <b:First>Stephen</b:First>
          </b:Person>
        </b:NameList>
      </b:Author>
    </b:Author>
    <b:RefOrder>4</b:RefOrder>
  </b:Source>
  <b:Source>
    <b:Tag>Swa15</b:Tag>
    <b:SourceType>Book</b:SourceType>
    <b:Guid>{A6BEB39C-D75A-4E1F-BD13-6BD0A3934185}</b:Guid>
    <b:Title>Human Resource Development: Strategy and Tactics</b:Title>
    <b:Year>2015</b:Year>
    <b:City>London</b:City>
    <b:Publisher>Routledge</b:Publisher>
    <b:Author>
      <b:Author>
        <b:NameList>
          <b:Person>
            <b:Last>Swart</b:Last>
            <b:First>J.</b:First>
          </b:Person>
          <b:Person>
            <b:Last>Mann</b:Last>
            <b:First>C.</b:First>
          </b:Person>
          <b:Person>
            <b:Last>Brown</b:Last>
            <b:First>S.</b:First>
          </b:Person>
          <b:Person>
            <b:Last>Price</b:Last>
            <b:First>A.</b:First>
          </b:Person>
        </b:NameList>
      </b:Author>
    </b:Author>
    <b:RefOrder>3</b:RefOrder>
  </b:Source>
  <b:Source>
    <b:Tag>Sto14</b:Tag>
    <b:SourceType>Book</b:SourceType>
    <b:Guid>{C6900A5B-DFD1-440D-B327-BD6E2A370BED}</b:Guid>
    <b:Title>New Perspectives on Human Resource Management</b:Title>
    <b:Year>2014</b:Year>
    <b:Publisher>Routledge</b:Publisher>
    <b:Author>
      <b:Author>
        <b:NameList>
          <b:Person>
            <b:Last>Storey</b:Last>
            <b:Middle>J.</b:Middle>
          </b:Person>
        </b:NameList>
      </b:Author>
    </b:Author>
    <b:RefOrder>8</b:RefOrder>
  </b:Source>
  <b:Source>
    <b:Tag>Spa16</b:Tag>
    <b:SourceType>Book</b:SourceType>
    <b:Guid>{8F4EB496-42CC-4211-A73E-C75B6EFDFDA8}</b:Guid>
    <b:Title>Globalizing human resource management</b:Title>
    <b:Year>2016</b:Year>
    <b:Publisher>Routledge</b:Publisher>
    <b:Author>
      <b:Author>
        <b:NameList>
          <b:Person>
            <b:Last>Sparrow</b:Last>
            <b:Middle>P.</b:Middle>
          </b:Person>
          <b:Person>
            <b:Last>Brewster</b:Last>
            <b:Middle>C.</b:Middle>
          </b:Person>
          <b:Person>
            <b:Last>Chung</b:Last>
            <b:Middle>C.</b:Middle>
          </b:Person>
        </b:NameList>
      </b:Author>
    </b:Author>
    <b:RefOrder>9</b:RefOrder>
  </b:Source>
  <b:Source>
    <b:Tag>Saa04</b:Tag>
    <b:SourceType>JournalArticle</b:SourceType>
    <b:Guid>{3A3FE883-0F59-4467-91CF-0B4563BDFE47}</b:Guid>
    <b:Title>Employee attitudes and job satisfaction</b:Title>
    <b:Year>2004</b:Year>
    <b:JournalName>Human Resource Management</b:JournalName>
    <b:Pages>390-410</b:Pages>
    <b:Volume>43</b:Volume>
    <b:Issue>4</b:Issue>
    <b:Author>
      <b:Author>
        <b:NameList>
          <b:Person>
            <b:Last>Saari</b:Last>
            <b:Middle>M.</b:Middle>
            <b:First>L.</b:First>
          </b:Person>
          <b:Person>
            <b:Last>Judge</b:Last>
            <b:Middle>A.</b:Middle>
            <b:First>T.</b:First>
          </b:Person>
        </b:NameList>
      </b:Author>
    </b:Author>
    <b:RefOrder>10</b:RefOrder>
  </b:Source>
  <b:Source>
    <b:Tag>Man09</b:Tag>
    <b:SourceType>Book</b:SourceType>
    <b:Guid>{ED8091FA-DEE4-4C8B-88A6-29DE4C3D8C6B}</b:Guid>
    <b:Title>Human Resource Development</b:Title>
    <b:Year>2009</b:Year>
    <b:City>Oxford</b:City>
    <b:Publisher>Oxford University Press</b:Publisher>
    <b:Author>
      <b:Author>
        <b:NameList>
          <b:Person>
            <b:Last>Mankin</b:Last>
            <b:First>D.</b:First>
          </b:Person>
        </b:NameList>
      </b:Author>
    </b:Author>
    <b:RefOrder>1</b:RefOrder>
  </b:Source>
  <b:Source>
    <b:Tag>Hoo19</b:Tag>
    <b:SourceType>Book</b:SourceType>
    <b:Guid>{6E3A04C7-C5C7-4505-88A3-B231E465E412}</b:Guid>
    <b:Title>Introducing Human Resource Management</b:Title>
    <b:Year>2019</b:Year>
    <b:City>Harlow</b:City>
    <b:Publisher>Perason Education Ltd.</b:Publisher>
    <b:Edition>8th</b:Edition>
    <b:Author>
      <b:Author>
        <b:NameList>
          <b:Person>
            <b:Last>Hook</b:Last>
            <b:First>C.</b:First>
          </b:Person>
          <b:Person>
            <b:Last>Jenkins</b:Last>
            <b:First>A.</b:First>
          </b:Person>
        </b:NameList>
      </b:Author>
    </b:Author>
    <b:RefOrder>6</b:RefOrder>
  </b:Source>
  <b:Source>
    <b:Tag>Des08</b:Tag>
    <b:SourceType>Book</b:SourceType>
    <b:Guid>{5AC64672-3058-4081-9B34-6D1F8671F25C}</b:Guid>
    <b:Title>Human resource management</b:Title>
    <b:Year>2008</b:Year>
    <b:Author>
      <b:Author>
        <b:NameList>
          <b:Person>
            <b:Last>Dessler</b:Last>
            <b:First>G.</b:First>
          </b:Person>
        </b:NameList>
      </b:Author>
    </b:Author>
    <b:City>Upper Saddle River, NJ</b:City>
    <b:Publisher>Pearson, Prentice Hall</b:Publisher>
    <b:Edition>11th</b:Edition>
    <b:RefOrder>7</b:RefOrder>
  </b:Source>
  <b:Source>
    <b:Tag>Cal18</b:Tag>
    <b:SourceType>Book</b:SourceType>
    <b:Guid>{462B25FF-8E55-4841-8A77-F00451039991}</b:Guid>
    <b:Title>Strategic Human Resource Management</b:Title>
    <b:Year>2018</b:Year>
    <b:City>New York</b:City>
    <b:Publisher>Nove Science Publishers</b:Publisher>
    <b:Author>
      <b:Author>
        <b:NameList>
          <b:Person>
            <b:Last>Caldwell</b:Last>
            <b:First>C.</b:First>
          </b:Person>
          <b:Person>
            <b:Last>Anderson</b:Last>
            <b:First>V.</b:First>
          </b:Person>
        </b:NameList>
      </b:Author>
    </b:Author>
    <b:RefOrder>5</b:RefOrder>
  </b:Source>
  <b:Source>
    <b:Tag>Arm14</b:Tag>
    <b:SourceType>Book</b:SourceType>
    <b:Guid>{B9E4E3EE-D597-473F-8B1D-26913D5DA44A}</b:Guid>
    <b:Title>Armstrong's handbook of human resource management practice</b:Title>
    <b:Year>2020</b:Year>
    <b:Publisher>Kogan Page Publishers</b:Publisher>
    <b:Author>
      <b:Author>
        <b:NameList>
          <b:Person>
            <b:Last>Armstrong</b:Last>
            <b:Middle>M.</b:Middle>
          </b:Person>
          <b:Person>
            <b:Last>Taylor</b:Last>
            <b:Middle>S.</b:Middle>
          </b:Person>
        </b:NameList>
      </b:Author>
    </b:Author>
    <b:Edition>15th</b:Edition>
    <b:City>London</b:City>
    <b:RefOrder>2</b:RefOrder>
  </b:Source>
  <b:Source>
    <b:Tag>Bre16</b:Tag>
    <b:SourceType>Book</b:SourceType>
    <b:Guid>{0338FC19-D24A-4BE4-8F18-3739E074FBA0}</b:Guid>
    <b:Title>International Human Resource Management</b:Title>
    <b:Year>2016</b:Year>
    <b:City>London </b:City>
    <b:Publisher>CIPD</b:Publisher>
    <b:Edition>4th</b:Edition>
    <b:Author>
      <b:Author>
        <b:NameList>
          <b:Person>
            <b:Last>Brewster</b:Last>
            <b:First>C.</b:First>
          </b:Person>
          <b:Person>
            <b:Last>Sparrow</b:Last>
            <b:First>P.</b:First>
          </b:Person>
          <b:Person>
            <b:Last>Vernon</b:Last>
            <b:First>G.</b:First>
          </b:Person>
          <b:Person>
            <b:Last>Houldsworth</b:Last>
            <b:First>E.</b:First>
          </b:Person>
        </b:NameList>
      </b:Author>
    </b:Author>
    <b:RefOrder>11</b:RefOrder>
  </b:Source>
  <b:Source>
    <b:Tag>CIP22</b:Tag>
    <b:SourceType>InternetSite</b:SourceType>
    <b:Guid>{F2E77EFA-8028-4498-A0B7-516035932F91}</b:Guid>
    <b:Author>
      <b:Author>
        <b:Corporate>CIPD</b:Corporate>
      </b:Author>
    </b:Author>
    <b:Title>Chartered Institute of Personnel and Development</b:Title>
    <b:Year>2022</b:Year>
    <b:YearAccessed>2022</b:YearAccessed>
    <b:MonthAccessed>03</b:MonthAccessed>
    <b:DayAccessed>15</b:DayAccessed>
    <b:URL>https://www.cipd.co.uk</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530F31-CF1F-417F-8D17-60291628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6124</TotalTime>
  <Pages>10</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195</cp:revision>
  <cp:lastPrinted>2020-11-12T21:16:00Z</cp:lastPrinted>
  <dcterms:created xsi:type="dcterms:W3CDTF">2020-11-23T20:57:00Z</dcterms:created>
  <dcterms:modified xsi:type="dcterms:W3CDTF">2022-05-09T17:47:00Z</dcterms:modified>
</cp:coreProperties>
</file>