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17927942"/>
        <w:docPartObj>
          <w:docPartGallery w:val="Cover Pages"/>
          <w:docPartUnique/>
        </w:docPartObj>
      </w:sdtPr>
      <w:sdtEndPr>
        <w:rPr>
          <w:rFonts w:ascii="Arial" w:hAnsi="Arial" w:cs="Arial"/>
          <w:sz w:val="24"/>
          <w:szCs w:val="24"/>
        </w:rPr>
      </w:sdtEndPr>
      <w:sdtContent>
        <w:p w14:paraId="233742AE" w14:textId="6A3BEF84" w:rsidR="00FC3B54" w:rsidRDefault="00FC3B54">
          <w:r>
            <w:rPr>
              <w:noProof/>
            </w:rPr>
            <mc:AlternateContent>
              <mc:Choice Requires="wpg">
                <w:drawing>
                  <wp:anchor distT="0" distB="0" distL="114300" distR="114300" simplePos="0" relativeHeight="251662336" behindDoc="0" locked="0" layoutInCell="1" allowOverlap="1" wp14:anchorId="1A05CBB4" wp14:editId="6B647E9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9ED0B2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95994FE" wp14:editId="4CB58CD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C4C2416" w14:textId="23212560" w:rsidR="00FC3B54" w:rsidRDefault="00FC3B54">
                                    <w:pPr>
                                      <w:pStyle w:val="NoSpacing"/>
                                      <w:jc w:val="right"/>
                                      <w:rPr>
                                        <w:color w:val="595959" w:themeColor="text1" w:themeTint="A6"/>
                                        <w:sz w:val="28"/>
                                        <w:szCs w:val="28"/>
                                      </w:rPr>
                                    </w:pPr>
                                    <w:r>
                                      <w:rPr>
                                        <w:color w:val="595959" w:themeColor="text1" w:themeTint="A6"/>
                                        <w:sz w:val="28"/>
                                        <w:szCs w:val="28"/>
                                      </w:rPr>
                                      <w:t>Sadie France</w:t>
                                    </w:r>
                                  </w:p>
                                </w:sdtContent>
                              </w:sdt>
                              <w:p w14:paraId="701134F5" w14:textId="769322D9" w:rsidR="00FC3B54" w:rsidRDefault="00FC3B5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1805131</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95994F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C4C2416" w14:textId="23212560" w:rsidR="00FC3B54" w:rsidRDefault="00FC3B54">
                              <w:pPr>
                                <w:pStyle w:val="NoSpacing"/>
                                <w:jc w:val="right"/>
                                <w:rPr>
                                  <w:color w:val="595959" w:themeColor="text1" w:themeTint="A6"/>
                                  <w:sz w:val="28"/>
                                  <w:szCs w:val="28"/>
                                </w:rPr>
                              </w:pPr>
                              <w:r>
                                <w:rPr>
                                  <w:color w:val="595959" w:themeColor="text1" w:themeTint="A6"/>
                                  <w:sz w:val="28"/>
                                  <w:szCs w:val="28"/>
                                </w:rPr>
                                <w:t>Sadie France</w:t>
                              </w:r>
                            </w:p>
                          </w:sdtContent>
                        </w:sdt>
                        <w:p w14:paraId="701134F5" w14:textId="769322D9" w:rsidR="00FC3B54" w:rsidRDefault="00FC3B5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1805131</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BE919A0" wp14:editId="6889033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E34773" w14:textId="0BD8FCA0" w:rsidR="00FC3B54" w:rsidRDefault="00FC3B54">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BE919A0"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4BE34773" w14:textId="0BD8FCA0" w:rsidR="00FC3B54" w:rsidRDefault="00FC3B54">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B4C3036" wp14:editId="64E2776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8E23E7B" w14:textId="63D42A3E" w:rsidR="00FC3B54" w:rsidRDefault="00FC3B5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a CRITICAL EVALUATION </w:t>
                                    </w:r>
                                    <w:proofErr w:type="gramStart"/>
                                    <w:r>
                                      <w:rPr>
                                        <w:caps/>
                                        <w:color w:val="4472C4" w:themeColor="accent1"/>
                                        <w:sz w:val="64"/>
                                        <w:szCs w:val="64"/>
                                      </w:rPr>
                                      <w:t>OF  CRIME</w:t>
                                    </w:r>
                                    <w:proofErr w:type="gramEnd"/>
                                    <w:r>
                                      <w:rPr>
                                        <w:caps/>
                                        <w:color w:val="4472C4" w:themeColor="accent1"/>
                                        <w:sz w:val="64"/>
                                        <w:szCs w:val="64"/>
                                      </w:rPr>
                                      <w:t xml:space="preserve"> SCENE</w:t>
                                    </w:r>
                                    <w:r w:rsidR="007266F8">
                                      <w:rPr>
                                        <w:caps/>
                                        <w:color w:val="4472C4" w:themeColor="accent1"/>
                                        <w:sz w:val="64"/>
                                        <w:szCs w:val="64"/>
                                      </w:rPr>
                                      <w:t xml:space="preserve"> PROCEDURES </w:t>
                                    </w:r>
                                    <w:r>
                                      <w:rPr>
                                        <w:caps/>
                                        <w:color w:val="4472C4" w:themeColor="accent1"/>
                                        <w:sz w:val="64"/>
                                        <w:szCs w:val="64"/>
                                      </w:rPr>
                                      <w:t xml:space="preserve">INCLUDING THE ROLE OF THE FIRST ATTENDING OFFICER </w:t>
                                    </w:r>
                                    <w:r w:rsidR="008C7D0B">
                                      <w:rPr>
                                        <w:caps/>
                                        <w:color w:val="4472C4" w:themeColor="accent1"/>
                                        <w:sz w:val="64"/>
                                        <w:szCs w:val="64"/>
                                      </w:rPr>
                                      <w:t xml:space="preserve">TO AVOID CROSS CONTAMINATION </w:t>
                                    </w:r>
                                    <w:r>
                                      <w:rPr>
                                        <w:caps/>
                                        <w:color w:val="4472C4" w:themeColor="accent1"/>
                                        <w:sz w:val="64"/>
                                        <w:szCs w:val="64"/>
                                      </w:rPr>
                                      <w:t xml:space="preserve">AND THE SEIZURE OF EXHIBITS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A83CB61" w14:textId="668459D8" w:rsidR="00FC3B54" w:rsidRDefault="00FC3B54">
                                    <w:pPr>
                                      <w:jc w:val="right"/>
                                      <w:rPr>
                                        <w:smallCaps/>
                                        <w:color w:val="404040" w:themeColor="text1" w:themeTint="BF"/>
                                        <w:sz w:val="36"/>
                                        <w:szCs w:val="36"/>
                                      </w:rPr>
                                    </w:pPr>
                                    <w:r>
                                      <w:rPr>
                                        <w:color w:val="404040" w:themeColor="text1" w:themeTint="BF"/>
                                        <w:sz w:val="36"/>
                                        <w:szCs w:val="36"/>
                                      </w:rPr>
                                      <w:t>BMPS6009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B4C3036"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48E23E7B" w14:textId="63D42A3E" w:rsidR="00FC3B54" w:rsidRDefault="00FC3B5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 xml:space="preserve">a CRITICAL EVALUATION </w:t>
                              </w:r>
                              <w:proofErr w:type="gramStart"/>
                              <w:r>
                                <w:rPr>
                                  <w:caps/>
                                  <w:color w:val="4472C4" w:themeColor="accent1"/>
                                  <w:sz w:val="64"/>
                                  <w:szCs w:val="64"/>
                                </w:rPr>
                                <w:t>OF  CRIME</w:t>
                              </w:r>
                              <w:proofErr w:type="gramEnd"/>
                              <w:r>
                                <w:rPr>
                                  <w:caps/>
                                  <w:color w:val="4472C4" w:themeColor="accent1"/>
                                  <w:sz w:val="64"/>
                                  <w:szCs w:val="64"/>
                                </w:rPr>
                                <w:t xml:space="preserve"> SCENE</w:t>
                              </w:r>
                              <w:r w:rsidR="007266F8">
                                <w:rPr>
                                  <w:caps/>
                                  <w:color w:val="4472C4" w:themeColor="accent1"/>
                                  <w:sz w:val="64"/>
                                  <w:szCs w:val="64"/>
                                </w:rPr>
                                <w:t xml:space="preserve"> PROCEDURES </w:t>
                              </w:r>
                              <w:r>
                                <w:rPr>
                                  <w:caps/>
                                  <w:color w:val="4472C4" w:themeColor="accent1"/>
                                  <w:sz w:val="64"/>
                                  <w:szCs w:val="64"/>
                                </w:rPr>
                                <w:t xml:space="preserve">INCLUDING THE ROLE OF THE FIRST ATTENDING OFFICER </w:t>
                              </w:r>
                              <w:r w:rsidR="008C7D0B">
                                <w:rPr>
                                  <w:caps/>
                                  <w:color w:val="4472C4" w:themeColor="accent1"/>
                                  <w:sz w:val="64"/>
                                  <w:szCs w:val="64"/>
                                </w:rPr>
                                <w:t xml:space="preserve">TO AVOID CROSS CONTAMINATION </w:t>
                              </w:r>
                              <w:r>
                                <w:rPr>
                                  <w:caps/>
                                  <w:color w:val="4472C4" w:themeColor="accent1"/>
                                  <w:sz w:val="64"/>
                                  <w:szCs w:val="64"/>
                                </w:rPr>
                                <w:t xml:space="preserve">AND THE SEIZURE OF EXHIBITS </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A83CB61" w14:textId="668459D8" w:rsidR="00FC3B54" w:rsidRDefault="00FC3B54">
                              <w:pPr>
                                <w:jc w:val="right"/>
                                <w:rPr>
                                  <w:smallCaps/>
                                  <w:color w:val="404040" w:themeColor="text1" w:themeTint="BF"/>
                                  <w:sz w:val="36"/>
                                  <w:szCs w:val="36"/>
                                </w:rPr>
                              </w:pPr>
                              <w:r>
                                <w:rPr>
                                  <w:color w:val="404040" w:themeColor="text1" w:themeTint="BF"/>
                                  <w:sz w:val="36"/>
                                  <w:szCs w:val="36"/>
                                </w:rPr>
                                <w:t>BMPS6009</w:t>
                              </w:r>
                            </w:p>
                          </w:sdtContent>
                        </w:sdt>
                      </w:txbxContent>
                    </v:textbox>
                    <w10:wrap type="square" anchorx="page" anchory="page"/>
                  </v:shape>
                </w:pict>
              </mc:Fallback>
            </mc:AlternateContent>
          </w:r>
        </w:p>
        <w:p w14:paraId="775E9FF9" w14:textId="5F0BD148" w:rsidR="00FC3B54" w:rsidRDefault="00FC3B54">
          <w:pPr>
            <w:spacing w:after="160" w:line="259" w:lineRule="auto"/>
            <w:rPr>
              <w:rFonts w:ascii="Arial" w:hAnsi="Arial" w:cs="Arial"/>
              <w:sz w:val="24"/>
              <w:szCs w:val="24"/>
            </w:rPr>
          </w:pPr>
          <w:r>
            <w:rPr>
              <w:rFonts w:ascii="Arial" w:hAnsi="Arial" w:cs="Arial"/>
              <w:sz w:val="24"/>
              <w:szCs w:val="24"/>
            </w:rPr>
            <w:br w:type="page"/>
          </w:r>
        </w:p>
      </w:sdtContent>
    </w:sdt>
    <w:p w14:paraId="3667FC17" w14:textId="77777777" w:rsidR="00744B53" w:rsidRPr="00E91512" w:rsidRDefault="00744B53" w:rsidP="00E91512">
      <w:pPr>
        <w:spacing w:line="480" w:lineRule="auto"/>
        <w:rPr>
          <w:rFonts w:ascii="Arial" w:hAnsi="Arial" w:cs="Arial"/>
          <w:b/>
          <w:bCs/>
          <w:i/>
          <w:iCs/>
          <w:sz w:val="24"/>
          <w:szCs w:val="24"/>
        </w:rPr>
      </w:pPr>
    </w:p>
    <w:p w14:paraId="55B49C30" w14:textId="77777777" w:rsidR="00744B53" w:rsidRPr="00E91512" w:rsidRDefault="00744B53" w:rsidP="00E91512">
      <w:pPr>
        <w:spacing w:line="480" w:lineRule="auto"/>
        <w:rPr>
          <w:rFonts w:ascii="Arial" w:hAnsi="Arial" w:cs="Arial"/>
          <w:sz w:val="24"/>
          <w:szCs w:val="24"/>
        </w:rPr>
      </w:pPr>
    </w:p>
    <w:p w14:paraId="0CD8CBE3" w14:textId="23D5352B" w:rsidR="00744B53" w:rsidRPr="00E91512" w:rsidRDefault="00246AA7" w:rsidP="00E91512">
      <w:pPr>
        <w:spacing w:line="480" w:lineRule="auto"/>
        <w:rPr>
          <w:rFonts w:ascii="Arial" w:hAnsi="Arial" w:cs="Arial"/>
          <w:b/>
          <w:bCs/>
          <w:i/>
          <w:iCs/>
          <w:sz w:val="24"/>
          <w:szCs w:val="24"/>
        </w:rPr>
      </w:pPr>
      <w:r>
        <w:rPr>
          <w:rFonts w:ascii="Arial" w:hAnsi="Arial" w:cs="Arial"/>
          <w:b/>
          <w:bCs/>
          <w:i/>
          <w:iCs/>
          <w:sz w:val="24"/>
          <w:szCs w:val="24"/>
        </w:rPr>
        <w:t>Part A</w:t>
      </w:r>
    </w:p>
    <w:p w14:paraId="01E89E8E" w14:textId="3DDF2A94" w:rsidR="00744B53" w:rsidRPr="00E91512" w:rsidRDefault="00744B53" w:rsidP="00E91512">
      <w:pPr>
        <w:pStyle w:val="NoSpacing"/>
        <w:spacing w:line="480" w:lineRule="auto"/>
        <w:rPr>
          <w:rFonts w:ascii="Arial" w:hAnsi="Arial" w:cs="Arial"/>
          <w:b/>
          <w:bCs/>
          <w:color w:val="FF0000"/>
          <w:sz w:val="24"/>
          <w:szCs w:val="24"/>
          <w:u w:val="single"/>
          <w:lang w:val="en-US"/>
        </w:rPr>
      </w:pPr>
    </w:p>
    <w:p w14:paraId="54176FBF" w14:textId="41D0BEEF" w:rsidR="00744B53" w:rsidRDefault="00744B53" w:rsidP="00E91512">
      <w:pPr>
        <w:spacing w:line="480" w:lineRule="auto"/>
        <w:rPr>
          <w:rFonts w:ascii="Arial" w:hAnsi="Arial" w:cs="Arial"/>
          <w:sz w:val="24"/>
          <w:szCs w:val="24"/>
        </w:rPr>
      </w:pPr>
      <w:r w:rsidRPr="00E91512">
        <w:rPr>
          <w:rFonts w:ascii="Arial" w:hAnsi="Arial" w:cs="Arial"/>
          <w:sz w:val="24"/>
          <w:szCs w:val="24"/>
        </w:rPr>
        <w:t xml:space="preserve">According to Reno </w:t>
      </w:r>
      <w:r w:rsidRPr="0034511B">
        <w:rPr>
          <w:rFonts w:ascii="Arial" w:hAnsi="Arial" w:cs="Arial"/>
          <w:i/>
          <w:iCs/>
          <w:sz w:val="24"/>
          <w:szCs w:val="24"/>
        </w:rPr>
        <w:t>et al</w:t>
      </w:r>
      <w:r w:rsidR="0034511B" w:rsidRPr="0034511B">
        <w:rPr>
          <w:rFonts w:ascii="Arial" w:hAnsi="Arial" w:cs="Arial"/>
          <w:i/>
          <w:iCs/>
          <w:sz w:val="24"/>
          <w:szCs w:val="24"/>
        </w:rPr>
        <w:t>.</w:t>
      </w:r>
      <w:r w:rsidRPr="00E91512">
        <w:rPr>
          <w:rFonts w:ascii="Arial" w:hAnsi="Arial" w:cs="Arial"/>
          <w:sz w:val="24"/>
          <w:szCs w:val="24"/>
        </w:rPr>
        <w:t xml:space="preserve"> (1999) the success of an investigation rests on the actions taken at the crime scene. Correct procedures need to take place in a careful manner to ensure potential evidence is not contaminate</w:t>
      </w:r>
      <w:r w:rsidR="00186731">
        <w:rPr>
          <w:rFonts w:ascii="Arial" w:hAnsi="Arial" w:cs="Arial"/>
          <w:sz w:val="24"/>
          <w:szCs w:val="24"/>
        </w:rPr>
        <w:t>d.</w:t>
      </w:r>
    </w:p>
    <w:p w14:paraId="074393F0" w14:textId="77777777" w:rsidR="00186731" w:rsidRPr="00E91512" w:rsidRDefault="00186731" w:rsidP="00E91512">
      <w:pPr>
        <w:spacing w:line="480" w:lineRule="auto"/>
        <w:rPr>
          <w:rFonts w:ascii="Arial" w:hAnsi="Arial" w:cs="Arial"/>
          <w:sz w:val="24"/>
          <w:szCs w:val="24"/>
        </w:rPr>
      </w:pPr>
    </w:p>
    <w:p w14:paraId="2226DB24" w14:textId="48B9DE31" w:rsidR="00744B53" w:rsidRPr="00E91512" w:rsidRDefault="00744B53" w:rsidP="00E91512">
      <w:pPr>
        <w:spacing w:line="480" w:lineRule="auto"/>
        <w:rPr>
          <w:rFonts w:ascii="Arial" w:hAnsi="Arial" w:cs="Arial"/>
          <w:sz w:val="24"/>
          <w:szCs w:val="24"/>
        </w:rPr>
      </w:pPr>
      <w:r w:rsidRPr="00E91512">
        <w:rPr>
          <w:rFonts w:ascii="Arial" w:hAnsi="Arial" w:cs="Arial"/>
          <w:sz w:val="24"/>
          <w:szCs w:val="24"/>
        </w:rPr>
        <w:t xml:space="preserve">Cross contamination can be caused by either primary transfer (directly) or secondary transfer (indirectly). Primary transfer would include DNA from the examiner, for example saliva, shedding of skin or dandruff. Secondary transfer would include transfer of forensics from one scene to another, for example equipment used to investigate one scene such as the camera or step plates used at another scene (Forensic Science Regulator, 2020). Although contamination mainly happens through touching, it can also occur through activities such as speaking, </w:t>
      </w:r>
      <w:proofErr w:type="gramStart"/>
      <w:r w:rsidRPr="00E91512">
        <w:rPr>
          <w:rFonts w:ascii="Arial" w:hAnsi="Arial" w:cs="Arial"/>
          <w:sz w:val="24"/>
          <w:szCs w:val="24"/>
        </w:rPr>
        <w:t>coughing</w:t>
      </w:r>
      <w:proofErr w:type="gramEnd"/>
      <w:r w:rsidRPr="00E91512">
        <w:rPr>
          <w:rFonts w:ascii="Arial" w:hAnsi="Arial" w:cs="Arial"/>
          <w:sz w:val="24"/>
          <w:szCs w:val="24"/>
        </w:rPr>
        <w:t xml:space="preserve"> and sneezing. According to </w:t>
      </w:r>
      <w:proofErr w:type="spellStart"/>
      <w:r w:rsidRPr="00E91512">
        <w:rPr>
          <w:rFonts w:ascii="Arial" w:hAnsi="Arial" w:cs="Arial"/>
          <w:sz w:val="24"/>
          <w:szCs w:val="24"/>
        </w:rPr>
        <w:t>Neuhuber</w:t>
      </w:r>
      <w:proofErr w:type="spellEnd"/>
      <w:r w:rsidRPr="00E91512">
        <w:rPr>
          <w:rFonts w:ascii="Arial" w:hAnsi="Arial" w:cs="Arial"/>
          <w:sz w:val="24"/>
          <w:szCs w:val="24"/>
        </w:rPr>
        <w:t xml:space="preserve"> </w:t>
      </w:r>
      <w:r w:rsidRPr="0034511B">
        <w:rPr>
          <w:rFonts w:ascii="Arial" w:hAnsi="Arial" w:cs="Arial"/>
          <w:i/>
          <w:iCs/>
          <w:sz w:val="24"/>
          <w:szCs w:val="24"/>
        </w:rPr>
        <w:t>et al</w:t>
      </w:r>
      <w:r w:rsidR="0034511B" w:rsidRPr="0034511B">
        <w:rPr>
          <w:rFonts w:ascii="Arial" w:hAnsi="Arial" w:cs="Arial"/>
          <w:i/>
          <w:iCs/>
          <w:sz w:val="24"/>
          <w:szCs w:val="24"/>
        </w:rPr>
        <w:t>.</w:t>
      </w:r>
      <w:r w:rsidRPr="00E91512">
        <w:rPr>
          <w:rFonts w:ascii="Arial" w:hAnsi="Arial" w:cs="Arial"/>
          <w:sz w:val="24"/>
          <w:szCs w:val="24"/>
        </w:rPr>
        <w:t xml:space="preserve"> (2017), in Australia a total number of 347 contamination incidents were detected between 2000-</w:t>
      </w:r>
      <w:r w:rsidR="00715CAB" w:rsidRPr="00E91512">
        <w:rPr>
          <w:rFonts w:ascii="Arial" w:hAnsi="Arial" w:cs="Arial"/>
          <w:sz w:val="24"/>
          <w:szCs w:val="24"/>
        </w:rPr>
        <w:t>2016 with</w:t>
      </w:r>
      <w:r w:rsidRPr="00E91512">
        <w:rPr>
          <w:rFonts w:ascii="Arial" w:hAnsi="Arial" w:cs="Arial"/>
          <w:sz w:val="24"/>
          <w:szCs w:val="24"/>
        </w:rPr>
        <w:t xml:space="preserve"> the main contamination being caused by indirect DNA transfer from police staff participating in the investigation.</w:t>
      </w:r>
    </w:p>
    <w:p w14:paraId="490142D6" w14:textId="77777777" w:rsidR="00744B53" w:rsidRPr="00E91512" w:rsidRDefault="00744B53" w:rsidP="00E91512">
      <w:pPr>
        <w:spacing w:line="480" w:lineRule="auto"/>
        <w:rPr>
          <w:rFonts w:ascii="Arial" w:hAnsi="Arial" w:cs="Arial"/>
          <w:sz w:val="24"/>
          <w:szCs w:val="24"/>
        </w:rPr>
      </w:pPr>
    </w:p>
    <w:p w14:paraId="47B1BC02" w14:textId="6B737CD9" w:rsidR="00744B53" w:rsidRPr="00E91512" w:rsidRDefault="00744B53" w:rsidP="00E91512">
      <w:pPr>
        <w:spacing w:line="480" w:lineRule="auto"/>
        <w:rPr>
          <w:rFonts w:ascii="Arial" w:hAnsi="Arial" w:cs="Arial"/>
          <w:sz w:val="24"/>
          <w:szCs w:val="24"/>
        </w:rPr>
      </w:pPr>
      <w:r w:rsidRPr="00E91512">
        <w:rPr>
          <w:rFonts w:ascii="Arial" w:hAnsi="Arial" w:cs="Arial"/>
          <w:sz w:val="24"/>
          <w:szCs w:val="24"/>
        </w:rPr>
        <w:t>Edmund Locard’s Exchange theory states that “every contact leaves a trace” meaning that when a crime is carried out the assailant could leave his</w:t>
      </w:r>
      <w:r w:rsidR="0034511B">
        <w:rPr>
          <w:rFonts w:ascii="Arial" w:hAnsi="Arial" w:cs="Arial"/>
          <w:sz w:val="24"/>
          <w:szCs w:val="24"/>
        </w:rPr>
        <w:t>/her</w:t>
      </w:r>
      <w:r w:rsidRPr="00E91512">
        <w:rPr>
          <w:rFonts w:ascii="Arial" w:hAnsi="Arial" w:cs="Arial"/>
          <w:sz w:val="24"/>
          <w:szCs w:val="24"/>
        </w:rPr>
        <w:t xml:space="preserve"> marks on material at the scene as well as traces on his/her clothes or body from the crime scene which can be linked (</w:t>
      </w:r>
      <w:proofErr w:type="spellStart"/>
      <w:r w:rsidRPr="00E91512">
        <w:rPr>
          <w:rFonts w:ascii="Arial" w:hAnsi="Arial" w:cs="Arial"/>
          <w:sz w:val="24"/>
          <w:szCs w:val="24"/>
        </w:rPr>
        <w:t>Horswell</w:t>
      </w:r>
      <w:proofErr w:type="spellEnd"/>
      <w:r w:rsidRPr="00E91512">
        <w:rPr>
          <w:rFonts w:ascii="Arial" w:hAnsi="Arial" w:cs="Arial"/>
          <w:sz w:val="24"/>
          <w:szCs w:val="24"/>
        </w:rPr>
        <w:t>, 2004, p</w:t>
      </w:r>
      <w:r w:rsidR="0034511B">
        <w:rPr>
          <w:rFonts w:ascii="Arial" w:hAnsi="Arial" w:cs="Arial"/>
          <w:sz w:val="24"/>
          <w:szCs w:val="24"/>
        </w:rPr>
        <w:t>.</w:t>
      </w:r>
      <w:r w:rsidRPr="00E91512">
        <w:rPr>
          <w:rFonts w:ascii="Arial" w:hAnsi="Arial" w:cs="Arial"/>
          <w:sz w:val="24"/>
          <w:szCs w:val="24"/>
        </w:rPr>
        <w:t xml:space="preserve"> 47). The police have built their strategies around the Locard Exchange theory and </w:t>
      </w:r>
      <w:r w:rsidR="00715CAB" w:rsidRPr="00E91512">
        <w:rPr>
          <w:rFonts w:ascii="Arial" w:hAnsi="Arial" w:cs="Arial"/>
          <w:sz w:val="24"/>
          <w:szCs w:val="24"/>
        </w:rPr>
        <w:t>its</w:t>
      </w:r>
      <w:r w:rsidRPr="00E91512">
        <w:rPr>
          <w:rFonts w:ascii="Arial" w:hAnsi="Arial" w:cs="Arial"/>
          <w:sz w:val="24"/>
          <w:szCs w:val="24"/>
        </w:rPr>
        <w:t xml:space="preserve"> principles are encompassed in </w:t>
      </w:r>
      <w:r w:rsidRPr="00E91512">
        <w:rPr>
          <w:rFonts w:ascii="Arial" w:hAnsi="Arial" w:cs="Arial"/>
          <w:sz w:val="24"/>
          <w:szCs w:val="24"/>
        </w:rPr>
        <w:lastRenderedPageBreak/>
        <w:t xml:space="preserve">every investigation. From the Exchange theory the three physical evidence strategies are based, crime scene strategy, forensic </w:t>
      </w:r>
      <w:proofErr w:type="gramStart"/>
      <w:r w:rsidRPr="00E91512">
        <w:rPr>
          <w:rFonts w:ascii="Arial" w:hAnsi="Arial" w:cs="Arial"/>
          <w:sz w:val="24"/>
          <w:szCs w:val="24"/>
        </w:rPr>
        <w:t>strategy</w:t>
      </w:r>
      <w:proofErr w:type="gramEnd"/>
      <w:r w:rsidRPr="00E91512">
        <w:rPr>
          <w:rFonts w:ascii="Arial" w:hAnsi="Arial" w:cs="Arial"/>
          <w:sz w:val="24"/>
          <w:szCs w:val="24"/>
        </w:rPr>
        <w:t xml:space="preserve"> and pathology strategy (College of policing, 2013).</w:t>
      </w:r>
    </w:p>
    <w:p w14:paraId="4E0BAFDF" w14:textId="77777777" w:rsidR="00744B53" w:rsidRPr="00E91512" w:rsidRDefault="00744B53" w:rsidP="00E91512">
      <w:pPr>
        <w:spacing w:line="480" w:lineRule="auto"/>
        <w:rPr>
          <w:rFonts w:ascii="Arial" w:hAnsi="Arial" w:cs="Arial"/>
          <w:sz w:val="24"/>
          <w:szCs w:val="24"/>
        </w:rPr>
      </w:pPr>
    </w:p>
    <w:p w14:paraId="088680F5" w14:textId="04844FFD" w:rsidR="00744B53" w:rsidRPr="00E91512" w:rsidRDefault="00744B53" w:rsidP="00E91512">
      <w:pPr>
        <w:spacing w:line="480" w:lineRule="auto"/>
        <w:rPr>
          <w:rFonts w:ascii="Arial" w:hAnsi="Arial" w:cs="Arial"/>
          <w:sz w:val="24"/>
          <w:szCs w:val="24"/>
        </w:rPr>
      </w:pPr>
      <w:r w:rsidRPr="00E91512">
        <w:rPr>
          <w:rFonts w:ascii="Arial" w:hAnsi="Arial" w:cs="Arial"/>
          <w:sz w:val="24"/>
          <w:szCs w:val="24"/>
        </w:rPr>
        <w:t>An example of Locards Exchange theory is evident in the case of The Phantom of Heilbronn in Germany which stemmed back from 1993. A serial killer was on the rampage, killing over 40 people</w:t>
      </w:r>
      <w:r w:rsidR="0034511B">
        <w:rPr>
          <w:rFonts w:ascii="Arial" w:hAnsi="Arial" w:cs="Arial"/>
          <w:sz w:val="24"/>
          <w:szCs w:val="24"/>
        </w:rPr>
        <w:t xml:space="preserve">, </w:t>
      </w:r>
      <w:r w:rsidRPr="00E91512">
        <w:rPr>
          <w:rFonts w:ascii="Arial" w:hAnsi="Arial" w:cs="Arial"/>
          <w:sz w:val="24"/>
          <w:szCs w:val="24"/>
        </w:rPr>
        <w:t xml:space="preserve">leaving DNA at the scene of each crime. The police spent years trying to find the killer but in 2009 investigators discovered the killer did not exist and the DNA was found to be linked to a worker in the factory that manufactured the swabs used at crime scenes. The factory worker was innocent, </w:t>
      </w:r>
      <w:r w:rsidR="00775CCB" w:rsidRPr="00E91512">
        <w:rPr>
          <w:rFonts w:ascii="Arial" w:hAnsi="Arial" w:cs="Arial"/>
          <w:sz w:val="24"/>
          <w:szCs w:val="24"/>
        </w:rPr>
        <w:t>but input</w:t>
      </w:r>
      <w:r w:rsidRPr="00E91512">
        <w:rPr>
          <w:rFonts w:ascii="Arial" w:hAnsi="Arial" w:cs="Arial"/>
          <w:sz w:val="24"/>
          <w:szCs w:val="24"/>
        </w:rPr>
        <w:t xml:space="preserve"> into the manufacturing process led to traces of DNA being on the swab which contaminated the DNA taken from the scene (</w:t>
      </w:r>
      <w:proofErr w:type="spellStart"/>
      <w:r w:rsidRPr="00E91512">
        <w:rPr>
          <w:rFonts w:ascii="Arial" w:hAnsi="Arial" w:cs="Arial"/>
          <w:sz w:val="24"/>
          <w:szCs w:val="24"/>
        </w:rPr>
        <w:t>Gasiorowski</w:t>
      </w:r>
      <w:proofErr w:type="spellEnd"/>
      <w:r w:rsidRPr="00E91512">
        <w:rPr>
          <w:rFonts w:ascii="Arial" w:hAnsi="Arial" w:cs="Arial"/>
          <w:sz w:val="24"/>
          <w:szCs w:val="24"/>
        </w:rPr>
        <w:t>- Dennis, 2016).</w:t>
      </w:r>
      <w:r w:rsidR="00477284">
        <w:rPr>
          <w:rFonts w:ascii="Arial" w:hAnsi="Arial" w:cs="Arial"/>
          <w:sz w:val="24"/>
          <w:szCs w:val="24"/>
        </w:rPr>
        <w:t xml:space="preserve"> </w:t>
      </w:r>
    </w:p>
    <w:p w14:paraId="51DB1336" w14:textId="77777777" w:rsidR="00744B53" w:rsidRPr="00E91512" w:rsidRDefault="00744B53" w:rsidP="00E91512">
      <w:pPr>
        <w:spacing w:line="480" w:lineRule="auto"/>
        <w:rPr>
          <w:rFonts w:ascii="Arial" w:hAnsi="Arial" w:cs="Arial"/>
          <w:sz w:val="24"/>
          <w:szCs w:val="24"/>
        </w:rPr>
      </w:pPr>
    </w:p>
    <w:p w14:paraId="2B0DDD85" w14:textId="3AC81FC4" w:rsidR="00744B53" w:rsidRPr="00E91512" w:rsidRDefault="00744B53" w:rsidP="00E91512">
      <w:pPr>
        <w:spacing w:line="480" w:lineRule="auto"/>
        <w:rPr>
          <w:rFonts w:ascii="Arial" w:hAnsi="Arial" w:cs="Arial"/>
          <w:sz w:val="24"/>
          <w:szCs w:val="24"/>
        </w:rPr>
      </w:pPr>
      <w:r w:rsidRPr="00E91512">
        <w:rPr>
          <w:rFonts w:ascii="Arial" w:hAnsi="Arial" w:cs="Arial"/>
          <w:sz w:val="24"/>
          <w:szCs w:val="24"/>
        </w:rPr>
        <w:t xml:space="preserve">Crime scenes are problematic and officers attending will be faced with many challenges. The First Attending Officer (FAO) will need to </w:t>
      </w:r>
      <w:r w:rsidR="00823FE4" w:rsidRPr="00823FE4">
        <w:rPr>
          <w:rFonts w:ascii="Arial" w:hAnsi="Arial" w:cs="Arial"/>
          <w:sz w:val="24"/>
          <w:szCs w:val="24"/>
        </w:rPr>
        <w:t>render</w:t>
      </w:r>
      <w:r w:rsidRPr="00823FE4">
        <w:rPr>
          <w:rFonts w:ascii="Arial" w:hAnsi="Arial" w:cs="Arial"/>
          <w:sz w:val="24"/>
          <w:szCs w:val="24"/>
        </w:rPr>
        <w:t xml:space="preserve"> </w:t>
      </w:r>
      <w:r w:rsidRPr="00E91512">
        <w:rPr>
          <w:rFonts w:ascii="Arial" w:hAnsi="Arial" w:cs="Arial"/>
          <w:sz w:val="24"/>
          <w:szCs w:val="24"/>
        </w:rPr>
        <w:t xml:space="preserve">on the spot decisions, some of which will be difficult to </w:t>
      </w:r>
      <w:r w:rsidR="00823FE4" w:rsidRPr="00823FE4">
        <w:rPr>
          <w:rFonts w:ascii="Arial" w:hAnsi="Arial" w:cs="Arial"/>
          <w:sz w:val="24"/>
          <w:szCs w:val="24"/>
        </w:rPr>
        <w:t>make</w:t>
      </w:r>
      <w:r w:rsidRPr="00823FE4">
        <w:rPr>
          <w:rFonts w:ascii="Arial" w:hAnsi="Arial" w:cs="Arial"/>
          <w:sz w:val="24"/>
          <w:szCs w:val="24"/>
        </w:rPr>
        <w:t xml:space="preserve"> </w:t>
      </w:r>
      <w:r w:rsidRPr="00E91512">
        <w:rPr>
          <w:rFonts w:ascii="Arial" w:hAnsi="Arial" w:cs="Arial"/>
          <w:sz w:val="24"/>
          <w:szCs w:val="24"/>
        </w:rPr>
        <w:t>(Bryant and Bryant, 2019, p</w:t>
      </w:r>
      <w:r w:rsidR="0034511B">
        <w:rPr>
          <w:rFonts w:ascii="Arial" w:hAnsi="Arial" w:cs="Arial"/>
          <w:sz w:val="24"/>
          <w:szCs w:val="24"/>
        </w:rPr>
        <w:t xml:space="preserve">. </w:t>
      </w:r>
      <w:r w:rsidRPr="00E91512">
        <w:rPr>
          <w:rFonts w:ascii="Arial" w:hAnsi="Arial" w:cs="Arial"/>
          <w:sz w:val="24"/>
          <w:szCs w:val="24"/>
        </w:rPr>
        <w:t>227). According to Bradbury (2005), research has shown that the FAO</w:t>
      </w:r>
      <w:r w:rsidR="0034511B">
        <w:rPr>
          <w:rFonts w:ascii="Arial" w:hAnsi="Arial" w:cs="Arial"/>
          <w:sz w:val="24"/>
          <w:szCs w:val="24"/>
        </w:rPr>
        <w:t>’s</w:t>
      </w:r>
      <w:r w:rsidRPr="00E91512">
        <w:rPr>
          <w:rFonts w:ascii="Arial" w:hAnsi="Arial" w:cs="Arial"/>
          <w:sz w:val="24"/>
          <w:szCs w:val="24"/>
        </w:rPr>
        <w:t xml:space="preserve"> discretion to send a Crime Scene Investigator to the scene has sometimes proved wrong due to their lack of awareness regarding forensics.</w:t>
      </w:r>
    </w:p>
    <w:p w14:paraId="3D3B0A28" w14:textId="77777777" w:rsidR="00744B53" w:rsidRPr="00E91512" w:rsidRDefault="00744B53" w:rsidP="00E91512">
      <w:pPr>
        <w:spacing w:line="480" w:lineRule="auto"/>
        <w:rPr>
          <w:rFonts w:ascii="Arial" w:hAnsi="Arial" w:cs="Arial"/>
          <w:sz w:val="24"/>
          <w:szCs w:val="24"/>
        </w:rPr>
      </w:pPr>
    </w:p>
    <w:p w14:paraId="4DF7F8BA" w14:textId="427FFEF5" w:rsidR="00744B53" w:rsidRPr="00E91512" w:rsidRDefault="00744B53" w:rsidP="00E91512">
      <w:pPr>
        <w:spacing w:line="480" w:lineRule="auto"/>
        <w:rPr>
          <w:rFonts w:ascii="Arial" w:hAnsi="Arial" w:cs="Arial"/>
          <w:sz w:val="24"/>
          <w:szCs w:val="24"/>
        </w:rPr>
      </w:pPr>
      <w:r w:rsidRPr="00E91512">
        <w:rPr>
          <w:rFonts w:ascii="Arial" w:hAnsi="Arial" w:cs="Arial"/>
          <w:sz w:val="24"/>
          <w:szCs w:val="24"/>
        </w:rPr>
        <w:t xml:space="preserve">The responsibility of the FAO at a crime scene is to firstly undertake a risk assessment of the scene to identify health and safety risks with the priority being to  preserve life if applicable, and secondly to preserve the integrity of the scene to minimize the risk of cross contamination (ENFSI, 2012). It is possible that medical </w:t>
      </w:r>
      <w:r w:rsidRPr="00E91512">
        <w:rPr>
          <w:rFonts w:ascii="Arial" w:hAnsi="Arial" w:cs="Arial"/>
          <w:sz w:val="24"/>
          <w:szCs w:val="24"/>
        </w:rPr>
        <w:lastRenderedPageBreak/>
        <w:t xml:space="preserve">intervention at a crime scene could be detrimental to the case but preserving life is always the </w:t>
      </w:r>
      <w:proofErr w:type="gramStart"/>
      <w:r w:rsidRPr="00E91512">
        <w:rPr>
          <w:rFonts w:ascii="Arial" w:hAnsi="Arial" w:cs="Arial"/>
          <w:sz w:val="24"/>
          <w:szCs w:val="24"/>
        </w:rPr>
        <w:t>first priority</w:t>
      </w:r>
      <w:proofErr w:type="gramEnd"/>
      <w:r w:rsidRPr="00E91512">
        <w:rPr>
          <w:rFonts w:ascii="Arial" w:hAnsi="Arial" w:cs="Arial"/>
          <w:sz w:val="24"/>
          <w:szCs w:val="24"/>
        </w:rPr>
        <w:t xml:space="preserve"> (</w:t>
      </w:r>
      <w:proofErr w:type="spellStart"/>
      <w:r w:rsidRPr="00E91512">
        <w:rPr>
          <w:rFonts w:ascii="Arial" w:hAnsi="Arial" w:cs="Arial"/>
          <w:sz w:val="24"/>
          <w:szCs w:val="24"/>
        </w:rPr>
        <w:t>Bendelow</w:t>
      </w:r>
      <w:proofErr w:type="spellEnd"/>
      <w:r w:rsidRPr="00E91512">
        <w:rPr>
          <w:rFonts w:ascii="Arial" w:hAnsi="Arial" w:cs="Arial"/>
          <w:sz w:val="24"/>
          <w:szCs w:val="24"/>
        </w:rPr>
        <w:t>, 2017, p</w:t>
      </w:r>
      <w:r w:rsidR="0034511B">
        <w:rPr>
          <w:rFonts w:ascii="Arial" w:hAnsi="Arial" w:cs="Arial"/>
          <w:sz w:val="24"/>
          <w:szCs w:val="24"/>
        </w:rPr>
        <w:t>.</w:t>
      </w:r>
      <w:r w:rsidRPr="00E91512">
        <w:rPr>
          <w:rFonts w:ascii="Arial" w:hAnsi="Arial" w:cs="Arial"/>
          <w:sz w:val="24"/>
          <w:szCs w:val="24"/>
        </w:rPr>
        <w:t xml:space="preserve"> 34).</w:t>
      </w:r>
    </w:p>
    <w:p w14:paraId="5EA34A75" w14:textId="77777777" w:rsidR="00744B53" w:rsidRPr="00E91512" w:rsidRDefault="00744B53" w:rsidP="00E91512">
      <w:pPr>
        <w:spacing w:line="480" w:lineRule="auto"/>
        <w:rPr>
          <w:rFonts w:ascii="Arial" w:hAnsi="Arial" w:cs="Arial"/>
          <w:sz w:val="24"/>
          <w:szCs w:val="24"/>
        </w:rPr>
      </w:pPr>
    </w:p>
    <w:p w14:paraId="3D0DE75D" w14:textId="5B42B9EE" w:rsidR="00744B53" w:rsidRPr="00E91512" w:rsidRDefault="00744B53" w:rsidP="00E91512">
      <w:pPr>
        <w:spacing w:line="480" w:lineRule="auto"/>
        <w:rPr>
          <w:rFonts w:ascii="Arial" w:hAnsi="Arial" w:cs="Arial"/>
          <w:sz w:val="24"/>
          <w:szCs w:val="24"/>
        </w:rPr>
      </w:pPr>
      <w:r w:rsidRPr="00E91512">
        <w:rPr>
          <w:rFonts w:ascii="Arial" w:hAnsi="Arial" w:cs="Arial"/>
          <w:sz w:val="24"/>
          <w:szCs w:val="24"/>
        </w:rPr>
        <w:t xml:space="preserve">To secure the scene the FAO will put cordons in place to stop people entering the crime scene which could potentially damage forensic evidence or lead to cross contamination (Harwell, </w:t>
      </w:r>
      <w:r w:rsidR="00715CAB" w:rsidRPr="00E91512">
        <w:rPr>
          <w:rFonts w:ascii="Arial" w:hAnsi="Arial" w:cs="Arial"/>
          <w:sz w:val="24"/>
          <w:szCs w:val="24"/>
        </w:rPr>
        <w:t>2004, p</w:t>
      </w:r>
      <w:r w:rsidR="0034511B">
        <w:rPr>
          <w:rFonts w:ascii="Arial" w:hAnsi="Arial" w:cs="Arial"/>
          <w:sz w:val="24"/>
          <w:szCs w:val="24"/>
        </w:rPr>
        <w:t xml:space="preserve">. </w:t>
      </w:r>
      <w:r w:rsidRPr="00E91512">
        <w:rPr>
          <w:rFonts w:ascii="Arial" w:hAnsi="Arial" w:cs="Arial"/>
          <w:sz w:val="24"/>
          <w:szCs w:val="24"/>
        </w:rPr>
        <w:t xml:space="preserve">371). There are typically two cordons used, an outer cordon to keep press and bystanders away and an inner cordon that secures the actual scene and evidence. By cordoning off the scene it gives the FAO more control and helps to enhance security of information from bystanders and media (College of Policing, 2013). </w:t>
      </w:r>
    </w:p>
    <w:p w14:paraId="09307986" w14:textId="77777777" w:rsidR="00744B53" w:rsidRPr="00E91512" w:rsidRDefault="00744B53" w:rsidP="00E91512">
      <w:pPr>
        <w:spacing w:line="480" w:lineRule="auto"/>
        <w:rPr>
          <w:rFonts w:ascii="Arial" w:hAnsi="Arial" w:cs="Arial"/>
          <w:sz w:val="24"/>
          <w:szCs w:val="24"/>
        </w:rPr>
      </w:pPr>
    </w:p>
    <w:p w14:paraId="5971B4EC" w14:textId="426111E4" w:rsidR="00744B53" w:rsidRPr="00E91512" w:rsidRDefault="00744B53" w:rsidP="00E91512">
      <w:pPr>
        <w:spacing w:line="480" w:lineRule="auto"/>
        <w:rPr>
          <w:rFonts w:ascii="Arial" w:hAnsi="Arial" w:cs="Arial"/>
          <w:sz w:val="24"/>
          <w:szCs w:val="24"/>
        </w:rPr>
      </w:pPr>
      <w:r w:rsidRPr="00E91512">
        <w:rPr>
          <w:rFonts w:ascii="Arial" w:hAnsi="Arial" w:cs="Arial"/>
          <w:sz w:val="24"/>
          <w:szCs w:val="24"/>
        </w:rPr>
        <w:t>As part of securing the scene the FAO will ensure all witnesses and potential suspects are away from the scene and any person accessing the scene is authori</w:t>
      </w:r>
      <w:r w:rsidR="0034511B">
        <w:rPr>
          <w:rFonts w:ascii="Arial" w:hAnsi="Arial" w:cs="Arial"/>
          <w:sz w:val="24"/>
          <w:szCs w:val="24"/>
        </w:rPr>
        <w:t>s</w:t>
      </w:r>
      <w:r w:rsidRPr="00E91512">
        <w:rPr>
          <w:rFonts w:ascii="Arial" w:hAnsi="Arial" w:cs="Arial"/>
          <w:sz w:val="24"/>
          <w:szCs w:val="24"/>
        </w:rPr>
        <w:t xml:space="preserve">ed personnel only. It is crucial that all people entering and leaving the crime scene are documented accurately using a Crime Scene Security log which records information such as the </w:t>
      </w:r>
      <w:r w:rsidR="00715CAB" w:rsidRPr="00E91512">
        <w:rPr>
          <w:rFonts w:ascii="Arial" w:hAnsi="Arial" w:cs="Arial"/>
          <w:sz w:val="24"/>
          <w:szCs w:val="24"/>
        </w:rPr>
        <w:t>person’s</w:t>
      </w:r>
      <w:r w:rsidRPr="00E91512">
        <w:rPr>
          <w:rFonts w:ascii="Arial" w:hAnsi="Arial" w:cs="Arial"/>
          <w:sz w:val="24"/>
          <w:szCs w:val="24"/>
        </w:rPr>
        <w:t xml:space="preserve"> name, why they are at the scene, the time they enter the scene and the time they </w:t>
      </w:r>
      <w:r w:rsidR="00715CAB" w:rsidRPr="00E91512">
        <w:rPr>
          <w:rFonts w:ascii="Arial" w:hAnsi="Arial" w:cs="Arial"/>
          <w:sz w:val="24"/>
          <w:szCs w:val="24"/>
        </w:rPr>
        <w:t>leave. This</w:t>
      </w:r>
      <w:r w:rsidRPr="00E91512">
        <w:rPr>
          <w:rFonts w:ascii="Arial" w:hAnsi="Arial" w:cs="Arial"/>
          <w:sz w:val="24"/>
          <w:szCs w:val="24"/>
        </w:rPr>
        <w:t xml:space="preserve"> information will be required should the case be brought to court so accurate recording of information is critical (College of policing,</w:t>
      </w:r>
      <w:r w:rsidR="0034511B">
        <w:rPr>
          <w:rFonts w:ascii="Arial" w:hAnsi="Arial" w:cs="Arial"/>
          <w:sz w:val="24"/>
          <w:szCs w:val="24"/>
        </w:rPr>
        <w:t xml:space="preserve"> </w:t>
      </w:r>
      <w:r w:rsidRPr="00E91512">
        <w:rPr>
          <w:rFonts w:ascii="Arial" w:hAnsi="Arial" w:cs="Arial"/>
          <w:sz w:val="24"/>
          <w:szCs w:val="24"/>
        </w:rPr>
        <w:t>2013). It is also good practice to sketch out the crime scene using a legend to identify items and evidence at the scene. This can be used to record evidence in relation to the scene, refresh investigators memory and help eliminate any confusions (Armenta, 2017).</w:t>
      </w:r>
    </w:p>
    <w:p w14:paraId="1C45EB3D" w14:textId="77777777" w:rsidR="00744B53" w:rsidRPr="00E91512" w:rsidRDefault="00744B53" w:rsidP="00E91512">
      <w:pPr>
        <w:spacing w:line="480" w:lineRule="auto"/>
        <w:rPr>
          <w:rFonts w:ascii="Arial" w:hAnsi="Arial" w:cs="Arial"/>
          <w:sz w:val="24"/>
          <w:szCs w:val="24"/>
        </w:rPr>
      </w:pPr>
    </w:p>
    <w:p w14:paraId="7A36AF47" w14:textId="6A612053" w:rsidR="00744B53" w:rsidRPr="00E91512" w:rsidRDefault="00744B53" w:rsidP="00E91512">
      <w:pPr>
        <w:spacing w:line="480" w:lineRule="auto"/>
        <w:rPr>
          <w:rFonts w:ascii="Arial" w:hAnsi="Arial" w:cs="Arial"/>
          <w:sz w:val="24"/>
          <w:szCs w:val="24"/>
        </w:rPr>
      </w:pPr>
      <w:r w:rsidRPr="00E91512">
        <w:rPr>
          <w:rFonts w:ascii="Arial" w:hAnsi="Arial" w:cs="Arial"/>
          <w:sz w:val="24"/>
          <w:szCs w:val="24"/>
        </w:rPr>
        <w:t>Although the scene is restricted to authori</w:t>
      </w:r>
      <w:r w:rsidR="0034511B">
        <w:rPr>
          <w:rFonts w:ascii="Arial" w:hAnsi="Arial" w:cs="Arial"/>
          <w:sz w:val="24"/>
          <w:szCs w:val="24"/>
        </w:rPr>
        <w:t>s</w:t>
      </w:r>
      <w:r w:rsidRPr="00E91512">
        <w:rPr>
          <w:rFonts w:ascii="Arial" w:hAnsi="Arial" w:cs="Arial"/>
          <w:sz w:val="24"/>
          <w:szCs w:val="24"/>
        </w:rPr>
        <w:t xml:space="preserve">ed people only, there is still opportunity for officers to leave a trace at the scene whilst they search for a perpetrator, despite </w:t>
      </w:r>
      <w:r w:rsidRPr="00E91512">
        <w:rPr>
          <w:rFonts w:ascii="Arial" w:hAnsi="Arial" w:cs="Arial"/>
          <w:sz w:val="24"/>
          <w:szCs w:val="24"/>
        </w:rPr>
        <w:lastRenderedPageBreak/>
        <w:t>officers limiting their touching of objects (Donofiro, 2000). According to Baldwin and May (2017), the more people that enter the crime scene the more chances of cross contamination occurring through trace materials on clothing, hair, fib</w:t>
      </w:r>
      <w:r w:rsidR="0034511B">
        <w:rPr>
          <w:rFonts w:ascii="Arial" w:hAnsi="Arial" w:cs="Arial"/>
          <w:sz w:val="24"/>
          <w:szCs w:val="24"/>
        </w:rPr>
        <w:t>re</w:t>
      </w:r>
      <w:r w:rsidRPr="00E91512">
        <w:rPr>
          <w:rFonts w:ascii="Arial" w:hAnsi="Arial" w:cs="Arial"/>
          <w:sz w:val="24"/>
          <w:szCs w:val="24"/>
        </w:rPr>
        <w:t xml:space="preserve"> and saliva as well as the possibility of destroying latent footprints. Special consideration needs to be paid to who was at the scene prior to the FAO attending, it could be paramedics assisting, witnesses or suspects who </w:t>
      </w:r>
      <w:r w:rsidR="0034511B">
        <w:rPr>
          <w:rFonts w:ascii="Arial" w:hAnsi="Arial" w:cs="Arial"/>
          <w:sz w:val="24"/>
          <w:szCs w:val="24"/>
        </w:rPr>
        <w:t xml:space="preserve">could potentially </w:t>
      </w:r>
      <w:r w:rsidRPr="00E91512">
        <w:rPr>
          <w:rFonts w:ascii="Arial" w:hAnsi="Arial" w:cs="Arial"/>
          <w:sz w:val="24"/>
          <w:szCs w:val="24"/>
        </w:rPr>
        <w:t>tamper with the evidence (Gehl and Plecas, 2017).</w:t>
      </w:r>
    </w:p>
    <w:p w14:paraId="589C0347" w14:textId="77777777" w:rsidR="00744B53" w:rsidRPr="00E91512" w:rsidRDefault="00744B53" w:rsidP="00E91512">
      <w:pPr>
        <w:spacing w:line="480" w:lineRule="auto"/>
        <w:rPr>
          <w:rFonts w:ascii="Arial" w:hAnsi="Arial" w:cs="Arial"/>
          <w:sz w:val="24"/>
          <w:szCs w:val="24"/>
        </w:rPr>
      </w:pPr>
    </w:p>
    <w:p w14:paraId="1EEF2610" w14:textId="2B220711" w:rsidR="00744B53" w:rsidRPr="00E91512" w:rsidRDefault="00744B53" w:rsidP="00E91512">
      <w:pPr>
        <w:spacing w:line="480" w:lineRule="auto"/>
        <w:rPr>
          <w:rFonts w:ascii="Arial" w:hAnsi="Arial" w:cs="Arial"/>
          <w:sz w:val="24"/>
          <w:szCs w:val="24"/>
        </w:rPr>
      </w:pPr>
      <w:r w:rsidRPr="00E91512">
        <w:rPr>
          <w:rFonts w:ascii="Arial" w:hAnsi="Arial" w:cs="Arial"/>
          <w:sz w:val="24"/>
          <w:szCs w:val="24"/>
        </w:rPr>
        <w:t xml:space="preserve">An example of cross contamination is evident in the case of Lukis Anderson who was wrongfully imprisoned for murder after his DNA was found at the crime scene. Raveesh Kumra’s body was found at the </w:t>
      </w:r>
      <w:r w:rsidR="00715CAB" w:rsidRPr="00E91512">
        <w:rPr>
          <w:rFonts w:ascii="Arial" w:hAnsi="Arial" w:cs="Arial"/>
          <w:sz w:val="24"/>
          <w:szCs w:val="24"/>
        </w:rPr>
        <w:t>millionaire’s</w:t>
      </w:r>
      <w:r w:rsidRPr="00E91512">
        <w:rPr>
          <w:rFonts w:ascii="Arial" w:hAnsi="Arial" w:cs="Arial"/>
          <w:sz w:val="24"/>
          <w:szCs w:val="24"/>
        </w:rPr>
        <w:t xml:space="preserve"> mansion along with his wife who had been badly beaten but survived.  DNA taken from the fingernails of Raveesh Kumra matched that of Lukis </w:t>
      </w:r>
      <w:r w:rsidR="00715CAB" w:rsidRPr="00E91512">
        <w:rPr>
          <w:rFonts w:ascii="Arial" w:hAnsi="Arial" w:cs="Arial"/>
          <w:sz w:val="24"/>
          <w:szCs w:val="24"/>
        </w:rPr>
        <w:t>Anderson,</w:t>
      </w:r>
      <w:r w:rsidRPr="00E91512">
        <w:rPr>
          <w:rFonts w:ascii="Arial" w:hAnsi="Arial" w:cs="Arial"/>
          <w:sz w:val="24"/>
          <w:szCs w:val="24"/>
        </w:rPr>
        <w:t xml:space="preserve"> but it was impossible that he had committed the crime as he was in hospital when the crime took place. Lukis Anderson had earlier been admitted to hospital by ambulance. The same paramedics moved both Kumra and Anderson resulting in a transference of DNA due to the paramedics not washing themselves down properly. Anderson was released after serving 5 months in prison for a crime he did not commit (Chinn,</w:t>
      </w:r>
      <w:r w:rsidR="0034511B">
        <w:rPr>
          <w:rFonts w:ascii="Arial" w:hAnsi="Arial" w:cs="Arial"/>
          <w:sz w:val="24"/>
          <w:szCs w:val="24"/>
        </w:rPr>
        <w:t xml:space="preserve"> </w:t>
      </w:r>
      <w:r w:rsidRPr="00E91512">
        <w:rPr>
          <w:rFonts w:ascii="Arial" w:hAnsi="Arial" w:cs="Arial"/>
          <w:sz w:val="24"/>
          <w:szCs w:val="24"/>
        </w:rPr>
        <w:t xml:space="preserve">2013). </w:t>
      </w:r>
    </w:p>
    <w:p w14:paraId="7112ACEE" w14:textId="77777777" w:rsidR="00744B53" w:rsidRPr="00E91512" w:rsidRDefault="00744B53" w:rsidP="00E91512">
      <w:pPr>
        <w:spacing w:line="480" w:lineRule="auto"/>
        <w:rPr>
          <w:rFonts w:ascii="Arial" w:hAnsi="Arial" w:cs="Arial"/>
          <w:sz w:val="24"/>
          <w:szCs w:val="24"/>
        </w:rPr>
      </w:pPr>
    </w:p>
    <w:p w14:paraId="5794039C" w14:textId="50809E08" w:rsidR="00744B53" w:rsidRPr="00E91512" w:rsidRDefault="00744B53" w:rsidP="00E91512">
      <w:pPr>
        <w:spacing w:line="480" w:lineRule="auto"/>
        <w:rPr>
          <w:rFonts w:ascii="Arial" w:hAnsi="Arial" w:cs="Arial"/>
          <w:sz w:val="24"/>
          <w:szCs w:val="24"/>
        </w:rPr>
      </w:pPr>
      <w:r w:rsidRPr="00E91512">
        <w:rPr>
          <w:rFonts w:ascii="Arial" w:hAnsi="Arial" w:cs="Arial"/>
          <w:sz w:val="24"/>
          <w:szCs w:val="24"/>
        </w:rPr>
        <w:t>Another consideration for the FAO is the challenges faced with preserving the scene. Inside scenes are often less challenging to secure due to there being a structure to pro</w:t>
      </w:r>
      <w:r w:rsidR="0034511B">
        <w:rPr>
          <w:rFonts w:ascii="Arial" w:hAnsi="Arial" w:cs="Arial"/>
          <w:sz w:val="24"/>
          <w:szCs w:val="24"/>
        </w:rPr>
        <w:t>vide protection</w:t>
      </w:r>
      <w:r w:rsidRPr="00E91512">
        <w:rPr>
          <w:rFonts w:ascii="Arial" w:hAnsi="Arial" w:cs="Arial"/>
          <w:sz w:val="24"/>
          <w:szCs w:val="24"/>
        </w:rPr>
        <w:t xml:space="preserve"> but outside scenes are more problematic. Outdoor scenes are more vulnerable to contamination due to environmental factors and weather. Rain, sun, </w:t>
      </w:r>
      <w:proofErr w:type="gramStart"/>
      <w:r w:rsidRPr="00E91512">
        <w:rPr>
          <w:rFonts w:ascii="Arial" w:hAnsi="Arial" w:cs="Arial"/>
          <w:sz w:val="24"/>
          <w:szCs w:val="24"/>
        </w:rPr>
        <w:t>heat</w:t>
      </w:r>
      <w:proofErr w:type="gramEnd"/>
      <w:r w:rsidRPr="00E91512">
        <w:rPr>
          <w:rFonts w:ascii="Arial" w:hAnsi="Arial" w:cs="Arial"/>
          <w:sz w:val="24"/>
          <w:szCs w:val="24"/>
        </w:rPr>
        <w:t xml:space="preserve"> and wind all impact on the likelihood of securing the evidence so it’s the </w:t>
      </w:r>
      <w:r w:rsidRPr="00E91512">
        <w:rPr>
          <w:rFonts w:ascii="Arial" w:hAnsi="Arial" w:cs="Arial"/>
          <w:sz w:val="24"/>
          <w:szCs w:val="24"/>
        </w:rPr>
        <w:lastRenderedPageBreak/>
        <w:t>FAO’s responsibility to take positive action to preserve the evidence. An example of this would be in the circumstances of a murder scene where blood spatters are on the ground. If it started to rain the blood would be washed away so it is the FAO’s responsibility to use fast track actions such as covering the area with a bin or a plastic bag to preserve the evidence (ENFSI, 2012).  In order to successfully preserve an outdoor scene more resources such as police officers, police cars</w:t>
      </w:r>
      <w:r w:rsidR="002103E6">
        <w:rPr>
          <w:rFonts w:ascii="Arial" w:hAnsi="Arial" w:cs="Arial"/>
          <w:sz w:val="24"/>
          <w:szCs w:val="24"/>
        </w:rPr>
        <w:t xml:space="preserve"> and</w:t>
      </w:r>
      <w:r w:rsidRPr="00E91512">
        <w:rPr>
          <w:rFonts w:ascii="Arial" w:hAnsi="Arial" w:cs="Arial"/>
          <w:sz w:val="24"/>
          <w:szCs w:val="24"/>
        </w:rPr>
        <w:t xml:space="preserve"> cordons may be needed but with shortages of police officers and staff this may not always be </w:t>
      </w:r>
      <w:r w:rsidR="002103E6">
        <w:rPr>
          <w:rFonts w:ascii="Arial" w:hAnsi="Arial" w:cs="Arial"/>
          <w:sz w:val="24"/>
          <w:szCs w:val="24"/>
        </w:rPr>
        <w:t>achievable</w:t>
      </w:r>
      <w:r w:rsidRPr="00E91512">
        <w:rPr>
          <w:rFonts w:ascii="Arial" w:hAnsi="Arial" w:cs="Arial"/>
          <w:sz w:val="24"/>
          <w:szCs w:val="24"/>
        </w:rPr>
        <w:t xml:space="preserve"> which could lead to cross contamination at the scene (Institute for Government, 2019).</w:t>
      </w:r>
    </w:p>
    <w:p w14:paraId="169BBD34" w14:textId="77777777" w:rsidR="00744B53" w:rsidRPr="00E91512" w:rsidRDefault="00744B53" w:rsidP="00E91512">
      <w:pPr>
        <w:spacing w:line="480" w:lineRule="auto"/>
        <w:rPr>
          <w:rFonts w:ascii="Arial" w:hAnsi="Arial" w:cs="Arial"/>
          <w:sz w:val="24"/>
          <w:szCs w:val="24"/>
        </w:rPr>
      </w:pPr>
    </w:p>
    <w:p w14:paraId="645B62AB" w14:textId="0F3B0BBF" w:rsidR="00744B53" w:rsidRPr="00E91512" w:rsidRDefault="00744B53" w:rsidP="00E91512">
      <w:pPr>
        <w:spacing w:line="480" w:lineRule="auto"/>
        <w:rPr>
          <w:rFonts w:ascii="Arial" w:hAnsi="Arial" w:cs="Arial"/>
          <w:sz w:val="24"/>
          <w:szCs w:val="24"/>
        </w:rPr>
      </w:pPr>
      <w:r w:rsidRPr="00E91512">
        <w:rPr>
          <w:rFonts w:ascii="Arial" w:hAnsi="Arial" w:cs="Arial"/>
          <w:sz w:val="24"/>
          <w:szCs w:val="24"/>
        </w:rPr>
        <w:t xml:space="preserve">As well as physical crime scenes it is important to recognise when a person is a crime scene be it victim or suspect. In this case the FAO needs to ensure the person is identified, </w:t>
      </w:r>
      <w:proofErr w:type="gramStart"/>
      <w:r w:rsidRPr="00E91512">
        <w:rPr>
          <w:rFonts w:ascii="Arial" w:hAnsi="Arial" w:cs="Arial"/>
          <w:sz w:val="24"/>
          <w:szCs w:val="24"/>
        </w:rPr>
        <w:t>secured</w:t>
      </w:r>
      <w:proofErr w:type="gramEnd"/>
      <w:r w:rsidRPr="00E91512">
        <w:rPr>
          <w:rFonts w:ascii="Arial" w:hAnsi="Arial" w:cs="Arial"/>
          <w:sz w:val="24"/>
          <w:szCs w:val="24"/>
        </w:rPr>
        <w:t xml:space="preserve"> and remains present. The FAO also needs to ensure the person refrain from eating, </w:t>
      </w:r>
      <w:proofErr w:type="gramStart"/>
      <w:r w:rsidRPr="00E91512">
        <w:rPr>
          <w:rFonts w:ascii="Arial" w:hAnsi="Arial" w:cs="Arial"/>
          <w:sz w:val="24"/>
          <w:szCs w:val="24"/>
        </w:rPr>
        <w:t>drinking</w:t>
      </w:r>
      <w:proofErr w:type="gramEnd"/>
      <w:r w:rsidRPr="00E91512">
        <w:rPr>
          <w:rFonts w:ascii="Arial" w:hAnsi="Arial" w:cs="Arial"/>
          <w:sz w:val="24"/>
          <w:szCs w:val="24"/>
        </w:rPr>
        <w:t xml:space="preserve"> and washing until the appropriate swabs have been taken (</w:t>
      </w:r>
      <w:proofErr w:type="spellStart"/>
      <w:r w:rsidRPr="00E91512">
        <w:rPr>
          <w:rFonts w:ascii="Arial" w:hAnsi="Arial" w:cs="Arial"/>
          <w:sz w:val="24"/>
          <w:szCs w:val="24"/>
        </w:rPr>
        <w:t>Bendelow</w:t>
      </w:r>
      <w:proofErr w:type="spellEnd"/>
      <w:r w:rsidRPr="00E91512">
        <w:rPr>
          <w:rFonts w:ascii="Arial" w:hAnsi="Arial" w:cs="Arial"/>
          <w:sz w:val="24"/>
          <w:szCs w:val="24"/>
        </w:rPr>
        <w:t>, 2017, p</w:t>
      </w:r>
      <w:r w:rsidR="002103E6">
        <w:rPr>
          <w:rFonts w:ascii="Arial" w:hAnsi="Arial" w:cs="Arial"/>
          <w:sz w:val="24"/>
          <w:szCs w:val="24"/>
        </w:rPr>
        <w:t>.</w:t>
      </w:r>
      <w:r w:rsidRPr="00E91512">
        <w:rPr>
          <w:rFonts w:ascii="Arial" w:hAnsi="Arial" w:cs="Arial"/>
          <w:sz w:val="24"/>
          <w:szCs w:val="24"/>
        </w:rPr>
        <w:t xml:space="preserve"> 41). </w:t>
      </w:r>
    </w:p>
    <w:p w14:paraId="20E522A6" w14:textId="77777777" w:rsidR="00744B53" w:rsidRPr="00E91512" w:rsidRDefault="00744B53" w:rsidP="00E91512">
      <w:pPr>
        <w:spacing w:line="480" w:lineRule="auto"/>
        <w:rPr>
          <w:rFonts w:ascii="Arial" w:hAnsi="Arial" w:cs="Arial"/>
          <w:sz w:val="24"/>
          <w:szCs w:val="24"/>
        </w:rPr>
      </w:pPr>
    </w:p>
    <w:p w14:paraId="116EFCB2" w14:textId="017A9E02" w:rsidR="00744B53" w:rsidRPr="00E91512" w:rsidRDefault="00744B53" w:rsidP="00E91512">
      <w:pPr>
        <w:spacing w:line="480" w:lineRule="auto"/>
        <w:rPr>
          <w:rFonts w:ascii="Arial" w:hAnsi="Arial" w:cs="Arial"/>
          <w:sz w:val="24"/>
          <w:szCs w:val="24"/>
        </w:rPr>
      </w:pPr>
      <w:r w:rsidRPr="00E91512">
        <w:rPr>
          <w:rFonts w:ascii="Arial" w:hAnsi="Arial" w:cs="Arial"/>
          <w:sz w:val="24"/>
          <w:szCs w:val="24"/>
        </w:rPr>
        <w:t xml:space="preserve">The golden hour is a term used for the immediate time after a crime has been committed. This is when critical evidence can be secured at the scene by the FAO. </w:t>
      </w:r>
      <w:proofErr w:type="gramStart"/>
      <w:r w:rsidRPr="00E91512">
        <w:rPr>
          <w:rFonts w:ascii="Arial" w:hAnsi="Arial" w:cs="Arial"/>
          <w:sz w:val="24"/>
          <w:szCs w:val="24"/>
        </w:rPr>
        <w:t>In order for</w:t>
      </w:r>
      <w:proofErr w:type="gramEnd"/>
      <w:r w:rsidRPr="00E91512">
        <w:rPr>
          <w:rFonts w:ascii="Arial" w:hAnsi="Arial" w:cs="Arial"/>
          <w:sz w:val="24"/>
          <w:szCs w:val="24"/>
        </w:rPr>
        <w:t xml:space="preserve"> the FAO to secure the most conclusive evidence available he/she needs to take fast track actions to identify the most important information and evidence that is crucial to the case. Identifying these actions at the beginning of the investigation enhances the possibility of the case being a successful one (College of Policing,2013). Whilst establishing these actions it is poignant that the FAO follows best practice to avoid contaminating the scene which include</w:t>
      </w:r>
      <w:r w:rsidR="002103E6">
        <w:rPr>
          <w:rFonts w:ascii="Arial" w:hAnsi="Arial" w:cs="Arial"/>
          <w:sz w:val="24"/>
          <w:szCs w:val="24"/>
        </w:rPr>
        <w:t>s</w:t>
      </w:r>
      <w:r w:rsidRPr="00E91512">
        <w:rPr>
          <w:rFonts w:ascii="Arial" w:hAnsi="Arial" w:cs="Arial"/>
          <w:sz w:val="24"/>
          <w:szCs w:val="24"/>
        </w:rPr>
        <w:t xml:space="preserve"> wearing personal </w:t>
      </w:r>
      <w:r w:rsidRPr="00E91512">
        <w:rPr>
          <w:rFonts w:ascii="Arial" w:hAnsi="Arial" w:cs="Arial"/>
          <w:sz w:val="24"/>
          <w:szCs w:val="24"/>
        </w:rPr>
        <w:lastRenderedPageBreak/>
        <w:t xml:space="preserve">protective </w:t>
      </w:r>
      <w:r w:rsidR="002103E6">
        <w:rPr>
          <w:rFonts w:ascii="Arial" w:hAnsi="Arial" w:cs="Arial"/>
          <w:sz w:val="24"/>
          <w:szCs w:val="24"/>
        </w:rPr>
        <w:t>equipment</w:t>
      </w:r>
      <w:r w:rsidRPr="00E91512">
        <w:rPr>
          <w:rFonts w:ascii="Arial" w:hAnsi="Arial" w:cs="Arial"/>
          <w:sz w:val="24"/>
          <w:szCs w:val="24"/>
        </w:rPr>
        <w:t xml:space="preserve"> (PPE) such as gloves and shoe coverings, only touch things if it is a necessity and only allow essential workers at the scene (UNODC, 2009).</w:t>
      </w:r>
    </w:p>
    <w:p w14:paraId="052A8969" w14:textId="1CBA90B7" w:rsidR="00744B53" w:rsidRPr="00E91512" w:rsidRDefault="00744B53" w:rsidP="00E91512">
      <w:pPr>
        <w:spacing w:line="480" w:lineRule="auto"/>
        <w:rPr>
          <w:rFonts w:ascii="Arial" w:hAnsi="Arial" w:cs="Arial"/>
          <w:sz w:val="24"/>
          <w:szCs w:val="24"/>
        </w:rPr>
      </w:pPr>
      <w:r w:rsidRPr="00E91512">
        <w:rPr>
          <w:rFonts w:ascii="Arial" w:hAnsi="Arial" w:cs="Arial"/>
          <w:sz w:val="24"/>
          <w:szCs w:val="24"/>
        </w:rPr>
        <w:t xml:space="preserve">Although strong measures are put in place to limit the cross contamination at a </w:t>
      </w:r>
      <w:r w:rsidR="002103E6">
        <w:rPr>
          <w:rFonts w:ascii="Arial" w:hAnsi="Arial" w:cs="Arial"/>
          <w:sz w:val="24"/>
          <w:szCs w:val="24"/>
        </w:rPr>
        <w:t xml:space="preserve">crime </w:t>
      </w:r>
      <w:r w:rsidRPr="00E91512">
        <w:rPr>
          <w:rFonts w:ascii="Arial" w:hAnsi="Arial" w:cs="Arial"/>
          <w:sz w:val="24"/>
          <w:szCs w:val="24"/>
        </w:rPr>
        <w:t>scene it is evident that the complexities surrounding scene management make it a challenge. According to Gehl and Plecas (2017)</w:t>
      </w:r>
      <w:r w:rsidR="002103E6">
        <w:rPr>
          <w:rFonts w:ascii="Arial" w:hAnsi="Arial" w:cs="Arial"/>
          <w:sz w:val="24"/>
          <w:szCs w:val="24"/>
        </w:rPr>
        <w:t>,</w:t>
      </w:r>
      <w:r w:rsidRPr="00E91512">
        <w:rPr>
          <w:rFonts w:ascii="Arial" w:hAnsi="Arial" w:cs="Arial"/>
          <w:sz w:val="24"/>
          <w:szCs w:val="24"/>
        </w:rPr>
        <w:t xml:space="preserve"> every scene will have some form of contamination, </w:t>
      </w:r>
      <w:proofErr w:type="gramStart"/>
      <w:r w:rsidRPr="00E91512">
        <w:rPr>
          <w:rFonts w:ascii="Arial" w:hAnsi="Arial" w:cs="Arial"/>
          <w:sz w:val="24"/>
          <w:szCs w:val="24"/>
        </w:rPr>
        <w:t>it’s</w:t>
      </w:r>
      <w:proofErr w:type="gramEnd"/>
      <w:r w:rsidRPr="00E91512">
        <w:rPr>
          <w:rFonts w:ascii="Arial" w:hAnsi="Arial" w:cs="Arial"/>
          <w:sz w:val="24"/>
          <w:szCs w:val="24"/>
        </w:rPr>
        <w:t xml:space="preserve"> up to the people managing the scene to ensure all activity is recorded accurately to capture forensic evidence.</w:t>
      </w:r>
    </w:p>
    <w:p w14:paraId="4BE62E37" w14:textId="77777777" w:rsidR="00744B53" w:rsidRPr="00E91512" w:rsidRDefault="00744B53" w:rsidP="00E91512">
      <w:pPr>
        <w:spacing w:line="480" w:lineRule="auto"/>
        <w:rPr>
          <w:rFonts w:ascii="Arial" w:hAnsi="Arial" w:cs="Arial"/>
          <w:sz w:val="24"/>
          <w:szCs w:val="24"/>
        </w:rPr>
      </w:pPr>
    </w:p>
    <w:p w14:paraId="5887C47D" w14:textId="77777777" w:rsidR="00744B53" w:rsidRPr="00E91512" w:rsidRDefault="00744B53" w:rsidP="00E91512">
      <w:pPr>
        <w:spacing w:line="480" w:lineRule="auto"/>
        <w:rPr>
          <w:rFonts w:ascii="Arial" w:hAnsi="Arial" w:cs="Arial"/>
          <w:sz w:val="24"/>
          <w:szCs w:val="24"/>
        </w:rPr>
      </w:pPr>
    </w:p>
    <w:p w14:paraId="6B89E319" w14:textId="77777777" w:rsidR="00744B53" w:rsidRPr="00E91512" w:rsidRDefault="00744B53" w:rsidP="00E91512">
      <w:pPr>
        <w:spacing w:line="480" w:lineRule="auto"/>
        <w:rPr>
          <w:rFonts w:ascii="Arial" w:hAnsi="Arial" w:cs="Arial"/>
          <w:b/>
          <w:bCs/>
          <w:sz w:val="24"/>
          <w:szCs w:val="24"/>
          <w:u w:val="single"/>
        </w:rPr>
      </w:pPr>
      <w:r w:rsidRPr="00E91512">
        <w:rPr>
          <w:rFonts w:ascii="Arial" w:hAnsi="Arial" w:cs="Arial"/>
          <w:b/>
          <w:bCs/>
          <w:sz w:val="24"/>
          <w:szCs w:val="24"/>
          <w:u w:val="single"/>
        </w:rPr>
        <w:t>REFERENCES</w:t>
      </w:r>
    </w:p>
    <w:p w14:paraId="23DA214E" w14:textId="77777777" w:rsidR="00744B53" w:rsidRPr="00E91512" w:rsidRDefault="00744B53" w:rsidP="00E91512">
      <w:pPr>
        <w:spacing w:line="480" w:lineRule="auto"/>
        <w:rPr>
          <w:rFonts w:ascii="Arial" w:hAnsi="Arial" w:cs="Arial"/>
          <w:sz w:val="24"/>
          <w:szCs w:val="24"/>
        </w:rPr>
      </w:pPr>
    </w:p>
    <w:p w14:paraId="00D30426" w14:textId="49FB2792" w:rsidR="00744B53" w:rsidRDefault="00744B53" w:rsidP="00E91512">
      <w:pPr>
        <w:spacing w:line="480" w:lineRule="auto"/>
        <w:rPr>
          <w:rFonts w:ascii="Arial" w:hAnsi="Arial" w:cs="Arial"/>
          <w:sz w:val="24"/>
          <w:szCs w:val="24"/>
        </w:rPr>
      </w:pPr>
      <w:r w:rsidRPr="00E91512">
        <w:rPr>
          <w:rFonts w:ascii="Arial" w:hAnsi="Arial" w:cs="Arial"/>
          <w:sz w:val="24"/>
          <w:szCs w:val="24"/>
        </w:rPr>
        <w:t xml:space="preserve">Armenta, T (2017) Why crime scene sketches are so important. Available at: </w:t>
      </w:r>
      <w:hyperlink r:id="rId7" w:history="1">
        <w:r w:rsidRPr="00E91512">
          <w:rPr>
            <w:rStyle w:val="Hyperlink"/>
            <w:rFonts w:ascii="Arial" w:hAnsi="Arial" w:cs="Arial"/>
            <w:sz w:val="24"/>
            <w:szCs w:val="24"/>
          </w:rPr>
          <w:t>https://forensictrainingunlimited.teachable.com/blog/10220/crime-scene-sketches</w:t>
        </w:r>
      </w:hyperlink>
      <w:r w:rsidRPr="00E91512">
        <w:rPr>
          <w:rFonts w:ascii="Arial" w:hAnsi="Arial" w:cs="Arial"/>
          <w:sz w:val="24"/>
          <w:szCs w:val="24"/>
        </w:rPr>
        <w:t xml:space="preserve"> Accessed on: 19 October 2020 </w:t>
      </w:r>
    </w:p>
    <w:p w14:paraId="4329F1A4" w14:textId="77777777" w:rsidR="009331CE" w:rsidRPr="00E91512" w:rsidRDefault="009331CE" w:rsidP="00E91512">
      <w:pPr>
        <w:spacing w:line="480" w:lineRule="auto"/>
        <w:rPr>
          <w:rFonts w:ascii="Arial" w:hAnsi="Arial" w:cs="Arial"/>
          <w:sz w:val="24"/>
          <w:szCs w:val="24"/>
        </w:rPr>
      </w:pPr>
    </w:p>
    <w:p w14:paraId="3A52D72F" w14:textId="1DB46FB2" w:rsidR="00744B53" w:rsidRDefault="00744B53" w:rsidP="00E91512">
      <w:pPr>
        <w:spacing w:line="480" w:lineRule="auto"/>
        <w:rPr>
          <w:rFonts w:ascii="Arial" w:hAnsi="Arial" w:cs="Arial"/>
          <w:sz w:val="24"/>
          <w:szCs w:val="24"/>
        </w:rPr>
      </w:pPr>
      <w:r w:rsidRPr="00E91512">
        <w:rPr>
          <w:rFonts w:ascii="Arial" w:hAnsi="Arial" w:cs="Arial"/>
          <w:sz w:val="24"/>
          <w:szCs w:val="24"/>
        </w:rPr>
        <w:t xml:space="preserve">Bendelow, K (2017 The real CSI. A forensic handbook for crime writers. </w:t>
      </w:r>
      <w:r w:rsidR="009331CE" w:rsidRPr="00E91512">
        <w:rPr>
          <w:rFonts w:ascii="Arial" w:hAnsi="Arial" w:cs="Arial"/>
          <w:sz w:val="24"/>
          <w:szCs w:val="24"/>
        </w:rPr>
        <w:t>W</w:t>
      </w:r>
      <w:r w:rsidR="009331CE">
        <w:rPr>
          <w:rFonts w:ascii="Arial" w:hAnsi="Arial" w:cs="Arial"/>
          <w:sz w:val="24"/>
          <w:szCs w:val="24"/>
        </w:rPr>
        <w:t>i</w:t>
      </w:r>
      <w:r w:rsidR="009331CE" w:rsidRPr="00E91512">
        <w:rPr>
          <w:rFonts w:ascii="Arial" w:hAnsi="Arial" w:cs="Arial"/>
          <w:sz w:val="24"/>
          <w:szCs w:val="24"/>
        </w:rPr>
        <w:t>ltshire</w:t>
      </w:r>
      <w:r w:rsidR="009331CE">
        <w:rPr>
          <w:rFonts w:ascii="Arial" w:hAnsi="Arial" w:cs="Arial"/>
          <w:sz w:val="24"/>
          <w:szCs w:val="24"/>
        </w:rPr>
        <w:t xml:space="preserve">. </w:t>
      </w:r>
      <w:r w:rsidRPr="00E91512">
        <w:rPr>
          <w:rFonts w:ascii="Arial" w:hAnsi="Arial" w:cs="Arial"/>
          <w:sz w:val="24"/>
          <w:szCs w:val="24"/>
        </w:rPr>
        <w:t xml:space="preserve">The </w:t>
      </w:r>
      <w:proofErr w:type="spellStart"/>
      <w:r w:rsidRPr="00E91512">
        <w:rPr>
          <w:rFonts w:ascii="Arial" w:hAnsi="Arial" w:cs="Arial"/>
          <w:sz w:val="24"/>
          <w:szCs w:val="24"/>
        </w:rPr>
        <w:t>Crowood</w:t>
      </w:r>
      <w:proofErr w:type="spellEnd"/>
      <w:r w:rsidRPr="00E91512">
        <w:rPr>
          <w:rFonts w:ascii="Arial" w:hAnsi="Arial" w:cs="Arial"/>
          <w:sz w:val="24"/>
          <w:szCs w:val="24"/>
        </w:rPr>
        <w:t xml:space="preserve"> Press Ltd</w:t>
      </w:r>
    </w:p>
    <w:p w14:paraId="2E2DC101" w14:textId="77777777" w:rsidR="009331CE" w:rsidRPr="00E91512" w:rsidRDefault="009331CE" w:rsidP="00E91512">
      <w:pPr>
        <w:spacing w:line="480" w:lineRule="auto"/>
        <w:rPr>
          <w:rFonts w:ascii="Arial" w:hAnsi="Arial" w:cs="Arial"/>
          <w:sz w:val="24"/>
          <w:szCs w:val="24"/>
        </w:rPr>
      </w:pPr>
    </w:p>
    <w:p w14:paraId="1715F474" w14:textId="2C5205D4" w:rsidR="00744B53" w:rsidRDefault="00744B53" w:rsidP="00E91512">
      <w:pPr>
        <w:spacing w:line="480" w:lineRule="auto"/>
        <w:rPr>
          <w:rFonts w:ascii="Arial" w:hAnsi="Arial" w:cs="Arial"/>
          <w:sz w:val="24"/>
          <w:szCs w:val="24"/>
        </w:rPr>
      </w:pPr>
      <w:r w:rsidRPr="00E91512">
        <w:rPr>
          <w:rFonts w:ascii="Arial" w:hAnsi="Arial" w:cs="Arial"/>
          <w:sz w:val="24"/>
          <w:szCs w:val="24"/>
        </w:rPr>
        <w:t xml:space="preserve">Baldwin H, May C (2017) Crime Scene Contamination Issues. Available at: </w:t>
      </w:r>
      <w:hyperlink r:id="rId8" w:history="1">
        <w:r w:rsidRPr="00E91512">
          <w:rPr>
            <w:rStyle w:val="Hyperlink"/>
            <w:rFonts w:ascii="Arial" w:hAnsi="Arial" w:cs="Arial"/>
            <w:sz w:val="24"/>
            <w:szCs w:val="24"/>
          </w:rPr>
          <w:t>https://www.crime-scene-investigator.net/crime-scene-contamination-issues.html</w:t>
        </w:r>
      </w:hyperlink>
      <w:r w:rsidRPr="00E91512">
        <w:rPr>
          <w:rFonts w:ascii="Arial" w:hAnsi="Arial" w:cs="Arial"/>
          <w:sz w:val="24"/>
          <w:szCs w:val="24"/>
        </w:rPr>
        <w:t xml:space="preserve"> Accessed on: 16 October 2020 </w:t>
      </w:r>
    </w:p>
    <w:p w14:paraId="61B64DE9" w14:textId="77777777" w:rsidR="009331CE" w:rsidRPr="00E91512" w:rsidRDefault="009331CE" w:rsidP="00E91512">
      <w:pPr>
        <w:spacing w:line="480" w:lineRule="auto"/>
        <w:rPr>
          <w:rFonts w:ascii="Arial" w:hAnsi="Arial" w:cs="Arial"/>
          <w:sz w:val="24"/>
          <w:szCs w:val="24"/>
        </w:rPr>
      </w:pPr>
    </w:p>
    <w:p w14:paraId="404FC4EE" w14:textId="77777777" w:rsidR="00744B53" w:rsidRPr="00E91512" w:rsidRDefault="00744B53" w:rsidP="00E91512">
      <w:pPr>
        <w:spacing w:line="480" w:lineRule="auto"/>
        <w:rPr>
          <w:rFonts w:ascii="Arial" w:hAnsi="Arial" w:cs="Arial"/>
          <w:sz w:val="24"/>
          <w:szCs w:val="24"/>
        </w:rPr>
      </w:pPr>
      <w:r w:rsidRPr="00E91512">
        <w:rPr>
          <w:rFonts w:ascii="Arial" w:hAnsi="Arial" w:cs="Arial"/>
          <w:sz w:val="24"/>
          <w:szCs w:val="24"/>
        </w:rPr>
        <w:t xml:space="preserve">Bradbury S (2005) The use of forensic science in volume crime investigations: a review of the research literature. Available at: </w:t>
      </w:r>
      <w:hyperlink r:id="rId9" w:history="1">
        <w:r w:rsidRPr="00E91512">
          <w:rPr>
            <w:rStyle w:val="Hyperlink"/>
            <w:rFonts w:ascii="Arial" w:hAnsi="Arial" w:cs="Arial"/>
            <w:sz w:val="24"/>
            <w:szCs w:val="24"/>
          </w:rPr>
          <w:t>http://library.college.police.uk/docs/hordsolr/rdsolr4305.pdf</w:t>
        </w:r>
      </w:hyperlink>
      <w:r w:rsidRPr="00E91512">
        <w:rPr>
          <w:rFonts w:ascii="Arial" w:hAnsi="Arial" w:cs="Arial"/>
          <w:sz w:val="24"/>
          <w:szCs w:val="24"/>
        </w:rPr>
        <w:t xml:space="preserve"> Accessed on: 21 October 2020</w:t>
      </w:r>
    </w:p>
    <w:p w14:paraId="4F42C08B" w14:textId="085DE555" w:rsidR="00744B53" w:rsidRDefault="00744B53" w:rsidP="00E91512">
      <w:pPr>
        <w:spacing w:line="480" w:lineRule="auto"/>
        <w:rPr>
          <w:rFonts w:ascii="Arial" w:hAnsi="Arial" w:cs="Arial"/>
          <w:sz w:val="24"/>
          <w:szCs w:val="24"/>
        </w:rPr>
      </w:pPr>
      <w:r w:rsidRPr="00E91512">
        <w:rPr>
          <w:rFonts w:ascii="Arial" w:hAnsi="Arial" w:cs="Arial"/>
          <w:sz w:val="24"/>
          <w:szCs w:val="24"/>
        </w:rPr>
        <w:t xml:space="preserve">Bryant R, Bryant S (2019) Blackstone’s handbook for policing students. </w:t>
      </w:r>
      <w:r w:rsidR="009331CE">
        <w:rPr>
          <w:rFonts w:ascii="Arial" w:hAnsi="Arial" w:cs="Arial"/>
          <w:sz w:val="24"/>
          <w:szCs w:val="24"/>
        </w:rPr>
        <w:t xml:space="preserve">Oxford. </w:t>
      </w:r>
      <w:r w:rsidRPr="00E91512">
        <w:rPr>
          <w:rFonts w:ascii="Arial" w:hAnsi="Arial" w:cs="Arial"/>
          <w:sz w:val="24"/>
          <w:szCs w:val="24"/>
        </w:rPr>
        <w:t>Oxford University Press</w:t>
      </w:r>
    </w:p>
    <w:p w14:paraId="5772AE5A" w14:textId="77777777" w:rsidR="009331CE" w:rsidRPr="00E91512" w:rsidRDefault="009331CE" w:rsidP="00E91512">
      <w:pPr>
        <w:spacing w:line="480" w:lineRule="auto"/>
        <w:rPr>
          <w:rFonts w:ascii="Arial" w:hAnsi="Arial" w:cs="Arial"/>
          <w:sz w:val="24"/>
          <w:szCs w:val="24"/>
        </w:rPr>
      </w:pPr>
    </w:p>
    <w:p w14:paraId="4EE1656B" w14:textId="4A870DD3" w:rsidR="00744B53" w:rsidRDefault="00744B53" w:rsidP="00E91512">
      <w:pPr>
        <w:spacing w:line="480" w:lineRule="auto"/>
        <w:rPr>
          <w:rFonts w:ascii="Arial" w:hAnsi="Arial" w:cs="Arial"/>
          <w:sz w:val="24"/>
          <w:szCs w:val="24"/>
        </w:rPr>
      </w:pPr>
      <w:r w:rsidRPr="00E91512">
        <w:rPr>
          <w:rFonts w:ascii="Arial" w:hAnsi="Arial" w:cs="Arial"/>
          <w:sz w:val="24"/>
          <w:szCs w:val="24"/>
        </w:rPr>
        <w:t xml:space="preserve">Chinn J (2013) How an innocent </w:t>
      </w:r>
      <w:r w:rsidR="00715CAB" w:rsidRPr="00E91512">
        <w:rPr>
          <w:rFonts w:ascii="Arial" w:hAnsi="Arial" w:cs="Arial"/>
          <w:sz w:val="24"/>
          <w:szCs w:val="24"/>
        </w:rPr>
        <w:t>man’s</w:t>
      </w:r>
      <w:r w:rsidRPr="00E91512">
        <w:rPr>
          <w:rFonts w:ascii="Arial" w:hAnsi="Arial" w:cs="Arial"/>
          <w:sz w:val="24"/>
          <w:szCs w:val="24"/>
        </w:rPr>
        <w:t xml:space="preserve"> DNA was found at a crime scene. Available at: </w:t>
      </w:r>
      <w:hyperlink r:id="rId10" w:history="1">
        <w:r w:rsidRPr="00E91512">
          <w:rPr>
            <w:rStyle w:val="Hyperlink"/>
            <w:rFonts w:ascii="Arial" w:hAnsi="Arial" w:cs="Arial"/>
            <w:sz w:val="24"/>
            <w:szCs w:val="24"/>
          </w:rPr>
          <w:t>https://californiainnocenceproject.org/2013/06/how-an-innocent-mans-dna-was-found-at-a-crime-scene/</w:t>
        </w:r>
      </w:hyperlink>
      <w:r w:rsidRPr="00E91512">
        <w:rPr>
          <w:rFonts w:ascii="Arial" w:hAnsi="Arial" w:cs="Arial"/>
          <w:sz w:val="24"/>
          <w:szCs w:val="24"/>
        </w:rPr>
        <w:t xml:space="preserve"> Accessed on: 16 October 2020 </w:t>
      </w:r>
    </w:p>
    <w:p w14:paraId="3A2A23DB" w14:textId="77777777" w:rsidR="009331CE" w:rsidRPr="00E91512" w:rsidRDefault="009331CE" w:rsidP="00E91512">
      <w:pPr>
        <w:spacing w:line="480" w:lineRule="auto"/>
        <w:rPr>
          <w:rFonts w:ascii="Arial" w:hAnsi="Arial" w:cs="Arial"/>
          <w:sz w:val="24"/>
          <w:szCs w:val="24"/>
        </w:rPr>
      </w:pPr>
    </w:p>
    <w:p w14:paraId="37FC9A4E" w14:textId="226D0B63" w:rsidR="00744B53" w:rsidRDefault="00744B53" w:rsidP="00E91512">
      <w:pPr>
        <w:spacing w:line="480" w:lineRule="auto"/>
        <w:rPr>
          <w:rFonts w:ascii="Arial" w:hAnsi="Arial" w:cs="Arial"/>
          <w:sz w:val="24"/>
          <w:szCs w:val="24"/>
        </w:rPr>
      </w:pPr>
      <w:r w:rsidRPr="00E91512">
        <w:rPr>
          <w:rFonts w:ascii="Arial" w:hAnsi="Arial" w:cs="Arial"/>
          <w:sz w:val="24"/>
          <w:szCs w:val="24"/>
        </w:rPr>
        <w:t xml:space="preserve">College of Policing (2013) Investigation. Investigation process. Available at: </w:t>
      </w:r>
      <w:hyperlink r:id="rId11" w:history="1">
        <w:r w:rsidRPr="00E91512">
          <w:rPr>
            <w:rStyle w:val="Hyperlink"/>
            <w:rFonts w:ascii="Arial" w:hAnsi="Arial" w:cs="Arial"/>
            <w:sz w:val="24"/>
            <w:szCs w:val="24"/>
          </w:rPr>
          <w:t>https://www.app.college.police.uk/app-content/investigations/investigation-process/</w:t>
        </w:r>
      </w:hyperlink>
      <w:r w:rsidRPr="00E91512">
        <w:rPr>
          <w:rFonts w:ascii="Arial" w:hAnsi="Arial" w:cs="Arial"/>
          <w:sz w:val="24"/>
          <w:szCs w:val="24"/>
        </w:rPr>
        <w:t xml:space="preserve"> Accessed on: 16 October 2020 </w:t>
      </w:r>
    </w:p>
    <w:p w14:paraId="4C5A9806" w14:textId="77777777" w:rsidR="009331CE" w:rsidRPr="00E91512" w:rsidRDefault="009331CE" w:rsidP="00E91512">
      <w:pPr>
        <w:spacing w:line="480" w:lineRule="auto"/>
        <w:rPr>
          <w:rFonts w:ascii="Arial" w:hAnsi="Arial" w:cs="Arial"/>
          <w:sz w:val="24"/>
          <w:szCs w:val="24"/>
        </w:rPr>
      </w:pPr>
    </w:p>
    <w:p w14:paraId="70B87368" w14:textId="27215E84" w:rsidR="00744B53" w:rsidRDefault="00744B53" w:rsidP="00E91512">
      <w:pPr>
        <w:spacing w:line="480" w:lineRule="auto"/>
        <w:rPr>
          <w:rFonts w:ascii="Arial" w:hAnsi="Arial" w:cs="Arial"/>
          <w:sz w:val="24"/>
          <w:szCs w:val="24"/>
        </w:rPr>
      </w:pPr>
      <w:r w:rsidRPr="00E91512">
        <w:rPr>
          <w:rFonts w:ascii="Arial" w:hAnsi="Arial" w:cs="Arial"/>
          <w:sz w:val="24"/>
          <w:szCs w:val="24"/>
        </w:rPr>
        <w:t xml:space="preserve">College of policing (2013) Investigation. Physical evidence. Available at: </w:t>
      </w:r>
      <w:hyperlink r:id="rId12" w:history="1">
        <w:r w:rsidRPr="00E91512">
          <w:rPr>
            <w:rStyle w:val="Hyperlink"/>
            <w:rFonts w:ascii="Arial" w:hAnsi="Arial" w:cs="Arial"/>
            <w:sz w:val="24"/>
            <w:szCs w:val="24"/>
          </w:rPr>
          <w:t>https://www.app.college.police.uk/app-content/investigations/investigative-strategies/physical-evidence/?highlight=locard?s=locard</w:t>
        </w:r>
      </w:hyperlink>
      <w:r w:rsidRPr="00E91512">
        <w:rPr>
          <w:rFonts w:ascii="Arial" w:hAnsi="Arial" w:cs="Arial"/>
          <w:sz w:val="24"/>
          <w:szCs w:val="24"/>
        </w:rPr>
        <w:t xml:space="preserve"> Accessed on: 16 October 2020</w:t>
      </w:r>
    </w:p>
    <w:p w14:paraId="45113A1A" w14:textId="77777777" w:rsidR="009331CE" w:rsidRPr="00E91512" w:rsidRDefault="009331CE" w:rsidP="009331CE">
      <w:pPr>
        <w:spacing w:line="480" w:lineRule="auto"/>
        <w:rPr>
          <w:rFonts w:ascii="Arial" w:hAnsi="Arial" w:cs="Arial"/>
          <w:sz w:val="24"/>
          <w:szCs w:val="24"/>
        </w:rPr>
      </w:pPr>
    </w:p>
    <w:p w14:paraId="40EEC0F3" w14:textId="77777777" w:rsidR="009331CE" w:rsidRPr="00E91512" w:rsidRDefault="009331CE" w:rsidP="009331CE">
      <w:pPr>
        <w:spacing w:line="480" w:lineRule="auto"/>
        <w:rPr>
          <w:rFonts w:ascii="Arial" w:hAnsi="Arial" w:cs="Arial"/>
          <w:sz w:val="24"/>
          <w:szCs w:val="24"/>
        </w:rPr>
      </w:pPr>
      <w:proofErr w:type="spellStart"/>
      <w:r w:rsidRPr="00E91512">
        <w:rPr>
          <w:rFonts w:ascii="Arial" w:hAnsi="Arial" w:cs="Arial"/>
          <w:sz w:val="24"/>
          <w:szCs w:val="24"/>
        </w:rPr>
        <w:t>Donofiro</w:t>
      </w:r>
      <w:proofErr w:type="spellEnd"/>
      <w:r w:rsidRPr="00E91512">
        <w:rPr>
          <w:rFonts w:ascii="Arial" w:hAnsi="Arial" w:cs="Arial"/>
          <w:sz w:val="24"/>
          <w:szCs w:val="24"/>
        </w:rPr>
        <w:t xml:space="preserve"> A W (2000) First Responder Duties: Responsibilities of the First Officer at a crime scene. Available at: </w:t>
      </w:r>
      <w:hyperlink r:id="rId13" w:history="1">
        <w:r w:rsidRPr="00E91512">
          <w:rPr>
            <w:rStyle w:val="Hyperlink"/>
            <w:rFonts w:ascii="Arial" w:hAnsi="Arial" w:cs="Arial"/>
            <w:sz w:val="24"/>
            <w:szCs w:val="24"/>
          </w:rPr>
          <w:t>https://www.ncjrs.gov/App/Publications/abstract.aspx?ID=182928</w:t>
        </w:r>
      </w:hyperlink>
      <w:r w:rsidRPr="00E91512">
        <w:rPr>
          <w:rFonts w:ascii="Arial" w:hAnsi="Arial" w:cs="Arial"/>
          <w:sz w:val="24"/>
          <w:szCs w:val="24"/>
        </w:rPr>
        <w:t xml:space="preserve"> Accessed on: 16 October 2020 </w:t>
      </w:r>
    </w:p>
    <w:p w14:paraId="4633C10C" w14:textId="77777777" w:rsidR="009331CE" w:rsidRDefault="009331CE" w:rsidP="00E91512">
      <w:pPr>
        <w:spacing w:line="480" w:lineRule="auto"/>
        <w:rPr>
          <w:rFonts w:ascii="Arial" w:hAnsi="Arial" w:cs="Arial"/>
          <w:sz w:val="24"/>
          <w:szCs w:val="24"/>
        </w:rPr>
      </w:pPr>
    </w:p>
    <w:p w14:paraId="5077C21A" w14:textId="7DAE57FB" w:rsidR="009331CE" w:rsidRDefault="009331CE" w:rsidP="009331CE">
      <w:pPr>
        <w:spacing w:line="480" w:lineRule="auto"/>
        <w:rPr>
          <w:rFonts w:ascii="Arial" w:hAnsi="Arial" w:cs="Arial"/>
          <w:sz w:val="24"/>
          <w:szCs w:val="24"/>
        </w:rPr>
      </w:pPr>
      <w:r w:rsidRPr="00E91512">
        <w:rPr>
          <w:rFonts w:ascii="Arial" w:hAnsi="Arial" w:cs="Arial"/>
          <w:sz w:val="24"/>
          <w:szCs w:val="24"/>
        </w:rPr>
        <w:lastRenderedPageBreak/>
        <w:t xml:space="preserve">ENFSI (2012) Scene of crime examination. Best practice manual. Available at: </w:t>
      </w:r>
      <w:hyperlink r:id="rId14" w:history="1">
        <w:r w:rsidRPr="00E91512">
          <w:rPr>
            <w:rStyle w:val="Hyperlink"/>
            <w:rFonts w:ascii="Arial" w:hAnsi="Arial" w:cs="Arial"/>
            <w:sz w:val="24"/>
            <w:szCs w:val="24"/>
          </w:rPr>
          <w:t>http://library.college.police.uk/docs/appref/ENFSI-BPM-v1_0.pdf</w:t>
        </w:r>
      </w:hyperlink>
      <w:r w:rsidRPr="00E91512">
        <w:rPr>
          <w:rFonts w:ascii="Arial" w:hAnsi="Arial" w:cs="Arial"/>
          <w:sz w:val="24"/>
          <w:szCs w:val="24"/>
        </w:rPr>
        <w:t xml:space="preserve"> Accessed on: 13 October 2020 </w:t>
      </w:r>
    </w:p>
    <w:p w14:paraId="247226B4" w14:textId="77777777" w:rsidR="009331CE" w:rsidRPr="00E91512" w:rsidRDefault="009331CE" w:rsidP="009331CE">
      <w:pPr>
        <w:spacing w:line="480" w:lineRule="auto"/>
        <w:rPr>
          <w:rFonts w:ascii="Arial" w:hAnsi="Arial" w:cs="Arial"/>
          <w:sz w:val="24"/>
          <w:szCs w:val="24"/>
        </w:rPr>
      </w:pPr>
    </w:p>
    <w:p w14:paraId="1D5E40B4" w14:textId="77777777" w:rsidR="009331CE" w:rsidRPr="00E91512" w:rsidRDefault="009331CE" w:rsidP="009331CE">
      <w:pPr>
        <w:spacing w:line="480" w:lineRule="auto"/>
        <w:rPr>
          <w:rFonts w:ascii="Arial" w:hAnsi="Arial" w:cs="Arial"/>
          <w:sz w:val="24"/>
          <w:szCs w:val="24"/>
        </w:rPr>
      </w:pPr>
      <w:r w:rsidRPr="00E91512">
        <w:rPr>
          <w:rFonts w:ascii="Arial" w:hAnsi="Arial" w:cs="Arial"/>
          <w:sz w:val="24"/>
          <w:szCs w:val="24"/>
        </w:rPr>
        <w:t xml:space="preserve">Forensic Science Regulator (2020) The control and avoidance of contamination in scene examination involving DNA evidence recovery. Available at: </w:t>
      </w:r>
      <w:hyperlink r:id="rId15" w:history="1">
        <w:r w:rsidRPr="00E91512">
          <w:rPr>
            <w:rStyle w:val="Hyperlink"/>
            <w:rFonts w:ascii="Arial" w:hAnsi="Arial" w:cs="Arial"/>
            <w:sz w:val="24"/>
            <w:szCs w:val="24"/>
          </w:rPr>
          <w:t>https://assets.publishing.service.gov.uk/government/uploads/system/uploads/attachment_data/file/915221/FSR_G-206_Issue_2_Final.pdf</w:t>
        </w:r>
      </w:hyperlink>
      <w:r w:rsidRPr="00E91512">
        <w:rPr>
          <w:rFonts w:ascii="Arial" w:hAnsi="Arial" w:cs="Arial"/>
          <w:sz w:val="24"/>
          <w:szCs w:val="24"/>
        </w:rPr>
        <w:t xml:space="preserve"> Accessed on: 13 October 2020 </w:t>
      </w:r>
    </w:p>
    <w:p w14:paraId="57C8E14A" w14:textId="77777777" w:rsidR="009331CE" w:rsidRPr="00E91512" w:rsidRDefault="009331CE" w:rsidP="00E91512">
      <w:pPr>
        <w:spacing w:line="480" w:lineRule="auto"/>
        <w:rPr>
          <w:rFonts w:ascii="Arial" w:hAnsi="Arial" w:cs="Arial"/>
          <w:sz w:val="24"/>
          <w:szCs w:val="24"/>
        </w:rPr>
      </w:pPr>
    </w:p>
    <w:p w14:paraId="6F304B26" w14:textId="1533B1B1" w:rsidR="00744B53" w:rsidRDefault="00744B53" w:rsidP="00E91512">
      <w:pPr>
        <w:spacing w:line="480" w:lineRule="auto"/>
        <w:rPr>
          <w:rFonts w:ascii="Arial" w:hAnsi="Arial" w:cs="Arial"/>
          <w:sz w:val="24"/>
          <w:szCs w:val="24"/>
        </w:rPr>
      </w:pPr>
      <w:r w:rsidRPr="00E91512">
        <w:rPr>
          <w:rFonts w:ascii="Arial" w:hAnsi="Arial" w:cs="Arial"/>
          <w:sz w:val="24"/>
          <w:szCs w:val="24"/>
        </w:rPr>
        <w:t xml:space="preserve">Gehl R, Plecas D (2017) Introduction to criminal investigation: Processes, Practical and Thinking. </w:t>
      </w:r>
      <w:proofErr w:type="gramStart"/>
      <w:r w:rsidR="002B48DC" w:rsidRPr="00E91512">
        <w:rPr>
          <w:rFonts w:ascii="Arial" w:hAnsi="Arial" w:cs="Arial"/>
          <w:sz w:val="24"/>
          <w:szCs w:val="24"/>
        </w:rPr>
        <w:t>Columbia</w:t>
      </w:r>
      <w:r w:rsidR="002B48DC">
        <w:rPr>
          <w:rFonts w:ascii="Arial" w:hAnsi="Arial" w:cs="Arial"/>
          <w:sz w:val="24"/>
          <w:szCs w:val="24"/>
        </w:rPr>
        <w:t xml:space="preserve"> </w:t>
      </w:r>
      <w:r w:rsidR="002B48DC">
        <w:rPr>
          <w:rFonts w:ascii="Arial" w:hAnsi="Arial" w:cs="Arial"/>
          <w:sz w:val="24"/>
          <w:szCs w:val="24"/>
        </w:rPr>
        <w:t>.</w:t>
      </w:r>
      <w:proofErr w:type="gramEnd"/>
      <w:r w:rsidR="009331CE">
        <w:rPr>
          <w:rFonts w:ascii="Arial" w:hAnsi="Arial" w:cs="Arial"/>
          <w:sz w:val="24"/>
          <w:szCs w:val="24"/>
        </w:rPr>
        <w:t xml:space="preserve"> </w:t>
      </w:r>
      <w:proofErr w:type="gramStart"/>
      <w:r w:rsidRPr="00E91512">
        <w:rPr>
          <w:rFonts w:ascii="Arial" w:hAnsi="Arial" w:cs="Arial"/>
          <w:sz w:val="24"/>
          <w:szCs w:val="24"/>
        </w:rPr>
        <w:t>Justice</w:t>
      </w:r>
      <w:proofErr w:type="gramEnd"/>
      <w:r w:rsidRPr="00E91512">
        <w:rPr>
          <w:rFonts w:ascii="Arial" w:hAnsi="Arial" w:cs="Arial"/>
          <w:sz w:val="24"/>
          <w:szCs w:val="24"/>
        </w:rPr>
        <w:t xml:space="preserve"> institute of British</w:t>
      </w:r>
    </w:p>
    <w:p w14:paraId="19D5A9BD" w14:textId="77777777" w:rsidR="002B48DC" w:rsidRPr="00E91512" w:rsidRDefault="002B48DC" w:rsidP="00E91512">
      <w:pPr>
        <w:spacing w:line="480" w:lineRule="auto"/>
        <w:rPr>
          <w:rFonts w:ascii="Arial" w:hAnsi="Arial" w:cs="Arial"/>
          <w:sz w:val="24"/>
          <w:szCs w:val="24"/>
        </w:rPr>
      </w:pPr>
    </w:p>
    <w:p w14:paraId="2ABFE013" w14:textId="5DC95ECD" w:rsidR="00744B53" w:rsidRDefault="00744B53" w:rsidP="00E91512">
      <w:pPr>
        <w:spacing w:line="480" w:lineRule="auto"/>
        <w:rPr>
          <w:rFonts w:ascii="Arial" w:hAnsi="Arial" w:cs="Arial"/>
          <w:sz w:val="24"/>
          <w:szCs w:val="24"/>
        </w:rPr>
      </w:pPr>
      <w:r w:rsidRPr="00E91512">
        <w:rPr>
          <w:rFonts w:ascii="Arial" w:hAnsi="Arial" w:cs="Arial"/>
          <w:sz w:val="24"/>
          <w:szCs w:val="24"/>
        </w:rPr>
        <w:t xml:space="preserve">Gasiorowski- Dennis, E (2016) The mystery of the phantom of Heilbronn. Available at: </w:t>
      </w:r>
      <w:hyperlink r:id="rId16" w:history="1">
        <w:r w:rsidRPr="00E91512">
          <w:rPr>
            <w:rStyle w:val="Hyperlink"/>
            <w:rFonts w:ascii="Arial" w:hAnsi="Arial" w:cs="Arial"/>
            <w:sz w:val="24"/>
            <w:szCs w:val="24"/>
          </w:rPr>
          <w:t>https://www.iso.org/news/2016/07/Ref2094.html</w:t>
        </w:r>
      </w:hyperlink>
      <w:r w:rsidRPr="00E91512">
        <w:rPr>
          <w:rFonts w:ascii="Arial" w:hAnsi="Arial" w:cs="Arial"/>
          <w:sz w:val="24"/>
          <w:szCs w:val="24"/>
        </w:rPr>
        <w:t xml:space="preserve"> Accessed on: 19 October 2020 </w:t>
      </w:r>
    </w:p>
    <w:p w14:paraId="1146D516" w14:textId="77777777" w:rsidR="009331CE" w:rsidRDefault="009331CE" w:rsidP="00E91512">
      <w:pPr>
        <w:spacing w:line="480" w:lineRule="auto"/>
        <w:rPr>
          <w:rFonts w:ascii="Arial" w:hAnsi="Arial" w:cs="Arial"/>
          <w:sz w:val="24"/>
          <w:szCs w:val="24"/>
        </w:rPr>
      </w:pPr>
    </w:p>
    <w:p w14:paraId="235FA89F" w14:textId="732E99A6" w:rsidR="009331CE" w:rsidRPr="00E91512" w:rsidRDefault="009331CE" w:rsidP="009331CE">
      <w:pPr>
        <w:spacing w:line="480" w:lineRule="auto"/>
        <w:rPr>
          <w:rFonts w:ascii="Arial" w:hAnsi="Arial" w:cs="Arial"/>
          <w:sz w:val="24"/>
          <w:szCs w:val="24"/>
        </w:rPr>
      </w:pPr>
      <w:r w:rsidRPr="00E91512">
        <w:rPr>
          <w:rFonts w:ascii="Arial" w:hAnsi="Arial" w:cs="Arial"/>
          <w:sz w:val="24"/>
          <w:szCs w:val="24"/>
        </w:rPr>
        <w:t>Harwell, J (2004) The practice of crime scene investigation. Florida</w:t>
      </w:r>
      <w:r>
        <w:rPr>
          <w:rFonts w:ascii="Arial" w:hAnsi="Arial" w:cs="Arial"/>
          <w:sz w:val="24"/>
          <w:szCs w:val="24"/>
        </w:rPr>
        <w:t xml:space="preserve">. </w:t>
      </w:r>
      <w:r w:rsidRPr="00E91512">
        <w:rPr>
          <w:rFonts w:ascii="Arial" w:hAnsi="Arial" w:cs="Arial"/>
          <w:sz w:val="24"/>
          <w:szCs w:val="24"/>
        </w:rPr>
        <w:t xml:space="preserve">CRC press. </w:t>
      </w:r>
    </w:p>
    <w:p w14:paraId="3920BBD4" w14:textId="19BD29B4" w:rsidR="009331CE" w:rsidRDefault="009331CE" w:rsidP="00E91512">
      <w:pPr>
        <w:spacing w:line="480" w:lineRule="auto"/>
        <w:rPr>
          <w:rFonts w:ascii="Arial" w:hAnsi="Arial" w:cs="Arial"/>
          <w:sz w:val="24"/>
          <w:szCs w:val="24"/>
        </w:rPr>
      </w:pPr>
      <w:r w:rsidRPr="00E91512">
        <w:rPr>
          <w:rFonts w:ascii="Arial" w:hAnsi="Arial" w:cs="Arial"/>
          <w:sz w:val="24"/>
          <w:szCs w:val="24"/>
        </w:rPr>
        <w:t xml:space="preserve">Reno J, Marcus D, Robinson L, Brennan N, Travis J (1999) Crime scene investigations. A guide for law enforcement. Research report. Available at: </w:t>
      </w:r>
      <w:hyperlink r:id="rId17" w:history="1">
        <w:r w:rsidRPr="00E91512">
          <w:rPr>
            <w:rStyle w:val="Hyperlink"/>
            <w:rFonts w:ascii="Arial" w:hAnsi="Arial" w:cs="Arial"/>
            <w:sz w:val="24"/>
            <w:szCs w:val="24"/>
          </w:rPr>
          <w:t>https://www.ncjrs.gov/pdffiles1/nij/178280.pdf</w:t>
        </w:r>
      </w:hyperlink>
      <w:r w:rsidRPr="00E91512">
        <w:rPr>
          <w:rFonts w:ascii="Arial" w:hAnsi="Arial" w:cs="Arial"/>
          <w:sz w:val="24"/>
          <w:szCs w:val="24"/>
        </w:rPr>
        <w:t xml:space="preserve"> Accessed on: 13 October 2020 </w:t>
      </w:r>
    </w:p>
    <w:p w14:paraId="08F5A307" w14:textId="77777777" w:rsidR="009331CE" w:rsidRPr="00E91512" w:rsidRDefault="009331CE" w:rsidP="00E91512">
      <w:pPr>
        <w:spacing w:line="480" w:lineRule="auto"/>
        <w:rPr>
          <w:rFonts w:ascii="Arial" w:hAnsi="Arial" w:cs="Arial"/>
          <w:sz w:val="24"/>
          <w:szCs w:val="24"/>
        </w:rPr>
      </w:pPr>
    </w:p>
    <w:p w14:paraId="1E0408B4" w14:textId="3829672A" w:rsidR="00744B53" w:rsidRDefault="00744B53" w:rsidP="00E91512">
      <w:pPr>
        <w:spacing w:line="480" w:lineRule="auto"/>
        <w:rPr>
          <w:rFonts w:ascii="Arial" w:hAnsi="Arial" w:cs="Arial"/>
          <w:sz w:val="24"/>
          <w:szCs w:val="24"/>
        </w:rPr>
      </w:pPr>
      <w:r w:rsidRPr="00E91512">
        <w:rPr>
          <w:rFonts w:ascii="Arial" w:hAnsi="Arial" w:cs="Arial"/>
          <w:sz w:val="24"/>
          <w:szCs w:val="24"/>
        </w:rPr>
        <w:t xml:space="preserve">Institute for government (2019) Police. Performance tracker 2019. Available at: </w:t>
      </w:r>
      <w:hyperlink r:id="rId18" w:history="1">
        <w:r w:rsidRPr="00E91512">
          <w:rPr>
            <w:rStyle w:val="Hyperlink"/>
            <w:rFonts w:ascii="Arial" w:hAnsi="Arial" w:cs="Arial"/>
            <w:sz w:val="24"/>
            <w:szCs w:val="24"/>
          </w:rPr>
          <w:t>https://www.instituteforgovernment.org.uk/publication/performance-tracker-2019/police</w:t>
        </w:r>
      </w:hyperlink>
      <w:r w:rsidRPr="00E91512">
        <w:rPr>
          <w:rFonts w:ascii="Arial" w:hAnsi="Arial" w:cs="Arial"/>
          <w:sz w:val="24"/>
          <w:szCs w:val="24"/>
        </w:rPr>
        <w:t xml:space="preserve"> Accessed on: 19 October 2020 </w:t>
      </w:r>
    </w:p>
    <w:p w14:paraId="48BC9C2A" w14:textId="77777777" w:rsidR="002B48DC" w:rsidRPr="00E91512" w:rsidRDefault="002B48DC" w:rsidP="00E91512">
      <w:pPr>
        <w:spacing w:line="480" w:lineRule="auto"/>
        <w:rPr>
          <w:rFonts w:ascii="Arial" w:hAnsi="Arial" w:cs="Arial"/>
          <w:sz w:val="24"/>
          <w:szCs w:val="24"/>
        </w:rPr>
      </w:pPr>
    </w:p>
    <w:p w14:paraId="3A81D171" w14:textId="4A439E3B" w:rsidR="00744B53" w:rsidRDefault="00744B53" w:rsidP="00E91512">
      <w:pPr>
        <w:spacing w:line="480" w:lineRule="auto"/>
        <w:rPr>
          <w:rFonts w:ascii="Arial" w:hAnsi="Arial" w:cs="Arial"/>
          <w:sz w:val="24"/>
          <w:szCs w:val="24"/>
        </w:rPr>
      </w:pPr>
      <w:r w:rsidRPr="00E91512">
        <w:rPr>
          <w:rFonts w:ascii="Arial" w:hAnsi="Arial" w:cs="Arial"/>
          <w:sz w:val="24"/>
          <w:szCs w:val="24"/>
        </w:rPr>
        <w:lastRenderedPageBreak/>
        <w:t xml:space="preserve">Neuhuber F, Kreindl G, Kastinger T, Zahrer W, Cemper- Kiesslich J, Griebner I (2017) Police officers DNA on crime samples- Indirect transfer as a source of contamination and its database- assisted detection in Australia. Available at: </w:t>
      </w:r>
      <w:hyperlink r:id="rId19" w:history="1">
        <w:r w:rsidRPr="00E91512">
          <w:rPr>
            <w:rStyle w:val="Hyperlink"/>
            <w:rFonts w:ascii="Arial" w:hAnsi="Arial" w:cs="Arial"/>
            <w:sz w:val="24"/>
            <w:szCs w:val="24"/>
          </w:rPr>
          <w:t>https://www.fsigeneticssup.com/article/S1875-1768(17)30308-6/fulltext</w:t>
        </w:r>
      </w:hyperlink>
      <w:r w:rsidRPr="00E91512">
        <w:rPr>
          <w:rFonts w:ascii="Arial" w:hAnsi="Arial" w:cs="Arial"/>
          <w:sz w:val="24"/>
          <w:szCs w:val="24"/>
        </w:rPr>
        <w:t xml:space="preserve"> Accessed on: 16 October 2020 </w:t>
      </w:r>
    </w:p>
    <w:p w14:paraId="1F1A2B48" w14:textId="77777777" w:rsidR="009331CE" w:rsidRDefault="009331CE" w:rsidP="00E91512">
      <w:pPr>
        <w:spacing w:line="480" w:lineRule="auto"/>
        <w:rPr>
          <w:rFonts w:ascii="Arial" w:hAnsi="Arial" w:cs="Arial"/>
          <w:sz w:val="24"/>
          <w:szCs w:val="24"/>
        </w:rPr>
      </w:pPr>
    </w:p>
    <w:p w14:paraId="14D9D54D" w14:textId="77777777" w:rsidR="00744B53" w:rsidRPr="00E91512" w:rsidRDefault="00744B53" w:rsidP="00E91512">
      <w:pPr>
        <w:spacing w:line="480" w:lineRule="auto"/>
        <w:rPr>
          <w:rFonts w:ascii="Arial" w:hAnsi="Arial" w:cs="Arial"/>
          <w:sz w:val="24"/>
          <w:szCs w:val="24"/>
        </w:rPr>
      </w:pPr>
      <w:r w:rsidRPr="00E91512">
        <w:rPr>
          <w:rFonts w:ascii="Arial" w:hAnsi="Arial" w:cs="Arial"/>
          <w:sz w:val="24"/>
          <w:szCs w:val="24"/>
        </w:rPr>
        <w:t xml:space="preserve">United Nations Office on Drug Crime (2009) Crime scene and physical evidence awareness for non- forensic personnel. Available at: </w:t>
      </w:r>
      <w:hyperlink r:id="rId20" w:history="1">
        <w:r w:rsidRPr="00E91512">
          <w:rPr>
            <w:rStyle w:val="Hyperlink"/>
            <w:rFonts w:ascii="Arial" w:hAnsi="Arial" w:cs="Arial"/>
            <w:sz w:val="24"/>
            <w:szCs w:val="24"/>
          </w:rPr>
          <w:t>https://www.unodc.org/documents/scientific/Crime_scene_awareness__Ebook.pdf</w:t>
        </w:r>
      </w:hyperlink>
      <w:r w:rsidRPr="00E91512">
        <w:rPr>
          <w:rFonts w:ascii="Arial" w:hAnsi="Arial" w:cs="Arial"/>
          <w:sz w:val="24"/>
          <w:szCs w:val="24"/>
        </w:rPr>
        <w:t xml:space="preserve"> Accessed on: 16 October 2020 </w:t>
      </w:r>
    </w:p>
    <w:p w14:paraId="4071861A" w14:textId="710B9CAF" w:rsidR="00744B53" w:rsidRPr="00E91512" w:rsidRDefault="00744B53" w:rsidP="00E91512">
      <w:pPr>
        <w:spacing w:line="480" w:lineRule="auto"/>
        <w:rPr>
          <w:rFonts w:ascii="Arial" w:hAnsi="Arial" w:cs="Arial"/>
          <w:sz w:val="24"/>
          <w:szCs w:val="24"/>
        </w:rPr>
      </w:pPr>
    </w:p>
    <w:p w14:paraId="6586EAF2" w14:textId="03F02C0C" w:rsidR="00744B53" w:rsidRPr="00E91512" w:rsidRDefault="00744B53" w:rsidP="00E91512">
      <w:pPr>
        <w:spacing w:line="480" w:lineRule="auto"/>
        <w:rPr>
          <w:rFonts w:ascii="Arial" w:hAnsi="Arial" w:cs="Arial"/>
          <w:sz w:val="24"/>
          <w:szCs w:val="24"/>
        </w:rPr>
      </w:pPr>
    </w:p>
    <w:p w14:paraId="2FD66B94" w14:textId="4FE9CE7A" w:rsidR="00744B53" w:rsidRPr="00E91512" w:rsidRDefault="00744B53" w:rsidP="00E91512">
      <w:pPr>
        <w:spacing w:line="480" w:lineRule="auto"/>
        <w:rPr>
          <w:rFonts w:ascii="Arial" w:hAnsi="Arial" w:cs="Arial"/>
          <w:sz w:val="24"/>
          <w:szCs w:val="24"/>
        </w:rPr>
      </w:pPr>
    </w:p>
    <w:p w14:paraId="57A3039F" w14:textId="23CEDAC8" w:rsidR="00744B53" w:rsidRPr="00E91512" w:rsidRDefault="00744B53" w:rsidP="00E91512">
      <w:pPr>
        <w:spacing w:line="480" w:lineRule="auto"/>
        <w:rPr>
          <w:rFonts w:ascii="Arial" w:hAnsi="Arial" w:cs="Arial"/>
          <w:sz w:val="24"/>
          <w:szCs w:val="24"/>
        </w:rPr>
      </w:pPr>
    </w:p>
    <w:p w14:paraId="51ABF356" w14:textId="4CA30B6C" w:rsidR="00744B53" w:rsidRPr="00E91512" w:rsidRDefault="00744B53" w:rsidP="00E91512">
      <w:pPr>
        <w:spacing w:line="480" w:lineRule="auto"/>
        <w:rPr>
          <w:rFonts w:ascii="Arial" w:hAnsi="Arial" w:cs="Arial"/>
          <w:sz w:val="24"/>
          <w:szCs w:val="24"/>
        </w:rPr>
      </w:pPr>
    </w:p>
    <w:p w14:paraId="43001FD4" w14:textId="7B349589" w:rsidR="00744B53" w:rsidRDefault="00744B53" w:rsidP="00E91512">
      <w:pPr>
        <w:spacing w:line="480" w:lineRule="auto"/>
        <w:rPr>
          <w:rFonts w:ascii="Arial" w:hAnsi="Arial" w:cs="Arial"/>
          <w:b/>
          <w:bCs/>
          <w:i/>
          <w:iCs/>
          <w:sz w:val="24"/>
          <w:szCs w:val="24"/>
        </w:rPr>
      </w:pPr>
    </w:p>
    <w:p w14:paraId="2B59987D" w14:textId="273BC6A8" w:rsidR="009331CE" w:rsidRDefault="009331CE" w:rsidP="00E91512">
      <w:pPr>
        <w:spacing w:line="480" w:lineRule="auto"/>
        <w:rPr>
          <w:rFonts w:ascii="Arial" w:hAnsi="Arial" w:cs="Arial"/>
          <w:b/>
          <w:bCs/>
          <w:i/>
          <w:iCs/>
          <w:sz w:val="24"/>
          <w:szCs w:val="24"/>
        </w:rPr>
      </w:pPr>
    </w:p>
    <w:p w14:paraId="3B40ED4E" w14:textId="44DC8DBF" w:rsidR="009331CE" w:rsidRDefault="009331CE" w:rsidP="00E91512">
      <w:pPr>
        <w:spacing w:line="480" w:lineRule="auto"/>
        <w:rPr>
          <w:rFonts w:ascii="Arial" w:hAnsi="Arial" w:cs="Arial"/>
          <w:b/>
          <w:bCs/>
          <w:i/>
          <w:iCs/>
          <w:sz w:val="24"/>
          <w:szCs w:val="24"/>
        </w:rPr>
      </w:pPr>
    </w:p>
    <w:p w14:paraId="5C36AC01" w14:textId="3871977A" w:rsidR="009331CE" w:rsidRDefault="009331CE" w:rsidP="00E91512">
      <w:pPr>
        <w:spacing w:line="480" w:lineRule="auto"/>
        <w:rPr>
          <w:rFonts w:ascii="Arial" w:hAnsi="Arial" w:cs="Arial"/>
          <w:b/>
          <w:bCs/>
          <w:i/>
          <w:iCs/>
          <w:sz w:val="24"/>
          <w:szCs w:val="24"/>
        </w:rPr>
      </w:pPr>
    </w:p>
    <w:p w14:paraId="78CCF97C" w14:textId="6A8C05E7" w:rsidR="009331CE" w:rsidRDefault="009331CE" w:rsidP="00E91512">
      <w:pPr>
        <w:spacing w:line="480" w:lineRule="auto"/>
        <w:rPr>
          <w:rFonts w:ascii="Arial" w:hAnsi="Arial" w:cs="Arial"/>
          <w:b/>
          <w:bCs/>
          <w:i/>
          <w:iCs/>
          <w:sz w:val="24"/>
          <w:szCs w:val="24"/>
        </w:rPr>
      </w:pPr>
    </w:p>
    <w:p w14:paraId="18CB5280" w14:textId="4B28BB56" w:rsidR="009331CE" w:rsidRDefault="009331CE" w:rsidP="00E91512">
      <w:pPr>
        <w:spacing w:line="480" w:lineRule="auto"/>
        <w:rPr>
          <w:rFonts w:ascii="Arial" w:hAnsi="Arial" w:cs="Arial"/>
          <w:b/>
          <w:bCs/>
          <w:i/>
          <w:iCs/>
          <w:sz w:val="24"/>
          <w:szCs w:val="24"/>
        </w:rPr>
      </w:pPr>
    </w:p>
    <w:p w14:paraId="74A7ACFA" w14:textId="5FA3F1BF" w:rsidR="009331CE" w:rsidRDefault="009331CE" w:rsidP="00E91512">
      <w:pPr>
        <w:spacing w:line="480" w:lineRule="auto"/>
        <w:rPr>
          <w:rFonts w:ascii="Arial" w:hAnsi="Arial" w:cs="Arial"/>
          <w:b/>
          <w:bCs/>
          <w:i/>
          <w:iCs/>
          <w:sz w:val="24"/>
          <w:szCs w:val="24"/>
        </w:rPr>
      </w:pPr>
    </w:p>
    <w:p w14:paraId="2F7E2134" w14:textId="77777777" w:rsidR="009331CE" w:rsidRPr="00E91512" w:rsidRDefault="009331CE" w:rsidP="00E91512">
      <w:pPr>
        <w:spacing w:line="480" w:lineRule="auto"/>
        <w:rPr>
          <w:rFonts w:ascii="Arial" w:hAnsi="Arial" w:cs="Arial"/>
          <w:b/>
          <w:bCs/>
          <w:i/>
          <w:iCs/>
          <w:sz w:val="24"/>
          <w:szCs w:val="24"/>
        </w:rPr>
      </w:pPr>
    </w:p>
    <w:p w14:paraId="474C1A65" w14:textId="77777777" w:rsidR="00744B53" w:rsidRPr="00E91512" w:rsidRDefault="00744B53" w:rsidP="00E91512">
      <w:pPr>
        <w:spacing w:line="480" w:lineRule="auto"/>
        <w:rPr>
          <w:rFonts w:ascii="Arial" w:hAnsi="Arial" w:cs="Arial"/>
          <w:b/>
          <w:bCs/>
          <w:i/>
          <w:iCs/>
          <w:sz w:val="24"/>
          <w:szCs w:val="24"/>
        </w:rPr>
      </w:pPr>
    </w:p>
    <w:p w14:paraId="2B166F8C" w14:textId="77777777" w:rsidR="00744B53" w:rsidRPr="00E91512" w:rsidRDefault="00744B53" w:rsidP="00E91512">
      <w:pPr>
        <w:spacing w:line="480" w:lineRule="auto"/>
        <w:rPr>
          <w:rFonts w:ascii="Arial" w:hAnsi="Arial" w:cs="Arial"/>
          <w:b/>
          <w:bCs/>
          <w:i/>
          <w:iCs/>
          <w:sz w:val="24"/>
          <w:szCs w:val="24"/>
        </w:rPr>
      </w:pPr>
    </w:p>
    <w:p w14:paraId="209D4F03" w14:textId="5E247D97" w:rsidR="0089245A" w:rsidRPr="00E91512" w:rsidRDefault="0089245A" w:rsidP="00E91512">
      <w:pPr>
        <w:spacing w:line="480" w:lineRule="auto"/>
        <w:rPr>
          <w:rFonts w:ascii="Arial" w:hAnsi="Arial" w:cs="Arial"/>
          <w:b/>
          <w:bCs/>
          <w:i/>
          <w:iCs/>
          <w:sz w:val="24"/>
          <w:szCs w:val="24"/>
        </w:rPr>
      </w:pPr>
      <w:r w:rsidRPr="00E91512">
        <w:rPr>
          <w:rFonts w:ascii="Arial" w:hAnsi="Arial" w:cs="Arial"/>
          <w:b/>
          <w:bCs/>
          <w:i/>
          <w:iCs/>
          <w:sz w:val="24"/>
          <w:szCs w:val="24"/>
        </w:rPr>
        <w:lastRenderedPageBreak/>
        <w:t>Part B</w:t>
      </w:r>
    </w:p>
    <w:p w14:paraId="4DECE268" w14:textId="77777777" w:rsidR="0089245A" w:rsidRPr="00E91512" w:rsidRDefault="0089245A" w:rsidP="00E91512">
      <w:pPr>
        <w:spacing w:line="480" w:lineRule="auto"/>
        <w:rPr>
          <w:rFonts w:ascii="Arial" w:hAnsi="Arial" w:cs="Arial"/>
          <w:sz w:val="24"/>
          <w:szCs w:val="24"/>
          <w:lang w:val="en-US"/>
        </w:rPr>
      </w:pPr>
    </w:p>
    <w:p w14:paraId="13B69217" w14:textId="04AB2B0E" w:rsidR="0089245A" w:rsidRPr="00E91512" w:rsidRDefault="00823FE4" w:rsidP="00E91512">
      <w:pPr>
        <w:spacing w:line="480" w:lineRule="auto"/>
        <w:rPr>
          <w:rFonts w:ascii="Arial" w:hAnsi="Arial" w:cs="Arial"/>
          <w:sz w:val="24"/>
          <w:szCs w:val="24"/>
          <w:lang w:val="en-US"/>
        </w:rPr>
      </w:pPr>
      <w:r w:rsidRPr="0032143F">
        <w:rPr>
          <w:rFonts w:ascii="Arial" w:hAnsi="Arial" w:cs="Arial"/>
          <w:sz w:val="24"/>
          <w:szCs w:val="24"/>
          <w:lang w:val="en-US"/>
        </w:rPr>
        <w:t>S</w:t>
      </w:r>
      <w:r w:rsidR="0089245A" w:rsidRPr="0032143F">
        <w:rPr>
          <w:rFonts w:ascii="Arial" w:hAnsi="Arial" w:cs="Arial"/>
          <w:sz w:val="24"/>
          <w:szCs w:val="24"/>
          <w:lang w:val="en-US"/>
        </w:rPr>
        <w:t>ection 19</w:t>
      </w:r>
      <w:r w:rsidRPr="0032143F">
        <w:rPr>
          <w:rFonts w:ascii="Arial" w:hAnsi="Arial" w:cs="Arial"/>
          <w:sz w:val="24"/>
          <w:szCs w:val="24"/>
          <w:lang w:val="en-US"/>
        </w:rPr>
        <w:t xml:space="preserve"> of the</w:t>
      </w:r>
      <w:r w:rsidR="0089245A" w:rsidRPr="0032143F">
        <w:rPr>
          <w:rFonts w:ascii="Arial" w:hAnsi="Arial" w:cs="Arial"/>
          <w:sz w:val="24"/>
          <w:szCs w:val="24"/>
          <w:lang w:val="en-US"/>
        </w:rPr>
        <w:t xml:space="preserve"> Police and Criminal Evidence Act 1984 (PACE) </w:t>
      </w:r>
      <w:r w:rsidR="0032143F" w:rsidRPr="0032143F">
        <w:rPr>
          <w:rFonts w:ascii="Arial" w:hAnsi="Arial" w:cs="Arial"/>
          <w:sz w:val="24"/>
          <w:szCs w:val="24"/>
          <w:lang w:val="en-US"/>
        </w:rPr>
        <w:t>states that it is</w:t>
      </w:r>
      <w:r w:rsidR="0089245A" w:rsidRPr="0032143F">
        <w:rPr>
          <w:rFonts w:ascii="Arial" w:hAnsi="Arial" w:cs="Arial"/>
          <w:sz w:val="24"/>
          <w:szCs w:val="24"/>
          <w:lang w:val="en-US"/>
        </w:rPr>
        <w:t xml:space="preserve"> legal for the police to seize items that would be beneficial in court </w:t>
      </w:r>
      <w:r w:rsidR="0032143F" w:rsidRPr="0032143F">
        <w:rPr>
          <w:rFonts w:ascii="Arial" w:hAnsi="Arial" w:cs="Arial"/>
          <w:sz w:val="24"/>
          <w:szCs w:val="24"/>
          <w:lang w:val="en-US"/>
        </w:rPr>
        <w:t xml:space="preserve">to </w:t>
      </w:r>
      <w:r w:rsidR="0089245A" w:rsidRPr="0032143F">
        <w:rPr>
          <w:rFonts w:ascii="Arial" w:hAnsi="Arial" w:cs="Arial"/>
          <w:sz w:val="24"/>
          <w:szCs w:val="24"/>
          <w:lang w:val="en-US"/>
        </w:rPr>
        <w:t xml:space="preserve">serve as evidence of crime. </w:t>
      </w:r>
      <w:r w:rsidR="0089245A" w:rsidRPr="00E91512">
        <w:rPr>
          <w:rFonts w:ascii="Arial" w:hAnsi="Arial" w:cs="Arial"/>
          <w:sz w:val="24"/>
          <w:szCs w:val="24"/>
          <w:lang w:val="en-US"/>
        </w:rPr>
        <w:t>These items are referred to as exhibits and include physical items such as a gun</w:t>
      </w:r>
      <w:r w:rsidR="004D0141" w:rsidRPr="00E91512">
        <w:rPr>
          <w:rFonts w:ascii="Arial" w:hAnsi="Arial" w:cs="Arial"/>
          <w:sz w:val="24"/>
          <w:szCs w:val="24"/>
          <w:lang w:val="en-US"/>
        </w:rPr>
        <w:t xml:space="preserve">, </w:t>
      </w:r>
      <w:r w:rsidR="0089245A" w:rsidRPr="00E91512">
        <w:rPr>
          <w:rFonts w:ascii="Arial" w:hAnsi="Arial" w:cs="Arial"/>
          <w:sz w:val="24"/>
          <w:szCs w:val="24"/>
          <w:lang w:val="en-US"/>
        </w:rPr>
        <w:t>a knife or any material that could be used as evidence in a case (Bryant and Bryant, 2019, p</w:t>
      </w:r>
      <w:r w:rsidR="009331CE">
        <w:rPr>
          <w:rFonts w:ascii="Arial" w:hAnsi="Arial" w:cs="Arial"/>
          <w:sz w:val="24"/>
          <w:szCs w:val="24"/>
          <w:lang w:val="en-US"/>
        </w:rPr>
        <w:t>.</w:t>
      </w:r>
      <w:r w:rsidR="0089245A" w:rsidRPr="00E91512">
        <w:rPr>
          <w:rFonts w:ascii="Arial" w:hAnsi="Arial" w:cs="Arial"/>
          <w:sz w:val="24"/>
          <w:szCs w:val="24"/>
          <w:lang w:val="en-US"/>
        </w:rPr>
        <w:t xml:space="preserve"> 233).</w:t>
      </w:r>
    </w:p>
    <w:p w14:paraId="0298CB28" w14:textId="2FFD0174" w:rsidR="006D6F8D" w:rsidRPr="00E91512" w:rsidRDefault="006D6F8D" w:rsidP="00E91512">
      <w:pPr>
        <w:spacing w:line="480" w:lineRule="auto"/>
        <w:rPr>
          <w:rFonts w:ascii="Arial" w:hAnsi="Arial" w:cs="Arial"/>
          <w:sz w:val="24"/>
          <w:szCs w:val="24"/>
          <w:lang w:val="en-US"/>
        </w:rPr>
      </w:pPr>
    </w:p>
    <w:p w14:paraId="5C3C42CD" w14:textId="2BD3D46E" w:rsidR="00376A9E" w:rsidRPr="00E91512" w:rsidRDefault="00376A9E" w:rsidP="00E91512">
      <w:pPr>
        <w:spacing w:line="480" w:lineRule="auto"/>
        <w:rPr>
          <w:rFonts w:ascii="Arial" w:hAnsi="Arial" w:cs="Arial"/>
          <w:sz w:val="24"/>
          <w:szCs w:val="24"/>
          <w:lang w:val="en-US"/>
        </w:rPr>
      </w:pPr>
      <w:r w:rsidRPr="00E91512">
        <w:rPr>
          <w:rFonts w:ascii="Arial" w:hAnsi="Arial" w:cs="Arial"/>
          <w:sz w:val="24"/>
          <w:szCs w:val="24"/>
          <w:lang w:val="en-US"/>
        </w:rPr>
        <w:t xml:space="preserve">Evidence seized is used by experts to </w:t>
      </w:r>
      <w:r w:rsidRPr="00E91512">
        <w:rPr>
          <w:rFonts w:ascii="Arial" w:hAnsi="Arial" w:cs="Arial"/>
          <w:sz w:val="24"/>
          <w:szCs w:val="24"/>
        </w:rPr>
        <w:t>analys</w:t>
      </w:r>
      <w:r w:rsidR="00062F51" w:rsidRPr="00E91512">
        <w:rPr>
          <w:rFonts w:ascii="Arial" w:hAnsi="Arial" w:cs="Arial"/>
          <w:sz w:val="24"/>
          <w:szCs w:val="24"/>
        </w:rPr>
        <w:t>e,</w:t>
      </w:r>
      <w:r w:rsidRPr="00E91512">
        <w:rPr>
          <w:rFonts w:ascii="Arial" w:hAnsi="Arial" w:cs="Arial"/>
          <w:sz w:val="24"/>
          <w:szCs w:val="24"/>
          <w:lang w:val="en-US"/>
        </w:rPr>
        <w:t xml:space="preserve"> compare</w:t>
      </w:r>
      <w:r w:rsidR="00062F51" w:rsidRPr="00E91512">
        <w:rPr>
          <w:rFonts w:ascii="Arial" w:hAnsi="Arial" w:cs="Arial"/>
          <w:sz w:val="24"/>
          <w:szCs w:val="24"/>
          <w:lang w:val="en-US"/>
        </w:rPr>
        <w:t xml:space="preserve"> and match</w:t>
      </w:r>
      <w:r w:rsidRPr="00E91512">
        <w:rPr>
          <w:rFonts w:ascii="Arial" w:hAnsi="Arial" w:cs="Arial"/>
          <w:sz w:val="24"/>
          <w:szCs w:val="24"/>
          <w:lang w:val="en-US"/>
        </w:rPr>
        <w:t>. For example, bite mark analysis involves comparing the bite mark on an object or victim to that of the dentition of a suspect to either</w:t>
      </w:r>
      <w:r w:rsidR="00062F51" w:rsidRPr="00E91512">
        <w:rPr>
          <w:rFonts w:ascii="Arial" w:hAnsi="Arial" w:cs="Arial"/>
          <w:sz w:val="24"/>
          <w:szCs w:val="24"/>
          <w:lang w:val="en-US"/>
        </w:rPr>
        <w:t xml:space="preserve"> be</w:t>
      </w:r>
      <w:r w:rsidRPr="00E91512">
        <w:rPr>
          <w:rFonts w:ascii="Arial" w:hAnsi="Arial" w:cs="Arial"/>
          <w:sz w:val="24"/>
          <w:szCs w:val="24"/>
          <w:lang w:val="en-US"/>
        </w:rPr>
        <w:t xml:space="preserve"> identi</w:t>
      </w:r>
      <w:r w:rsidR="00062F51" w:rsidRPr="00E91512">
        <w:rPr>
          <w:rFonts w:ascii="Arial" w:hAnsi="Arial" w:cs="Arial"/>
          <w:sz w:val="24"/>
          <w:szCs w:val="24"/>
          <w:lang w:val="en-US"/>
        </w:rPr>
        <w:t xml:space="preserve">fied or eliminated </w:t>
      </w:r>
      <w:r w:rsidRPr="00E91512">
        <w:rPr>
          <w:rFonts w:ascii="Arial" w:hAnsi="Arial" w:cs="Arial"/>
          <w:sz w:val="24"/>
          <w:szCs w:val="24"/>
          <w:lang w:val="en-US"/>
        </w:rPr>
        <w:t>from the investigation</w:t>
      </w:r>
      <w:r w:rsidR="00062F51" w:rsidRPr="00E91512">
        <w:rPr>
          <w:rFonts w:ascii="Arial" w:hAnsi="Arial" w:cs="Arial"/>
          <w:sz w:val="24"/>
          <w:szCs w:val="24"/>
          <w:lang w:val="en-US"/>
        </w:rPr>
        <w:t xml:space="preserve"> (Souviron and Haller, 2017).</w:t>
      </w:r>
      <w:r w:rsidRPr="00E91512">
        <w:rPr>
          <w:rFonts w:ascii="Arial" w:hAnsi="Arial" w:cs="Arial"/>
          <w:sz w:val="24"/>
          <w:szCs w:val="24"/>
          <w:lang w:val="en-US"/>
        </w:rPr>
        <w:t xml:space="preserve"> </w:t>
      </w:r>
      <w:r w:rsidR="00AC111D" w:rsidRPr="00E91512">
        <w:rPr>
          <w:rFonts w:ascii="Arial" w:hAnsi="Arial" w:cs="Arial"/>
          <w:sz w:val="24"/>
          <w:szCs w:val="24"/>
          <w:lang w:val="en-US"/>
        </w:rPr>
        <w:t>The length of time evidence is kept for depends on the nature of the crime</w:t>
      </w:r>
      <w:r w:rsidR="006D6F8D" w:rsidRPr="00E91512">
        <w:rPr>
          <w:rFonts w:ascii="Arial" w:hAnsi="Arial" w:cs="Arial"/>
          <w:sz w:val="24"/>
          <w:szCs w:val="24"/>
          <w:lang w:val="en-US"/>
        </w:rPr>
        <w:t xml:space="preserve"> with some </w:t>
      </w:r>
      <w:r w:rsidR="00110178" w:rsidRPr="00E91512">
        <w:rPr>
          <w:rFonts w:ascii="Arial" w:hAnsi="Arial" w:cs="Arial"/>
          <w:sz w:val="24"/>
          <w:szCs w:val="24"/>
          <w:lang w:val="en-US"/>
        </w:rPr>
        <w:t>forensic</w:t>
      </w:r>
      <w:r w:rsidR="006D6F8D" w:rsidRPr="00E91512">
        <w:rPr>
          <w:rFonts w:ascii="Arial" w:hAnsi="Arial" w:cs="Arial"/>
          <w:sz w:val="24"/>
          <w:szCs w:val="24"/>
          <w:lang w:val="en-US"/>
        </w:rPr>
        <w:t xml:space="preserve"> case materials being kept for 30 years </w:t>
      </w:r>
      <w:r w:rsidR="00110178" w:rsidRPr="00E91512">
        <w:rPr>
          <w:rFonts w:ascii="Arial" w:hAnsi="Arial" w:cs="Arial"/>
          <w:sz w:val="24"/>
          <w:szCs w:val="24"/>
          <w:lang w:val="en-US"/>
        </w:rPr>
        <w:t xml:space="preserve">         </w:t>
      </w:r>
      <w:proofErr w:type="gramStart"/>
      <w:r w:rsidR="00110178" w:rsidRPr="00E91512">
        <w:rPr>
          <w:rFonts w:ascii="Arial" w:hAnsi="Arial" w:cs="Arial"/>
          <w:sz w:val="24"/>
          <w:szCs w:val="24"/>
          <w:lang w:val="en-US"/>
        </w:rPr>
        <w:t xml:space="preserve">   </w:t>
      </w:r>
      <w:r w:rsidR="006D6F8D" w:rsidRPr="00E91512">
        <w:rPr>
          <w:rFonts w:ascii="Arial" w:hAnsi="Arial" w:cs="Arial"/>
          <w:sz w:val="24"/>
          <w:szCs w:val="24"/>
          <w:lang w:val="en-US"/>
        </w:rPr>
        <w:t>(</w:t>
      </w:r>
      <w:proofErr w:type="gramEnd"/>
      <w:r w:rsidR="00BC32E8" w:rsidRPr="00E91512">
        <w:rPr>
          <w:rFonts w:ascii="Arial" w:hAnsi="Arial" w:cs="Arial"/>
          <w:sz w:val="24"/>
          <w:szCs w:val="24"/>
          <w:lang w:val="en-US"/>
        </w:rPr>
        <w:t>Government</w:t>
      </w:r>
      <w:r w:rsidR="006D6F8D" w:rsidRPr="00E91512">
        <w:rPr>
          <w:rFonts w:ascii="Arial" w:hAnsi="Arial" w:cs="Arial"/>
          <w:sz w:val="24"/>
          <w:szCs w:val="24"/>
          <w:lang w:val="en-US"/>
        </w:rPr>
        <w:t>,</w:t>
      </w:r>
      <w:r w:rsidR="00BC32E8" w:rsidRPr="00E91512">
        <w:rPr>
          <w:rFonts w:ascii="Arial" w:hAnsi="Arial" w:cs="Arial"/>
          <w:sz w:val="24"/>
          <w:szCs w:val="24"/>
          <w:lang w:val="en-US"/>
        </w:rPr>
        <w:t xml:space="preserve"> 2017).</w:t>
      </w:r>
    </w:p>
    <w:p w14:paraId="602C688F" w14:textId="77777777" w:rsidR="00376A9E" w:rsidRPr="00E91512" w:rsidRDefault="00376A9E" w:rsidP="00E91512">
      <w:pPr>
        <w:spacing w:line="480" w:lineRule="auto"/>
        <w:rPr>
          <w:rFonts w:ascii="Arial" w:hAnsi="Arial" w:cs="Arial"/>
          <w:sz w:val="24"/>
          <w:szCs w:val="24"/>
          <w:lang w:val="en-US"/>
        </w:rPr>
      </w:pPr>
    </w:p>
    <w:p w14:paraId="5E0F3BD1" w14:textId="323F7FA3" w:rsidR="0089245A" w:rsidRPr="00E91512" w:rsidRDefault="0089245A" w:rsidP="00E91512">
      <w:pPr>
        <w:spacing w:line="480" w:lineRule="auto"/>
        <w:rPr>
          <w:rFonts w:ascii="Arial" w:hAnsi="Arial" w:cs="Arial"/>
          <w:sz w:val="24"/>
          <w:szCs w:val="24"/>
          <w:lang w:val="en-US"/>
        </w:rPr>
      </w:pPr>
      <w:r w:rsidRPr="00E91512">
        <w:rPr>
          <w:rFonts w:ascii="Arial" w:hAnsi="Arial" w:cs="Arial"/>
          <w:sz w:val="24"/>
          <w:szCs w:val="24"/>
          <w:lang w:val="en-US"/>
        </w:rPr>
        <w:t>The police have a duty to record any exhibit that is seized and provide copies of the record along with any photographs to the owner of the property (CPS, 2018). Section 22 (4) of PACE states that the power to retain an item is only necessary when a digit</w:t>
      </w:r>
      <w:r w:rsidR="000C4483" w:rsidRPr="00E91512">
        <w:rPr>
          <w:rFonts w:ascii="Arial" w:hAnsi="Arial" w:cs="Arial"/>
          <w:sz w:val="24"/>
          <w:szCs w:val="24"/>
          <w:lang w:val="en-US"/>
        </w:rPr>
        <w:t>al</w:t>
      </w:r>
      <w:r w:rsidRPr="00E91512">
        <w:rPr>
          <w:rFonts w:ascii="Arial" w:hAnsi="Arial" w:cs="Arial"/>
          <w:sz w:val="24"/>
          <w:szCs w:val="24"/>
          <w:lang w:val="en-US"/>
        </w:rPr>
        <w:t xml:space="preserve"> photograph is not sufficient, and it is important for the investigator to consider the likelihood of a digital photograph being accepted in court (Government, 2017).</w:t>
      </w:r>
    </w:p>
    <w:p w14:paraId="5C6D0B54" w14:textId="77777777" w:rsidR="0089245A" w:rsidRPr="00E91512" w:rsidRDefault="0089245A" w:rsidP="00E91512">
      <w:pPr>
        <w:spacing w:line="480" w:lineRule="auto"/>
        <w:rPr>
          <w:rFonts w:ascii="Arial" w:hAnsi="Arial" w:cs="Arial"/>
          <w:sz w:val="24"/>
          <w:szCs w:val="24"/>
          <w:lang w:val="en-US"/>
        </w:rPr>
      </w:pPr>
    </w:p>
    <w:p w14:paraId="4F2DFE1A" w14:textId="3D80FB84" w:rsidR="00DC5260" w:rsidRPr="00E91512" w:rsidRDefault="0089245A" w:rsidP="00E91512">
      <w:pPr>
        <w:spacing w:after="160" w:line="480" w:lineRule="auto"/>
        <w:rPr>
          <w:rFonts w:ascii="Arial" w:eastAsiaTheme="minorHAnsi" w:hAnsi="Arial" w:cs="Arial"/>
          <w:sz w:val="24"/>
          <w:szCs w:val="24"/>
          <w:lang w:val="en-US" w:eastAsia="en-US"/>
        </w:rPr>
      </w:pPr>
      <w:r w:rsidRPr="00E91512">
        <w:rPr>
          <w:rFonts w:ascii="Arial" w:hAnsi="Arial" w:cs="Arial"/>
          <w:sz w:val="24"/>
          <w:szCs w:val="24"/>
          <w:lang w:val="en-US"/>
        </w:rPr>
        <w:t xml:space="preserve">When handling exhibits it is critical that all legislation, </w:t>
      </w:r>
      <w:proofErr w:type="gramStart"/>
      <w:r w:rsidRPr="00E91512">
        <w:rPr>
          <w:rFonts w:ascii="Arial" w:hAnsi="Arial" w:cs="Arial"/>
          <w:sz w:val="24"/>
          <w:szCs w:val="24"/>
          <w:lang w:val="en-US"/>
        </w:rPr>
        <w:t>policies</w:t>
      </w:r>
      <w:proofErr w:type="gramEnd"/>
      <w:r w:rsidRPr="00E91512">
        <w:rPr>
          <w:rFonts w:ascii="Arial" w:hAnsi="Arial" w:cs="Arial"/>
          <w:sz w:val="24"/>
          <w:szCs w:val="24"/>
          <w:lang w:val="en-US"/>
        </w:rPr>
        <w:t xml:space="preserve"> and procedures are adhered to. The police have a duty of care to include a clear audit trail, detailed descriptions and take correct care of the exhibit as it is a person’s property that they are handling (Metropolitan Police, 2018). </w:t>
      </w:r>
      <w:r w:rsidRPr="00E91512">
        <w:rPr>
          <w:rFonts w:ascii="Arial" w:eastAsiaTheme="minorHAnsi" w:hAnsi="Arial" w:cs="Arial"/>
          <w:sz w:val="24"/>
          <w:szCs w:val="24"/>
          <w:lang w:val="en-US" w:eastAsia="en-US"/>
        </w:rPr>
        <w:t xml:space="preserve">Appropriate packaging such as tamper </w:t>
      </w:r>
      <w:r w:rsidRPr="00E91512">
        <w:rPr>
          <w:rFonts w:ascii="Arial" w:eastAsiaTheme="minorHAnsi" w:hAnsi="Arial" w:cs="Arial"/>
          <w:sz w:val="24"/>
          <w:szCs w:val="24"/>
          <w:lang w:val="en-US" w:eastAsia="en-US"/>
        </w:rPr>
        <w:lastRenderedPageBreak/>
        <w:t>eviden</w:t>
      </w:r>
      <w:r w:rsidR="0032143F">
        <w:rPr>
          <w:rFonts w:ascii="Arial" w:eastAsiaTheme="minorHAnsi" w:hAnsi="Arial" w:cs="Arial"/>
          <w:sz w:val="24"/>
          <w:szCs w:val="24"/>
          <w:lang w:val="en-US" w:eastAsia="en-US"/>
        </w:rPr>
        <w:t>ce</w:t>
      </w:r>
      <w:r w:rsidRPr="00E91512">
        <w:rPr>
          <w:rFonts w:ascii="Arial" w:eastAsiaTheme="minorHAnsi" w:hAnsi="Arial" w:cs="Arial"/>
          <w:sz w:val="24"/>
          <w:szCs w:val="24"/>
          <w:lang w:val="en-US" w:eastAsia="en-US"/>
        </w:rPr>
        <w:t xml:space="preserve"> exhibit bags need to be used correctly ensuring all labels are attached with the information recorded accurately (Metropolitan police, 2017).</w:t>
      </w:r>
      <w:r w:rsidR="00DC5260" w:rsidRPr="00E91512">
        <w:rPr>
          <w:rFonts w:ascii="Arial" w:eastAsiaTheme="minorHAnsi" w:hAnsi="Arial" w:cs="Arial"/>
          <w:sz w:val="24"/>
          <w:szCs w:val="24"/>
          <w:lang w:val="en-US" w:eastAsia="en-US"/>
        </w:rPr>
        <w:t xml:space="preserve"> According to Balk (2015), it is important to </w:t>
      </w:r>
      <w:r w:rsidR="00DC5260" w:rsidRPr="0032143F">
        <w:rPr>
          <w:rFonts w:ascii="Arial" w:eastAsiaTheme="minorHAnsi" w:hAnsi="Arial" w:cs="Arial"/>
          <w:sz w:val="24"/>
          <w:szCs w:val="24"/>
          <w:lang w:val="en-US" w:eastAsia="en-US"/>
        </w:rPr>
        <w:t xml:space="preserve">use the correct packaging </w:t>
      </w:r>
      <w:r w:rsidR="0032143F" w:rsidRPr="0032143F">
        <w:rPr>
          <w:rFonts w:ascii="Arial" w:eastAsiaTheme="minorHAnsi" w:hAnsi="Arial" w:cs="Arial"/>
          <w:sz w:val="24"/>
          <w:szCs w:val="24"/>
          <w:lang w:val="en-US" w:eastAsia="en-US"/>
        </w:rPr>
        <w:t xml:space="preserve">techniques </w:t>
      </w:r>
      <w:r w:rsidR="0032143F">
        <w:rPr>
          <w:rFonts w:ascii="Arial" w:eastAsiaTheme="minorHAnsi" w:hAnsi="Arial" w:cs="Arial"/>
          <w:sz w:val="24"/>
          <w:szCs w:val="24"/>
          <w:lang w:val="en-US" w:eastAsia="en-US"/>
        </w:rPr>
        <w:t xml:space="preserve">when seizing exhibits </w:t>
      </w:r>
      <w:r w:rsidR="00DC5260" w:rsidRPr="0032143F">
        <w:rPr>
          <w:rFonts w:ascii="Arial" w:eastAsiaTheme="minorHAnsi" w:hAnsi="Arial" w:cs="Arial"/>
          <w:sz w:val="24"/>
          <w:szCs w:val="24"/>
          <w:lang w:val="en-US" w:eastAsia="en-US"/>
        </w:rPr>
        <w:t xml:space="preserve">as ignorance </w:t>
      </w:r>
      <w:r w:rsidR="00DC5260" w:rsidRPr="00E91512">
        <w:rPr>
          <w:rFonts w:ascii="Arial" w:eastAsiaTheme="minorHAnsi" w:hAnsi="Arial" w:cs="Arial"/>
          <w:sz w:val="24"/>
          <w:szCs w:val="24"/>
          <w:lang w:val="en-US" w:eastAsia="en-US"/>
        </w:rPr>
        <w:t>to this procedure can lead to evidence being lost by the time it has arrived at the laboratory.</w:t>
      </w:r>
    </w:p>
    <w:p w14:paraId="0976BB5D" w14:textId="2B799F17" w:rsidR="0089245A" w:rsidRPr="00E91512" w:rsidRDefault="0089245A" w:rsidP="00E91512">
      <w:pPr>
        <w:spacing w:line="480" w:lineRule="auto"/>
        <w:rPr>
          <w:rFonts w:ascii="Arial" w:hAnsi="Arial" w:cs="Arial"/>
          <w:sz w:val="24"/>
          <w:szCs w:val="24"/>
          <w:lang w:val="en-US"/>
        </w:rPr>
      </w:pPr>
    </w:p>
    <w:p w14:paraId="01CA6F43" w14:textId="145AC61F" w:rsidR="0025103A" w:rsidRPr="00E91512" w:rsidRDefault="0025103A" w:rsidP="00E91512">
      <w:pPr>
        <w:spacing w:line="480" w:lineRule="auto"/>
        <w:rPr>
          <w:rFonts w:ascii="Arial" w:hAnsi="Arial" w:cs="Arial"/>
          <w:sz w:val="24"/>
          <w:szCs w:val="24"/>
          <w:lang w:val="en-US"/>
        </w:rPr>
      </w:pPr>
      <w:r w:rsidRPr="00E91512">
        <w:rPr>
          <w:rFonts w:ascii="Arial" w:hAnsi="Arial" w:cs="Arial"/>
          <w:sz w:val="24"/>
          <w:szCs w:val="24"/>
          <w:lang w:val="en-US"/>
        </w:rPr>
        <w:t>Once the exhibit arrive</w:t>
      </w:r>
      <w:r w:rsidR="009331CE">
        <w:rPr>
          <w:rFonts w:ascii="Arial" w:hAnsi="Arial" w:cs="Arial"/>
          <w:sz w:val="24"/>
          <w:szCs w:val="24"/>
          <w:lang w:val="en-US"/>
        </w:rPr>
        <w:t>s</w:t>
      </w:r>
      <w:r w:rsidRPr="00E91512">
        <w:rPr>
          <w:rFonts w:ascii="Arial" w:hAnsi="Arial" w:cs="Arial"/>
          <w:sz w:val="24"/>
          <w:szCs w:val="24"/>
          <w:lang w:val="en-US"/>
        </w:rPr>
        <w:t xml:space="preserve"> at the station it is the Officer in charge (OIC) responsibility to ensure all property is entered onto the property system and all relevant information is recorded such as the reason for retention, the custody record number, crime record number, details of the owner of the property (including name, address and telephone number) if the exhibit requires to be photographed by a Forensic science investigator (FSI) or if the FSI has been requested to examine the property for forensic purposes (West Midlands Police, 2012). </w:t>
      </w:r>
      <w:r w:rsidR="001650C9" w:rsidRPr="00E91512">
        <w:rPr>
          <w:rFonts w:ascii="Arial" w:hAnsi="Arial" w:cs="Arial"/>
          <w:sz w:val="24"/>
          <w:szCs w:val="24"/>
          <w:lang w:val="en-US"/>
        </w:rPr>
        <w:t xml:space="preserve"> It is important to consider that not all evidence is stored in the same way, for example a </w:t>
      </w:r>
      <w:r w:rsidR="001650C9" w:rsidRPr="0032143F">
        <w:rPr>
          <w:rFonts w:ascii="Arial" w:hAnsi="Arial" w:cs="Arial"/>
          <w:sz w:val="24"/>
          <w:szCs w:val="24"/>
          <w:lang w:val="en-US"/>
        </w:rPr>
        <w:t>firearm</w:t>
      </w:r>
      <w:r w:rsidR="001650C9" w:rsidRPr="00E91512">
        <w:rPr>
          <w:rFonts w:ascii="Arial" w:hAnsi="Arial" w:cs="Arial"/>
          <w:sz w:val="24"/>
          <w:szCs w:val="24"/>
          <w:lang w:val="en-US"/>
        </w:rPr>
        <w:t xml:space="preserve"> may be placed in stores whereas keys to a property need to be placed on a separate system to ensure accountability </w:t>
      </w:r>
      <w:r w:rsidR="00EA6FA3" w:rsidRPr="00E91512">
        <w:rPr>
          <w:rFonts w:ascii="Arial" w:hAnsi="Arial" w:cs="Arial"/>
          <w:sz w:val="24"/>
          <w:szCs w:val="24"/>
          <w:lang w:val="en-US"/>
        </w:rPr>
        <w:t xml:space="preserve">from officers </w:t>
      </w:r>
      <w:r w:rsidR="001650C9" w:rsidRPr="00E91512">
        <w:rPr>
          <w:rFonts w:ascii="Arial" w:hAnsi="Arial" w:cs="Arial"/>
          <w:sz w:val="24"/>
          <w:szCs w:val="24"/>
          <w:lang w:val="en-US"/>
        </w:rPr>
        <w:t xml:space="preserve">and </w:t>
      </w:r>
      <w:r w:rsidR="00EA6FA3" w:rsidRPr="00E91512">
        <w:rPr>
          <w:rFonts w:ascii="Arial" w:hAnsi="Arial" w:cs="Arial"/>
          <w:sz w:val="24"/>
          <w:szCs w:val="24"/>
          <w:lang w:val="en-US"/>
        </w:rPr>
        <w:t xml:space="preserve">an </w:t>
      </w:r>
      <w:r w:rsidR="001650C9" w:rsidRPr="00E91512">
        <w:rPr>
          <w:rFonts w:ascii="Arial" w:hAnsi="Arial" w:cs="Arial"/>
          <w:sz w:val="24"/>
          <w:szCs w:val="24"/>
          <w:lang w:val="en-US"/>
        </w:rPr>
        <w:t>audit</w:t>
      </w:r>
      <w:r w:rsidR="00EA6FA3" w:rsidRPr="00E91512">
        <w:rPr>
          <w:rFonts w:ascii="Arial" w:hAnsi="Arial" w:cs="Arial"/>
          <w:sz w:val="24"/>
          <w:szCs w:val="24"/>
          <w:lang w:val="en-US"/>
        </w:rPr>
        <w:t xml:space="preserve"> of</w:t>
      </w:r>
      <w:r w:rsidR="001650C9" w:rsidRPr="00E91512">
        <w:rPr>
          <w:rFonts w:ascii="Arial" w:hAnsi="Arial" w:cs="Arial"/>
          <w:sz w:val="24"/>
          <w:szCs w:val="24"/>
          <w:lang w:val="en-US"/>
        </w:rPr>
        <w:t xml:space="preserve"> access to the property (Merseyside police, 2018).</w:t>
      </w:r>
    </w:p>
    <w:p w14:paraId="1FEA857D" w14:textId="00EF1CB2" w:rsidR="008E3229" w:rsidRPr="00E91512" w:rsidRDefault="008E3229" w:rsidP="00E91512">
      <w:pPr>
        <w:spacing w:line="480" w:lineRule="auto"/>
        <w:rPr>
          <w:rFonts w:ascii="Arial" w:hAnsi="Arial" w:cs="Arial"/>
          <w:sz w:val="24"/>
          <w:szCs w:val="24"/>
          <w:lang w:val="en-US"/>
        </w:rPr>
      </w:pPr>
    </w:p>
    <w:p w14:paraId="69F7DB98" w14:textId="30EBEA34" w:rsidR="0089245A" w:rsidRDefault="008E3229" w:rsidP="00E91512">
      <w:pPr>
        <w:spacing w:line="480" w:lineRule="auto"/>
        <w:rPr>
          <w:rFonts w:ascii="Arial" w:hAnsi="Arial" w:cs="Arial"/>
          <w:sz w:val="24"/>
          <w:szCs w:val="24"/>
          <w:lang w:val="en-US"/>
        </w:rPr>
      </w:pPr>
      <w:r w:rsidRPr="00E91512">
        <w:rPr>
          <w:rFonts w:ascii="Arial" w:hAnsi="Arial" w:cs="Arial"/>
          <w:sz w:val="24"/>
          <w:szCs w:val="24"/>
          <w:lang w:val="en-US"/>
        </w:rPr>
        <w:t xml:space="preserve">All </w:t>
      </w:r>
      <w:r w:rsidR="00BE7A16" w:rsidRPr="00E91512">
        <w:rPr>
          <w:rFonts w:ascii="Arial" w:hAnsi="Arial" w:cs="Arial"/>
          <w:sz w:val="24"/>
          <w:szCs w:val="24"/>
          <w:lang w:val="en-US"/>
        </w:rPr>
        <w:t xml:space="preserve">forensic </w:t>
      </w:r>
      <w:r w:rsidRPr="00E91512">
        <w:rPr>
          <w:rFonts w:ascii="Arial" w:hAnsi="Arial" w:cs="Arial"/>
          <w:sz w:val="24"/>
          <w:szCs w:val="24"/>
          <w:lang w:val="en-US"/>
        </w:rPr>
        <w:t>laboratories involved in the criminal justice system, both private or inhouse, are regulated by the Forensic Science Regulator (FSR) who set up strict polic</w:t>
      </w:r>
      <w:r w:rsidR="00852E19" w:rsidRPr="00E91512">
        <w:rPr>
          <w:rFonts w:ascii="Arial" w:hAnsi="Arial" w:cs="Arial"/>
          <w:sz w:val="24"/>
          <w:szCs w:val="24"/>
          <w:lang w:val="en-US"/>
        </w:rPr>
        <w:t>ies</w:t>
      </w:r>
      <w:r w:rsidRPr="00E91512">
        <w:rPr>
          <w:rFonts w:ascii="Arial" w:hAnsi="Arial" w:cs="Arial"/>
          <w:sz w:val="24"/>
          <w:szCs w:val="24"/>
          <w:lang w:val="en-US"/>
        </w:rPr>
        <w:t xml:space="preserve"> and procedures t</w:t>
      </w:r>
      <w:r w:rsidR="00852E19" w:rsidRPr="00E91512">
        <w:rPr>
          <w:rFonts w:ascii="Arial" w:hAnsi="Arial" w:cs="Arial"/>
          <w:sz w:val="24"/>
          <w:szCs w:val="24"/>
          <w:lang w:val="en-US"/>
        </w:rPr>
        <w:t>o ensure a high standard of compliance is met across the board (</w:t>
      </w:r>
      <w:r w:rsidR="009331CE">
        <w:rPr>
          <w:rFonts w:ascii="Arial" w:hAnsi="Arial" w:cs="Arial"/>
          <w:sz w:val="24"/>
          <w:szCs w:val="24"/>
          <w:lang w:val="en-US"/>
        </w:rPr>
        <w:t>F</w:t>
      </w:r>
      <w:r w:rsidR="00852E19" w:rsidRPr="00E91512">
        <w:rPr>
          <w:rFonts w:ascii="Arial" w:hAnsi="Arial" w:cs="Arial"/>
          <w:sz w:val="24"/>
          <w:szCs w:val="24"/>
          <w:lang w:val="en-US"/>
        </w:rPr>
        <w:t xml:space="preserve">orensic </w:t>
      </w:r>
      <w:r w:rsidR="009331CE">
        <w:rPr>
          <w:rFonts w:ascii="Arial" w:hAnsi="Arial" w:cs="Arial"/>
          <w:sz w:val="24"/>
          <w:szCs w:val="24"/>
          <w:lang w:val="en-US"/>
        </w:rPr>
        <w:t>S</w:t>
      </w:r>
      <w:r w:rsidR="00852E19" w:rsidRPr="00E91512">
        <w:rPr>
          <w:rFonts w:ascii="Arial" w:hAnsi="Arial" w:cs="Arial"/>
          <w:sz w:val="24"/>
          <w:szCs w:val="24"/>
          <w:lang w:val="en-US"/>
        </w:rPr>
        <w:t xml:space="preserve">cience </w:t>
      </w:r>
      <w:r w:rsidR="009331CE">
        <w:rPr>
          <w:rFonts w:ascii="Arial" w:hAnsi="Arial" w:cs="Arial"/>
          <w:sz w:val="24"/>
          <w:szCs w:val="24"/>
          <w:lang w:val="en-US"/>
        </w:rPr>
        <w:t>R</w:t>
      </w:r>
      <w:r w:rsidR="00852E19" w:rsidRPr="00E91512">
        <w:rPr>
          <w:rFonts w:ascii="Arial" w:hAnsi="Arial" w:cs="Arial"/>
          <w:sz w:val="24"/>
          <w:szCs w:val="24"/>
          <w:lang w:val="en-US"/>
        </w:rPr>
        <w:t>egulator,</w:t>
      </w:r>
      <w:r w:rsidR="009331CE">
        <w:rPr>
          <w:rFonts w:ascii="Arial" w:hAnsi="Arial" w:cs="Arial"/>
          <w:sz w:val="24"/>
          <w:szCs w:val="24"/>
          <w:lang w:val="en-US"/>
        </w:rPr>
        <w:t xml:space="preserve"> </w:t>
      </w:r>
      <w:r w:rsidR="00852E19" w:rsidRPr="00E91512">
        <w:rPr>
          <w:rFonts w:ascii="Arial" w:hAnsi="Arial" w:cs="Arial"/>
          <w:sz w:val="24"/>
          <w:szCs w:val="24"/>
          <w:lang w:val="en-US"/>
        </w:rPr>
        <w:t>2020). Although these codes of practice are employed, there has still been cases of exhibits being contaminated leading to collapsed cases and more disturbing</w:t>
      </w:r>
      <w:r w:rsidR="00210263" w:rsidRPr="00E91512">
        <w:rPr>
          <w:rFonts w:ascii="Arial" w:hAnsi="Arial" w:cs="Arial"/>
          <w:sz w:val="24"/>
          <w:szCs w:val="24"/>
          <w:lang w:val="en-US"/>
        </w:rPr>
        <w:t>ly</w:t>
      </w:r>
      <w:r w:rsidR="00852E19" w:rsidRPr="00E91512">
        <w:rPr>
          <w:rFonts w:ascii="Arial" w:hAnsi="Arial" w:cs="Arial"/>
          <w:sz w:val="24"/>
          <w:szCs w:val="24"/>
          <w:lang w:val="en-US"/>
        </w:rPr>
        <w:t xml:space="preserve">, miscarriages of justice (Walker, 2012). An example of this is found in the case of Adam Scott who was wrongfully on a rape charge for five months. Scott was accused of committing rape in a city he had </w:t>
      </w:r>
      <w:proofErr w:type="gramStart"/>
      <w:r w:rsidR="00852E19" w:rsidRPr="00E91512">
        <w:rPr>
          <w:rFonts w:ascii="Arial" w:hAnsi="Arial" w:cs="Arial"/>
          <w:sz w:val="24"/>
          <w:szCs w:val="24"/>
          <w:lang w:val="en-US"/>
        </w:rPr>
        <w:lastRenderedPageBreak/>
        <w:t>actually never</w:t>
      </w:r>
      <w:proofErr w:type="gramEnd"/>
      <w:r w:rsidR="00852E19" w:rsidRPr="00E91512">
        <w:rPr>
          <w:rFonts w:ascii="Arial" w:hAnsi="Arial" w:cs="Arial"/>
          <w:sz w:val="24"/>
          <w:szCs w:val="24"/>
          <w:lang w:val="en-US"/>
        </w:rPr>
        <w:t xml:space="preserve"> visited</w:t>
      </w:r>
      <w:r w:rsidR="00210263" w:rsidRPr="00E91512">
        <w:rPr>
          <w:rFonts w:ascii="Arial" w:hAnsi="Arial" w:cs="Arial"/>
          <w:sz w:val="24"/>
          <w:szCs w:val="24"/>
          <w:lang w:val="en-US"/>
        </w:rPr>
        <w:t>, 190 miles away from his home. Scott was not part of the investigation until DNA from the scene was sent to the laboratory. The laboratory admitted error and along with mobile phone records that place</w:t>
      </w:r>
      <w:r w:rsidR="00B72D21" w:rsidRPr="00E91512">
        <w:rPr>
          <w:rFonts w:ascii="Arial" w:hAnsi="Arial" w:cs="Arial"/>
          <w:sz w:val="24"/>
          <w:szCs w:val="24"/>
          <w:lang w:val="en-US"/>
        </w:rPr>
        <w:t>d</w:t>
      </w:r>
      <w:r w:rsidR="00210263" w:rsidRPr="00E91512">
        <w:rPr>
          <w:rFonts w:ascii="Arial" w:hAnsi="Arial" w:cs="Arial"/>
          <w:sz w:val="24"/>
          <w:szCs w:val="24"/>
          <w:lang w:val="en-US"/>
        </w:rPr>
        <w:t xml:space="preserve"> Scott </w:t>
      </w:r>
      <w:r w:rsidR="00B72D21" w:rsidRPr="00E91512">
        <w:rPr>
          <w:rFonts w:ascii="Arial" w:hAnsi="Arial" w:cs="Arial"/>
          <w:sz w:val="24"/>
          <w:szCs w:val="24"/>
          <w:lang w:val="en-US"/>
        </w:rPr>
        <w:t>at</w:t>
      </w:r>
      <w:r w:rsidR="00210263" w:rsidRPr="00E91512">
        <w:rPr>
          <w:rFonts w:ascii="Arial" w:hAnsi="Arial" w:cs="Arial"/>
          <w:sz w:val="24"/>
          <w:szCs w:val="24"/>
          <w:lang w:val="en-US"/>
        </w:rPr>
        <w:t xml:space="preserve"> his </w:t>
      </w:r>
      <w:proofErr w:type="gramStart"/>
      <w:r w:rsidR="00210263" w:rsidRPr="00E91512">
        <w:rPr>
          <w:rFonts w:ascii="Arial" w:hAnsi="Arial" w:cs="Arial"/>
          <w:sz w:val="24"/>
          <w:szCs w:val="24"/>
          <w:lang w:val="en-US"/>
        </w:rPr>
        <w:t>home town</w:t>
      </w:r>
      <w:proofErr w:type="gramEnd"/>
      <w:r w:rsidR="00210263" w:rsidRPr="00E91512">
        <w:rPr>
          <w:rFonts w:ascii="Arial" w:hAnsi="Arial" w:cs="Arial"/>
          <w:sz w:val="24"/>
          <w:szCs w:val="24"/>
          <w:lang w:val="en-US"/>
        </w:rPr>
        <w:t xml:space="preserve"> at the time of the rape, he was acquitted of </w:t>
      </w:r>
      <w:r w:rsidR="009331CE">
        <w:rPr>
          <w:rFonts w:ascii="Arial" w:hAnsi="Arial" w:cs="Arial"/>
          <w:sz w:val="24"/>
          <w:szCs w:val="24"/>
          <w:lang w:val="en-US"/>
        </w:rPr>
        <w:t>all</w:t>
      </w:r>
      <w:r w:rsidR="00210263" w:rsidRPr="00E91512">
        <w:rPr>
          <w:rFonts w:ascii="Arial" w:hAnsi="Arial" w:cs="Arial"/>
          <w:sz w:val="24"/>
          <w:szCs w:val="24"/>
          <w:lang w:val="en-US"/>
        </w:rPr>
        <w:t xml:space="preserve"> charge</w:t>
      </w:r>
      <w:r w:rsidR="009331CE">
        <w:rPr>
          <w:rFonts w:ascii="Arial" w:hAnsi="Arial" w:cs="Arial"/>
          <w:sz w:val="24"/>
          <w:szCs w:val="24"/>
          <w:lang w:val="en-US"/>
        </w:rPr>
        <w:t>’s</w:t>
      </w:r>
      <w:r w:rsidR="00210263" w:rsidRPr="00E91512">
        <w:rPr>
          <w:rFonts w:ascii="Arial" w:hAnsi="Arial" w:cs="Arial"/>
          <w:sz w:val="24"/>
          <w:szCs w:val="24"/>
          <w:lang w:val="en-US"/>
        </w:rPr>
        <w:t>. Sources believe the error occurred when the v</w:t>
      </w:r>
      <w:r w:rsidR="00B72D21" w:rsidRPr="00E91512">
        <w:rPr>
          <w:rFonts w:ascii="Arial" w:hAnsi="Arial" w:cs="Arial"/>
          <w:sz w:val="24"/>
          <w:szCs w:val="24"/>
          <w:lang w:val="en-US"/>
        </w:rPr>
        <w:t>ial</w:t>
      </w:r>
      <w:r w:rsidR="00210263" w:rsidRPr="00E91512">
        <w:rPr>
          <w:rFonts w:ascii="Arial" w:hAnsi="Arial" w:cs="Arial"/>
          <w:sz w:val="24"/>
          <w:szCs w:val="24"/>
          <w:lang w:val="en-US"/>
        </w:rPr>
        <w:t xml:space="preserve"> of DNA taken from the scene was put with a batch of other vials for testing and this is where the contamination took place (Dodd </w:t>
      </w:r>
      <w:r w:rsidR="00210263" w:rsidRPr="009331CE">
        <w:rPr>
          <w:rFonts w:ascii="Arial" w:hAnsi="Arial" w:cs="Arial"/>
          <w:i/>
          <w:iCs/>
          <w:sz w:val="24"/>
          <w:szCs w:val="24"/>
          <w:lang w:val="en-US"/>
        </w:rPr>
        <w:t>et al</w:t>
      </w:r>
      <w:r w:rsidR="009331CE" w:rsidRPr="009331CE">
        <w:rPr>
          <w:rFonts w:ascii="Arial" w:hAnsi="Arial" w:cs="Arial"/>
          <w:i/>
          <w:iCs/>
          <w:sz w:val="24"/>
          <w:szCs w:val="24"/>
          <w:lang w:val="en-US"/>
        </w:rPr>
        <w:t>.</w:t>
      </w:r>
      <w:r w:rsidR="00210263" w:rsidRPr="00E91512">
        <w:rPr>
          <w:rFonts w:ascii="Arial" w:hAnsi="Arial" w:cs="Arial"/>
          <w:sz w:val="24"/>
          <w:szCs w:val="24"/>
          <w:lang w:val="en-US"/>
        </w:rPr>
        <w:t xml:space="preserve"> 2012).</w:t>
      </w:r>
    </w:p>
    <w:p w14:paraId="65849412" w14:textId="77777777" w:rsidR="009331CE" w:rsidRPr="00E91512" w:rsidRDefault="009331CE" w:rsidP="00E91512">
      <w:pPr>
        <w:spacing w:line="480" w:lineRule="auto"/>
        <w:rPr>
          <w:rFonts w:ascii="Arial" w:hAnsi="Arial" w:cs="Arial"/>
          <w:sz w:val="24"/>
          <w:szCs w:val="24"/>
          <w:lang w:val="en-US"/>
        </w:rPr>
      </w:pPr>
    </w:p>
    <w:p w14:paraId="089FA9A3" w14:textId="1961D795" w:rsidR="0089245A" w:rsidRPr="00E91512" w:rsidRDefault="0089245A" w:rsidP="00E91512">
      <w:pPr>
        <w:spacing w:line="480" w:lineRule="auto"/>
        <w:rPr>
          <w:rFonts w:ascii="Arial" w:hAnsi="Arial" w:cs="Arial"/>
          <w:sz w:val="24"/>
          <w:szCs w:val="24"/>
          <w:lang w:val="en-US"/>
        </w:rPr>
      </w:pPr>
      <w:r w:rsidRPr="00E91512">
        <w:rPr>
          <w:rFonts w:ascii="Arial" w:hAnsi="Arial" w:cs="Arial"/>
          <w:sz w:val="24"/>
          <w:szCs w:val="24"/>
          <w:lang w:val="en-US"/>
        </w:rPr>
        <w:t>Section 22 of PACE requires that exhibits only be retained in custody for the necessary time needed and must be returned to the owner when it is no longer required. Special consideration needs to be paid to perishable items and items that can lose value whilst in custody (Metropolitan police, 2018).</w:t>
      </w:r>
      <w:r w:rsidR="000C4483" w:rsidRPr="00E91512">
        <w:rPr>
          <w:rFonts w:ascii="Arial" w:hAnsi="Arial" w:cs="Arial"/>
          <w:sz w:val="24"/>
          <w:szCs w:val="24"/>
          <w:lang w:val="en-US"/>
        </w:rPr>
        <w:t xml:space="preserve"> It is the prosecutions responsibility to handle exhibits correctly to maintain the evidential integrity until it arrives at court. Continuity of the exhibit is needed in order for it to bring value to the case which starts from the moment the item is seized, transported, stored in custody, at the laboratory for testing until the moment it is presented in court</w:t>
      </w:r>
      <w:r w:rsidR="006D6F8D" w:rsidRPr="00E91512">
        <w:rPr>
          <w:rFonts w:ascii="Arial" w:hAnsi="Arial" w:cs="Arial"/>
          <w:sz w:val="24"/>
          <w:szCs w:val="24"/>
          <w:lang w:val="en-US"/>
        </w:rPr>
        <w:t>. This is also known as the chain of continuity</w:t>
      </w:r>
      <w:r w:rsidR="000C4483" w:rsidRPr="00E91512">
        <w:rPr>
          <w:rFonts w:ascii="Arial" w:hAnsi="Arial" w:cs="Arial"/>
          <w:sz w:val="24"/>
          <w:szCs w:val="24"/>
          <w:lang w:val="en-US"/>
        </w:rPr>
        <w:t xml:space="preserve"> (Health and safety executive, 2020).</w:t>
      </w:r>
      <w:r w:rsidR="006D6F8D" w:rsidRPr="00E91512">
        <w:rPr>
          <w:rFonts w:ascii="Arial" w:hAnsi="Arial" w:cs="Arial"/>
          <w:sz w:val="24"/>
          <w:szCs w:val="24"/>
          <w:lang w:val="en-US"/>
        </w:rPr>
        <w:t xml:space="preserve"> </w:t>
      </w:r>
      <w:r w:rsidR="006F27F5" w:rsidRPr="00E91512">
        <w:rPr>
          <w:rFonts w:ascii="Arial" w:hAnsi="Arial" w:cs="Arial"/>
          <w:sz w:val="24"/>
          <w:szCs w:val="24"/>
          <w:lang w:val="en-US"/>
        </w:rPr>
        <w:t xml:space="preserve">It is important to note that the storage of items in custody contributes to the continuity of the exhibit. Considerations include deterioration of the exhibit, </w:t>
      </w:r>
      <w:proofErr w:type="gramStart"/>
      <w:r w:rsidR="006F27F5" w:rsidRPr="00E91512">
        <w:rPr>
          <w:rFonts w:ascii="Arial" w:hAnsi="Arial" w:cs="Arial"/>
          <w:sz w:val="24"/>
          <w:szCs w:val="24"/>
          <w:lang w:val="en-US"/>
        </w:rPr>
        <w:t>contamination</w:t>
      </w:r>
      <w:proofErr w:type="gramEnd"/>
      <w:r w:rsidR="006F27F5" w:rsidRPr="00E91512">
        <w:rPr>
          <w:rFonts w:ascii="Arial" w:hAnsi="Arial" w:cs="Arial"/>
          <w:sz w:val="24"/>
          <w:szCs w:val="24"/>
          <w:lang w:val="en-US"/>
        </w:rPr>
        <w:t xml:space="preserve"> and avoidance of any external interference for example in the event of a flood or power cut (Government, 2017). </w:t>
      </w:r>
    </w:p>
    <w:p w14:paraId="6507B484" w14:textId="34B19087" w:rsidR="0089245A" w:rsidRPr="00E91512" w:rsidRDefault="0089245A" w:rsidP="00E91512">
      <w:pPr>
        <w:spacing w:line="480" w:lineRule="auto"/>
        <w:rPr>
          <w:rFonts w:ascii="Arial" w:hAnsi="Arial" w:cs="Arial"/>
          <w:sz w:val="24"/>
          <w:szCs w:val="24"/>
          <w:lang w:val="en-US"/>
        </w:rPr>
      </w:pPr>
    </w:p>
    <w:p w14:paraId="382D12FB" w14:textId="36D3073C" w:rsidR="00302CCE" w:rsidRPr="00E91512" w:rsidRDefault="006D6F8D" w:rsidP="00E91512">
      <w:pPr>
        <w:spacing w:line="480" w:lineRule="auto"/>
        <w:rPr>
          <w:rFonts w:ascii="Arial" w:hAnsi="Arial" w:cs="Arial"/>
          <w:sz w:val="24"/>
          <w:szCs w:val="24"/>
          <w:lang w:val="en-US"/>
        </w:rPr>
      </w:pPr>
      <w:r w:rsidRPr="00E91512">
        <w:rPr>
          <w:rFonts w:ascii="Arial" w:hAnsi="Arial" w:cs="Arial"/>
          <w:sz w:val="24"/>
          <w:szCs w:val="24"/>
          <w:lang w:val="en-US"/>
        </w:rPr>
        <w:t xml:space="preserve">Although factors such as contamination of evidence and a broken chain of continuity will have a negative impact on the case, </w:t>
      </w:r>
      <w:r w:rsidR="00302CCE" w:rsidRPr="00E91512">
        <w:rPr>
          <w:rFonts w:ascii="Arial" w:hAnsi="Arial" w:cs="Arial"/>
          <w:sz w:val="24"/>
          <w:szCs w:val="24"/>
          <w:lang w:val="en-US"/>
        </w:rPr>
        <w:t xml:space="preserve">obtaining evidence unlawfully can lead to the court dismissing evidence, it is therefore important for officers to ensure they </w:t>
      </w:r>
      <w:r w:rsidR="00302CCE" w:rsidRPr="00E91512">
        <w:rPr>
          <w:rFonts w:ascii="Arial" w:hAnsi="Arial" w:cs="Arial"/>
          <w:sz w:val="24"/>
          <w:szCs w:val="24"/>
          <w:lang w:val="en-US"/>
        </w:rPr>
        <w:lastRenderedPageBreak/>
        <w:t>obtain a search warrant</w:t>
      </w:r>
      <w:r w:rsidR="00110178" w:rsidRPr="00E91512">
        <w:rPr>
          <w:rFonts w:ascii="Arial" w:hAnsi="Arial" w:cs="Arial"/>
          <w:sz w:val="24"/>
          <w:szCs w:val="24"/>
          <w:lang w:val="en-US"/>
        </w:rPr>
        <w:t xml:space="preserve"> when necessary,</w:t>
      </w:r>
      <w:r w:rsidR="00302CCE" w:rsidRPr="00E91512">
        <w:rPr>
          <w:rFonts w:ascii="Arial" w:hAnsi="Arial" w:cs="Arial"/>
          <w:sz w:val="24"/>
          <w:szCs w:val="24"/>
          <w:lang w:val="en-US"/>
        </w:rPr>
        <w:t xml:space="preserve"> before seizing any goods (Government, 2020).</w:t>
      </w:r>
    </w:p>
    <w:p w14:paraId="5D7AB45A" w14:textId="093E5AC6" w:rsidR="006D6F8D" w:rsidRPr="00E91512" w:rsidRDefault="006D6F8D" w:rsidP="00E91512">
      <w:pPr>
        <w:spacing w:line="480" w:lineRule="auto"/>
        <w:rPr>
          <w:rFonts w:ascii="Arial" w:hAnsi="Arial" w:cs="Arial"/>
          <w:sz w:val="24"/>
          <w:szCs w:val="24"/>
          <w:lang w:val="en-US"/>
        </w:rPr>
      </w:pPr>
      <w:r w:rsidRPr="00E91512">
        <w:rPr>
          <w:rFonts w:ascii="Arial" w:hAnsi="Arial" w:cs="Arial"/>
          <w:sz w:val="24"/>
          <w:szCs w:val="24"/>
          <w:lang w:val="en-US"/>
        </w:rPr>
        <w:t xml:space="preserve"> </w:t>
      </w:r>
    </w:p>
    <w:p w14:paraId="703B7A3A" w14:textId="2A3165CF" w:rsidR="0089245A" w:rsidRPr="00E91512" w:rsidRDefault="0089245A" w:rsidP="00E91512">
      <w:pPr>
        <w:spacing w:line="480" w:lineRule="auto"/>
        <w:rPr>
          <w:rFonts w:ascii="Arial" w:hAnsi="Arial" w:cs="Arial"/>
          <w:sz w:val="24"/>
          <w:szCs w:val="24"/>
          <w:lang w:val="en-US"/>
        </w:rPr>
      </w:pPr>
      <w:r w:rsidRPr="00E91512">
        <w:rPr>
          <w:rFonts w:ascii="Arial" w:hAnsi="Arial" w:cs="Arial"/>
          <w:sz w:val="24"/>
          <w:szCs w:val="24"/>
          <w:lang w:val="en-US"/>
        </w:rPr>
        <w:t>According to Bradbury (2005)</w:t>
      </w:r>
      <w:r w:rsidR="00B72D21" w:rsidRPr="00E91512">
        <w:rPr>
          <w:rFonts w:ascii="Arial" w:hAnsi="Arial" w:cs="Arial"/>
          <w:sz w:val="24"/>
          <w:szCs w:val="24"/>
          <w:lang w:val="en-US"/>
        </w:rPr>
        <w:t xml:space="preserve">, </w:t>
      </w:r>
      <w:r w:rsidRPr="00E91512">
        <w:rPr>
          <w:rFonts w:ascii="Arial" w:hAnsi="Arial" w:cs="Arial"/>
          <w:sz w:val="24"/>
          <w:szCs w:val="24"/>
          <w:lang w:val="en-US"/>
        </w:rPr>
        <w:t>a report made in 2004 showed that less than 10% of DNA evidence was recovered from a crime scene. Bradbury (2005)</w:t>
      </w:r>
      <w:r w:rsidR="009331CE">
        <w:rPr>
          <w:rFonts w:ascii="Arial" w:hAnsi="Arial" w:cs="Arial"/>
          <w:sz w:val="24"/>
          <w:szCs w:val="24"/>
          <w:lang w:val="en-US"/>
        </w:rPr>
        <w:t>,</w:t>
      </w:r>
      <w:r w:rsidRPr="00E91512">
        <w:rPr>
          <w:rFonts w:ascii="Arial" w:hAnsi="Arial" w:cs="Arial"/>
          <w:sz w:val="24"/>
          <w:szCs w:val="24"/>
          <w:lang w:val="en-US"/>
        </w:rPr>
        <w:t xml:space="preserve"> suggests that the challenging decision making</w:t>
      </w:r>
      <w:r w:rsidR="006F27F5" w:rsidRPr="00E91512">
        <w:rPr>
          <w:rFonts w:ascii="Arial" w:hAnsi="Arial" w:cs="Arial"/>
          <w:sz w:val="24"/>
          <w:szCs w:val="24"/>
          <w:lang w:val="en-US"/>
        </w:rPr>
        <w:t xml:space="preserve">, </w:t>
      </w:r>
      <w:r w:rsidRPr="00E91512">
        <w:rPr>
          <w:rFonts w:ascii="Arial" w:hAnsi="Arial" w:cs="Arial"/>
          <w:sz w:val="24"/>
          <w:szCs w:val="24"/>
          <w:lang w:val="en-US"/>
        </w:rPr>
        <w:t xml:space="preserve">filtering out </w:t>
      </w:r>
      <w:r w:rsidR="006F27F5" w:rsidRPr="00E91512">
        <w:rPr>
          <w:rFonts w:ascii="Arial" w:hAnsi="Arial" w:cs="Arial"/>
          <w:sz w:val="24"/>
          <w:szCs w:val="24"/>
          <w:lang w:val="en-US"/>
        </w:rPr>
        <w:t xml:space="preserve">and the fact that </w:t>
      </w:r>
      <w:r w:rsidRPr="00E91512">
        <w:rPr>
          <w:rFonts w:ascii="Arial" w:hAnsi="Arial" w:cs="Arial"/>
          <w:sz w:val="24"/>
          <w:szCs w:val="24"/>
          <w:lang w:val="en-US"/>
        </w:rPr>
        <w:t xml:space="preserve">crime scenes </w:t>
      </w:r>
      <w:r w:rsidR="006F27F5" w:rsidRPr="00E91512">
        <w:rPr>
          <w:rFonts w:ascii="Arial" w:hAnsi="Arial" w:cs="Arial"/>
          <w:sz w:val="24"/>
          <w:szCs w:val="24"/>
          <w:lang w:val="en-US"/>
        </w:rPr>
        <w:t>are somewhat cathartic</w:t>
      </w:r>
      <w:r w:rsidRPr="00E91512">
        <w:rPr>
          <w:rFonts w:ascii="Arial" w:hAnsi="Arial" w:cs="Arial"/>
          <w:sz w:val="24"/>
          <w:szCs w:val="24"/>
          <w:lang w:val="en-US"/>
        </w:rPr>
        <w:t xml:space="preserve"> leads to officers missing the “natural” presence of physical exhibits at crime scenes. </w:t>
      </w:r>
    </w:p>
    <w:p w14:paraId="65703387" w14:textId="77777777" w:rsidR="0089245A" w:rsidRPr="00E91512" w:rsidRDefault="0089245A" w:rsidP="00E91512">
      <w:pPr>
        <w:spacing w:line="480" w:lineRule="auto"/>
        <w:rPr>
          <w:rFonts w:ascii="Arial" w:hAnsi="Arial" w:cs="Arial"/>
          <w:sz w:val="24"/>
          <w:szCs w:val="24"/>
          <w:lang w:val="en-US"/>
        </w:rPr>
      </w:pPr>
    </w:p>
    <w:p w14:paraId="34CCF3C1" w14:textId="04FCEC90" w:rsidR="0089245A" w:rsidRPr="00E91512" w:rsidRDefault="0089245A" w:rsidP="00E91512">
      <w:pPr>
        <w:spacing w:line="480" w:lineRule="auto"/>
        <w:rPr>
          <w:rFonts w:ascii="Arial" w:hAnsi="Arial" w:cs="Arial"/>
          <w:sz w:val="24"/>
          <w:szCs w:val="24"/>
          <w:lang w:val="en-US"/>
        </w:rPr>
      </w:pPr>
      <w:r w:rsidRPr="00E91512">
        <w:rPr>
          <w:rFonts w:ascii="Arial" w:hAnsi="Arial" w:cs="Arial"/>
          <w:sz w:val="24"/>
          <w:szCs w:val="24"/>
          <w:lang w:val="en-US"/>
        </w:rPr>
        <w:t xml:space="preserve">The case of </w:t>
      </w:r>
      <w:r w:rsidR="009C49BB" w:rsidRPr="00E91512">
        <w:rPr>
          <w:rFonts w:ascii="Arial" w:hAnsi="Arial" w:cs="Arial"/>
          <w:sz w:val="24"/>
          <w:szCs w:val="24"/>
          <w:lang w:val="en-US"/>
        </w:rPr>
        <w:t>Michael</w:t>
      </w:r>
      <w:r w:rsidRPr="00E91512">
        <w:rPr>
          <w:rFonts w:ascii="Arial" w:hAnsi="Arial" w:cs="Arial"/>
          <w:sz w:val="24"/>
          <w:szCs w:val="24"/>
          <w:lang w:val="en-US"/>
        </w:rPr>
        <w:t xml:space="preserve"> Barrymore and Stuart Lubbock highlights </w:t>
      </w:r>
      <w:r w:rsidR="00AC111D" w:rsidRPr="00E91512">
        <w:rPr>
          <w:rFonts w:ascii="Arial" w:hAnsi="Arial" w:cs="Arial"/>
          <w:sz w:val="24"/>
          <w:szCs w:val="24"/>
          <w:lang w:val="en-US"/>
        </w:rPr>
        <w:t>failings in</w:t>
      </w:r>
      <w:r w:rsidRPr="00E91512">
        <w:rPr>
          <w:rFonts w:ascii="Arial" w:hAnsi="Arial" w:cs="Arial"/>
          <w:sz w:val="24"/>
          <w:szCs w:val="24"/>
          <w:lang w:val="en-US"/>
        </w:rPr>
        <w:t xml:space="preserve"> officers identifying evidence and seizing it in a timely manner. Amongst many police failings </w:t>
      </w:r>
      <w:r w:rsidR="00AC111D" w:rsidRPr="00E91512">
        <w:rPr>
          <w:rFonts w:ascii="Arial" w:hAnsi="Arial" w:cs="Arial"/>
          <w:sz w:val="24"/>
          <w:szCs w:val="24"/>
          <w:lang w:val="en-US"/>
        </w:rPr>
        <w:t>at</w:t>
      </w:r>
      <w:r w:rsidRPr="00E91512">
        <w:rPr>
          <w:rFonts w:ascii="Arial" w:hAnsi="Arial" w:cs="Arial"/>
          <w:sz w:val="24"/>
          <w:szCs w:val="24"/>
          <w:lang w:val="en-US"/>
        </w:rPr>
        <w:t xml:space="preserve"> the crime scene, officers failed to seize</w:t>
      </w:r>
      <w:r w:rsidR="006F27F5" w:rsidRPr="00E91512">
        <w:rPr>
          <w:rFonts w:ascii="Arial" w:hAnsi="Arial" w:cs="Arial"/>
          <w:sz w:val="24"/>
          <w:szCs w:val="24"/>
          <w:lang w:val="en-US"/>
        </w:rPr>
        <w:t xml:space="preserve"> critical evidence which included</w:t>
      </w:r>
      <w:r w:rsidRPr="00E91512">
        <w:rPr>
          <w:rFonts w:ascii="Arial" w:hAnsi="Arial" w:cs="Arial"/>
          <w:sz w:val="24"/>
          <w:szCs w:val="24"/>
          <w:lang w:val="en-US"/>
        </w:rPr>
        <w:t xml:space="preserve"> a door handle and a pool thermometer which according to </w:t>
      </w:r>
      <w:proofErr w:type="gramStart"/>
      <w:r w:rsidRPr="00E91512">
        <w:rPr>
          <w:rFonts w:ascii="Arial" w:hAnsi="Arial" w:cs="Arial"/>
          <w:sz w:val="24"/>
          <w:szCs w:val="24"/>
          <w:lang w:val="en-US"/>
        </w:rPr>
        <w:t>post mortem</w:t>
      </w:r>
      <w:proofErr w:type="gramEnd"/>
      <w:r w:rsidRPr="00E91512">
        <w:rPr>
          <w:rFonts w:ascii="Arial" w:hAnsi="Arial" w:cs="Arial"/>
          <w:sz w:val="24"/>
          <w:szCs w:val="24"/>
          <w:lang w:val="en-US"/>
        </w:rPr>
        <w:t xml:space="preserve"> tests, could have been used to sexually assault Lubbock. The Independent Police Complaints Commission (IPCC) state that failure to preserve the scene along with failing to seize potential evidence has led to an unsolved crime (Laville, 2009). According to Lothridge and Fitzpatrick</w:t>
      </w:r>
      <w:r w:rsidR="006F27F5" w:rsidRPr="00E91512">
        <w:rPr>
          <w:rFonts w:ascii="Arial" w:hAnsi="Arial" w:cs="Arial"/>
          <w:sz w:val="24"/>
          <w:szCs w:val="24"/>
          <w:lang w:val="en-US"/>
        </w:rPr>
        <w:t xml:space="preserve"> (</w:t>
      </w:r>
      <w:r w:rsidRPr="00E91512">
        <w:rPr>
          <w:rFonts w:ascii="Arial" w:hAnsi="Arial" w:cs="Arial"/>
          <w:sz w:val="24"/>
          <w:szCs w:val="24"/>
          <w:lang w:val="en-US"/>
        </w:rPr>
        <w:t>2013)</w:t>
      </w:r>
      <w:r w:rsidR="006F27F5" w:rsidRPr="00E91512">
        <w:rPr>
          <w:rFonts w:ascii="Arial" w:hAnsi="Arial" w:cs="Arial"/>
          <w:sz w:val="24"/>
          <w:szCs w:val="24"/>
          <w:lang w:val="en-US"/>
        </w:rPr>
        <w:t>,</w:t>
      </w:r>
      <w:r w:rsidRPr="00E91512">
        <w:rPr>
          <w:rFonts w:ascii="Arial" w:hAnsi="Arial" w:cs="Arial"/>
          <w:sz w:val="24"/>
          <w:szCs w:val="24"/>
          <w:lang w:val="en-US"/>
        </w:rPr>
        <w:t xml:space="preserve"> the search for evidence should be conducted carefully to identify physical evidence possibilities. </w:t>
      </w:r>
      <w:proofErr w:type="gramStart"/>
      <w:r w:rsidRPr="00E91512">
        <w:rPr>
          <w:rFonts w:ascii="Arial" w:hAnsi="Arial" w:cs="Arial"/>
          <w:sz w:val="24"/>
          <w:szCs w:val="24"/>
          <w:lang w:val="en-US"/>
        </w:rPr>
        <w:t>In order to</w:t>
      </w:r>
      <w:proofErr w:type="gramEnd"/>
      <w:r w:rsidRPr="00E91512">
        <w:rPr>
          <w:rFonts w:ascii="Arial" w:hAnsi="Arial" w:cs="Arial"/>
          <w:sz w:val="24"/>
          <w:szCs w:val="24"/>
          <w:lang w:val="en-US"/>
        </w:rPr>
        <w:t xml:space="preserve"> do this a systematic approach should be taken with members of the team given individual tasks such as collector, packaging</w:t>
      </w:r>
      <w:r w:rsidR="00122365">
        <w:rPr>
          <w:rFonts w:ascii="Arial" w:hAnsi="Arial" w:cs="Arial"/>
          <w:sz w:val="24"/>
          <w:szCs w:val="24"/>
          <w:lang w:val="en-US"/>
        </w:rPr>
        <w:t xml:space="preserve"> and</w:t>
      </w:r>
      <w:r w:rsidRPr="00E91512">
        <w:rPr>
          <w:rFonts w:ascii="Arial" w:hAnsi="Arial" w:cs="Arial"/>
          <w:sz w:val="24"/>
          <w:szCs w:val="24"/>
          <w:lang w:val="en-US"/>
        </w:rPr>
        <w:t xml:space="preserve"> documenting</w:t>
      </w:r>
      <w:r w:rsidR="008E3229" w:rsidRPr="00E91512">
        <w:rPr>
          <w:rFonts w:ascii="Arial" w:hAnsi="Arial" w:cs="Arial"/>
          <w:sz w:val="24"/>
          <w:szCs w:val="24"/>
          <w:lang w:val="en-US"/>
        </w:rPr>
        <w:t xml:space="preserve"> to avoid missing crucial evidence.</w:t>
      </w:r>
    </w:p>
    <w:p w14:paraId="35B00503" w14:textId="77777777" w:rsidR="0089245A" w:rsidRPr="00E91512" w:rsidRDefault="0089245A" w:rsidP="00E91512">
      <w:pPr>
        <w:spacing w:line="480" w:lineRule="auto"/>
        <w:rPr>
          <w:rFonts w:ascii="Arial" w:hAnsi="Arial" w:cs="Arial"/>
          <w:sz w:val="24"/>
          <w:szCs w:val="24"/>
          <w:lang w:val="en-US"/>
        </w:rPr>
      </w:pPr>
    </w:p>
    <w:p w14:paraId="01BE3E9B" w14:textId="77777777" w:rsidR="0089245A" w:rsidRPr="00E91512" w:rsidRDefault="0089245A" w:rsidP="00E91512">
      <w:pPr>
        <w:spacing w:line="480" w:lineRule="auto"/>
        <w:rPr>
          <w:rFonts w:ascii="Arial" w:hAnsi="Arial" w:cs="Arial"/>
          <w:sz w:val="24"/>
          <w:szCs w:val="24"/>
          <w:lang w:val="en-US"/>
        </w:rPr>
      </w:pPr>
    </w:p>
    <w:p w14:paraId="2C3EE6E0" w14:textId="15CEEE5B" w:rsidR="0089245A" w:rsidRPr="00E91512" w:rsidRDefault="0089245A" w:rsidP="00E91512">
      <w:pPr>
        <w:spacing w:line="480" w:lineRule="auto"/>
        <w:rPr>
          <w:rFonts w:ascii="Arial" w:hAnsi="Arial" w:cs="Arial"/>
          <w:sz w:val="24"/>
          <w:szCs w:val="24"/>
          <w:lang w:val="en-US"/>
        </w:rPr>
      </w:pPr>
      <w:r w:rsidRPr="00E91512">
        <w:rPr>
          <w:rFonts w:ascii="Arial" w:hAnsi="Arial" w:cs="Arial"/>
          <w:sz w:val="24"/>
          <w:szCs w:val="24"/>
          <w:lang w:val="en-US"/>
        </w:rPr>
        <w:t>An</w:t>
      </w:r>
      <w:r w:rsidR="00AC111D" w:rsidRPr="00E91512">
        <w:rPr>
          <w:rFonts w:ascii="Arial" w:hAnsi="Arial" w:cs="Arial"/>
          <w:sz w:val="24"/>
          <w:szCs w:val="24"/>
          <w:lang w:val="en-US"/>
        </w:rPr>
        <w:t>other</w:t>
      </w:r>
      <w:r w:rsidRPr="00E91512">
        <w:rPr>
          <w:rFonts w:ascii="Arial" w:hAnsi="Arial" w:cs="Arial"/>
          <w:sz w:val="24"/>
          <w:szCs w:val="24"/>
          <w:lang w:val="en-US"/>
        </w:rPr>
        <w:t xml:space="preserve"> example </w:t>
      </w:r>
      <w:r w:rsidR="00AC111D" w:rsidRPr="00E91512">
        <w:rPr>
          <w:rFonts w:ascii="Arial" w:hAnsi="Arial" w:cs="Arial"/>
          <w:sz w:val="24"/>
          <w:szCs w:val="24"/>
          <w:lang w:val="en-US"/>
        </w:rPr>
        <w:t>that demonstrates the importance</w:t>
      </w:r>
      <w:r w:rsidRPr="00E91512">
        <w:rPr>
          <w:rFonts w:ascii="Arial" w:hAnsi="Arial" w:cs="Arial"/>
          <w:sz w:val="24"/>
          <w:szCs w:val="24"/>
          <w:lang w:val="en-US"/>
        </w:rPr>
        <w:t xml:space="preserve"> of </w:t>
      </w:r>
      <w:r w:rsidR="00AC111D" w:rsidRPr="00E91512">
        <w:rPr>
          <w:rFonts w:ascii="Arial" w:hAnsi="Arial" w:cs="Arial"/>
          <w:sz w:val="24"/>
          <w:szCs w:val="24"/>
          <w:lang w:val="en-US"/>
        </w:rPr>
        <w:t>identifying all exhibits that could provide conclusive evidence is found</w:t>
      </w:r>
      <w:r w:rsidRPr="00E91512">
        <w:rPr>
          <w:rFonts w:ascii="Arial" w:hAnsi="Arial" w:cs="Arial"/>
          <w:sz w:val="24"/>
          <w:szCs w:val="24"/>
          <w:lang w:val="en-US"/>
        </w:rPr>
        <w:t xml:space="preserve"> in the case of the murder of </w:t>
      </w:r>
      <w:r w:rsidRPr="0032143F">
        <w:rPr>
          <w:rFonts w:ascii="Arial" w:hAnsi="Arial" w:cs="Arial"/>
          <w:sz w:val="24"/>
          <w:szCs w:val="24"/>
          <w:lang w:val="en-US"/>
        </w:rPr>
        <w:t xml:space="preserve">Jill Dando </w:t>
      </w:r>
      <w:r w:rsidRPr="00E91512">
        <w:rPr>
          <w:rFonts w:ascii="Arial" w:hAnsi="Arial" w:cs="Arial"/>
          <w:sz w:val="24"/>
          <w:szCs w:val="24"/>
          <w:lang w:val="en-US"/>
        </w:rPr>
        <w:t xml:space="preserve">in 1999. </w:t>
      </w:r>
      <w:r w:rsidRPr="0032143F">
        <w:rPr>
          <w:rFonts w:ascii="Arial" w:hAnsi="Arial" w:cs="Arial"/>
          <w:sz w:val="24"/>
          <w:szCs w:val="24"/>
          <w:lang w:val="en-US"/>
        </w:rPr>
        <w:t>Dando</w:t>
      </w:r>
      <w:r w:rsidRPr="00F20F86">
        <w:rPr>
          <w:rFonts w:ascii="Arial" w:hAnsi="Arial" w:cs="Arial"/>
          <w:color w:val="FF0000"/>
          <w:sz w:val="24"/>
          <w:szCs w:val="24"/>
          <w:lang w:val="en-US"/>
        </w:rPr>
        <w:t xml:space="preserve"> </w:t>
      </w:r>
      <w:r w:rsidRPr="00E91512">
        <w:rPr>
          <w:rFonts w:ascii="Arial" w:hAnsi="Arial" w:cs="Arial"/>
          <w:sz w:val="24"/>
          <w:szCs w:val="24"/>
          <w:lang w:val="en-US"/>
        </w:rPr>
        <w:t xml:space="preserve">was shot in the head at close range as she was entering her home. Her </w:t>
      </w:r>
      <w:r w:rsidRPr="00E91512">
        <w:rPr>
          <w:rFonts w:ascii="Arial" w:hAnsi="Arial" w:cs="Arial"/>
          <w:sz w:val="24"/>
          <w:szCs w:val="24"/>
          <w:lang w:val="en-US"/>
        </w:rPr>
        <w:lastRenderedPageBreak/>
        <w:t xml:space="preserve">murderer Barry George was arrested and later charged with her murder. Police initially used forensic evidence which included a </w:t>
      </w:r>
      <w:proofErr w:type="spellStart"/>
      <w:r w:rsidRPr="00E91512">
        <w:rPr>
          <w:rFonts w:ascii="Arial" w:hAnsi="Arial" w:cs="Arial"/>
          <w:sz w:val="24"/>
          <w:szCs w:val="24"/>
          <w:lang w:val="en-US"/>
        </w:rPr>
        <w:t>fib</w:t>
      </w:r>
      <w:r w:rsidR="00122365">
        <w:rPr>
          <w:rFonts w:ascii="Arial" w:hAnsi="Arial" w:cs="Arial"/>
          <w:sz w:val="24"/>
          <w:szCs w:val="24"/>
          <w:lang w:val="en-US"/>
        </w:rPr>
        <w:t>re</w:t>
      </w:r>
      <w:proofErr w:type="spellEnd"/>
      <w:r w:rsidRPr="00E91512">
        <w:rPr>
          <w:rFonts w:ascii="Arial" w:hAnsi="Arial" w:cs="Arial"/>
          <w:sz w:val="24"/>
          <w:szCs w:val="24"/>
          <w:lang w:val="en-US"/>
        </w:rPr>
        <w:t xml:space="preserve"> from Georges trousers found on Dando’s coat. This evidence was not conclusive as it </w:t>
      </w:r>
      <w:r w:rsidRPr="00122365">
        <w:rPr>
          <w:rFonts w:ascii="Arial" w:hAnsi="Arial" w:cs="Arial"/>
          <w:sz w:val="24"/>
          <w:szCs w:val="24"/>
        </w:rPr>
        <w:t>was</w:t>
      </w:r>
      <w:r w:rsidRPr="00E91512">
        <w:rPr>
          <w:rFonts w:ascii="Arial" w:hAnsi="Arial" w:cs="Arial"/>
          <w:sz w:val="24"/>
          <w:szCs w:val="24"/>
          <w:lang w:val="en-US"/>
        </w:rPr>
        <w:t xml:space="preserve"> argued the </w:t>
      </w:r>
      <w:proofErr w:type="spellStart"/>
      <w:r w:rsidRPr="00E91512">
        <w:rPr>
          <w:rFonts w:ascii="Arial" w:hAnsi="Arial" w:cs="Arial"/>
          <w:sz w:val="24"/>
          <w:szCs w:val="24"/>
          <w:lang w:val="en-US"/>
        </w:rPr>
        <w:t>fib</w:t>
      </w:r>
      <w:r w:rsidR="00122365">
        <w:rPr>
          <w:rFonts w:ascii="Arial" w:hAnsi="Arial" w:cs="Arial"/>
          <w:sz w:val="24"/>
          <w:szCs w:val="24"/>
          <w:lang w:val="en-US"/>
        </w:rPr>
        <w:t>re</w:t>
      </w:r>
      <w:proofErr w:type="spellEnd"/>
      <w:r w:rsidRPr="00E91512">
        <w:rPr>
          <w:rFonts w:ascii="Arial" w:hAnsi="Arial" w:cs="Arial"/>
          <w:sz w:val="24"/>
          <w:szCs w:val="24"/>
          <w:lang w:val="en-US"/>
        </w:rPr>
        <w:t xml:space="preserve"> was from a common brand of trousers which anyone could have been wearing. Police also seized a blue jacket from Barry Georges home which was found to have a small amount of gunpowder residue which matched the same as found in </w:t>
      </w:r>
      <w:r w:rsidR="0032143F">
        <w:rPr>
          <w:rFonts w:ascii="Arial" w:hAnsi="Arial" w:cs="Arial"/>
          <w:sz w:val="24"/>
          <w:szCs w:val="24"/>
          <w:lang w:val="en-US"/>
        </w:rPr>
        <w:t>Dando</w:t>
      </w:r>
      <w:r w:rsidR="009C49BB" w:rsidRPr="00E91512">
        <w:rPr>
          <w:rFonts w:ascii="Arial" w:hAnsi="Arial" w:cs="Arial"/>
          <w:sz w:val="24"/>
          <w:szCs w:val="24"/>
          <w:lang w:val="en-US"/>
        </w:rPr>
        <w:t>’</w:t>
      </w:r>
      <w:r w:rsidRPr="00E91512">
        <w:rPr>
          <w:rFonts w:ascii="Arial" w:hAnsi="Arial" w:cs="Arial"/>
          <w:sz w:val="24"/>
          <w:szCs w:val="24"/>
          <w:lang w:val="en-US"/>
        </w:rPr>
        <w:t>s hair and on her coat. The prosecution expressed that the chances of contamination was unlikely due to the small size of particles found (Bowcott, 2008).</w:t>
      </w:r>
      <w:r w:rsidR="00AC111D" w:rsidRPr="00E91512">
        <w:rPr>
          <w:rFonts w:ascii="Arial" w:hAnsi="Arial" w:cs="Arial"/>
          <w:sz w:val="24"/>
          <w:szCs w:val="24"/>
          <w:lang w:val="en-US"/>
        </w:rPr>
        <w:t xml:space="preserve"> </w:t>
      </w:r>
      <w:r w:rsidR="006F27F5" w:rsidRPr="00E91512">
        <w:rPr>
          <w:rFonts w:ascii="Arial" w:hAnsi="Arial" w:cs="Arial"/>
          <w:sz w:val="24"/>
          <w:szCs w:val="24"/>
          <w:lang w:val="en-US"/>
        </w:rPr>
        <w:t xml:space="preserve">It is </w:t>
      </w:r>
      <w:r w:rsidR="006F27F5" w:rsidRPr="00E91512">
        <w:rPr>
          <w:rFonts w:ascii="Arial" w:hAnsi="Arial" w:cs="Arial"/>
          <w:sz w:val="24"/>
          <w:szCs w:val="24"/>
        </w:rPr>
        <w:t>indubitable</w:t>
      </w:r>
      <w:r w:rsidR="006F27F5" w:rsidRPr="00E91512">
        <w:rPr>
          <w:rFonts w:ascii="Arial" w:hAnsi="Arial" w:cs="Arial"/>
          <w:sz w:val="24"/>
          <w:szCs w:val="24"/>
          <w:lang w:val="en-US"/>
        </w:rPr>
        <w:t xml:space="preserve"> that the actions of officers at the crime scene led to the successful conviction of </w:t>
      </w:r>
      <w:r w:rsidR="0032143F">
        <w:rPr>
          <w:rFonts w:ascii="Arial" w:hAnsi="Arial" w:cs="Arial"/>
          <w:sz w:val="24"/>
          <w:szCs w:val="24"/>
          <w:lang w:val="en-US"/>
        </w:rPr>
        <w:t>Dando</w:t>
      </w:r>
      <w:r w:rsidR="006F27F5" w:rsidRPr="00E91512">
        <w:rPr>
          <w:rFonts w:ascii="Arial" w:hAnsi="Arial" w:cs="Arial"/>
          <w:sz w:val="24"/>
          <w:szCs w:val="24"/>
          <w:lang w:val="en-US"/>
        </w:rPr>
        <w:t>’s murderer.</w:t>
      </w:r>
    </w:p>
    <w:p w14:paraId="28B6FBB4" w14:textId="21A8118B" w:rsidR="0089245A" w:rsidRPr="00E91512" w:rsidRDefault="0089245A" w:rsidP="00E91512">
      <w:pPr>
        <w:spacing w:line="480" w:lineRule="auto"/>
        <w:rPr>
          <w:rFonts w:ascii="Arial" w:hAnsi="Arial" w:cs="Arial"/>
          <w:sz w:val="24"/>
          <w:szCs w:val="24"/>
          <w:lang w:val="en-US"/>
        </w:rPr>
      </w:pPr>
    </w:p>
    <w:p w14:paraId="0EE2EF93" w14:textId="21699861" w:rsidR="0089245A" w:rsidRPr="00E91512" w:rsidRDefault="0089245A" w:rsidP="00E91512">
      <w:pPr>
        <w:spacing w:line="480" w:lineRule="auto"/>
        <w:rPr>
          <w:rFonts w:ascii="Arial" w:hAnsi="Arial" w:cs="Arial"/>
          <w:sz w:val="24"/>
          <w:szCs w:val="24"/>
          <w:lang w:val="en-US"/>
        </w:rPr>
      </w:pPr>
      <w:r w:rsidRPr="00E91512">
        <w:rPr>
          <w:rFonts w:ascii="Arial" w:hAnsi="Arial" w:cs="Arial"/>
          <w:sz w:val="24"/>
          <w:szCs w:val="24"/>
          <w:lang w:val="en-US"/>
        </w:rPr>
        <w:t>Although exhibits from crime scenes are taken to aid an investigation, not all are used. There are two reasons why this happens, firstly some materials seized are not of a good enough standard to provide forensic evidence and secondly, financial constraints (Bradbury,2005).</w:t>
      </w:r>
      <w:r w:rsidR="004D0141" w:rsidRPr="00E91512">
        <w:rPr>
          <w:rFonts w:ascii="Arial" w:hAnsi="Arial" w:cs="Arial"/>
          <w:sz w:val="24"/>
          <w:szCs w:val="24"/>
          <w:lang w:val="en-US"/>
        </w:rPr>
        <w:t xml:space="preserve"> It </w:t>
      </w:r>
      <w:proofErr w:type="gramStart"/>
      <w:r w:rsidR="004D0141" w:rsidRPr="00E91512">
        <w:rPr>
          <w:rFonts w:ascii="Arial" w:hAnsi="Arial" w:cs="Arial"/>
          <w:sz w:val="24"/>
          <w:szCs w:val="24"/>
          <w:lang w:val="en-US"/>
        </w:rPr>
        <w:t>still remains</w:t>
      </w:r>
      <w:proofErr w:type="gramEnd"/>
      <w:r w:rsidR="004D0141" w:rsidRPr="00E91512">
        <w:rPr>
          <w:rFonts w:ascii="Arial" w:hAnsi="Arial" w:cs="Arial"/>
          <w:sz w:val="24"/>
          <w:szCs w:val="24"/>
          <w:lang w:val="en-US"/>
        </w:rPr>
        <w:t xml:space="preserve"> crucial that officers and investigators identify and seize exhibits which could provide conclusive evidence in court.</w:t>
      </w:r>
    </w:p>
    <w:p w14:paraId="6B0791EF" w14:textId="1C766FB8" w:rsidR="006F27F5" w:rsidRPr="00E91512" w:rsidRDefault="006F27F5" w:rsidP="00E91512">
      <w:pPr>
        <w:spacing w:line="480" w:lineRule="auto"/>
        <w:rPr>
          <w:rFonts w:ascii="Arial" w:hAnsi="Arial" w:cs="Arial"/>
          <w:sz w:val="24"/>
          <w:szCs w:val="24"/>
          <w:lang w:val="en-US"/>
        </w:rPr>
      </w:pPr>
    </w:p>
    <w:p w14:paraId="5FC15C43" w14:textId="63F47C00" w:rsidR="0089245A" w:rsidRPr="00E91512" w:rsidRDefault="00104ECC" w:rsidP="00E91512">
      <w:pPr>
        <w:spacing w:line="480" w:lineRule="auto"/>
        <w:rPr>
          <w:rFonts w:ascii="Arial" w:hAnsi="Arial" w:cs="Arial"/>
          <w:sz w:val="24"/>
          <w:szCs w:val="24"/>
          <w:lang w:val="en-US"/>
        </w:rPr>
      </w:pPr>
      <w:r w:rsidRPr="00E91512">
        <w:rPr>
          <w:rFonts w:ascii="Arial" w:hAnsi="Arial" w:cs="Arial"/>
          <w:sz w:val="24"/>
          <w:szCs w:val="24"/>
          <w:lang w:val="en-US"/>
        </w:rPr>
        <w:t xml:space="preserve">During the entire process of an investigation it is of paramount importance that all practices are executed in a </w:t>
      </w:r>
      <w:proofErr w:type="spellStart"/>
      <w:r w:rsidRPr="00E91512">
        <w:rPr>
          <w:rFonts w:ascii="Arial" w:hAnsi="Arial" w:cs="Arial"/>
          <w:sz w:val="24"/>
          <w:szCs w:val="24"/>
          <w:lang w:val="en-US"/>
        </w:rPr>
        <w:t>non bias</w:t>
      </w:r>
      <w:proofErr w:type="spellEnd"/>
      <w:r w:rsidRPr="00E91512">
        <w:rPr>
          <w:rFonts w:ascii="Arial" w:hAnsi="Arial" w:cs="Arial"/>
          <w:sz w:val="24"/>
          <w:szCs w:val="24"/>
          <w:lang w:val="en-US"/>
        </w:rPr>
        <w:t xml:space="preserve"> manner to prove </w:t>
      </w:r>
      <w:r w:rsidR="006053C8" w:rsidRPr="00E91512">
        <w:rPr>
          <w:rFonts w:ascii="Arial" w:hAnsi="Arial" w:cs="Arial"/>
          <w:sz w:val="24"/>
          <w:szCs w:val="24"/>
          <w:lang w:val="en-US"/>
        </w:rPr>
        <w:t xml:space="preserve">only </w:t>
      </w:r>
      <w:r w:rsidRPr="00E91512">
        <w:rPr>
          <w:rFonts w:ascii="Arial" w:hAnsi="Arial" w:cs="Arial"/>
          <w:sz w:val="24"/>
          <w:szCs w:val="24"/>
          <w:lang w:val="en-US"/>
        </w:rPr>
        <w:t xml:space="preserve">the truth. Over the years </w:t>
      </w:r>
      <w:r w:rsidR="00D05977" w:rsidRPr="00E91512">
        <w:rPr>
          <w:rFonts w:ascii="Arial" w:hAnsi="Arial" w:cs="Arial"/>
          <w:sz w:val="24"/>
          <w:szCs w:val="24"/>
          <w:lang w:val="en-US"/>
        </w:rPr>
        <w:t xml:space="preserve">law enforcement </w:t>
      </w:r>
      <w:r w:rsidRPr="00E91512">
        <w:rPr>
          <w:rFonts w:ascii="Arial" w:hAnsi="Arial" w:cs="Arial"/>
          <w:sz w:val="24"/>
          <w:szCs w:val="24"/>
          <w:lang w:val="en-US"/>
        </w:rPr>
        <w:t xml:space="preserve">has been migrating to a more scientific approach rather than witness statements and confessions (Peterson </w:t>
      </w:r>
      <w:r w:rsidRPr="00122365">
        <w:rPr>
          <w:rFonts w:ascii="Arial" w:hAnsi="Arial" w:cs="Arial"/>
          <w:i/>
          <w:iCs/>
          <w:sz w:val="24"/>
          <w:szCs w:val="24"/>
          <w:lang w:val="en-US"/>
        </w:rPr>
        <w:t>et al</w:t>
      </w:r>
      <w:r w:rsidR="00122365" w:rsidRPr="00122365">
        <w:rPr>
          <w:rFonts w:ascii="Arial" w:hAnsi="Arial" w:cs="Arial"/>
          <w:i/>
          <w:iCs/>
          <w:sz w:val="24"/>
          <w:szCs w:val="24"/>
          <w:lang w:val="en-US"/>
        </w:rPr>
        <w:t>.</w:t>
      </w:r>
      <w:r w:rsidRPr="00E91512">
        <w:rPr>
          <w:rFonts w:ascii="Arial" w:hAnsi="Arial" w:cs="Arial"/>
          <w:sz w:val="24"/>
          <w:szCs w:val="24"/>
          <w:lang w:val="en-US"/>
        </w:rPr>
        <w:t>1984).</w:t>
      </w:r>
      <w:r w:rsidR="000E5BC7" w:rsidRPr="00E91512">
        <w:rPr>
          <w:rFonts w:ascii="Arial" w:hAnsi="Arial" w:cs="Arial"/>
          <w:sz w:val="24"/>
          <w:szCs w:val="24"/>
          <w:lang w:val="en-US"/>
        </w:rPr>
        <w:t xml:space="preserve"> The value that</w:t>
      </w:r>
      <w:r w:rsidR="00D05977" w:rsidRPr="00E91512">
        <w:rPr>
          <w:rFonts w:ascii="Arial" w:hAnsi="Arial" w:cs="Arial"/>
          <w:sz w:val="24"/>
          <w:szCs w:val="24"/>
          <w:lang w:val="en-US"/>
        </w:rPr>
        <w:t xml:space="preserve"> forensic evidence brings to the </w:t>
      </w:r>
      <w:r w:rsidR="00122365">
        <w:rPr>
          <w:rFonts w:ascii="Arial" w:hAnsi="Arial" w:cs="Arial"/>
          <w:sz w:val="24"/>
          <w:szCs w:val="24"/>
          <w:lang w:val="en-US"/>
        </w:rPr>
        <w:t>c</w:t>
      </w:r>
      <w:r w:rsidR="00D05977" w:rsidRPr="00E91512">
        <w:rPr>
          <w:rFonts w:ascii="Arial" w:hAnsi="Arial" w:cs="Arial"/>
          <w:sz w:val="24"/>
          <w:szCs w:val="24"/>
          <w:lang w:val="en-US"/>
        </w:rPr>
        <w:t xml:space="preserve">riminal </w:t>
      </w:r>
      <w:r w:rsidR="00122365">
        <w:rPr>
          <w:rFonts w:ascii="Arial" w:hAnsi="Arial" w:cs="Arial"/>
          <w:sz w:val="24"/>
          <w:szCs w:val="24"/>
          <w:lang w:val="en-US"/>
        </w:rPr>
        <w:t>j</w:t>
      </w:r>
      <w:r w:rsidR="00D05977" w:rsidRPr="00E91512">
        <w:rPr>
          <w:rFonts w:ascii="Arial" w:hAnsi="Arial" w:cs="Arial"/>
          <w:sz w:val="24"/>
          <w:szCs w:val="24"/>
          <w:lang w:val="en-US"/>
        </w:rPr>
        <w:t xml:space="preserve">ustice </w:t>
      </w:r>
      <w:r w:rsidR="00122365">
        <w:rPr>
          <w:rFonts w:ascii="Arial" w:hAnsi="Arial" w:cs="Arial"/>
          <w:sz w:val="24"/>
          <w:szCs w:val="24"/>
          <w:lang w:val="en-US"/>
        </w:rPr>
        <w:t>s</w:t>
      </w:r>
      <w:r w:rsidR="00D05977" w:rsidRPr="00E91512">
        <w:rPr>
          <w:rFonts w:ascii="Arial" w:hAnsi="Arial" w:cs="Arial"/>
          <w:sz w:val="24"/>
          <w:szCs w:val="24"/>
          <w:lang w:val="en-US"/>
        </w:rPr>
        <w:t>ystem is</w:t>
      </w:r>
      <w:r w:rsidR="00122365">
        <w:rPr>
          <w:rFonts w:ascii="Arial" w:hAnsi="Arial" w:cs="Arial"/>
          <w:sz w:val="24"/>
          <w:szCs w:val="24"/>
          <w:lang w:val="en-US"/>
        </w:rPr>
        <w:t xml:space="preserve"> monumental</w:t>
      </w:r>
      <w:r w:rsidR="0066210B" w:rsidRPr="00E91512">
        <w:rPr>
          <w:rFonts w:ascii="Arial" w:hAnsi="Arial" w:cs="Arial"/>
          <w:sz w:val="24"/>
          <w:szCs w:val="24"/>
          <w:lang w:val="en-US"/>
        </w:rPr>
        <w:t xml:space="preserve"> but </w:t>
      </w:r>
      <w:r w:rsidR="00D05977" w:rsidRPr="00E91512">
        <w:rPr>
          <w:rFonts w:ascii="Arial" w:hAnsi="Arial" w:cs="Arial"/>
          <w:sz w:val="24"/>
          <w:szCs w:val="24"/>
          <w:lang w:val="en-US"/>
        </w:rPr>
        <w:t>it is also clear that core issues surrounding the processing of forensic analysis need</w:t>
      </w:r>
      <w:r w:rsidR="00122365">
        <w:rPr>
          <w:rFonts w:ascii="Arial" w:hAnsi="Arial" w:cs="Arial"/>
          <w:sz w:val="24"/>
          <w:szCs w:val="24"/>
          <w:lang w:val="en-US"/>
        </w:rPr>
        <w:t>s</w:t>
      </w:r>
      <w:r w:rsidR="00D05977" w:rsidRPr="00E91512">
        <w:rPr>
          <w:rFonts w:ascii="Arial" w:hAnsi="Arial" w:cs="Arial"/>
          <w:sz w:val="24"/>
          <w:szCs w:val="24"/>
          <w:lang w:val="en-US"/>
        </w:rPr>
        <w:t xml:space="preserve"> to improve in order to </w:t>
      </w:r>
      <w:r w:rsidR="0066210B" w:rsidRPr="00E91512">
        <w:rPr>
          <w:rFonts w:ascii="Arial" w:hAnsi="Arial" w:cs="Arial"/>
          <w:sz w:val="24"/>
          <w:szCs w:val="24"/>
          <w:lang w:val="en-US"/>
        </w:rPr>
        <w:t>aid convictions</w:t>
      </w:r>
      <w:r w:rsidR="00D05977" w:rsidRPr="00E91512">
        <w:rPr>
          <w:rFonts w:ascii="Arial" w:hAnsi="Arial" w:cs="Arial"/>
          <w:sz w:val="24"/>
          <w:szCs w:val="24"/>
          <w:lang w:val="en-US"/>
        </w:rPr>
        <w:t xml:space="preserve">, avoid miscarriages of justice and provide robust validity (O’Brien </w:t>
      </w:r>
      <w:r w:rsidR="00D05977" w:rsidRPr="00122365">
        <w:rPr>
          <w:rFonts w:ascii="Arial" w:hAnsi="Arial" w:cs="Arial"/>
          <w:i/>
          <w:iCs/>
          <w:sz w:val="24"/>
          <w:szCs w:val="24"/>
          <w:lang w:val="en-US"/>
        </w:rPr>
        <w:t>et al</w:t>
      </w:r>
      <w:r w:rsidR="00122365" w:rsidRPr="00122365">
        <w:rPr>
          <w:rFonts w:ascii="Arial" w:hAnsi="Arial" w:cs="Arial"/>
          <w:i/>
          <w:iCs/>
          <w:sz w:val="24"/>
          <w:szCs w:val="24"/>
          <w:lang w:val="en-US"/>
        </w:rPr>
        <w:t>.</w:t>
      </w:r>
      <w:r w:rsidR="00D05977" w:rsidRPr="00E91512">
        <w:rPr>
          <w:rFonts w:ascii="Arial" w:hAnsi="Arial" w:cs="Arial"/>
          <w:sz w:val="24"/>
          <w:szCs w:val="24"/>
          <w:lang w:val="en-US"/>
        </w:rPr>
        <w:t xml:space="preserve"> 2015).</w:t>
      </w:r>
    </w:p>
    <w:p w14:paraId="47654677" w14:textId="77777777" w:rsidR="0089245A" w:rsidRPr="00E91512" w:rsidRDefault="0089245A" w:rsidP="00E91512">
      <w:pPr>
        <w:spacing w:line="480" w:lineRule="auto"/>
        <w:rPr>
          <w:rFonts w:ascii="Arial" w:hAnsi="Arial" w:cs="Arial"/>
          <w:sz w:val="24"/>
          <w:szCs w:val="24"/>
          <w:lang w:val="en-US"/>
        </w:rPr>
      </w:pPr>
    </w:p>
    <w:p w14:paraId="10416EA3" w14:textId="77777777" w:rsidR="0089245A" w:rsidRPr="00E91512" w:rsidRDefault="0089245A" w:rsidP="00E91512">
      <w:pPr>
        <w:spacing w:line="480" w:lineRule="auto"/>
        <w:rPr>
          <w:rFonts w:ascii="Arial" w:hAnsi="Arial" w:cs="Arial"/>
          <w:sz w:val="24"/>
          <w:szCs w:val="24"/>
          <w:lang w:val="en-US"/>
        </w:rPr>
      </w:pPr>
    </w:p>
    <w:p w14:paraId="393E1D36" w14:textId="5C663438" w:rsidR="0089245A" w:rsidRPr="00E91512" w:rsidRDefault="0089245A" w:rsidP="00E91512">
      <w:pPr>
        <w:spacing w:line="480" w:lineRule="auto"/>
        <w:rPr>
          <w:rFonts w:ascii="Arial" w:hAnsi="Arial" w:cs="Arial"/>
          <w:b/>
          <w:bCs/>
          <w:sz w:val="24"/>
          <w:szCs w:val="24"/>
          <w:u w:val="single"/>
          <w:lang w:val="en-US"/>
        </w:rPr>
      </w:pPr>
      <w:r w:rsidRPr="00E91512">
        <w:rPr>
          <w:rFonts w:ascii="Arial" w:hAnsi="Arial" w:cs="Arial"/>
          <w:b/>
          <w:bCs/>
          <w:sz w:val="24"/>
          <w:szCs w:val="24"/>
          <w:u w:val="single"/>
          <w:lang w:val="en-US"/>
        </w:rPr>
        <w:t>REF</w:t>
      </w:r>
      <w:r w:rsidR="00E91512">
        <w:rPr>
          <w:rFonts w:ascii="Arial" w:hAnsi="Arial" w:cs="Arial"/>
          <w:b/>
          <w:bCs/>
          <w:sz w:val="24"/>
          <w:szCs w:val="24"/>
          <w:u w:val="single"/>
          <w:lang w:val="en-US"/>
        </w:rPr>
        <w:t>ERENCES</w:t>
      </w:r>
    </w:p>
    <w:p w14:paraId="1B599139" w14:textId="5624F4B3" w:rsidR="00DC5260" w:rsidRPr="00E91512" w:rsidRDefault="00DC5260" w:rsidP="00E91512">
      <w:pPr>
        <w:spacing w:line="480" w:lineRule="auto"/>
        <w:rPr>
          <w:rFonts w:ascii="Arial" w:hAnsi="Arial" w:cs="Arial"/>
          <w:sz w:val="24"/>
          <w:szCs w:val="24"/>
          <w:lang w:val="en-US"/>
        </w:rPr>
      </w:pPr>
    </w:p>
    <w:p w14:paraId="62CC4B52" w14:textId="1BFA89FD" w:rsidR="00DC5260" w:rsidRPr="00E91512" w:rsidRDefault="00DC5260" w:rsidP="00E91512">
      <w:pPr>
        <w:spacing w:line="480" w:lineRule="auto"/>
        <w:rPr>
          <w:rFonts w:ascii="Arial" w:hAnsi="Arial" w:cs="Arial"/>
          <w:sz w:val="24"/>
          <w:szCs w:val="24"/>
          <w:lang w:val="en-US"/>
        </w:rPr>
      </w:pPr>
      <w:r w:rsidRPr="00E91512">
        <w:rPr>
          <w:rFonts w:ascii="Arial" w:hAnsi="Arial" w:cs="Arial"/>
          <w:sz w:val="24"/>
          <w:szCs w:val="24"/>
          <w:lang w:val="en-US"/>
        </w:rPr>
        <w:t xml:space="preserve">Balk </w:t>
      </w:r>
      <w:r w:rsidR="00EA6FA3" w:rsidRPr="00E91512">
        <w:rPr>
          <w:rFonts w:ascii="Arial" w:hAnsi="Arial" w:cs="Arial"/>
          <w:sz w:val="24"/>
          <w:szCs w:val="24"/>
          <w:lang w:val="en-US"/>
        </w:rPr>
        <w:t>C</w:t>
      </w:r>
      <w:r w:rsidRPr="00E91512">
        <w:rPr>
          <w:rFonts w:ascii="Arial" w:hAnsi="Arial" w:cs="Arial"/>
          <w:sz w:val="24"/>
          <w:szCs w:val="24"/>
          <w:lang w:val="en-US"/>
        </w:rPr>
        <w:t xml:space="preserve"> (2015) Reducing contamination in forensic science. Available at:</w:t>
      </w:r>
      <w:r w:rsidRPr="00E91512">
        <w:rPr>
          <w:rFonts w:ascii="Arial" w:hAnsi="Arial" w:cs="Arial"/>
          <w:sz w:val="24"/>
          <w:szCs w:val="24"/>
        </w:rPr>
        <w:t xml:space="preserve"> </w:t>
      </w:r>
      <w:hyperlink r:id="rId21" w:history="1">
        <w:r w:rsidRPr="00E91512">
          <w:rPr>
            <w:rStyle w:val="Hyperlink"/>
            <w:rFonts w:ascii="Arial" w:hAnsi="Arial" w:cs="Arial"/>
            <w:sz w:val="24"/>
            <w:szCs w:val="24"/>
            <w:u w:val="none"/>
            <w:lang w:val="en-US"/>
          </w:rPr>
          <w:t>https://scholarworks.sjsu.edu/cgi/viewcontent.cgi?referer=https://www.google.com/&amp;httpsredir=1&amp;article=1033&amp;context=themis</w:t>
        </w:r>
      </w:hyperlink>
      <w:r w:rsidRPr="00E91512">
        <w:rPr>
          <w:rFonts w:ascii="Arial" w:hAnsi="Arial" w:cs="Arial"/>
          <w:sz w:val="24"/>
          <w:szCs w:val="24"/>
          <w:lang w:val="en-US"/>
        </w:rPr>
        <w:t xml:space="preserve"> Accessed on: 24 October 2020 </w:t>
      </w:r>
    </w:p>
    <w:p w14:paraId="4CEE68C7" w14:textId="77777777" w:rsidR="00DC5260" w:rsidRPr="00E91512" w:rsidRDefault="00DC5260" w:rsidP="00E91512">
      <w:pPr>
        <w:spacing w:line="480" w:lineRule="auto"/>
        <w:rPr>
          <w:rFonts w:ascii="Arial" w:hAnsi="Arial" w:cs="Arial"/>
          <w:b/>
          <w:bCs/>
          <w:sz w:val="24"/>
          <w:szCs w:val="24"/>
          <w:u w:val="single"/>
          <w:lang w:val="en-US"/>
        </w:rPr>
      </w:pPr>
    </w:p>
    <w:p w14:paraId="1EF36AB9" w14:textId="2A4B3B72" w:rsidR="0089245A" w:rsidRPr="00E91512" w:rsidRDefault="0089245A" w:rsidP="00E91512">
      <w:pPr>
        <w:spacing w:line="480" w:lineRule="auto"/>
        <w:rPr>
          <w:rFonts w:ascii="Arial" w:hAnsi="Arial" w:cs="Arial"/>
          <w:sz w:val="24"/>
          <w:szCs w:val="24"/>
        </w:rPr>
      </w:pPr>
      <w:r w:rsidRPr="00E91512">
        <w:rPr>
          <w:rFonts w:ascii="Arial" w:hAnsi="Arial" w:cs="Arial"/>
          <w:sz w:val="24"/>
          <w:szCs w:val="24"/>
        </w:rPr>
        <w:t xml:space="preserve">Bradbury S (2005) The use of forensic science in volume crime investigations: a review of the research literature. Available at: </w:t>
      </w:r>
      <w:hyperlink r:id="rId22" w:history="1">
        <w:r w:rsidRPr="00E91512">
          <w:rPr>
            <w:rStyle w:val="Hyperlink"/>
            <w:rFonts w:ascii="Arial" w:hAnsi="Arial" w:cs="Arial"/>
            <w:sz w:val="24"/>
            <w:szCs w:val="24"/>
          </w:rPr>
          <w:t>http://library.college.police.uk/docs/hordsolr/rdsolr4305.pdf</w:t>
        </w:r>
      </w:hyperlink>
      <w:r w:rsidRPr="00E91512">
        <w:rPr>
          <w:rFonts w:ascii="Arial" w:hAnsi="Arial" w:cs="Arial"/>
          <w:sz w:val="24"/>
          <w:szCs w:val="24"/>
        </w:rPr>
        <w:t xml:space="preserve"> Accessed on: 21 October 2020</w:t>
      </w:r>
    </w:p>
    <w:p w14:paraId="23345A22" w14:textId="77777777" w:rsidR="00BF0CD0" w:rsidRPr="00E91512" w:rsidRDefault="00BF0CD0" w:rsidP="00E91512">
      <w:pPr>
        <w:spacing w:line="480" w:lineRule="auto"/>
        <w:rPr>
          <w:rFonts w:ascii="Arial" w:hAnsi="Arial" w:cs="Arial"/>
          <w:sz w:val="24"/>
          <w:szCs w:val="24"/>
        </w:rPr>
      </w:pPr>
    </w:p>
    <w:p w14:paraId="7B520755" w14:textId="1007C292" w:rsidR="0089245A" w:rsidRPr="00E91512" w:rsidRDefault="0089245A" w:rsidP="00E91512">
      <w:pPr>
        <w:spacing w:line="480" w:lineRule="auto"/>
        <w:rPr>
          <w:rFonts w:ascii="Arial" w:hAnsi="Arial" w:cs="Arial"/>
          <w:sz w:val="24"/>
          <w:szCs w:val="24"/>
        </w:rPr>
      </w:pPr>
      <w:r w:rsidRPr="00E91512">
        <w:rPr>
          <w:rFonts w:ascii="Arial" w:hAnsi="Arial" w:cs="Arial"/>
          <w:sz w:val="24"/>
          <w:szCs w:val="24"/>
        </w:rPr>
        <w:t>Bryant R, Bryant S (2019) Blackstone’s handbook for policing students.</w:t>
      </w:r>
      <w:r w:rsidR="00122365">
        <w:rPr>
          <w:rFonts w:ascii="Arial" w:hAnsi="Arial" w:cs="Arial"/>
          <w:sz w:val="24"/>
          <w:szCs w:val="24"/>
        </w:rPr>
        <w:t xml:space="preserve"> Oxford.</w:t>
      </w:r>
      <w:r w:rsidRPr="00E91512">
        <w:rPr>
          <w:rFonts w:ascii="Arial" w:hAnsi="Arial" w:cs="Arial"/>
          <w:sz w:val="24"/>
          <w:szCs w:val="24"/>
        </w:rPr>
        <w:t xml:space="preserve"> Oxford University Press. </w:t>
      </w:r>
    </w:p>
    <w:p w14:paraId="09E6CAED" w14:textId="77777777" w:rsidR="00BF0CD0" w:rsidRPr="00E91512" w:rsidRDefault="00BF0CD0" w:rsidP="00E91512">
      <w:pPr>
        <w:spacing w:line="480" w:lineRule="auto"/>
        <w:rPr>
          <w:rFonts w:ascii="Arial" w:hAnsi="Arial" w:cs="Arial"/>
          <w:sz w:val="24"/>
          <w:szCs w:val="24"/>
        </w:rPr>
      </w:pPr>
    </w:p>
    <w:p w14:paraId="14F036B3" w14:textId="41DDB0D3" w:rsidR="0089245A" w:rsidRPr="00E91512" w:rsidRDefault="0089245A" w:rsidP="00E91512">
      <w:pPr>
        <w:spacing w:line="480" w:lineRule="auto"/>
        <w:rPr>
          <w:rFonts w:ascii="Arial" w:hAnsi="Arial" w:cs="Arial"/>
          <w:sz w:val="24"/>
          <w:szCs w:val="24"/>
        </w:rPr>
      </w:pPr>
      <w:r w:rsidRPr="00E91512">
        <w:rPr>
          <w:rFonts w:ascii="Arial" w:hAnsi="Arial" w:cs="Arial"/>
          <w:sz w:val="24"/>
          <w:szCs w:val="24"/>
        </w:rPr>
        <w:t xml:space="preserve">Bowcott O (2008) Evidence against Barry George hung on a thread. Available at: </w:t>
      </w:r>
      <w:hyperlink r:id="rId23" w:history="1">
        <w:r w:rsidRPr="00E91512">
          <w:rPr>
            <w:rStyle w:val="Hyperlink"/>
            <w:rFonts w:ascii="Arial" w:hAnsi="Arial" w:cs="Arial"/>
            <w:sz w:val="24"/>
            <w:szCs w:val="24"/>
          </w:rPr>
          <w:t>https://www.theguardian.com/uk/2008/aug/01/jilldando.ukcrime2</w:t>
        </w:r>
      </w:hyperlink>
      <w:r w:rsidRPr="00E91512">
        <w:rPr>
          <w:rFonts w:ascii="Arial" w:hAnsi="Arial" w:cs="Arial"/>
          <w:sz w:val="24"/>
          <w:szCs w:val="24"/>
        </w:rPr>
        <w:t xml:space="preserve"> Accessed on: 21 October 2020</w:t>
      </w:r>
    </w:p>
    <w:p w14:paraId="70D5754D" w14:textId="77777777" w:rsidR="00BF0CD0" w:rsidRPr="00E91512" w:rsidRDefault="00BF0CD0" w:rsidP="00E91512">
      <w:pPr>
        <w:spacing w:line="480" w:lineRule="auto"/>
        <w:rPr>
          <w:rFonts w:ascii="Arial" w:hAnsi="Arial" w:cs="Arial"/>
          <w:sz w:val="24"/>
          <w:szCs w:val="24"/>
        </w:rPr>
      </w:pPr>
    </w:p>
    <w:p w14:paraId="5E6F3D61" w14:textId="48020555" w:rsidR="0089245A" w:rsidRPr="00E91512" w:rsidRDefault="0089245A" w:rsidP="00E91512">
      <w:pPr>
        <w:spacing w:line="480" w:lineRule="auto"/>
        <w:rPr>
          <w:rFonts w:ascii="Arial" w:hAnsi="Arial" w:cs="Arial"/>
          <w:sz w:val="24"/>
          <w:szCs w:val="24"/>
        </w:rPr>
      </w:pPr>
      <w:r w:rsidRPr="00E91512">
        <w:rPr>
          <w:rFonts w:ascii="Arial" w:hAnsi="Arial" w:cs="Arial"/>
          <w:sz w:val="24"/>
          <w:szCs w:val="24"/>
        </w:rPr>
        <w:t xml:space="preserve">CPS (2018) Exhibits. Available at: </w:t>
      </w:r>
      <w:hyperlink r:id="rId24" w:history="1">
        <w:r w:rsidRPr="00E91512">
          <w:rPr>
            <w:rStyle w:val="Hyperlink"/>
            <w:rFonts w:ascii="Arial" w:hAnsi="Arial" w:cs="Arial"/>
            <w:sz w:val="24"/>
            <w:szCs w:val="24"/>
          </w:rPr>
          <w:t>https://www.cps.gov.uk/legal-guidance/exhibits</w:t>
        </w:r>
      </w:hyperlink>
      <w:r w:rsidRPr="00E91512">
        <w:rPr>
          <w:rFonts w:ascii="Arial" w:hAnsi="Arial" w:cs="Arial"/>
          <w:sz w:val="24"/>
          <w:szCs w:val="24"/>
        </w:rPr>
        <w:t xml:space="preserve"> Accessed on: 21 October</w:t>
      </w:r>
    </w:p>
    <w:p w14:paraId="1093592F" w14:textId="725CDFAB" w:rsidR="00BF0CD0" w:rsidRPr="00E91512" w:rsidRDefault="00BF0CD0" w:rsidP="00E91512">
      <w:pPr>
        <w:spacing w:line="480" w:lineRule="auto"/>
        <w:rPr>
          <w:rFonts w:ascii="Arial" w:hAnsi="Arial" w:cs="Arial"/>
          <w:sz w:val="24"/>
          <w:szCs w:val="24"/>
        </w:rPr>
      </w:pPr>
    </w:p>
    <w:p w14:paraId="6FFDA6C4" w14:textId="0B73DE70" w:rsidR="00AC111D" w:rsidRPr="00E91512" w:rsidRDefault="00AC111D" w:rsidP="00E91512">
      <w:pPr>
        <w:spacing w:line="480" w:lineRule="auto"/>
        <w:rPr>
          <w:rFonts w:ascii="Arial" w:hAnsi="Arial" w:cs="Arial"/>
          <w:sz w:val="24"/>
          <w:szCs w:val="24"/>
        </w:rPr>
      </w:pPr>
      <w:r w:rsidRPr="00E91512">
        <w:rPr>
          <w:rFonts w:ascii="Arial" w:hAnsi="Arial" w:cs="Arial"/>
          <w:sz w:val="24"/>
          <w:szCs w:val="24"/>
        </w:rPr>
        <w:t xml:space="preserve">Dodd V, Bowcott O, Laville S, Malik S (2012) Forensic firm investigated over DNA blunder in rape case. Available at: </w:t>
      </w:r>
      <w:hyperlink r:id="rId25" w:history="1">
        <w:r w:rsidRPr="00E91512">
          <w:rPr>
            <w:rStyle w:val="Hyperlink"/>
            <w:rFonts w:ascii="Arial" w:hAnsi="Arial" w:cs="Arial"/>
            <w:sz w:val="24"/>
            <w:szCs w:val="24"/>
          </w:rPr>
          <w:t>https://www.theguardian.com/law/2012/mar/09/forensics-firm-investigated-dna</w:t>
        </w:r>
      </w:hyperlink>
      <w:r w:rsidRPr="00E91512">
        <w:rPr>
          <w:rFonts w:ascii="Arial" w:hAnsi="Arial" w:cs="Arial"/>
          <w:sz w:val="24"/>
          <w:szCs w:val="24"/>
        </w:rPr>
        <w:t xml:space="preserve"> Accessed on: 24 October 2020</w:t>
      </w:r>
    </w:p>
    <w:p w14:paraId="7729151F" w14:textId="77777777" w:rsidR="00AC111D" w:rsidRPr="00E91512" w:rsidRDefault="00AC111D" w:rsidP="00E91512">
      <w:pPr>
        <w:spacing w:line="480" w:lineRule="auto"/>
        <w:rPr>
          <w:rFonts w:ascii="Arial" w:hAnsi="Arial" w:cs="Arial"/>
          <w:sz w:val="24"/>
          <w:szCs w:val="24"/>
        </w:rPr>
      </w:pPr>
    </w:p>
    <w:p w14:paraId="19E63B64" w14:textId="3C23D689" w:rsidR="00852E19" w:rsidRPr="00E91512" w:rsidRDefault="00852E19" w:rsidP="00E91512">
      <w:pPr>
        <w:spacing w:line="480" w:lineRule="auto"/>
        <w:rPr>
          <w:rFonts w:ascii="Arial" w:hAnsi="Arial" w:cs="Arial"/>
          <w:sz w:val="24"/>
          <w:szCs w:val="24"/>
        </w:rPr>
      </w:pPr>
      <w:r w:rsidRPr="00E91512">
        <w:rPr>
          <w:rFonts w:ascii="Arial" w:hAnsi="Arial" w:cs="Arial"/>
          <w:sz w:val="24"/>
          <w:szCs w:val="24"/>
        </w:rPr>
        <w:t xml:space="preserve">Forensic Science Regulator (2020) Code of practice and conduct for forensic science providers and practitioners in the Criminal Justice System. Available at: </w:t>
      </w:r>
      <w:hyperlink r:id="rId26" w:history="1">
        <w:r w:rsidRPr="00E91512">
          <w:rPr>
            <w:rStyle w:val="Hyperlink"/>
            <w:rFonts w:ascii="Arial" w:hAnsi="Arial" w:cs="Arial"/>
            <w:sz w:val="24"/>
            <w:szCs w:val="24"/>
          </w:rPr>
          <w:t>https://assets.publishing.service.gov.uk/government/uploads/system/uploads/attachment_data/file/880708/Codes_of_Practice_and_Conduct_-_Issue_5.pdf</w:t>
        </w:r>
      </w:hyperlink>
      <w:r w:rsidRPr="00E91512">
        <w:rPr>
          <w:rFonts w:ascii="Arial" w:hAnsi="Arial" w:cs="Arial"/>
          <w:sz w:val="24"/>
          <w:szCs w:val="24"/>
        </w:rPr>
        <w:t xml:space="preserve"> Accessed on: 24 October 2020</w:t>
      </w:r>
    </w:p>
    <w:p w14:paraId="45EA0C6D" w14:textId="77777777" w:rsidR="00852E19" w:rsidRPr="00E91512" w:rsidRDefault="00852E19" w:rsidP="00E91512">
      <w:pPr>
        <w:spacing w:line="480" w:lineRule="auto"/>
        <w:rPr>
          <w:rFonts w:ascii="Arial" w:hAnsi="Arial" w:cs="Arial"/>
          <w:sz w:val="24"/>
          <w:szCs w:val="24"/>
        </w:rPr>
      </w:pPr>
    </w:p>
    <w:p w14:paraId="6C928F99" w14:textId="78CCDBC6" w:rsidR="0089245A" w:rsidRPr="00E91512" w:rsidRDefault="0089245A" w:rsidP="00E91512">
      <w:pPr>
        <w:spacing w:line="480" w:lineRule="auto"/>
        <w:rPr>
          <w:rFonts w:ascii="Arial" w:hAnsi="Arial" w:cs="Arial"/>
          <w:sz w:val="24"/>
          <w:szCs w:val="24"/>
        </w:rPr>
      </w:pPr>
      <w:r w:rsidRPr="00E91512">
        <w:rPr>
          <w:rFonts w:ascii="Arial" w:hAnsi="Arial" w:cs="Arial"/>
          <w:sz w:val="24"/>
          <w:szCs w:val="24"/>
        </w:rPr>
        <w:t xml:space="preserve">Government (2017) Guidance regarding the storage, retention and destruction of records and materials that have been seized for forensic examination. Available at: </w:t>
      </w:r>
      <w:hyperlink r:id="rId27" w:history="1">
        <w:r w:rsidRPr="00E91512">
          <w:rPr>
            <w:rStyle w:val="Hyperlink"/>
            <w:rFonts w:ascii="Arial" w:hAnsi="Arial" w:cs="Arial"/>
            <w:sz w:val="24"/>
            <w:szCs w:val="24"/>
          </w:rPr>
          <w:t>https://assets.publishing.service.gov.uk/government/uploads/system/uploads/attachment_data/file/775354/Requirements_Guidance_Regarding_The_Storage_Retention_And_Destruction_Of_Records_And_Materials_Version_2.1_Dec_2017.pdf</w:t>
        </w:r>
      </w:hyperlink>
      <w:r w:rsidRPr="00E91512">
        <w:rPr>
          <w:rFonts w:ascii="Arial" w:hAnsi="Arial" w:cs="Arial"/>
          <w:sz w:val="24"/>
          <w:szCs w:val="24"/>
        </w:rPr>
        <w:t xml:space="preserve"> Accessed on: 21 October 2020 </w:t>
      </w:r>
    </w:p>
    <w:p w14:paraId="661820C1" w14:textId="772B1323" w:rsidR="000C4483" w:rsidRPr="00E91512" w:rsidRDefault="000C4483" w:rsidP="00E91512">
      <w:pPr>
        <w:spacing w:line="480" w:lineRule="auto"/>
        <w:rPr>
          <w:rFonts w:ascii="Arial" w:hAnsi="Arial" w:cs="Arial"/>
          <w:sz w:val="24"/>
          <w:szCs w:val="24"/>
        </w:rPr>
      </w:pPr>
    </w:p>
    <w:p w14:paraId="4A8A198E" w14:textId="0E4474FA" w:rsidR="00302CCE" w:rsidRPr="00E91512" w:rsidRDefault="00302CCE" w:rsidP="00E91512">
      <w:pPr>
        <w:spacing w:line="480" w:lineRule="auto"/>
        <w:rPr>
          <w:rFonts w:ascii="Arial" w:hAnsi="Arial" w:cs="Arial"/>
          <w:sz w:val="24"/>
          <w:szCs w:val="24"/>
        </w:rPr>
      </w:pPr>
      <w:r w:rsidRPr="00E91512">
        <w:rPr>
          <w:rFonts w:ascii="Arial" w:hAnsi="Arial" w:cs="Arial"/>
          <w:sz w:val="24"/>
          <w:szCs w:val="24"/>
        </w:rPr>
        <w:t xml:space="preserve">Government (2020) Evidence in criminal investigations. Available at: </w:t>
      </w:r>
      <w:hyperlink r:id="rId28" w:history="1">
        <w:r w:rsidRPr="00E91512">
          <w:rPr>
            <w:rStyle w:val="Hyperlink"/>
            <w:rFonts w:ascii="Arial" w:hAnsi="Arial" w:cs="Arial"/>
            <w:sz w:val="24"/>
            <w:szCs w:val="24"/>
          </w:rPr>
          <w:t>https://assets.publishing.service.gov.uk/government/uploads/system/uploads/attachment_data/file/919630/evidence-in-criminal-investigations-v5.0.pdf</w:t>
        </w:r>
      </w:hyperlink>
      <w:r w:rsidRPr="00E91512">
        <w:rPr>
          <w:rFonts w:ascii="Arial" w:hAnsi="Arial" w:cs="Arial"/>
          <w:sz w:val="24"/>
          <w:szCs w:val="24"/>
        </w:rPr>
        <w:t xml:space="preserve"> Accessed on: 24 October 2020 </w:t>
      </w:r>
    </w:p>
    <w:p w14:paraId="734853C3" w14:textId="77777777" w:rsidR="00302CCE" w:rsidRPr="00E91512" w:rsidRDefault="00302CCE" w:rsidP="00E91512">
      <w:pPr>
        <w:spacing w:line="480" w:lineRule="auto"/>
        <w:rPr>
          <w:rFonts w:ascii="Arial" w:hAnsi="Arial" w:cs="Arial"/>
          <w:sz w:val="24"/>
          <w:szCs w:val="24"/>
        </w:rPr>
      </w:pPr>
    </w:p>
    <w:p w14:paraId="0BC27A91" w14:textId="1D8E57D9" w:rsidR="000C4483" w:rsidRPr="00E91512" w:rsidRDefault="000C4483" w:rsidP="00E91512">
      <w:pPr>
        <w:spacing w:line="480" w:lineRule="auto"/>
        <w:rPr>
          <w:rFonts w:ascii="Arial" w:hAnsi="Arial" w:cs="Arial"/>
          <w:sz w:val="24"/>
          <w:szCs w:val="24"/>
        </w:rPr>
      </w:pPr>
      <w:r w:rsidRPr="00E91512">
        <w:rPr>
          <w:rFonts w:ascii="Arial" w:hAnsi="Arial" w:cs="Arial"/>
          <w:sz w:val="24"/>
          <w:szCs w:val="24"/>
        </w:rPr>
        <w:t xml:space="preserve">Health and Safety executive (2020) Continuity. Available at: </w:t>
      </w:r>
      <w:hyperlink r:id="rId29" w:history="1">
        <w:r w:rsidRPr="00E91512">
          <w:rPr>
            <w:rStyle w:val="Hyperlink"/>
            <w:rFonts w:ascii="Arial" w:hAnsi="Arial" w:cs="Arial"/>
            <w:sz w:val="24"/>
            <w:szCs w:val="24"/>
          </w:rPr>
          <w:t>https://www.hse.gov.uk/enforce/enforcementguide/court/physical-continuity.htm</w:t>
        </w:r>
      </w:hyperlink>
      <w:r w:rsidRPr="00E91512">
        <w:rPr>
          <w:rFonts w:ascii="Arial" w:hAnsi="Arial" w:cs="Arial"/>
          <w:sz w:val="24"/>
          <w:szCs w:val="24"/>
        </w:rPr>
        <w:t xml:space="preserve"> Accessed on: 24 October 2020 </w:t>
      </w:r>
    </w:p>
    <w:p w14:paraId="160F958F" w14:textId="77777777" w:rsidR="00BF0CD0" w:rsidRPr="00E91512" w:rsidRDefault="00BF0CD0" w:rsidP="00E91512">
      <w:pPr>
        <w:spacing w:line="480" w:lineRule="auto"/>
        <w:rPr>
          <w:rFonts w:ascii="Arial" w:hAnsi="Arial" w:cs="Arial"/>
          <w:sz w:val="24"/>
          <w:szCs w:val="24"/>
        </w:rPr>
      </w:pPr>
    </w:p>
    <w:p w14:paraId="4D9BC6DC" w14:textId="6EE93AEE" w:rsidR="0089245A" w:rsidRPr="00E91512" w:rsidRDefault="0089245A" w:rsidP="00E91512">
      <w:pPr>
        <w:spacing w:line="480" w:lineRule="auto"/>
        <w:rPr>
          <w:rFonts w:ascii="Arial" w:hAnsi="Arial" w:cs="Arial"/>
          <w:sz w:val="24"/>
          <w:szCs w:val="24"/>
        </w:rPr>
      </w:pPr>
      <w:r w:rsidRPr="00E91512">
        <w:rPr>
          <w:rFonts w:ascii="Arial" w:hAnsi="Arial" w:cs="Arial"/>
          <w:sz w:val="24"/>
          <w:szCs w:val="24"/>
        </w:rPr>
        <w:lastRenderedPageBreak/>
        <w:t xml:space="preserve">Lothridge K, Fitzpatrick F (2013) Crime scene investigation. A guide for law enforcement. Available at: </w:t>
      </w:r>
      <w:hyperlink r:id="rId30" w:history="1">
        <w:r w:rsidRPr="00E91512">
          <w:rPr>
            <w:rStyle w:val="Hyperlink"/>
            <w:rFonts w:ascii="Arial" w:hAnsi="Arial" w:cs="Arial"/>
            <w:sz w:val="24"/>
            <w:szCs w:val="24"/>
          </w:rPr>
          <w:t>https://www.utsystem.edu/sites/default/files/offices/police/policies/Crime-Scene-Investigation.pdf</w:t>
        </w:r>
      </w:hyperlink>
      <w:r w:rsidRPr="00E91512">
        <w:rPr>
          <w:rFonts w:ascii="Arial" w:hAnsi="Arial" w:cs="Arial"/>
          <w:sz w:val="24"/>
          <w:szCs w:val="24"/>
        </w:rPr>
        <w:t xml:space="preserve"> Accessed on: 22 October 2020 </w:t>
      </w:r>
    </w:p>
    <w:p w14:paraId="0486AE35" w14:textId="77777777" w:rsidR="00BF0CD0" w:rsidRPr="00E91512" w:rsidRDefault="00BF0CD0" w:rsidP="00E91512">
      <w:pPr>
        <w:spacing w:line="480" w:lineRule="auto"/>
        <w:rPr>
          <w:rFonts w:ascii="Arial" w:hAnsi="Arial" w:cs="Arial"/>
          <w:sz w:val="24"/>
          <w:szCs w:val="24"/>
        </w:rPr>
      </w:pPr>
    </w:p>
    <w:p w14:paraId="6C28BD83" w14:textId="3DD5D08A" w:rsidR="0089245A" w:rsidRPr="00E91512" w:rsidRDefault="0089245A" w:rsidP="00E91512">
      <w:pPr>
        <w:spacing w:line="480" w:lineRule="auto"/>
        <w:rPr>
          <w:rFonts w:ascii="Arial" w:hAnsi="Arial" w:cs="Arial"/>
          <w:sz w:val="24"/>
          <w:szCs w:val="24"/>
        </w:rPr>
      </w:pPr>
      <w:r w:rsidRPr="00E91512">
        <w:rPr>
          <w:rFonts w:ascii="Arial" w:hAnsi="Arial" w:cs="Arial"/>
          <w:sz w:val="24"/>
          <w:szCs w:val="24"/>
        </w:rPr>
        <w:t xml:space="preserve">Laville, S (2009) Evidence missing in Barrymore case, says watchdog. Available at: </w:t>
      </w:r>
      <w:hyperlink r:id="rId31" w:history="1">
        <w:r w:rsidRPr="00E91512">
          <w:rPr>
            <w:rStyle w:val="Hyperlink"/>
            <w:rFonts w:ascii="Arial" w:hAnsi="Arial" w:cs="Arial"/>
            <w:sz w:val="24"/>
            <w:szCs w:val="24"/>
          </w:rPr>
          <w:t>https://www.theguardian.com/uk/2009/feb/25/stuart-lubboc-inquiry-michael-barrymore</w:t>
        </w:r>
      </w:hyperlink>
      <w:r w:rsidRPr="00E91512">
        <w:rPr>
          <w:rFonts w:ascii="Arial" w:hAnsi="Arial" w:cs="Arial"/>
          <w:sz w:val="24"/>
          <w:szCs w:val="24"/>
        </w:rPr>
        <w:t xml:space="preserve"> Accessed on: 21 October 2020 </w:t>
      </w:r>
    </w:p>
    <w:p w14:paraId="4EAE1B31" w14:textId="77777777" w:rsidR="00BF0CD0" w:rsidRPr="00E91512" w:rsidRDefault="00BF0CD0" w:rsidP="00E91512">
      <w:pPr>
        <w:spacing w:line="480" w:lineRule="auto"/>
        <w:rPr>
          <w:rFonts w:ascii="Arial" w:hAnsi="Arial" w:cs="Arial"/>
          <w:sz w:val="24"/>
          <w:szCs w:val="24"/>
        </w:rPr>
      </w:pPr>
    </w:p>
    <w:p w14:paraId="71FB3164" w14:textId="08561792" w:rsidR="0089245A" w:rsidRPr="00E91512" w:rsidRDefault="0089245A" w:rsidP="00E91512">
      <w:pPr>
        <w:spacing w:line="480" w:lineRule="auto"/>
        <w:rPr>
          <w:rFonts w:ascii="Arial" w:hAnsi="Arial" w:cs="Arial"/>
          <w:sz w:val="24"/>
          <w:szCs w:val="24"/>
        </w:rPr>
      </w:pPr>
      <w:r w:rsidRPr="00E91512">
        <w:rPr>
          <w:rFonts w:ascii="Arial" w:hAnsi="Arial" w:cs="Arial"/>
          <w:sz w:val="24"/>
          <w:szCs w:val="24"/>
        </w:rPr>
        <w:t xml:space="preserve">Metropolitan Police (2018) Freedom of Information Request. Available at: </w:t>
      </w:r>
      <w:hyperlink r:id="rId32" w:history="1">
        <w:r w:rsidRPr="00E91512">
          <w:rPr>
            <w:rStyle w:val="Hyperlink"/>
            <w:rFonts w:ascii="Arial" w:hAnsi="Arial" w:cs="Arial"/>
            <w:sz w:val="24"/>
            <w:szCs w:val="24"/>
          </w:rPr>
          <w:t>https://www.met.police.uk/SysSiteAssets/foi-media/metropolitan-police/disclosure_2018/june_2018/information-rights-unit---properly-handling-policy</w:t>
        </w:r>
      </w:hyperlink>
      <w:r w:rsidRPr="00E91512">
        <w:rPr>
          <w:rFonts w:ascii="Arial" w:hAnsi="Arial" w:cs="Arial"/>
          <w:sz w:val="24"/>
          <w:szCs w:val="24"/>
        </w:rPr>
        <w:t xml:space="preserve">  Accessed on: 21 October 2020 </w:t>
      </w:r>
    </w:p>
    <w:p w14:paraId="69D2FDAD" w14:textId="3B8E3F80" w:rsidR="00BF0CD0" w:rsidRPr="00E91512" w:rsidRDefault="00BF0CD0" w:rsidP="00E91512">
      <w:pPr>
        <w:spacing w:line="480" w:lineRule="auto"/>
        <w:rPr>
          <w:rFonts w:ascii="Arial" w:hAnsi="Arial" w:cs="Arial"/>
          <w:sz w:val="24"/>
          <w:szCs w:val="24"/>
        </w:rPr>
      </w:pPr>
    </w:p>
    <w:p w14:paraId="5B26F634" w14:textId="18A2BEAC" w:rsidR="00BF0CD0" w:rsidRPr="00E91512" w:rsidRDefault="00BF0CD0" w:rsidP="00E91512">
      <w:pPr>
        <w:spacing w:line="480" w:lineRule="auto"/>
        <w:rPr>
          <w:rFonts w:ascii="Arial" w:hAnsi="Arial" w:cs="Arial"/>
          <w:sz w:val="24"/>
          <w:szCs w:val="24"/>
        </w:rPr>
      </w:pPr>
      <w:r w:rsidRPr="00E91512">
        <w:rPr>
          <w:rFonts w:ascii="Arial" w:hAnsi="Arial" w:cs="Arial"/>
          <w:sz w:val="24"/>
          <w:szCs w:val="24"/>
        </w:rPr>
        <w:t xml:space="preserve">Merseyside Police (2018) Property and Evidence Management. Available at: </w:t>
      </w:r>
      <w:hyperlink r:id="rId33" w:history="1">
        <w:r w:rsidRPr="00E91512">
          <w:rPr>
            <w:rStyle w:val="Hyperlink"/>
            <w:rFonts w:ascii="Arial" w:hAnsi="Arial" w:cs="Arial"/>
            <w:sz w:val="24"/>
            <w:szCs w:val="24"/>
          </w:rPr>
          <w:t>https://www.merseyside.police.uk/SysSiteAssets/foi- media/merseyside/policies/property-and-evidence-management-policy-oct-2018.pdf</w:t>
        </w:r>
      </w:hyperlink>
      <w:r w:rsidRPr="00E91512">
        <w:rPr>
          <w:rFonts w:ascii="Arial" w:hAnsi="Arial" w:cs="Arial"/>
          <w:sz w:val="24"/>
          <w:szCs w:val="24"/>
        </w:rPr>
        <w:t xml:space="preserve">  Accessed on: 24 October 2020</w:t>
      </w:r>
    </w:p>
    <w:p w14:paraId="08987F66" w14:textId="75E6241F" w:rsidR="00BF0CD0" w:rsidRPr="00E91512" w:rsidRDefault="00BF0CD0" w:rsidP="00E91512">
      <w:pPr>
        <w:spacing w:line="480" w:lineRule="auto"/>
        <w:rPr>
          <w:rFonts w:ascii="Arial" w:hAnsi="Arial" w:cs="Arial"/>
          <w:sz w:val="24"/>
          <w:szCs w:val="24"/>
        </w:rPr>
      </w:pPr>
    </w:p>
    <w:p w14:paraId="09C83529" w14:textId="2FA0D60C" w:rsidR="006053C8" w:rsidRPr="00E91512" w:rsidRDefault="006053C8" w:rsidP="00E91512">
      <w:pPr>
        <w:spacing w:line="480" w:lineRule="auto"/>
        <w:rPr>
          <w:rFonts w:ascii="Arial" w:hAnsi="Arial" w:cs="Arial"/>
          <w:sz w:val="24"/>
          <w:szCs w:val="24"/>
        </w:rPr>
      </w:pPr>
      <w:r w:rsidRPr="00E91512">
        <w:rPr>
          <w:rFonts w:ascii="Arial" w:hAnsi="Arial" w:cs="Arial"/>
          <w:sz w:val="24"/>
          <w:szCs w:val="24"/>
        </w:rPr>
        <w:t xml:space="preserve">O’ Brien E, Daeid N, Black S (2015) Science in the court: pitfalls, challenges and solutions. Available at: </w:t>
      </w:r>
      <w:hyperlink r:id="rId34" w:history="1">
        <w:r w:rsidRPr="00E91512">
          <w:rPr>
            <w:rStyle w:val="Hyperlink"/>
            <w:rFonts w:ascii="Arial" w:hAnsi="Arial" w:cs="Arial"/>
            <w:sz w:val="24"/>
            <w:szCs w:val="24"/>
          </w:rPr>
          <w:t>https://www.ncbi.nlm.nih.gov/pmc/articles/PMC4581010/</w:t>
        </w:r>
      </w:hyperlink>
      <w:r w:rsidRPr="00E91512">
        <w:rPr>
          <w:rFonts w:ascii="Arial" w:hAnsi="Arial" w:cs="Arial"/>
          <w:sz w:val="24"/>
          <w:szCs w:val="24"/>
        </w:rPr>
        <w:t xml:space="preserve"> Accessed on: 25 October 2020</w:t>
      </w:r>
    </w:p>
    <w:p w14:paraId="48406685" w14:textId="77777777" w:rsidR="006053C8" w:rsidRPr="00E91512" w:rsidRDefault="006053C8" w:rsidP="00E91512">
      <w:pPr>
        <w:spacing w:line="480" w:lineRule="auto"/>
        <w:rPr>
          <w:rFonts w:ascii="Arial" w:hAnsi="Arial" w:cs="Arial"/>
          <w:sz w:val="24"/>
          <w:szCs w:val="24"/>
        </w:rPr>
      </w:pPr>
    </w:p>
    <w:p w14:paraId="1079CBD1" w14:textId="52CD0FC3" w:rsidR="00104ECC" w:rsidRPr="00E91512" w:rsidRDefault="00104ECC" w:rsidP="00E91512">
      <w:pPr>
        <w:spacing w:line="480" w:lineRule="auto"/>
        <w:rPr>
          <w:rFonts w:ascii="Arial" w:hAnsi="Arial" w:cs="Arial"/>
          <w:sz w:val="24"/>
          <w:szCs w:val="24"/>
        </w:rPr>
      </w:pPr>
      <w:r w:rsidRPr="00E91512">
        <w:rPr>
          <w:rFonts w:ascii="Arial" w:hAnsi="Arial" w:cs="Arial"/>
          <w:sz w:val="24"/>
          <w:szCs w:val="24"/>
        </w:rPr>
        <w:t>Peterson J L, Mihajlovic S, Gilliland M (1984) Forensic evidence and the police.</w:t>
      </w:r>
      <w:r w:rsidR="00122365">
        <w:rPr>
          <w:rFonts w:ascii="Arial" w:hAnsi="Arial" w:cs="Arial"/>
          <w:sz w:val="24"/>
          <w:szCs w:val="24"/>
        </w:rPr>
        <w:t xml:space="preserve"> </w:t>
      </w:r>
      <w:r w:rsidR="00122365" w:rsidRPr="00E91512">
        <w:rPr>
          <w:rFonts w:ascii="Arial" w:hAnsi="Arial" w:cs="Arial"/>
          <w:sz w:val="24"/>
          <w:szCs w:val="24"/>
        </w:rPr>
        <w:t>Washington</w:t>
      </w:r>
      <w:r w:rsidR="00122365">
        <w:rPr>
          <w:rFonts w:ascii="Arial" w:hAnsi="Arial" w:cs="Arial"/>
          <w:sz w:val="24"/>
          <w:szCs w:val="24"/>
        </w:rPr>
        <w:t>.</w:t>
      </w:r>
      <w:r w:rsidRPr="00E91512">
        <w:rPr>
          <w:rFonts w:ascii="Arial" w:hAnsi="Arial" w:cs="Arial"/>
          <w:sz w:val="24"/>
          <w:szCs w:val="24"/>
        </w:rPr>
        <w:t xml:space="preserve"> US Government printing office. </w:t>
      </w:r>
    </w:p>
    <w:p w14:paraId="5E245F26" w14:textId="77777777" w:rsidR="00104ECC" w:rsidRPr="00E91512" w:rsidRDefault="00104ECC" w:rsidP="00E91512">
      <w:pPr>
        <w:spacing w:line="480" w:lineRule="auto"/>
        <w:rPr>
          <w:rFonts w:ascii="Arial" w:hAnsi="Arial" w:cs="Arial"/>
          <w:sz w:val="24"/>
          <w:szCs w:val="24"/>
        </w:rPr>
      </w:pPr>
    </w:p>
    <w:p w14:paraId="209B00ED" w14:textId="664397C8" w:rsidR="00062F51" w:rsidRPr="00E91512" w:rsidRDefault="00062F51" w:rsidP="00E91512">
      <w:pPr>
        <w:spacing w:line="480" w:lineRule="auto"/>
        <w:rPr>
          <w:rFonts w:ascii="Arial" w:hAnsi="Arial" w:cs="Arial"/>
          <w:sz w:val="24"/>
          <w:szCs w:val="24"/>
        </w:rPr>
      </w:pPr>
      <w:r w:rsidRPr="00E91512">
        <w:rPr>
          <w:rFonts w:ascii="Arial" w:hAnsi="Arial" w:cs="Arial"/>
          <w:sz w:val="24"/>
          <w:szCs w:val="24"/>
        </w:rPr>
        <w:t xml:space="preserve">Souviron R, Haller L (2017) Bite mark evidence: bite mark analysis is not the same as bite mark comparison or matching or identification. Available at: </w:t>
      </w:r>
      <w:hyperlink r:id="rId35" w:history="1">
        <w:r w:rsidRPr="00E91512">
          <w:rPr>
            <w:rStyle w:val="Hyperlink"/>
            <w:rFonts w:ascii="Arial" w:hAnsi="Arial" w:cs="Arial"/>
            <w:sz w:val="24"/>
            <w:szCs w:val="24"/>
          </w:rPr>
          <w:t>https://academic.oup.com/jlb/article/4/3/617/4584307</w:t>
        </w:r>
      </w:hyperlink>
      <w:r w:rsidRPr="00E91512">
        <w:rPr>
          <w:rFonts w:ascii="Arial" w:hAnsi="Arial" w:cs="Arial"/>
          <w:sz w:val="24"/>
          <w:szCs w:val="24"/>
        </w:rPr>
        <w:t xml:space="preserve"> Accessed on: 24 October 2020 </w:t>
      </w:r>
    </w:p>
    <w:p w14:paraId="4A22B297" w14:textId="302A2A04" w:rsidR="00852E19" w:rsidRPr="00E91512" w:rsidRDefault="00852E19" w:rsidP="00E91512">
      <w:pPr>
        <w:spacing w:line="480" w:lineRule="auto"/>
        <w:rPr>
          <w:rFonts w:ascii="Arial" w:hAnsi="Arial" w:cs="Arial"/>
          <w:sz w:val="24"/>
          <w:szCs w:val="24"/>
        </w:rPr>
      </w:pPr>
    </w:p>
    <w:p w14:paraId="5C9AA927" w14:textId="57EB9B3C" w:rsidR="00852E19" w:rsidRPr="00E91512" w:rsidRDefault="00852E19" w:rsidP="00E91512">
      <w:pPr>
        <w:spacing w:line="480" w:lineRule="auto"/>
        <w:rPr>
          <w:rFonts w:ascii="Arial" w:hAnsi="Arial" w:cs="Arial"/>
          <w:sz w:val="24"/>
          <w:szCs w:val="24"/>
        </w:rPr>
      </w:pPr>
      <w:r w:rsidRPr="00E91512">
        <w:rPr>
          <w:rFonts w:ascii="Arial" w:hAnsi="Arial" w:cs="Arial"/>
          <w:sz w:val="24"/>
          <w:szCs w:val="24"/>
        </w:rPr>
        <w:t xml:space="preserve">Walker P (2012) Forensic lab error led to miscarriage of justice. Available at: </w:t>
      </w:r>
      <w:hyperlink r:id="rId36" w:history="1">
        <w:r w:rsidRPr="00E91512">
          <w:rPr>
            <w:rStyle w:val="Hyperlink"/>
            <w:rFonts w:ascii="Arial" w:hAnsi="Arial" w:cs="Arial"/>
            <w:sz w:val="24"/>
            <w:szCs w:val="24"/>
          </w:rPr>
          <w:t>https://www.chemistryworld.com/news/forensic-lab-error-led-to-miscarriage-of-justice-/5503.article</w:t>
        </w:r>
      </w:hyperlink>
      <w:r w:rsidRPr="00E91512">
        <w:rPr>
          <w:rFonts w:ascii="Arial" w:hAnsi="Arial" w:cs="Arial"/>
          <w:sz w:val="24"/>
          <w:szCs w:val="24"/>
        </w:rPr>
        <w:t xml:space="preserve"> Accessed on: 24 October 2020 </w:t>
      </w:r>
    </w:p>
    <w:p w14:paraId="6C249498" w14:textId="77777777" w:rsidR="00062F51" w:rsidRPr="00E91512" w:rsidRDefault="00062F51" w:rsidP="00E91512">
      <w:pPr>
        <w:spacing w:line="480" w:lineRule="auto"/>
        <w:rPr>
          <w:rFonts w:ascii="Arial" w:hAnsi="Arial" w:cs="Arial"/>
          <w:sz w:val="24"/>
          <w:szCs w:val="24"/>
        </w:rPr>
      </w:pPr>
    </w:p>
    <w:p w14:paraId="4CA2AB42" w14:textId="5E5AB42E" w:rsidR="0089245A" w:rsidRPr="00E91512" w:rsidRDefault="0089245A" w:rsidP="00E91512">
      <w:pPr>
        <w:spacing w:line="480" w:lineRule="auto"/>
        <w:rPr>
          <w:rFonts w:ascii="Arial" w:hAnsi="Arial" w:cs="Arial"/>
          <w:sz w:val="24"/>
          <w:szCs w:val="24"/>
        </w:rPr>
      </w:pPr>
      <w:r w:rsidRPr="00E91512">
        <w:rPr>
          <w:rFonts w:ascii="Arial" w:hAnsi="Arial" w:cs="Arial"/>
          <w:sz w:val="24"/>
          <w:szCs w:val="24"/>
        </w:rPr>
        <w:t xml:space="preserve">West Midlands Police (2012) Property procedures- operational. Available at: </w:t>
      </w:r>
      <w:hyperlink r:id="rId37" w:history="1">
        <w:r w:rsidRPr="00E91512">
          <w:rPr>
            <w:rStyle w:val="Hyperlink"/>
            <w:rFonts w:ascii="Arial" w:hAnsi="Arial" w:cs="Arial"/>
            <w:sz w:val="24"/>
            <w:szCs w:val="24"/>
          </w:rPr>
          <w:t>https://foi.west-midlands.police.uk/wp-content/uploads/2014/05/Property-Operational.pdf</w:t>
        </w:r>
      </w:hyperlink>
      <w:r w:rsidRPr="00E91512">
        <w:rPr>
          <w:rFonts w:ascii="Arial" w:hAnsi="Arial" w:cs="Arial"/>
          <w:sz w:val="24"/>
          <w:szCs w:val="24"/>
        </w:rPr>
        <w:t xml:space="preserve"> Accessed on: 21 October 2020 </w:t>
      </w:r>
    </w:p>
    <w:p w14:paraId="58BF3CD9" w14:textId="77777777" w:rsidR="00BF0CD0" w:rsidRPr="00E91512" w:rsidRDefault="00BF0CD0" w:rsidP="00E91512">
      <w:pPr>
        <w:spacing w:line="480" w:lineRule="auto"/>
        <w:rPr>
          <w:rFonts w:ascii="Arial" w:hAnsi="Arial" w:cs="Arial"/>
          <w:sz w:val="24"/>
          <w:szCs w:val="24"/>
        </w:rPr>
      </w:pPr>
    </w:p>
    <w:p w14:paraId="6CAC6315" w14:textId="77777777" w:rsidR="00185F12" w:rsidRPr="00E91512" w:rsidRDefault="00185F12" w:rsidP="00E91512">
      <w:pPr>
        <w:spacing w:line="480" w:lineRule="auto"/>
        <w:rPr>
          <w:rFonts w:ascii="Arial" w:hAnsi="Arial" w:cs="Arial"/>
          <w:sz w:val="24"/>
          <w:szCs w:val="24"/>
        </w:rPr>
      </w:pPr>
    </w:p>
    <w:sectPr w:rsidR="00185F12" w:rsidRPr="00E91512" w:rsidSect="00FC3B5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45A"/>
    <w:rsid w:val="00062F51"/>
    <w:rsid w:val="000C4483"/>
    <w:rsid w:val="000E5BC7"/>
    <w:rsid w:val="00104ECC"/>
    <w:rsid w:val="00110178"/>
    <w:rsid w:val="00122365"/>
    <w:rsid w:val="001650C9"/>
    <w:rsid w:val="00177770"/>
    <w:rsid w:val="00185F12"/>
    <w:rsid w:val="00186731"/>
    <w:rsid w:val="00210263"/>
    <w:rsid w:val="002103E6"/>
    <w:rsid w:val="00246AA7"/>
    <w:rsid w:val="0025103A"/>
    <w:rsid w:val="002B48DC"/>
    <w:rsid w:val="00302CCE"/>
    <w:rsid w:val="0032143F"/>
    <w:rsid w:val="0034511B"/>
    <w:rsid w:val="00376A9E"/>
    <w:rsid w:val="003A6BA2"/>
    <w:rsid w:val="00477284"/>
    <w:rsid w:val="004D0141"/>
    <w:rsid w:val="005575A8"/>
    <w:rsid w:val="005E50A6"/>
    <w:rsid w:val="006053C8"/>
    <w:rsid w:val="0066210B"/>
    <w:rsid w:val="00684999"/>
    <w:rsid w:val="006D6F8D"/>
    <w:rsid w:val="006F27F5"/>
    <w:rsid w:val="00715CAB"/>
    <w:rsid w:val="007266F8"/>
    <w:rsid w:val="00744B53"/>
    <w:rsid w:val="00775CCB"/>
    <w:rsid w:val="00823FE4"/>
    <w:rsid w:val="00852E19"/>
    <w:rsid w:val="0089245A"/>
    <w:rsid w:val="008C7D0B"/>
    <w:rsid w:val="008E3229"/>
    <w:rsid w:val="009331CE"/>
    <w:rsid w:val="009C49BB"/>
    <w:rsid w:val="00AC111D"/>
    <w:rsid w:val="00B72D21"/>
    <w:rsid w:val="00BC32E8"/>
    <w:rsid w:val="00BE7A16"/>
    <w:rsid w:val="00BF0CD0"/>
    <w:rsid w:val="00D05977"/>
    <w:rsid w:val="00DC5260"/>
    <w:rsid w:val="00E91512"/>
    <w:rsid w:val="00EA6FA3"/>
    <w:rsid w:val="00F20F86"/>
    <w:rsid w:val="00F57983"/>
    <w:rsid w:val="00FC3B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E72F4"/>
  <w15:chartTrackingRefBased/>
  <w15:docId w15:val="{E9D03B7C-D836-4DEF-8C14-36A34CA03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245A"/>
    <w:pPr>
      <w:spacing w:after="0" w:line="240"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9245A"/>
    <w:rPr>
      <w:color w:val="0000FF"/>
      <w:u w:val="single"/>
    </w:rPr>
  </w:style>
  <w:style w:type="character" w:styleId="UnresolvedMention">
    <w:name w:val="Unresolved Mention"/>
    <w:basedOn w:val="DefaultParagraphFont"/>
    <w:uiPriority w:val="99"/>
    <w:semiHidden/>
    <w:unhideWhenUsed/>
    <w:rsid w:val="00BF0CD0"/>
    <w:rPr>
      <w:color w:val="605E5C"/>
      <w:shd w:val="clear" w:color="auto" w:fill="E1DFDD"/>
    </w:rPr>
  </w:style>
  <w:style w:type="character" w:styleId="FollowedHyperlink">
    <w:name w:val="FollowedHyperlink"/>
    <w:basedOn w:val="DefaultParagraphFont"/>
    <w:uiPriority w:val="99"/>
    <w:semiHidden/>
    <w:unhideWhenUsed/>
    <w:rsid w:val="00BF0CD0"/>
    <w:rPr>
      <w:color w:val="954F72" w:themeColor="followedHyperlink"/>
      <w:u w:val="single"/>
    </w:rPr>
  </w:style>
  <w:style w:type="paragraph" w:styleId="NoSpacing">
    <w:name w:val="No Spacing"/>
    <w:basedOn w:val="Normal"/>
    <w:link w:val="NoSpacingChar"/>
    <w:uiPriority w:val="1"/>
    <w:qFormat/>
    <w:rsid w:val="00744B53"/>
    <w:rPr>
      <w:rFonts w:ascii="Calibri" w:hAnsi="Calibri" w:cs="Calibri"/>
    </w:rPr>
  </w:style>
  <w:style w:type="paragraph" w:styleId="BalloonText">
    <w:name w:val="Balloon Text"/>
    <w:basedOn w:val="Normal"/>
    <w:link w:val="BalloonTextChar"/>
    <w:uiPriority w:val="99"/>
    <w:semiHidden/>
    <w:unhideWhenUsed/>
    <w:rsid w:val="00FC3B5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3B54"/>
    <w:rPr>
      <w:rFonts w:ascii="Segoe UI" w:eastAsiaTheme="minorEastAsia" w:hAnsi="Segoe UI" w:cs="Segoe UI"/>
      <w:sz w:val="18"/>
      <w:szCs w:val="18"/>
      <w:lang w:eastAsia="en-GB"/>
    </w:rPr>
  </w:style>
  <w:style w:type="character" w:customStyle="1" w:styleId="NoSpacingChar">
    <w:name w:val="No Spacing Char"/>
    <w:basedOn w:val="DefaultParagraphFont"/>
    <w:link w:val="NoSpacing"/>
    <w:uiPriority w:val="1"/>
    <w:rsid w:val="00FC3B54"/>
    <w:rPr>
      <w:rFonts w:ascii="Calibri" w:eastAsiaTheme="minorEastAsia"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8003421">
      <w:bodyDiv w:val="1"/>
      <w:marLeft w:val="0"/>
      <w:marRight w:val="0"/>
      <w:marTop w:val="0"/>
      <w:marBottom w:val="0"/>
      <w:divBdr>
        <w:top w:val="none" w:sz="0" w:space="0" w:color="auto"/>
        <w:left w:val="none" w:sz="0" w:space="0" w:color="auto"/>
        <w:bottom w:val="none" w:sz="0" w:space="0" w:color="auto"/>
        <w:right w:val="none" w:sz="0" w:space="0" w:color="auto"/>
      </w:divBdr>
    </w:div>
    <w:div w:id="1990939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ime-scene-investigator.net/crime-scene-contamination-issues.html" TargetMode="External"/><Relationship Id="rId13" Type="http://schemas.openxmlformats.org/officeDocument/2006/relationships/hyperlink" Target="https://www.ncjrs.gov/App/Publications/abstract.aspx?ID=182928" TargetMode="External"/><Relationship Id="rId18" Type="http://schemas.openxmlformats.org/officeDocument/2006/relationships/hyperlink" Target="https://www.instituteforgovernment.org.uk/publication/performance-tracker-2019/police" TargetMode="External"/><Relationship Id="rId26" Type="http://schemas.openxmlformats.org/officeDocument/2006/relationships/hyperlink" Target="https://assets.publishing.service.gov.uk/government/uploads/system/uploads/attachment_data/file/880708/Codes_of_Practice_and_Conduct_-_Issue_5.pdf"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scholarworks.sjsu.edu/cgi/viewcontent.cgi?referer=https://www.google.com/&amp;httpsredir=1&amp;article=1033&amp;context=themis" TargetMode="External"/><Relationship Id="rId34" Type="http://schemas.openxmlformats.org/officeDocument/2006/relationships/hyperlink" Target="https://www.ncbi.nlm.nih.gov/pmc/articles/PMC4581010/" TargetMode="External"/><Relationship Id="rId7" Type="http://schemas.openxmlformats.org/officeDocument/2006/relationships/hyperlink" Target="https://forensictrainingunlimited.teachable.com/blog/10220/crime-scene-sketches" TargetMode="External"/><Relationship Id="rId12" Type="http://schemas.openxmlformats.org/officeDocument/2006/relationships/hyperlink" Target="https://www.app.college.police.uk/app-content/investigations/investigative-strategies/physical-evidence/?highlight=locard?s=locard" TargetMode="External"/><Relationship Id="rId17" Type="http://schemas.openxmlformats.org/officeDocument/2006/relationships/hyperlink" Target="https://www.ncjrs.gov/pdffiles1/nij/178280.pdf" TargetMode="External"/><Relationship Id="rId25" Type="http://schemas.openxmlformats.org/officeDocument/2006/relationships/hyperlink" Target="https://www.theguardian.com/law/2012/mar/09/forensics-firm-investigated-dna" TargetMode="External"/><Relationship Id="rId33" Type="http://schemas.openxmlformats.org/officeDocument/2006/relationships/hyperlink" Target="https://www.merseyside.police.uk/SysSiteAssets/foi-%20media/merseyside/policies/property-and-evidence-management-policy-oct-2018.pdf"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iso.org/news/2016/07/Ref2094.html" TargetMode="External"/><Relationship Id="rId20" Type="http://schemas.openxmlformats.org/officeDocument/2006/relationships/hyperlink" Target="https://www.unodc.org/documents/scientific/Crime_scene_awareness__Ebook.pdf" TargetMode="External"/><Relationship Id="rId29" Type="http://schemas.openxmlformats.org/officeDocument/2006/relationships/hyperlink" Target="https://www.hse.gov.uk/enforce/enforcementguide/court/physical-continuity.htm"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app.college.police.uk/app-content/investigations/investigation-process/" TargetMode="External"/><Relationship Id="rId24" Type="http://schemas.openxmlformats.org/officeDocument/2006/relationships/hyperlink" Target="https://www.cps.gov.uk/legal-guidance/exhibits" TargetMode="External"/><Relationship Id="rId32" Type="http://schemas.openxmlformats.org/officeDocument/2006/relationships/hyperlink" Target="https://www.met.police.uk/SysSiteAssets/foi-media/metropolitan-police/disclosure_2018/june_2018/information-rights-unit---properly-handling-policy" TargetMode="External"/><Relationship Id="rId37" Type="http://schemas.openxmlformats.org/officeDocument/2006/relationships/hyperlink" Target="https://foi.west-midlands.police.uk/wp-content/uploads/2014/05/Property-Operational.pdf" TargetMode="External"/><Relationship Id="rId5" Type="http://schemas.openxmlformats.org/officeDocument/2006/relationships/image" Target="media/image1.png"/><Relationship Id="rId15" Type="http://schemas.openxmlformats.org/officeDocument/2006/relationships/hyperlink" Target="https://assets.publishing.service.gov.uk/government/uploads/system/uploads/attachment_data/file/915221/FSR_G-206_Issue_2_Final.pdf" TargetMode="External"/><Relationship Id="rId23" Type="http://schemas.openxmlformats.org/officeDocument/2006/relationships/hyperlink" Target="https://www.theguardian.com/uk/2008/aug/01/jilldando.ukcrime2" TargetMode="External"/><Relationship Id="rId28" Type="http://schemas.openxmlformats.org/officeDocument/2006/relationships/hyperlink" Target="https://assets.publishing.service.gov.uk/government/uploads/system/uploads/attachment_data/file/919630/evidence-in-criminal-investigations-v5.0.pdf" TargetMode="External"/><Relationship Id="rId36" Type="http://schemas.openxmlformats.org/officeDocument/2006/relationships/hyperlink" Target="https://www.chemistryworld.com/news/forensic-lab-error-led-to-miscarriage-of-justice-/5503.article" TargetMode="External"/><Relationship Id="rId10" Type="http://schemas.openxmlformats.org/officeDocument/2006/relationships/hyperlink" Target="https://californiainnocenceproject.org/2013/06/how-an-innocent-mans-dna-was-found-at-a-crime-scene/" TargetMode="External"/><Relationship Id="rId19" Type="http://schemas.openxmlformats.org/officeDocument/2006/relationships/hyperlink" Target="https://www.fsigeneticssup.com/article/S1875-1768(17)30308-6/fulltext" TargetMode="External"/><Relationship Id="rId31" Type="http://schemas.openxmlformats.org/officeDocument/2006/relationships/hyperlink" Target="https://www.theguardian.com/uk/2009/feb/25/stuart-lubboc-inquiry-michael-barrymore" TargetMode="External"/><Relationship Id="rId4" Type="http://schemas.openxmlformats.org/officeDocument/2006/relationships/webSettings" Target="webSettings.xml"/><Relationship Id="rId9" Type="http://schemas.openxmlformats.org/officeDocument/2006/relationships/hyperlink" Target="http://library.college.police.uk/docs/hordsolr/rdsolr4305.pdf" TargetMode="External"/><Relationship Id="rId14" Type="http://schemas.openxmlformats.org/officeDocument/2006/relationships/hyperlink" Target="http://library.college.police.uk/docs/appref/ENFSI-BPM-v1_0.pdf" TargetMode="External"/><Relationship Id="rId22" Type="http://schemas.openxmlformats.org/officeDocument/2006/relationships/hyperlink" Target="http://library.college.police.uk/docs/hordsolr/rdsolr4305.pdf" TargetMode="External"/><Relationship Id="rId27" Type="http://schemas.openxmlformats.org/officeDocument/2006/relationships/hyperlink" Target="https://assets.publishing.service.gov.uk/government/uploads/system/uploads/attachment_data/file/775354/Requirements_Guidance_Regarding_The_Storage_Retention_And_Destruction_Of_Records_And_Materials_Version_2.1_Dec_2017.pdf" TargetMode="External"/><Relationship Id="rId30" Type="http://schemas.openxmlformats.org/officeDocument/2006/relationships/hyperlink" Target="https://www.utsystem.edu/sites/default/files/offices/police/policies/Crime-Scene-Investigation.pdf" TargetMode="External"/><Relationship Id="rId35" Type="http://schemas.openxmlformats.org/officeDocument/2006/relationships/hyperlink" Target="https://academic.oup.com/jlb/article/4/3/617/45843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1805131</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4217</Words>
  <Characters>24043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OF  CRIME SCENE PROCEDURES INCLUDING THE ROLE OF THE FIRST ATTENDING OFFICER TO AVOID CROSS CONTAMINATION AND THE SEIZURE OF EXHIBITS</dc:title>
  <dc:subject>BMPS6009</dc:subject>
  <dc:creator>Sadie France</dc:creator>
  <cp:keywords/>
  <dc:description/>
  <cp:lastModifiedBy>Sadie France</cp:lastModifiedBy>
  <cp:revision>2</cp:revision>
  <cp:lastPrinted>2020-11-05T10:31:00Z</cp:lastPrinted>
  <dcterms:created xsi:type="dcterms:W3CDTF">2020-11-06T09:13:00Z</dcterms:created>
  <dcterms:modified xsi:type="dcterms:W3CDTF">2020-11-06T09:13:00Z</dcterms:modified>
</cp:coreProperties>
</file>