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08EB4" w14:textId="13E63C82" w:rsidR="00E6350D" w:rsidRPr="00E6350D" w:rsidRDefault="00952EC1" w:rsidP="00E6350D">
      <w:pPr>
        <w:rPr>
          <w:sz w:val="22"/>
          <w:szCs w:val="22"/>
        </w:rPr>
      </w:pPr>
      <w:r w:rsidRPr="00E6350D">
        <w:rPr>
          <w:b/>
          <w:bCs/>
          <w:sz w:val="22"/>
          <w:szCs w:val="22"/>
        </w:rPr>
        <w:t>Mercian Supremacy</w:t>
      </w:r>
      <w:r w:rsidRPr="00E6350D">
        <w:rPr>
          <w:sz w:val="22"/>
          <w:szCs w:val="22"/>
        </w:rPr>
        <w:br/>
      </w:r>
      <w:r w:rsidRPr="00E6350D">
        <w:rPr>
          <w:sz w:val="22"/>
          <w:szCs w:val="22"/>
        </w:rPr>
        <w:br/>
      </w:r>
      <w:r w:rsidR="00E6350D" w:rsidRPr="00E6350D">
        <w:rPr>
          <w:sz w:val="22"/>
          <w:szCs w:val="22"/>
        </w:rPr>
        <w:t xml:space="preserve">The period commonly described as the Mercian Supremacy, spanning </w:t>
      </w:r>
      <w:commentRangeStart w:id="0"/>
      <w:r w:rsidR="002A36F5">
        <w:rPr>
          <w:sz w:val="22"/>
          <w:szCs w:val="22"/>
        </w:rPr>
        <w:t>from the late seventh to the early ninth century</w:t>
      </w:r>
      <w:commentRangeEnd w:id="0"/>
      <w:r w:rsidR="002A36F5" w:rsidRPr="00E6350D">
        <w:rPr>
          <w:rStyle w:val="CommentReference"/>
          <w:sz w:val="22"/>
          <w:szCs w:val="22"/>
        </w:rPr>
        <w:commentReference w:id="0"/>
      </w:r>
      <w:r w:rsidR="00E6350D" w:rsidRPr="00E6350D">
        <w:rPr>
          <w:sz w:val="22"/>
          <w:szCs w:val="22"/>
        </w:rPr>
        <w:t>,</w:t>
      </w:r>
      <w:r w:rsidR="006B66C4">
        <w:rPr>
          <w:rStyle w:val="FootnoteReference"/>
          <w:sz w:val="22"/>
          <w:szCs w:val="22"/>
        </w:rPr>
        <w:footnoteReference w:id="1"/>
      </w:r>
      <w:r w:rsidR="00E6350D" w:rsidRPr="00E6350D">
        <w:rPr>
          <w:sz w:val="22"/>
          <w:szCs w:val="22"/>
        </w:rPr>
        <w:t xml:space="preserve"> represents a decisive phase in the political development of early medieval England. During these decades, Mercia emerged from relative </w:t>
      </w:r>
      <w:r w:rsidR="00216371">
        <w:rPr>
          <w:sz w:val="22"/>
          <w:szCs w:val="22"/>
        </w:rPr>
        <w:t>obscurity</w:t>
      </w:r>
      <w:r w:rsidR="00E6350D" w:rsidRPr="00E6350D">
        <w:rPr>
          <w:sz w:val="22"/>
          <w:szCs w:val="22"/>
        </w:rPr>
        <w:t xml:space="preserve"> into the dominant power within the Anglo-Saxon political landscape, </w:t>
      </w:r>
      <w:r w:rsidR="00110A13" w:rsidRPr="00110A13">
        <w:rPr>
          <w:sz w:val="22"/>
          <w:szCs w:val="22"/>
        </w:rPr>
        <w:t>exercising authority over much of southern England</w:t>
      </w:r>
      <w:r w:rsidR="00E6350D" w:rsidRPr="00E6350D">
        <w:rPr>
          <w:sz w:val="22"/>
          <w:szCs w:val="22"/>
        </w:rPr>
        <w:t xml:space="preserve">. While the prominence of rulers such as </w:t>
      </w:r>
      <w:r w:rsidR="00E6350D" w:rsidRPr="006B66C4">
        <w:rPr>
          <w:sz w:val="22"/>
          <w:szCs w:val="22"/>
        </w:rPr>
        <w:t>Penda, Wulfhere, Æthelbald, and Offa has long been recognised</w:t>
      </w:r>
      <w:r w:rsidR="00E6350D" w:rsidRPr="00055E1F">
        <w:rPr>
          <w:sz w:val="22"/>
          <w:szCs w:val="22"/>
        </w:rPr>
        <w:t>,</w:t>
      </w:r>
      <w:r w:rsidR="00E6350D" w:rsidRPr="00E6350D">
        <w:rPr>
          <w:sz w:val="22"/>
          <w:szCs w:val="22"/>
        </w:rPr>
        <w:t xml:space="preserve"> the mechanisms by which Mercian kings established and maintained this supremacy remain contested. Earlier scholarship, most notably </w:t>
      </w:r>
      <w:r w:rsidR="00E6350D" w:rsidRPr="00BC5BAA">
        <w:rPr>
          <w:sz w:val="22"/>
          <w:szCs w:val="22"/>
        </w:rPr>
        <w:t xml:space="preserve">F. M. Stenton, </w:t>
      </w:r>
      <w:commentRangeStart w:id="1"/>
      <w:r w:rsidR="00E6350D" w:rsidRPr="00A83725">
        <w:rPr>
          <w:sz w:val="22"/>
          <w:szCs w:val="22"/>
        </w:rPr>
        <w:t>emphasised military success and political expansion</w:t>
      </w:r>
      <w:commentRangeEnd w:id="1"/>
      <w:r w:rsidR="00FF78EC" w:rsidRPr="00A83725">
        <w:rPr>
          <w:rStyle w:val="CommentReference"/>
          <w:sz w:val="22"/>
          <w:szCs w:val="22"/>
        </w:rPr>
        <w:commentReference w:id="1"/>
      </w:r>
      <w:r w:rsidR="00E6350D" w:rsidRPr="00A83725">
        <w:rPr>
          <w:sz w:val="22"/>
          <w:szCs w:val="22"/>
        </w:rPr>
        <w:t>,</w:t>
      </w:r>
      <w:r w:rsidR="00A83725" w:rsidRPr="00A83725">
        <w:rPr>
          <w:rStyle w:val="FootnoteReference"/>
          <w:sz w:val="22"/>
          <w:szCs w:val="22"/>
        </w:rPr>
        <w:footnoteReference w:id="2"/>
      </w:r>
      <w:r w:rsidR="00E6350D" w:rsidRPr="00A83725">
        <w:rPr>
          <w:sz w:val="22"/>
          <w:szCs w:val="22"/>
        </w:rPr>
        <w:t xml:space="preserve"> whereas more recent work by historians such as </w:t>
      </w:r>
      <w:commentRangeStart w:id="2"/>
      <w:r w:rsidR="002A36F5" w:rsidRPr="00A83725">
        <w:rPr>
          <w:sz w:val="22"/>
          <w:szCs w:val="22"/>
        </w:rPr>
        <w:t>Martin J. Ryan</w:t>
      </w:r>
      <w:r w:rsidR="006B66C4" w:rsidRPr="00A83725">
        <w:rPr>
          <w:sz w:val="22"/>
          <w:szCs w:val="22"/>
        </w:rPr>
        <w:t xml:space="preserve"> </w:t>
      </w:r>
      <w:r w:rsidR="00E6350D" w:rsidRPr="00A83725">
        <w:rPr>
          <w:sz w:val="22"/>
          <w:szCs w:val="22"/>
        </w:rPr>
        <w:t>highlights the extent to which early medieval kingship operated through complex and negotiated networks of power.</w:t>
      </w:r>
      <w:commentRangeEnd w:id="2"/>
      <w:r w:rsidR="002A36F5" w:rsidRPr="00A83725">
        <w:rPr>
          <w:rStyle w:val="CommentReference"/>
          <w:sz w:val="22"/>
          <w:szCs w:val="22"/>
          <w:vertAlign w:val="superscript"/>
        </w:rPr>
        <w:commentReference w:id="2"/>
      </w:r>
      <w:r w:rsidR="00A83725" w:rsidRPr="00A83725">
        <w:rPr>
          <w:rStyle w:val="FootnoteReference"/>
          <w:sz w:val="22"/>
          <w:szCs w:val="22"/>
        </w:rPr>
        <w:footnoteReference w:id="3"/>
      </w:r>
    </w:p>
    <w:p w14:paraId="67FF9CE9" w14:textId="75E01CEC" w:rsidR="00110A13" w:rsidRDefault="00110A13" w:rsidP="00E6350D">
      <w:pPr>
        <w:rPr>
          <w:sz w:val="22"/>
          <w:szCs w:val="22"/>
        </w:rPr>
      </w:pPr>
      <w:r w:rsidRPr="00110A13">
        <w:rPr>
          <w:sz w:val="22"/>
          <w:szCs w:val="22"/>
        </w:rPr>
        <w:t xml:space="preserve">This dissertation examines Mercian supremacy as a political system sustained through a range of interconnected strategies, conceptualised here as the “tools of kingship”, rather than as the outcome of military success alone. These included diplomatic engagement, ecclesiastical patronage, administrative and economic practice, and ideological representation alongside military power. Together, they enabled Mercian rulers to project authority across a politically divided Anglo-Saxon world and to integrate subordinate rulers into a broader, though often unstable, framework of overlordship. </w:t>
      </w:r>
    </w:p>
    <w:p w14:paraId="434CDE0D" w14:textId="54337CB2" w:rsidR="00E6350D" w:rsidRPr="00E6350D" w:rsidRDefault="00E6350D" w:rsidP="00E6350D">
      <w:pPr>
        <w:rPr>
          <w:sz w:val="22"/>
          <w:szCs w:val="22"/>
        </w:rPr>
      </w:pPr>
      <w:r w:rsidRPr="00E6350D">
        <w:rPr>
          <w:b/>
          <w:bCs/>
          <w:sz w:val="22"/>
          <w:szCs w:val="22"/>
        </w:rPr>
        <w:t>Historical Context</w:t>
      </w:r>
      <w:r w:rsidRPr="00E6350D">
        <w:rPr>
          <w:b/>
          <w:bCs/>
          <w:sz w:val="22"/>
          <w:szCs w:val="22"/>
        </w:rPr>
        <w:br/>
      </w:r>
      <w:r w:rsidRPr="00E6350D">
        <w:rPr>
          <w:sz w:val="22"/>
          <w:szCs w:val="22"/>
        </w:rPr>
        <w:t xml:space="preserve">The political landscape of early medieval England in the seventh and eighth centuries was characterised by fragmentation and competition among regional kingdoms, including </w:t>
      </w:r>
      <w:r w:rsidR="008D56C8" w:rsidRPr="008D56C8">
        <w:rPr>
          <w:sz w:val="22"/>
          <w:szCs w:val="22"/>
        </w:rPr>
        <w:t>Northumbria, East Anglia, Wessex, and Mercia</w:t>
      </w:r>
      <w:r w:rsidRPr="00E6350D">
        <w:rPr>
          <w:sz w:val="22"/>
          <w:szCs w:val="22"/>
        </w:rPr>
        <w:t xml:space="preserve">. Within this environment, dominance was continually renegotiated through warfare, alliance, and shifting loyalties. Mercia’s rise to supremacy was therefore a gradual and uneven process, in which successive rulers developed and refined the mechanisms through which authority could be exercised. </w:t>
      </w:r>
    </w:p>
    <w:p w14:paraId="76EF6D04" w14:textId="63EF0F4D" w:rsidR="00E6350D" w:rsidRPr="00E6350D" w:rsidRDefault="00E6350D" w:rsidP="00E6350D">
      <w:pPr>
        <w:rPr>
          <w:sz w:val="22"/>
          <w:szCs w:val="22"/>
        </w:rPr>
      </w:pPr>
      <w:commentRangeStart w:id="3"/>
      <w:commentRangeStart w:id="4"/>
      <w:r w:rsidRPr="00E6350D">
        <w:rPr>
          <w:sz w:val="22"/>
          <w:szCs w:val="22"/>
        </w:rPr>
        <w:t>The reign of Penda (c. 626–655) marks the first stage in this development, in which authority was grounded primarily in military capability and personal leadership. His victories against Northumbria, including the death of King Oswald at Maserfield in 642, established Mercia as a major political force, before Penda himself was defeated and killed by Oswiu at the Battle of the Winwaed in 655.</w:t>
      </w:r>
      <w:r w:rsidR="00A83725">
        <w:rPr>
          <w:rStyle w:val="FootnoteReference"/>
          <w:sz w:val="22"/>
          <w:szCs w:val="22"/>
        </w:rPr>
        <w:footnoteReference w:id="4"/>
      </w:r>
      <w:r w:rsidRPr="00E6350D">
        <w:rPr>
          <w:sz w:val="22"/>
          <w:szCs w:val="22"/>
        </w:rPr>
        <w:t xml:space="preserve"> </w:t>
      </w:r>
      <w:commentRangeEnd w:id="3"/>
      <w:r w:rsidR="00332E1E" w:rsidRPr="00E6350D">
        <w:rPr>
          <w:rStyle w:val="CommentReference"/>
          <w:sz w:val="22"/>
          <w:szCs w:val="22"/>
        </w:rPr>
        <w:commentReference w:id="3"/>
      </w:r>
      <w:commentRangeEnd w:id="4"/>
      <w:r w:rsidR="00AA2295" w:rsidRPr="00E6350D">
        <w:rPr>
          <w:rStyle w:val="CommentReference"/>
          <w:sz w:val="22"/>
          <w:szCs w:val="22"/>
        </w:rPr>
        <w:commentReference w:id="4"/>
      </w:r>
      <w:commentRangeStart w:id="5"/>
      <w:r w:rsidRPr="00E6350D">
        <w:rPr>
          <w:sz w:val="22"/>
          <w:szCs w:val="22"/>
        </w:rPr>
        <w:t xml:space="preserve">Bede’s account, despite its hostility, indicates that Penda’s power cannot be reduced to military aggression alone; his alliances with Welsh and other regional rulers suggest a more complex form of leadership based on coalition-building as well as </w:t>
      </w:r>
      <w:commentRangeEnd w:id="5"/>
      <w:r w:rsidR="00332E1E" w:rsidRPr="00E6350D">
        <w:rPr>
          <w:rStyle w:val="CommentReference"/>
          <w:sz w:val="22"/>
          <w:szCs w:val="22"/>
        </w:rPr>
        <w:commentReference w:id="5"/>
      </w:r>
      <w:r w:rsidRPr="00E6350D">
        <w:rPr>
          <w:sz w:val="22"/>
          <w:szCs w:val="22"/>
        </w:rPr>
        <w:t>warfare.</w:t>
      </w:r>
      <w:r w:rsidR="00A83725">
        <w:rPr>
          <w:rStyle w:val="FootnoteReference"/>
          <w:sz w:val="22"/>
          <w:szCs w:val="22"/>
        </w:rPr>
        <w:footnoteReference w:id="5"/>
      </w:r>
    </w:p>
    <w:p w14:paraId="5A36198E" w14:textId="291E0DC2" w:rsidR="00E6350D" w:rsidRPr="00E6350D" w:rsidRDefault="00E6350D" w:rsidP="00E6350D">
      <w:pPr>
        <w:rPr>
          <w:sz w:val="22"/>
          <w:szCs w:val="22"/>
        </w:rPr>
      </w:pPr>
      <w:r w:rsidRPr="00E6350D">
        <w:rPr>
          <w:sz w:val="22"/>
          <w:szCs w:val="22"/>
        </w:rPr>
        <w:lastRenderedPageBreak/>
        <w:t xml:space="preserve">Penda’s accession remains uncertain. </w:t>
      </w:r>
      <w:commentRangeStart w:id="6"/>
      <w:r w:rsidRPr="00E6350D">
        <w:rPr>
          <w:sz w:val="22"/>
          <w:szCs w:val="22"/>
        </w:rPr>
        <w:t>The Anglo-Saxon Chronicle gives 626 in one version and 633 in another</w:t>
      </w:r>
      <w:commentRangeEnd w:id="6"/>
      <w:r w:rsidR="008211D5" w:rsidRPr="00E6350D">
        <w:rPr>
          <w:rStyle w:val="CommentReference"/>
          <w:sz w:val="22"/>
          <w:szCs w:val="22"/>
        </w:rPr>
        <w:commentReference w:id="6"/>
      </w:r>
      <w:r w:rsidRPr="00E6350D">
        <w:rPr>
          <w:sz w:val="22"/>
          <w:szCs w:val="22"/>
        </w:rPr>
        <w:t>,</w:t>
      </w:r>
      <w:r w:rsidR="000D3612">
        <w:rPr>
          <w:rStyle w:val="FootnoteReference"/>
          <w:sz w:val="22"/>
          <w:szCs w:val="22"/>
        </w:rPr>
        <w:footnoteReference w:id="6"/>
      </w:r>
      <w:r w:rsidRPr="00E6350D">
        <w:rPr>
          <w:sz w:val="22"/>
          <w:szCs w:val="22"/>
        </w:rPr>
        <w:t xml:space="preserve"> </w:t>
      </w:r>
      <w:commentRangeStart w:id="7"/>
      <w:r w:rsidRPr="00E6350D">
        <w:rPr>
          <w:sz w:val="22"/>
          <w:szCs w:val="22"/>
        </w:rPr>
        <w:t>while Bede associates his rise with the aftermath of Hatfield Chase. This has led some historians</w:t>
      </w:r>
      <w:commentRangeEnd w:id="7"/>
      <w:r w:rsidR="008211D5" w:rsidRPr="00E6350D">
        <w:rPr>
          <w:rStyle w:val="CommentReference"/>
          <w:sz w:val="22"/>
          <w:szCs w:val="22"/>
        </w:rPr>
        <w:commentReference w:id="7"/>
      </w:r>
      <w:r w:rsidRPr="00E6350D">
        <w:rPr>
          <w:sz w:val="22"/>
          <w:szCs w:val="22"/>
        </w:rPr>
        <w:t>,</w:t>
      </w:r>
      <w:r w:rsidR="000D3612">
        <w:rPr>
          <w:rStyle w:val="FootnoteReference"/>
          <w:sz w:val="22"/>
          <w:szCs w:val="22"/>
        </w:rPr>
        <w:footnoteReference w:id="7"/>
      </w:r>
      <w:r w:rsidRPr="00E6350D">
        <w:rPr>
          <w:sz w:val="22"/>
          <w:szCs w:val="22"/>
        </w:rPr>
        <w:t xml:space="preserve"> </w:t>
      </w:r>
      <w:commentRangeStart w:id="8"/>
      <w:commentRangeStart w:id="9"/>
      <w:commentRangeStart w:id="10"/>
      <w:r w:rsidRPr="00E6350D">
        <w:rPr>
          <w:sz w:val="22"/>
          <w:szCs w:val="22"/>
        </w:rPr>
        <w:t xml:space="preserve">including </w:t>
      </w:r>
      <w:r w:rsidR="00126178">
        <w:rPr>
          <w:sz w:val="22"/>
          <w:szCs w:val="22"/>
        </w:rPr>
        <w:t>Stenton</w:t>
      </w:r>
      <w:r w:rsidRPr="00E6350D">
        <w:rPr>
          <w:sz w:val="22"/>
          <w:szCs w:val="22"/>
        </w:rPr>
        <w:t>, to suggest that Penda may initially have been a regional warlord within Mercia before consolidating wider royal authority</w:t>
      </w:r>
      <w:r w:rsidR="008211D5">
        <w:rPr>
          <w:sz w:val="22"/>
          <w:szCs w:val="22"/>
        </w:rPr>
        <w:t>.</w:t>
      </w:r>
      <w:commentRangeEnd w:id="8"/>
      <w:r w:rsidR="008211D5">
        <w:rPr>
          <w:rStyle w:val="CommentReference"/>
          <w:sz w:val="22"/>
          <w:szCs w:val="22"/>
          <w:vertAlign w:val="superscript"/>
        </w:rPr>
        <w:commentReference w:id="8"/>
      </w:r>
      <w:commentRangeEnd w:id="9"/>
      <w:r w:rsidR="00FD1E09">
        <w:rPr>
          <w:rStyle w:val="CommentReference"/>
          <w:sz w:val="22"/>
          <w:szCs w:val="22"/>
          <w:vertAlign w:val="superscript"/>
        </w:rPr>
        <w:commentReference w:id="9"/>
      </w:r>
      <w:commentRangeEnd w:id="10"/>
      <w:r w:rsidR="008D00DB">
        <w:rPr>
          <w:rStyle w:val="CommentReference"/>
          <w:sz w:val="22"/>
          <w:szCs w:val="22"/>
          <w:vertAlign w:val="superscript"/>
        </w:rPr>
        <w:commentReference w:id="10"/>
      </w:r>
      <w:r w:rsidR="000D3612">
        <w:rPr>
          <w:rStyle w:val="FootnoteReference"/>
          <w:sz w:val="22"/>
          <w:szCs w:val="22"/>
        </w:rPr>
        <w:footnoteReference w:id="8"/>
      </w:r>
    </w:p>
    <w:p w14:paraId="687F3406" w14:textId="7193B1E3" w:rsidR="00E6350D" w:rsidRPr="00E6350D" w:rsidRDefault="00E6350D" w:rsidP="00E6350D">
      <w:pPr>
        <w:rPr>
          <w:sz w:val="22"/>
          <w:szCs w:val="22"/>
        </w:rPr>
      </w:pPr>
      <w:commentRangeStart w:id="11"/>
      <w:r w:rsidRPr="00E6350D">
        <w:rPr>
          <w:sz w:val="22"/>
          <w:szCs w:val="22"/>
        </w:rPr>
        <w:t>Following Penda’s death, the reign of Wulfhere (658–675) illustrates a shift in the nature of Mercian authority</w:t>
      </w:r>
      <w:commentRangeEnd w:id="11"/>
      <w:r w:rsidR="001D5375" w:rsidRPr="00E6350D">
        <w:rPr>
          <w:rStyle w:val="CommentReference"/>
          <w:sz w:val="22"/>
          <w:szCs w:val="22"/>
        </w:rPr>
        <w:commentReference w:id="11"/>
      </w:r>
      <w:commentRangeStart w:id="12"/>
      <w:r w:rsidRPr="00E6350D">
        <w:rPr>
          <w:sz w:val="22"/>
          <w:szCs w:val="22"/>
        </w:rPr>
        <w:t>.</w:t>
      </w:r>
      <w:r w:rsidR="000D3612">
        <w:rPr>
          <w:rStyle w:val="FootnoteReference"/>
          <w:sz w:val="22"/>
          <w:szCs w:val="22"/>
        </w:rPr>
        <w:footnoteReference w:id="9"/>
      </w:r>
      <w:r w:rsidRPr="00E6350D">
        <w:rPr>
          <w:sz w:val="22"/>
          <w:szCs w:val="22"/>
        </w:rPr>
        <w:t xml:space="preserve"> As the first Christian king of a unified Mercia, Wulfhere was able to integrate his rule more fully into the ecclesiastical and political structures of Anglo-Saxon England.</w:t>
      </w:r>
      <w:commentRangeEnd w:id="12"/>
      <w:r w:rsidR="008211D5" w:rsidRPr="00E6350D">
        <w:rPr>
          <w:rStyle w:val="CommentReference"/>
          <w:sz w:val="22"/>
          <w:szCs w:val="22"/>
        </w:rPr>
        <w:commentReference w:id="12"/>
      </w:r>
      <w:r w:rsidRPr="00E6350D">
        <w:rPr>
          <w:sz w:val="22"/>
          <w:szCs w:val="22"/>
        </w:rPr>
        <w:t xml:space="preserve"> </w:t>
      </w:r>
      <w:commentRangeStart w:id="13"/>
      <w:r w:rsidRPr="00E6350D">
        <w:rPr>
          <w:sz w:val="22"/>
          <w:szCs w:val="22"/>
        </w:rPr>
        <w:t>Mercian influence extended over much of southern England, including Kent, Sussex, and parts of Wessex, reflecting a more sustained form of overlordship.</w:t>
      </w:r>
      <w:r w:rsidR="00162C9E">
        <w:rPr>
          <w:rStyle w:val="FootnoteReference"/>
          <w:sz w:val="22"/>
          <w:szCs w:val="22"/>
        </w:rPr>
        <w:footnoteReference w:id="10"/>
      </w:r>
      <w:r w:rsidRPr="00E6350D">
        <w:rPr>
          <w:sz w:val="22"/>
          <w:szCs w:val="22"/>
        </w:rPr>
        <w:t xml:space="preserve"> </w:t>
      </w:r>
      <w:commentRangeEnd w:id="13"/>
      <w:r w:rsidR="008211D5" w:rsidRPr="00E6350D">
        <w:rPr>
          <w:rStyle w:val="CommentReference"/>
          <w:sz w:val="22"/>
          <w:szCs w:val="22"/>
        </w:rPr>
        <w:commentReference w:id="13"/>
      </w:r>
      <w:commentRangeStart w:id="14"/>
      <w:r w:rsidRPr="00E6350D">
        <w:rPr>
          <w:sz w:val="22"/>
          <w:szCs w:val="22"/>
        </w:rPr>
        <w:t xml:space="preserve">As </w:t>
      </w:r>
      <w:r w:rsidR="00AA730B">
        <w:rPr>
          <w:sz w:val="22"/>
          <w:szCs w:val="22"/>
        </w:rPr>
        <w:t>D</w:t>
      </w:r>
      <w:r w:rsidR="00571F36">
        <w:rPr>
          <w:sz w:val="22"/>
          <w:szCs w:val="22"/>
        </w:rPr>
        <w:t>.</w:t>
      </w:r>
      <w:r w:rsidR="00AA730B">
        <w:rPr>
          <w:sz w:val="22"/>
          <w:szCs w:val="22"/>
        </w:rPr>
        <w:t xml:space="preserve"> P</w:t>
      </w:r>
      <w:r w:rsidR="00571F36">
        <w:rPr>
          <w:sz w:val="22"/>
          <w:szCs w:val="22"/>
        </w:rPr>
        <w:t>.</w:t>
      </w:r>
      <w:r w:rsidR="00AA730B">
        <w:rPr>
          <w:sz w:val="22"/>
          <w:szCs w:val="22"/>
        </w:rPr>
        <w:t xml:space="preserve"> Kirby</w:t>
      </w:r>
      <w:r w:rsidRPr="00E6350D">
        <w:rPr>
          <w:sz w:val="22"/>
          <w:szCs w:val="22"/>
        </w:rPr>
        <w:t xml:space="preserve"> has noted, this period demonstrates the growing ability of Mercian rulers to exert influence through tributary relationships and the management of subordinate kings rather than conquest alone</w:t>
      </w:r>
      <w:commentRangeEnd w:id="14"/>
      <w:r w:rsidR="008211D5" w:rsidRPr="00E6350D">
        <w:rPr>
          <w:rStyle w:val="CommentReference"/>
          <w:sz w:val="22"/>
          <w:szCs w:val="22"/>
        </w:rPr>
        <w:commentReference w:id="14"/>
      </w:r>
      <w:r w:rsidRPr="00E6350D">
        <w:rPr>
          <w:sz w:val="22"/>
          <w:szCs w:val="22"/>
        </w:rPr>
        <w:t>.</w:t>
      </w:r>
      <w:r w:rsidR="000D3612">
        <w:rPr>
          <w:rStyle w:val="FootnoteReference"/>
          <w:sz w:val="22"/>
          <w:szCs w:val="22"/>
        </w:rPr>
        <w:footnoteReference w:id="11"/>
      </w:r>
    </w:p>
    <w:p w14:paraId="72FBC968" w14:textId="5ABD50C8" w:rsidR="00E6350D" w:rsidRPr="00E6350D" w:rsidRDefault="00E6350D" w:rsidP="00E6350D">
      <w:pPr>
        <w:rPr>
          <w:sz w:val="22"/>
          <w:szCs w:val="22"/>
        </w:rPr>
      </w:pPr>
      <w:commentRangeStart w:id="15"/>
      <w:r w:rsidRPr="00E6350D">
        <w:rPr>
          <w:sz w:val="22"/>
          <w:szCs w:val="22"/>
        </w:rPr>
        <w:t>The consolidation of Mercian supremacy is most clearly visible under Æthelbald (716–757), whose reign represents a further development in the structuring of royal power. Bede describes Æthelbald as exercising authority over the English kingdoms south of the Humber, reflecting a recognised position of overlordship.</w:t>
      </w:r>
      <w:commentRangeEnd w:id="15"/>
      <w:r w:rsidR="008211D5">
        <w:rPr>
          <w:rStyle w:val="CommentReference"/>
          <w:sz w:val="22"/>
          <w:szCs w:val="22"/>
          <w:vertAlign w:val="superscript"/>
        </w:rPr>
        <w:commentReference w:id="15"/>
      </w:r>
      <w:r w:rsidR="00162C9E">
        <w:rPr>
          <w:rStyle w:val="FootnoteReference"/>
          <w:sz w:val="22"/>
          <w:szCs w:val="22"/>
        </w:rPr>
        <w:footnoteReference w:id="12"/>
      </w:r>
      <w:r w:rsidRPr="00E6350D">
        <w:rPr>
          <w:sz w:val="22"/>
          <w:szCs w:val="22"/>
        </w:rPr>
        <w:t xml:space="preserve"> Unlike earlier rulers, Æthelbald appears to have maintained this dominance over an extended period, suggesting greater political stability. His relationship with the Church, though sometimes contentious, indicates the growing importance of ecclesiastical support in legitimising authority.</w:t>
      </w:r>
      <w:r w:rsidR="006263CD" w:rsidRPr="00162C9E">
        <w:rPr>
          <w:sz w:val="22"/>
          <w:szCs w:val="22"/>
        </w:rPr>
        <w:t xml:space="preserve"> </w:t>
      </w:r>
      <w:commentRangeStart w:id="16"/>
      <w:r w:rsidR="006263CD" w:rsidRPr="00162C9E">
        <w:rPr>
          <w:sz w:val="22"/>
          <w:szCs w:val="22"/>
        </w:rPr>
        <w:t>Æthelbald’s assassination in 757 further illustrates the vulnerability of Mercian supremacy, since the sudden removal of a dominant ruler exposed the dependence of overlordship on personal authority rather than institutional stability.</w:t>
      </w:r>
      <w:commentRangeEnd w:id="16"/>
      <w:r w:rsidR="002A36F5" w:rsidRPr="00162C9E">
        <w:rPr>
          <w:rStyle w:val="CommentReference"/>
          <w:sz w:val="22"/>
          <w:szCs w:val="22"/>
          <w:vertAlign w:val="superscript"/>
        </w:rPr>
        <w:commentReference w:id="16"/>
      </w:r>
      <w:r w:rsidR="00162C9E" w:rsidRPr="00162C9E">
        <w:rPr>
          <w:rStyle w:val="FootnoteReference"/>
          <w:sz w:val="22"/>
          <w:szCs w:val="22"/>
        </w:rPr>
        <w:footnoteReference w:id="13"/>
      </w:r>
    </w:p>
    <w:p w14:paraId="406A84F4" w14:textId="3F329ADE" w:rsidR="00E6350D" w:rsidRPr="00E6350D" w:rsidRDefault="00E6350D" w:rsidP="00E6350D">
      <w:pPr>
        <w:rPr>
          <w:sz w:val="22"/>
          <w:szCs w:val="22"/>
        </w:rPr>
      </w:pPr>
      <w:r w:rsidRPr="00E6350D">
        <w:rPr>
          <w:sz w:val="22"/>
          <w:szCs w:val="22"/>
        </w:rPr>
        <w:t xml:space="preserve">The reign of Offa (757–796) marks the high point of Mercian supremacy and the most developed expression of its political and ideological foundations. Under Offa, Mercia exercised extensive influence over the southern kingdoms while also engaging in diplomatic relations beyond England, most notably with Charlemagne. </w:t>
      </w:r>
      <w:commentRangeStart w:id="17"/>
      <w:r w:rsidRPr="00E6350D">
        <w:rPr>
          <w:sz w:val="22"/>
          <w:szCs w:val="22"/>
        </w:rPr>
        <w:t>His coinage reforms, the construction of Offa’s Dyke, and the establishment of the archbishopric of Lichfield reflect an expanded and more sophisticated application of the tools of kingship</w:t>
      </w:r>
      <w:commentRangeEnd w:id="17"/>
      <w:r w:rsidR="00072F4F" w:rsidRPr="00E6350D">
        <w:rPr>
          <w:rStyle w:val="CommentReference"/>
          <w:sz w:val="22"/>
          <w:szCs w:val="22"/>
        </w:rPr>
        <w:commentReference w:id="17"/>
      </w:r>
      <w:r w:rsidRPr="00E6350D">
        <w:rPr>
          <w:sz w:val="22"/>
          <w:szCs w:val="22"/>
        </w:rPr>
        <w:t xml:space="preserve">. </w:t>
      </w:r>
      <w:commentRangeStart w:id="18"/>
      <w:r w:rsidR="002A36F5" w:rsidRPr="00162C9E">
        <w:rPr>
          <w:sz w:val="22"/>
          <w:szCs w:val="22"/>
        </w:rPr>
        <w:t>T</w:t>
      </w:r>
      <w:r w:rsidR="002A36F5" w:rsidRPr="00E6350D">
        <w:rPr>
          <w:sz w:val="22"/>
          <w:szCs w:val="22"/>
        </w:rPr>
        <w:t xml:space="preserve">hese </w:t>
      </w:r>
      <w:r w:rsidRPr="00E6350D">
        <w:rPr>
          <w:sz w:val="22"/>
          <w:szCs w:val="22"/>
        </w:rPr>
        <w:t>developments point to a form of kingship that was increasingly administrative, ideological, and international in scope.</w:t>
      </w:r>
      <w:commentRangeEnd w:id="18"/>
      <w:r w:rsidR="002A36F5" w:rsidRPr="00162C9E">
        <w:rPr>
          <w:rStyle w:val="CommentReference"/>
          <w:sz w:val="22"/>
          <w:szCs w:val="22"/>
          <w:vertAlign w:val="superscript"/>
        </w:rPr>
        <w:commentReference w:id="18"/>
      </w:r>
      <w:r w:rsidR="00162C9E" w:rsidRPr="00162C9E">
        <w:rPr>
          <w:rStyle w:val="FootnoteReference"/>
          <w:sz w:val="22"/>
          <w:szCs w:val="22"/>
        </w:rPr>
        <w:footnoteReference w:id="14"/>
      </w:r>
    </w:p>
    <w:p w14:paraId="517B6D51" w14:textId="6A4D2118" w:rsidR="00E6350D" w:rsidRDefault="00E6350D" w:rsidP="00E6350D">
      <w:pPr>
        <w:rPr>
          <w:sz w:val="22"/>
          <w:szCs w:val="22"/>
        </w:rPr>
      </w:pPr>
      <w:r w:rsidRPr="00E6350D">
        <w:rPr>
          <w:sz w:val="22"/>
          <w:szCs w:val="22"/>
        </w:rPr>
        <w:t xml:space="preserve">However, the apparent strength of Mercian supremacy under Offa also highlights its fragility. </w:t>
      </w:r>
      <w:commentRangeStart w:id="19"/>
      <w:r w:rsidRPr="00E6350D">
        <w:rPr>
          <w:sz w:val="22"/>
          <w:szCs w:val="22"/>
        </w:rPr>
        <w:t xml:space="preserve">Following his death in 796, Mercian dominance proved difficult to sustain. Although rulers such </w:t>
      </w:r>
      <w:r w:rsidRPr="00E6350D">
        <w:rPr>
          <w:sz w:val="22"/>
          <w:szCs w:val="22"/>
        </w:rPr>
        <w:lastRenderedPageBreak/>
        <w:t>as Coenwulf continued to exercise influence, authority weakened as rival kingdoms, particularly Wessex, asserted themselves more effectively.</w:t>
      </w:r>
      <w:commentRangeEnd w:id="19"/>
      <w:r w:rsidR="00072F4F">
        <w:rPr>
          <w:rStyle w:val="CommentReference"/>
          <w:sz w:val="22"/>
          <w:szCs w:val="22"/>
          <w:vertAlign w:val="superscript"/>
        </w:rPr>
        <w:commentReference w:id="19"/>
      </w:r>
      <w:r w:rsidR="00162C9E">
        <w:rPr>
          <w:rStyle w:val="FootnoteReference"/>
          <w:sz w:val="22"/>
          <w:szCs w:val="22"/>
        </w:rPr>
        <w:footnoteReference w:id="15"/>
      </w:r>
      <w:r w:rsidRPr="00E6350D">
        <w:rPr>
          <w:sz w:val="22"/>
          <w:szCs w:val="22"/>
        </w:rPr>
        <w:t xml:space="preserve"> </w:t>
      </w:r>
    </w:p>
    <w:p w14:paraId="67EA6CF1" w14:textId="14C389EE" w:rsidR="00FC31CD" w:rsidRDefault="00FC31CD" w:rsidP="00E6350D">
      <w:pPr>
        <w:rPr>
          <w:sz w:val="22"/>
          <w:szCs w:val="22"/>
        </w:rPr>
      </w:pPr>
      <w:r w:rsidRPr="00FC31CD">
        <w:rPr>
          <w:sz w:val="22"/>
          <w:szCs w:val="22"/>
        </w:rPr>
        <w:t>Taken together, these developments demonstrate that Mercian supremacy was the product of gradual evolution. From Penda’s reliance on military leadership and alliances, through Wulfhere’s expansion of overlordship, to Æthelbald’s consolidation and Offa’s systematisation of authority, Mercian kings developed an increasingly sophisticated repertoire of political and ideological tools</w:t>
      </w:r>
      <w:r w:rsidR="00571F36">
        <w:rPr>
          <w:sz w:val="22"/>
          <w:szCs w:val="22"/>
        </w:rPr>
        <w:t>.</w:t>
      </w:r>
      <w:r w:rsidR="00571F36" w:rsidRPr="00571F36">
        <w:t xml:space="preserve"> </w:t>
      </w:r>
      <w:r w:rsidR="00571F36" w:rsidRPr="00571F36">
        <w:rPr>
          <w:sz w:val="22"/>
          <w:szCs w:val="22"/>
        </w:rPr>
        <w:t>These developments illustrate the increasing sophistication of Mercian kingship across the period.</w:t>
      </w:r>
    </w:p>
    <w:p w14:paraId="02D515E5" w14:textId="77777777" w:rsidR="00FC31CD" w:rsidRDefault="00E6350D" w:rsidP="00E6350D">
      <w:pPr>
        <w:rPr>
          <w:b/>
          <w:bCs/>
          <w:sz w:val="22"/>
          <w:szCs w:val="22"/>
        </w:rPr>
      </w:pPr>
      <w:r w:rsidRPr="00E6350D">
        <w:rPr>
          <w:b/>
          <w:bCs/>
          <w:sz w:val="22"/>
          <w:szCs w:val="22"/>
        </w:rPr>
        <w:t>Warfare and Militarisation</w:t>
      </w:r>
    </w:p>
    <w:p w14:paraId="7C7A3AA7" w14:textId="25129BF9" w:rsidR="00E6350D" w:rsidRPr="00E6350D" w:rsidRDefault="00E6350D" w:rsidP="00E6350D">
      <w:pPr>
        <w:rPr>
          <w:sz w:val="22"/>
          <w:szCs w:val="22"/>
        </w:rPr>
      </w:pPr>
      <w:r w:rsidRPr="00E6350D">
        <w:rPr>
          <w:b/>
          <w:bCs/>
          <w:sz w:val="22"/>
          <w:szCs w:val="22"/>
        </w:rPr>
        <w:br/>
      </w:r>
      <w:commentRangeStart w:id="20"/>
      <w:r w:rsidRPr="00E6350D">
        <w:rPr>
          <w:sz w:val="22"/>
          <w:szCs w:val="22"/>
        </w:rPr>
        <w:t>The early expansion of Mercian power under Penda of Mercia demonstrates the centrality of warfare in establishing political dominance in seventh-century England. His campaigns against Northumbria, culminating in the defeat and death of King Oswald at Maserfield in 642, significantly altered the balance of power, elevating Mercia from a regional kingdom to a major political force</w:t>
      </w:r>
      <w:commentRangeEnd w:id="20"/>
      <w:r w:rsidR="00072F4F">
        <w:rPr>
          <w:rStyle w:val="CommentReference"/>
          <w:sz w:val="22"/>
          <w:szCs w:val="22"/>
          <w:vertAlign w:val="superscript"/>
        </w:rPr>
        <w:commentReference w:id="20"/>
      </w:r>
      <w:r w:rsidR="00162C9E">
        <w:rPr>
          <w:rStyle w:val="FootnoteReference"/>
          <w:sz w:val="22"/>
          <w:szCs w:val="22"/>
        </w:rPr>
        <w:footnoteReference w:id="16"/>
      </w:r>
      <w:r w:rsidR="00162C9E">
        <w:rPr>
          <w:sz w:val="22"/>
          <w:szCs w:val="22"/>
          <w:vertAlign w:val="superscript"/>
        </w:rPr>
        <w:t>,</w:t>
      </w:r>
      <w:r w:rsidR="00162C9E">
        <w:rPr>
          <w:rStyle w:val="FootnoteReference"/>
          <w:sz w:val="22"/>
          <w:szCs w:val="22"/>
        </w:rPr>
        <w:footnoteReference w:id="17"/>
      </w:r>
      <w:r w:rsidR="00D67381">
        <w:rPr>
          <w:sz w:val="22"/>
          <w:szCs w:val="22"/>
        </w:rPr>
        <w:t xml:space="preserve"> and enhancing</w:t>
      </w:r>
      <w:r w:rsidRPr="00E6350D">
        <w:rPr>
          <w:sz w:val="22"/>
          <w:szCs w:val="22"/>
        </w:rPr>
        <w:t xml:space="preserve"> Penda’s authority both within Mercia and among neighbouring kingdoms.</w:t>
      </w:r>
    </w:p>
    <w:p w14:paraId="78291A5E" w14:textId="1BC75737" w:rsidR="00E6350D" w:rsidRPr="00E6350D" w:rsidRDefault="00E6350D" w:rsidP="00E6350D">
      <w:pPr>
        <w:rPr>
          <w:sz w:val="22"/>
          <w:szCs w:val="22"/>
        </w:rPr>
      </w:pPr>
      <w:commentRangeStart w:id="21"/>
      <w:commentRangeStart w:id="22"/>
      <w:r w:rsidRPr="00E6350D">
        <w:rPr>
          <w:sz w:val="22"/>
          <w:szCs w:val="22"/>
        </w:rPr>
        <w:t>Bede’s account frames these developments within a moral narrative that emphasises Penda’s paganism and hostility to Christianity. However, this portrayal requires qualification. Bede’s Northumbrian and ecclesiastical perspective risks overstating the extent to which Penda’s rule was defined by religious opposition.</w:t>
      </w:r>
      <w:r w:rsidR="00162C9E">
        <w:rPr>
          <w:rStyle w:val="FootnoteReference"/>
          <w:sz w:val="22"/>
          <w:szCs w:val="22"/>
        </w:rPr>
        <w:footnoteReference w:id="18"/>
      </w:r>
      <w:r w:rsidRPr="00E6350D">
        <w:rPr>
          <w:sz w:val="22"/>
          <w:szCs w:val="22"/>
        </w:rPr>
        <w:t xml:space="preserve"> </w:t>
      </w:r>
      <w:commentRangeEnd w:id="21"/>
      <w:r w:rsidR="00072F4F" w:rsidRPr="00E6350D">
        <w:rPr>
          <w:rStyle w:val="CommentReference"/>
          <w:sz w:val="22"/>
          <w:szCs w:val="22"/>
        </w:rPr>
        <w:commentReference w:id="21"/>
      </w:r>
      <w:commentRangeEnd w:id="22"/>
      <w:r w:rsidR="00F26BFB" w:rsidRPr="00E6350D">
        <w:rPr>
          <w:rStyle w:val="CommentReference"/>
          <w:sz w:val="22"/>
          <w:szCs w:val="22"/>
        </w:rPr>
        <w:commentReference w:id="22"/>
      </w:r>
      <w:commentRangeStart w:id="23"/>
      <w:r w:rsidRPr="00E6350D">
        <w:rPr>
          <w:sz w:val="22"/>
          <w:szCs w:val="22"/>
        </w:rPr>
        <w:t>In practice, Penda appears to have adopted a pragmatic approach: he permitted Christian preaching and allowed members of his dynasty to convert, suggesting that religious identity was subordinated to broader political considerations.</w:t>
      </w:r>
      <w:commentRangeEnd w:id="23"/>
      <w:r w:rsidR="00072F4F">
        <w:rPr>
          <w:rStyle w:val="CommentReference"/>
          <w:sz w:val="22"/>
          <w:szCs w:val="22"/>
          <w:vertAlign w:val="superscript"/>
        </w:rPr>
        <w:commentReference w:id="23"/>
      </w:r>
      <w:r w:rsidR="00162C9E">
        <w:rPr>
          <w:rStyle w:val="FootnoteReference"/>
          <w:sz w:val="22"/>
          <w:szCs w:val="22"/>
        </w:rPr>
        <w:footnoteReference w:id="19"/>
      </w:r>
    </w:p>
    <w:p w14:paraId="5BE5722C" w14:textId="6E150998" w:rsidR="00E6350D" w:rsidRDefault="00E6350D" w:rsidP="00E6350D">
      <w:pPr>
        <w:rPr>
          <w:sz w:val="22"/>
          <w:szCs w:val="22"/>
        </w:rPr>
      </w:pPr>
      <w:commentRangeStart w:id="24"/>
      <w:commentRangeStart w:id="25"/>
      <w:r w:rsidRPr="00E6350D">
        <w:rPr>
          <w:sz w:val="22"/>
          <w:szCs w:val="22"/>
        </w:rPr>
        <w:t>Penda’s kingship is therefore more convincingly understood as a combination of warfare and alliance-building. His cooperation with Welsh and other regional rulers indicates a form of leadership that extended beyond the battlefield and relied on the coordination of wider political networks</w:t>
      </w:r>
      <w:commentRangeEnd w:id="24"/>
      <w:r w:rsidR="00072F4F" w:rsidRPr="00E6350D">
        <w:rPr>
          <w:rStyle w:val="CommentReference"/>
          <w:sz w:val="22"/>
          <w:szCs w:val="22"/>
        </w:rPr>
        <w:commentReference w:id="24"/>
      </w:r>
      <w:commentRangeEnd w:id="25"/>
      <w:r w:rsidR="00F26BFB" w:rsidRPr="00E6350D">
        <w:rPr>
          <w:rStyle w:val="CommentReference"/>
          <w:sz w:val="22"/>
          <w:szCs w:val="22"/>
        </w:rPr>
        <w:commentReference w:id="25"/>
      </w:r>
      <w:r w:rsidRPr="00E6350D">
        <w:rPr>
          <w:sz w:val="22"/>
          <w:szCs w:val="22"/>
        </w:rPr>
        <w:t>.</w:t>
      </w:r>
      <w:r w:rsidR="004D2CB9">
        <w:rPr>
          <w:rStyle w:val="FootnoteReference"/>
          <w:sz w:val="22"/>
          <w:szCs w:val="22"/>
        </w:rPr>
        <w:footnoteReference w:id="20"/>
      </w:r>
      <w:r w:rsidRPr="00E6350D">
        <w:rPr>
          <w:sz w:val="22"/>
          <w:szCs w:val="22"/>
        </w:rPr>
        <w:t xml:space="preserve"> Military success created the conditions for dominance, but its maintenance depended on the integration of alliances and pragmatic governance.</w:t>
      </w:r>
    </w:p>
    <w:p w14:paraId="7A45EC85" w14:textId="483DA9E7" w:rsidR="0009362A" w:rsidRPr="00E6350D" w:rsidRDefault="00F752FE" w:rsidP="00E6350D">
      <w:pPr>
        <w:rPr>
          <w:sz w:val="22"/>
          <w:szCs w:val="22"/>
        </w:rPr>
      </w:pPr>
      <w:commentRangeStart w:id="26"/>
      <w:commentRangeStart w:id="27"/>
      <w:commentRangeStart w:id="28"/>
      <w:r w:rsidRPr="00F752FE">
        <w:rPr>
          <w:sz w:val="22"/>
          <w:szCs w:val="22"/>
        </w:rPr>
        <w:t>Warfare also functioned as a means of asserting political status</w:t>
      </w:r>
      <w:r w:rsidR="0009362A" w:rsidRPr="0009362A">
        <w:rPr>
          <w:sz w:val="22"/>
          <w:szCs w:val="22"/>
        </w:rPr>
        <w:t>, signalling strength, legitimacy, and the capacity to dominate within a competitive landscape of rival kingdoms. Victories such as Maserfield did not simply eliminate opponents but reinforced Mercia’s status within a recognised hierarchy of power, shaping how other rulers responded to and engaged with Mercian authority. In this sense, military success contributed to territorial expansion and to the construction of royal prestige.</w:t>
      </w:r>
      <w:commentRangeEnd w:id="26"/>
      <w:r w:rsidR="006511A9">
        <w:rPr>
          <w:rStyle w:val="CommentReference"/>
          <w:sz w:val="22"/>
          <w:szCs w:val="22"/>
          <w:vertAlign w:val="superscript"/>
        </w:rPr>
        <w:commentReference w:id="26"/>
      </w:r>
      <w:commentRangeEnd w:id="27"/>
      <w:r w:rsidR="007A1F7C">
        <w:rPr>
          <w:rStyle w:val="CommentReference"/>
          <w:sz w:val="22"/>
          <w:szCs w:val="22"/>
          <w:vertAlign w:val="superscript"/>
        </w:rPr>
        <w:commentReference w:id="27"/>
      </w:r>
      <w:commentRangeEnd w:id="28"/>
      <w:r w:rsidR="00C02F6A">
        <w:rPr>
          <w:rStyle w:val="CommentReference"/>
          <w:sz w:val="22"/>
          <w:szCs w:val="22"/>
          <w:vertAlign w:val="superscript"/>
        </w:rPr>
        <w:commentReference w:id="28"/>
      </w:r>
      <w:r w:rsidR="004D2CB9">
        <w:rPr>
          <w:rStyle w:val="FootnoteReference"/>
          <w:sz w:val="22"/>
          <w:szCs w:val="22"/>
        </w:rPr>
        <w:footnoteReference w:id="21"/>
      </w:r>
    </w:p>
    <w:p w14:paraId="22CE5A68" w14:textId="19062466" w:rsidR="0009362A" w:rsidRPr="00E6350D" w:rsidRDefault="00E6350D" w:rsidP="00E6350D">
      <w:pPr>
        <w:rPr>
          <w:sz w:val="22"/>
          <w:szCs w:val="22"/>
        </w:rPr>
      </w:pPr>
      <w:commentRangeStart w:id="29"/>
      <w:commentRangeStart w:id="30"/>
      <w:r w:rsidRPr="00E6350D">
        <w:rPr>
          <w:sz w:val="22"/>
          <w:szCs w:val="22"/>
        </w:rPr>
        <w:lastRenderedPageBreak/>
        <w:t xml:space="preserve">Nevertheless, this authority remained inherently personal and contingent. </w:t>
      </w:r>
      <w:r w:rsidR="00571F36" w:rsidRPr="00571F36">
        <w:rPr>
          <w:sz w:val="22"/>
          <w:szCs w:val="22"/>
        </w:rPr>
        <w:t>Without the more developed administrative and ecclesiastical structures visible under later rulers</w:t>
      </w:r>
      <w:r w:rsidRPr="00E6350D">
        <w:rPr>
          <w:sz w:val="22"/>
          <w:szCs w:val="22"/>
        </w:rPr>
        <w:t xml:space="preserve">, Penda’s dominance relied on continued military success and the maintenance of alliances. The rapid collapse of Mercian power following his defeat and death at the Battle of the Winwaed in 655 illustrates this </w:t>
      </w:r>
      <w:r w:rsidR="007C395D" w:rsidRPr="00E6350D">
        <w:rPr>
          <w:sz w:val="22"/>
          <w:szCs w:val="22"/>
        </w:rPr>
        <w:t>vulnerability</w:t>
      </w:r>
      <w:r w:rsidRPr="00E6350D">
        <w:rPr>
          <w:sz w:val="22"/>
          <w:szCs w:val="22"/>
        </w:rPr>
        <w:t>, demonstrating the extent to which authority was tied to the individual ruler rather than enduring institutions.</w:t>
      </w:r>
      <w:commentRangeEnd w:id="29"/>
      <w:r w:rsidR="006511A9">
        <w:rPr>
          <w:rStyle w:val="CommentReference"/>
          <w:sz w:val="22"/>
          <w:szCs w:val="22"/>
          <w:vertAlign w:val="superscript"/>
        </w:rPr>
        <w:commentReference w:id="29"/>
      </w:r>
      <w:commentRangeEnd w:id="30"/>
      <w:r w:rsidR="00611C84">
        <w:rPr>
          <w:rStyle w:val="CommentReference"/>
          <w:sz w:val="22"/>
          <w:szCs w:val="22"/>
          <w:vertAlign w:val="superscript"/>
        </w:rPr>
        <w:commentReference w:id="30"/>
      </w:r>
      <w:r w:rsidR="004D2CB9">
        <w:rPr>
          <w:rStyle w:val="FootnoteReference"/>
          <w:sz w:val="22"/>
          <w:szCs w:val="22"/>
        </w:rPr>
        <w:footnoteReference w:id="22"/>
      </w:r>
      <w:r w:rsidR="00FC31CD">
        <w:rPr>
          <w:sz w:val="22"/>
          <w:szCs w:val="22"/>
        </w:rPr>
        <w:t xml:space="preserve"> </w:t>
      </w:r>
      <w:r w:rsidR="0009362A">
        <w:rPr>
          <w:sz w:val="22"/>
          <w:szCs w:val="22"/>
        </w:rPr>
        <w:t>W</w:t>
      </w:r>
      <w:r w:rsidR="00FC31CD" w:rsidRPr="00FC31CD">
        <w:rPr>
          <w:sz w:val="22"/>
          <w:szCs w:val="22"/>
        </w:rPr>
        <w:t>arfare</w:t>
      </w:r>
      <w:r w:rsidR="0009362A">
        <w:rPr>
          <w:sz w:val="22"/>
          <w:szCs w:val="22"/>
        </w:rPr>
        <w:t xml:space="preserve"> therefore</w:t>
      </w:r>
      <w:r w:rsidR="00FC31CD" w:rsidRPr="00FC31CD">
        <w:rPr>
          <w:sz w:val="22"/>
          <w:szCs w:val="22"/>
        </w:rPr>
        <w:t xml:space="preserve"> provided the essential conditions for Mercian supremacy, but its limitations made the development of additional tools of kingship necessary for its continuation</w:t>
      </w:r>
      <w:r w:rsidR="00FC31CD">
        <w:rPr>
          <w:sz w:val="22"/>
          <w:szCs w:val="22"/>
        </w:rPr>
        <w:t>.</w:t>
      </w:r>
    </w:p>
    <w:p w14:paraId="0B1177EA" w14:textId="77777777" w:rsidR="00F752FE" w:rsidRDefault="00952EC1" w:rsidP="00E6350D">
      <w:pPr>
        <w:rPr>
          <w:b/>
          <w:bCs/>
          <w:sz w:val="22"/>
          <w:szCs w:val="22"/>
        </w:rPr>
      </w:pPr>
      <w:r w:rsidRPr="00E6350D">
        <w:rPr>
          <w:b/>
          <w:bCs/>
          <w:sz w:val="22"/>
          <w:szCs w:val="22"/>
        </w:rPr>
        <w:t>Overlordship</w:t>
      </w:r>
    </w:p>
    <w:p w14:paraId="323CAB26" w14:textId="52B529CD" w:rsidR="00E6350D" w:rsidRPr="00F752FE" w:rsidRDefault="00952EC1" w:rsidP="00E6350D">
      <w:pPr>
        <w:rPr>
          <w:b/>
          <w:bCs/>
          <w:sz w:val="22"/>
          <w:szCs w:val="22"/>
        </w:rPr>
      </w:pPr>
      <w:r w:rsidRPr="00E6350D">
        <w:rPr>
          <w:sz w:val="22"/>
          <w:szCs w:val="22"/>
        </w:rPr>
        <w:br/>
      </w:r>
      <w:r w:rsidR="00E6350D" w:rsidRPr="00E6350D">
        <w:rPr>
          <w:sz w:val="22"/>
          <w:szCs w:val="22"/>
        </w:rPr>
        <w:t>The limitations of military power necessitated the development of more structured mechanisms through which Mercian dominance could be sustained, most notably in the form of overlordship. Rather than seeking direct territorial control, Mercian rulers extended their authority by exerting political influence over neighbouring kingdoms, creating a hierarchy of subordinate rulers who acknowledged Mercian supremacy. This allowed power to be projected across a wide geographical area without the administrative burden of direct governance.</w:t>
      </w:r>
    </w:p>
    <w:p w14:paraId="3E2929F3" w14:textId="689B189B" w:rsidR="00E50DC5" w:rsidRDefault="00E50DC5" w:rsidP="00E6350D">
      <w:pPr>
        <w:rPr>
          <w:sz w:val="22"/>
          <w:szCs w:val="22"/>
        </w:rPr>
      </w:pPr>
      <w:commentRangeStart w:id="31"/>
      <w:r w:rsidRPr="00E50DC5">
        <w:rPr>
          <w:sz w:val="22"/>
          <w:szCs w:val="22"/>
        </w:rPr>
        <w:t xml:space="preserve">Under rulers such as Wulfhere of Mercia and Æthelbald of Mercia, Mercian authority over southern England became increasingly formalised through networks of dependent rulers. </w:t>
      </w:r>
      <w:r w:rsidR="00603FDD" w:rsidRPr="00603FDD">
        <w:rPr>
          <w:sz w:val="22"/>
          <w:szCs w:val="22"/>
        </w:rPr>
        <w:t xml:space="preserve"> </w:t>
      </w:r>
      <w:r w:rsidR="00603FDD" w:rsidRPr="00E50DC5">
        <w:rPr>
          <w:sz w:val="22"/>
          <w:szCs w:val="22"/>
        </w:rPr>
        <w:t>Æthelbald of Mercia</w:t>
      </w:r>
      <w:r w:rsidR="00603FDD">
        <w:rPr>
          <w:sz w:val="22"/>
          <w:szCs w:val="22"/>
        </w:rPr>
        <w:t xml:space="preserve"> frames himself as </w:t>
      </w:r>
      <w:r w:rsidR="00603FDD" w:rsidRPr="00603FDD">
        <w:rPr>
          <w:sz w:val="22"/>
          <w:szCs w:val="22"/>
        </w:rPr>
        <w:t>king of the Mercians and of the South Angli</w:t>
      </w:r>
      <w:r w:rsidRPr="00E50DC5">
        <w:rPr>
          <w:sz w:val="22"/>
          <w:szCs w:val="22"/>
        </w:rPr>
        <w:t xml:space="preserve"> </w:t>
      </w:r>
      <w:r w:rsidR="00603FDD">
        <w:rPr>
          <w:sz w:val="22"/>
          <w:szCs w:val="22"/>
        </w:rPr>
        <w:t>in</w:t>
      </w:r>
      <w:r w:rsidRPr="00E50DC5">
        <w:rPr>
          <w:sz w:val="22"/>
          <w:szCs w:val="22"/>
        </w:rPr>
        <w:t xml:space="preserve"> charters such as the Ismere Diploma, which illustrates the king’s capacity to grant land in frontier regions such as the Stour valley</w:t>
      </w:r>
      <w:r w:rsidR="004D2CB9">
        <w:rPr>
          <w:rStyle w:val="FootnoteReference"/>
          <w:sz w:val="22"/>
          <w:szCs w:val="22"/>
        </w:rPr>
        <w:footnoteReference w:id="23"/>
      </w:r>
      <w:r w:rsidRPr="00E50DC5">
        <w:rPr>
          <w:sz w:val="22"/>
          <w:szCs w:val="22"/>
        </w:rPr>
        <w:t>. While issued to an ecclesiastical beneficiary, such grants nonetheless imply the authority to sanction and redistribute land within subordinate territories. This system relied upon the recognition of Mercian supremacy, underpinned by the latent threat of military intervention but sustained in practice through ongoing political negotiation.</w:t>
      </w:r>
      <w:commentRangeEnd w:id="31"/>
      <w:r>
        <w:rPr>
          <w:rStyle w:val="CommentReference"/>
          <w:sz w:val="22"/>
          <w:szCs w:val="22"/>
        </w:rPr>
        <w:commentReference w:id="31"/>
      </w:r>
    </w:p>
    <w:p w14:paraId="002C2739" w14:textId="098A29B0" w:rsidR="00E6350D" w:rsidRPr="00E6350D" w:rsidRDefault="00E6350D" w:rsidP="00E6350D">
      <w:pPr>
        <w:rPr>
          <w:sz w:val="22"/>
          <w:szCs w:val="22"/>
        </w:rPr>
      </w:pPr>
      <w:commentRangeStart w:id="32"/>
      <w:commentRangeStart w:id="33"/>
      <w:r w:rsidRPr="00E6350D">
        <w:rPr>
          <w:sz w:val="22"/>
          <w:szCs w:val="22"/>
        </w:rPr>
        <w:t>The effectiveness of this system depended upon the cooperation of regional elites. As D. P. Kirby has argued, early medieval kingship operated through negotiated relationships in which power was contingent upon the support of subordinate rulers and noble groups.</w:t>
      </w:r>
      <w:commentRangeEnd w:id="32"/>
      <w:r w:rsidR="006511A9">
        <w:rPr>
          <w:rStyle w:val="CommentReference"/>
          <w:sz w:val="22"/>
          <w:szCs w:val="22"/>
          <w:vertAlign w:val="superscript"/>
        </w:rPr>
        <w:commentReference w:id="32"/>
      </w:r>
      <w:commentRangeEnd w:id="33"/>
      <w:r w:rsidR="00485926">
        <w:rPr>
          <w:rStyle w:val="CommentReference"/>
          <w:sz w:val="22"/>
          <w:szCs w:val="22"/>
          <w:vertAlign w:val="superscript"/>
        </w:rPr>
        <w:commentReference w:id="33"/>
      </w:r>
      <w:r w:rsidR="009A06DD">
        <w:rPr>
          <w:rStyle w:val="FootnoteReference"/>
          <w:sz w:val="22"/>
          <w:szCs w:val="22"/>
        </w:rPr>
        <w:footnoteReference w:id="24"/>
      </w:r>
      <w:r w:rsidRPr="00E6350D">
        <w:rPr>
          <w:sz w:val="22"/>
          <w:szCs w:val="22"/>
        </w:rPr>
        <w:t xml:space="preserve"> Overlordship therefore functioned as a key tool of kingship, enabling Mercian rulers to translate military success into a broader, though unstable, framework of control.</w:t>
      </w:r>
    </w:p>
    <w:p w14:paraId="38E97313" w14:textId="12D20BDE" w:rsidR="00E6350D" w:rsidRDefault="00E6350D" w:rsidP="00E6350D">
      <w:pPr>
        <w:rPr>
          <w:sz w:val="22"/>
          <w:szCs w:val="22"/>
        </w:rPr>
      </w:pPr>
      <w:commentRangeStart w:id="34"/>
      <w:r w:rsidRPr="00E6350D">
        <w:rPr>
          <w:sz w:val="22"/>
          <w:szCs w:val="22"/>
        </w:rPr>
        <w:t>However, this system remained inherently fragile. Reliance on subordinate rulers left Mercian authority vulnerable to shifting loyalties and the ambitions of rival kingdoms. Without the capacity for direct administration, overlordship depended upon the continued effectiveness of political networks and the credibility of military power, exposing the structural limitations of Mercian rule.</w:t>
      </w:r>
      <w:commentRangeEnd w:id="34"/>
      <w:r w:rsidR="00485926">
        <w:rPr>
          <w:rStyle w:val="CommentReference"/>
          <w:sz w:val="22"/>
          <w:szCs w:val="22"/>
          <w:vertAlign w:val="superscript"/>
        </w:rPr>
        <w:commentReference w:id="34"/>
      </w:r>
      <w:r w:rsidR="009A06DD">
        <w:rPr>
          <w:rStyle w:val="FootnoteReference"/>
          <w:sz w:val="22"/>
          <w:szCs w:val="22"/>
        </w:rPr>
        <w:footnoteReference w:id="25"/>
      </w:r>
    </w:p>
    <w:p w14:paraId="0ABE5FDA" w14:textId="788C1C24" w:rsidR="00895533" w:rsidRDefault="00895533" w:rsidP="00E6350D">
      <w:pPr>
        <w:rPr>
          <w:sz w:val="22"/>
          <w:szCs w:val="22"/>
        </w:rPr>
      </w:pPr>
      <w:r w:rsidRPr="00895533">
        <w:rPr>
          <w:sz w:val="22"/>
          <w:szCs w:val="22"/>
        </w:rPr>
        <w:t xml:space="preserve">In this respect, Mercian overlordship can be understood as a form of hegemonic authority rather than territorial control. It depended less on the integration of conquered regions and more on </w:t>
      </w:r>
      <w:r w:rsidRPr="00895533">
        <w:rPr>
          <w:sz w:val="22"/>
          <w:szCs w:val="22"/>
        </w:rPr>
        <w:lastRenderedPageBreak/>
        <w:t>the ability to maintain recognition of superiority among subordinate rulers. Such a system allowed for rapid expansion, but it also limited the depth of control that could be exercised. Authority was therefore broad but often shallow, making it particularly vulnerable to disruption. When Mercian military strength weakened or rival powers offered more compelling leadership, subordinate kingdoms could shift allegiance with relative ease. This highlights the structural tension within Mercian kingship between expansion and consolidation, a tension that ultimately contributed to its decline.</w:t>
      </w:r>
    </w:p>
    <w:p w14:paraId="53D9A409" w14:textId="6EF070AD" w:rsidR="00952EC1" w:rsidRPr="00E6350D" w:rsidRDefault="00952EC1" w:rsidP="00E6350D">
      <w:pPr>
        <w:rPr>
          <w:b/>
          <w:bCs/>
          <w:sz w:val="22"/>
          <w:szCs w:val="22"/>
        </w:rPr>
      </w:pPr>
      <w:r w:rsidRPr="00E6350D">
        <w:rPr>
          <w:b/>
          <w:bCs/>
          <w:sz w:val="22"/>
          <w:szCs w:val="22"/>
        </w:rPr>
        <w:t>Diplomacy, Marriage and Policy</w:t>
      </w:r>
    </w:p>
    <w:p w14:paraId="01B71511" w14:textId="77777777" w:rsidR="00E6350D" w:rsidRPr="00E6350D" w:rsidRDefault="00E6350D" w:rsidP="00E6350D">
      <w:pPr>
        <w:rPr>
          <w:sz w:val="22"/>
          <w:szCs w:val="22"/>
        </w:rPr>
      </w:pPr>
      <w:r w:rsidRPr="00E6350D">
        <w:rPr>
          <w:sz w:val="22"/>
          <w:szCs w:val="22"/>
        </w:rPr>
        <w:t>The maintenance of Mercian supremacy depended not only on military force or overlordship, but on the careful management of political relationships. In a landscape of competing kingdoms, authority required diplomatic strategies and networks that bound rulers and elites into systems of mutual interest. Diplomacy and dynastic alliance therefore functioned as central tools of kingship, enabling Mercian rulers to extend and stabilise their influence.</w:t>
      </w:r>
    </w:p>
    <w:p w14:paraId="67AFD81C" w14:textId="0C417969" w:rsidR="00E6350D" w:rsidRPr="00E6350D" w:rsidRDefault="00E6350D" w:rsidP="00E6350D">
      <w:pPr>
        <w:rPr>
          <w:sz w:val="22"/>
          <w:szCs w:val="22"/>
        </w:rPr>
      </w:pPr>
      <w:r w:rsidRPr="00E6350D">
        <w:rPr>
          <w:sz w:val="22"/>
          <w:szCs w:val="22"/>
        </w:rPr>
        <w:t xml:space="preserve">One of the most effective means of achieving this was through dynastic marriage. Marital alliances integrated ruling families, reinforcing political cooperation and reducing the likelihood of conflict. </w:t>
      </w:r>
      <w:commentRangeStart w:id="35"/>
      <w:r w:rsidRPr="00E6350D">
        <w:rPr>
          <w:sz w:val="22"/>
          <w:szCs w:val="22"/>
        </w:rPr>
        <w:t xml:space="preserve">Under Offa of Mercia, such strategies were pursued with particular intent. His attempts to arrange marriages for his daughters, including </w:t>
      </w:r>
      <w:r w:rsidR="00611C84">
        <w:rPr>
          <w:sz w:val="22"/>
          <w:szCs w:val="22"/>
        </w:rPr>
        <w:t>a</w:t>
      </w:r>
      <w:commentRangeStart w:id="36"/>
      <w:r w:rsidRPr="00E6350D">
        <w:rPr>
          <w:sz w:val="22"/>
          <w:szCs w:val="22"/>
        </w:rPr>
        <w:t xml:space="preserve"> </w:t>
      </w:r>
      <w:commentRangeEnd w:id="36"/>
      <w:r w:rsidR="0007137D" w:rsidRPr="00E6350D">
        <w:rPr>
          <w:rStyle w:val="CommentReference"/>
          <w:sz w:val="22"/>
          <w:szCs w:val="22"/>
        </w:rPr>
        <w:commentReference w:id="36"/>
      </w:r>
      <w:r w:rsidRPr="00E6350D">
        <w:rPr>
          <w:sz w:val="22"/>
          <w:szCs w:val="22"/>
        </w:rPr>
        <w:t>proposed alliance with the Carolingian court, reflect a deliberate effort to situate Mercia within wider political networks.</w:t>
      </w:r>
      <w:commentRangeEnd w:id="35"/>
      <w:r w:rsidR="00986403">
        <w:rPr>
          <w:rStyle w:val="CommentReference"/>
          <w:sz w:val="22"/>
          <w:szCs w:val="22"/>
          <w:vertAlign w:val="superscript"/>
        </w:rPr>
        <w:commentReference w:id="35"/>
      </w:r>
      <w:r w:rsidR="009A06DD">
        <w:rPr>
          <w:rStyle w:val="FootnoteReference"/>
          <w:sz w:val="22"/>
          <w:szCs w:val="22"/>
        </w:rPr>
        <w:footnoteReference w:id="26"/>
      </w:r>
    </w:p>
    <w:p w14:paraId="60028715" w14:textId="0889C96E" w:rsidR="00E6350D" w:rsidRDefault="00E6350D" w:rsidP="00E6350D">
      <w:pPr>
        <w:rPr>
          <w:sz w:val="22"/>
          <w:szCs w:val="22"/>
        </w:rPr>
      </w:pPr>
      <w:commentRangeStart w:id="37"/>
      <w:r w:rsidRPr="00E6350D">
        <w:rPr>
          <w:sz w:val="22"/>
          <w:szCs w:val="22"/>
        </w:rPr>
        <w:t>Beyond marriage, Mercian rulers engaged in broader diplomatic interactions that extended their influence both within and beyond England. The surviving correspondence between Offa and Charlemagne provides insight into how Mercian kings sought recognition on an international stage.</w:t>
      </w:r>
      <w:commentRangeEnd w:id="37"/>
      <w:r w:rsidR="00986403">
        <w:rPr>
          <w:rStyle w:val="CommentReference"/>
          <w:sz w:val="22"/>
          <w:szCs w:val="22"/>
          <w:vertAlign w:val="superscript"/>
        </w:rPr>
        <w:commentReference w:id="37"/>
      </w:r>
      <w:r w:rsidR="009A06DD">
        <w:rPr>
          <w:rStyle w:val="FootnoteReference"/>
          <w:sz w:val="22"/>
          <w:szCs w:val="22"/>
        </w:rPr>
        <w:footnoteReference w:id="27"/>
      </w:r>
      <w:r w:rsidRPr="00E6350D">
        <w:rPr>
          <w:sz w:val="22"/>
          <w:szCs w:val="22"/>
        </w:rPr>
        <w:t xml:space="preserve"> As </w:t>
      </w:r>
      <w:commentRangeStart w:id="38"/>
      <w:r w:rsidRPr="00E6350D">
        <w:rPr>
          <w:sz w:val="22"/>
          <w:szCs w:val="22"/>
        </w:rPr>
        <w:t>Nicholas J. Higham argues, such engagement reflects an increasingly sophisticated conception of kingship in which prestige and recognition formed key elements of authority.</w:t>
      </w:r>
      <w:commentRangeEnd w:id="38"/>
      <w:r w:rsidR="00986403">
        <w:rPr>
          <w:rStyle w:val="CommentReference"/>
          <w:sz w:val="22"/>
          <w:szCs w:val="22"/>
          <w:vertAlign w:val="superscript"/>
        </w:rPr>
        <w:commentReference w:id="38"/>
      </w:r>
      <w:r w:rsidR="009A06DD">
        <w:rPr>
          <w:rStyle w:val="FootnoteReference"/>
          <w:sz w:val="22"/>
          <w:szCs w:val="22"/>
        </w:rPr>
        <w:footnoteReference w:id="28"/>
      </w:r>
    </w:p>
    <w:p w14:paraId="0F755B25" w14:textId="22C56F24" w:rsidR="00895533" w:rsidRPr="00E6350D" w:rsidRDefault="00895533" w:rsidP="00E6350D">
      <w:pPr>
        <w:rPr>
          <w:sz w:val="22"/>
          <w:szCs w:val="22"/>
        </w:rPr>
      </w:pPr>
      <w:r w:rsidRPr="00895533">
        <w:rPr>
          <w:sz w:val="22"/>
          <w:szCs w:val="22"/>
        </w:rPr>
        <w:t xml:space="preserve">Mercian diplomatic activity also reflects its integration into a wider European political culture, in which rulers sought not only dominance within their own regions but recognition among their peers. </w:t>
      </w:r>
      <w:commentRangeStart w:id="39"/>
      <w:r w:rsidR="007C395D" w:rsidRPr="007C395D">
        <w:rPr>
          <w:sz w:val="22"/>
          <w:szCs w:val="22"/>
        </w:rPr>
        <w:t>Offa’s exchanges with Charlemagne suggest that Mercian kingship was increasingly being articulated within a wider diplomatic culture of royal status and recognition.</w:t>
      </w:r>
      <w:r w:rsidR="007C395D">
        <w:rPr>
          <w:sz w:val="22"/>
          <w:szCs w:val="22"/>
        </w:rPr>
        <w:t xml:space="preserve"> </w:t>
      </w:r>
      <w:r w:rsidRPr="00895533">
        <w:rPr>
          <w:sz w:val="22"/>
          <w:szCs w:val="22"/>
        </w:rPr>
        <w:t>At the same time, such engagement highlights the comparative nature of power in this period.</w:t>
      </w:r>
      <w:r w:rsidR="009A06DD">
        <w:rPr>
          <w:rStyle w:val="FootnoteReference"/>
          <w:sz w:val="22"/>
          <w:szCs w:val="22"/>
        </w:rPr>
        <w:footnoteReference w:id="29"/>
      </w:r>
      <w:r w:rsidRPr="00895533">
        <w:rPr>
          <w:sz w:val="22"/>
          <w:szCs w:val="22"/>
        </w:rPr>
        <w:t xml:space="preserve"> </w:t>
      </w:r>
      <w:commentRangeEnd w:id="39"/>
      <w:r w:rsidR="008D464D" w:rsidRPr="00895533">
        <w:rPr>
          <w:rStyle w:val="CommentReference"/>
          <w:sz w:val="22"/>
          <w:szCs w:val="22"/>
        </w:rPr>
        <w:commentReference w:id="39"/>
      </w:r>
      <w:r w:rsidRPr="00895533">
        <w:rPr>
          <w:sz w:val="22"/>
          <w:szCs w:val="22"/>
        </w:rPr>
        <w:t xml:space="preserve">As neighbouring kingdoms, particularly Wessex, began to adopt similar diplomatic and administrative practices, Mercia’s relative advantage diminished. Diplomatic success  therefore required continual adaptation within an increasingly competitive political environment. </w:t>
      </w:r>
    </w:p>
    <w:p w14:paraId="5C052A76" w14:textId="56F0B6F0" w:rsidR="00E6350D" w:rsidRPr="00E6350D" w:rsidRDefault="00E6350D" w:rsidP="00E6350D">
      <w:pPr>
        <w:rPr>
          <w:sz w:val="22"/>
          <w:szCs w:val="22"/>
        </w:rPr>
      </w:pPr>
      <w:r w:rsidRPr="00E6350D">
        <w:rPr>
          <w:sz w:val="22"/>
          <w:szCs w:val="22"/>
        </w:rPr>
        <w:t xml:space="preserve">At a local level, Mercian rule depended upon the integration of regional elites. Rather than displacing existing structures, Mercian kings worked through them, incorporating local rulers and noble groups into their sphere of influence. </w:t>
      </w:r>
      <w:commentRangeStart w:id="40"/>
      <w:r w:rsidRPr="00E6350D">
        <w:rPr>
          <w:sz w:val="22"/>
          <w:szCs w:val="22"/>
        </w:rPr>
        <w:t>As shown,</w:t>
      </w:r>
      <w:r w:rsidR="00821259">
        <w:rPr>
          <w:sz w:val="22"/>
          <w:szCs w:val="22"/>
        </w:rPr>
        <w:t xml:space="preserve"> especially through witness lists,</w:t>
      </w:r>
      <w:r w:rsidRPr="00E6350D">
        <w:rPr>
          <w:sz w:val="22"/>
          <w:szCs w:val="22"/>
        </w:rPr>
        <w:t xml:space="preserve"> </w:t>
      </w:r>
      <w:r w:rsidRPr="00E6350D">
        <w:rPr>
          <w:sz w:val="22"/>
          <w:szCs w:val="22"/>
        </w:rPr>
        <w:lastRenderedPageBreak/>
        <w:t>such relationships were often formalised through charters that articulated bonds of loyalty and obligation.</w:t>
      </w:r>
      <w:commentRangeEnd w:id="40"/>
      <w:r w:rsidR="0025512E">
        <w:rPr>
          <w:rStyle w:val="CommentReference"/>
          <w:sz w:val="22"/>
          <w:szCs w:val="22"/>
          <w:vertAlign w:val="superscript"/>
        </w:rPr>
        <w:commentReference w:id="40"/>
      </w:r>
      <w:r w:rsidR="009A06DD">
        <w:rPr>
          <w:rStyle w:val="FootnoteReference"/>
          <w:sz w:val="22"/>
          <w:szCs w:val="22"/>
        </w:rPr>
        <w:footnoteReference w:id="30"/>
      </w:r>
    </w:p>
    <w:p w14:paraId="4D3AD80B" w14:textId="023E893C" w:rsidR="00E6350D" w:rsidRDefault="00E6350D" w:rsidP="00E6350D">
      <w:pPr>
        <w:rPr>
          <w:sz w:val="22"/>
          <w:szCs w:val="22"/>
        </w:rPr>
      </w:pPr>
      <w:r w:rsidRPr="00E6350D">
        <w:rPr>
          <w:sz w:val="22"/>
          <w:szCs w:val="22"/>
        </w:rPr>
        <w:t xml:space="preserve">However, this reliance on political networks introduced inherent instability. Authority depended on the continued cooperation of elites and the management of shifting alliances, leaving Mercian power vulnerable to changing interests and rivalries. Diplomacy therefore stabilised Mercian supremacy, but also exposed its structural </w:t>
      </w:r>
      <w:r w:rsidR="007C395D" w:rsidRPr="00E6350D">
        <w:rPr>
          <w:sz w:val="22"/>
          <w:szCs w:val="22"/>
        </w:rPr>
        <w:t>weakness</w:t>
      </w:r>
      <w:r w:rsidRPr="00E6350D">
        <w:rPr>
          <w:sz w:val="22"/>
          <w:szCs w:val="22"/>
        </w:rPr>
        <w:t>.</w:t>
      </w:r>
    </w:p>
    <w:p w14:paraId="2ED2E0CF" w14:textId="2330C8BA" w:rsidR="0009362A" w:rsidRDefault="00571F36" w:rsidP="00952EC1">
      <w:pPr>
        <w:rPr>
          <w:sz w:val="22"/>
          <w:szCs w:val="22"/>
        </w:rPr>
      </w:pPr>
      <w:r w:rsidRPr="00571F36">
        <w:rPr>
          <w:sz w:val="22"/>
          <w:szCs w:val="22"/>
        </w:rPr>
        <w:t>Diplomacy therefore communicated hierarchy as well as cooperation, but remained dependent on continued recognition by other rulers</w:t>
      </w:r>
      <w:r w:rsidR="0009362A" w:rsidRPr="0009362A">
        <w:rPr>
          <w:sz w:val="22"/>
          <w:szCs w:val="22"/>
        </w:rPr>
        <w:t>. Through correspondence, marriage negotiations, and gift exchange, Mercian rulers positioned themselves within a recognised framework of political authority, both within England and in relation to continental powers. These interactions helped to embed Mercian supremacy within wider expectations of status and legitimacy. Yet because this authority depended upon continued recognition by other rulers, it remained inherently unstable and open to challenge.</w:t>
      </w:r>
    </w:p>
    <w:p w14:paraId="23EC0EBB" w14:textId="24FA3BBF" w:rsidR="00952EC1" w:rsidRPr="00E6350D" w:rsidRDefault="00952EC1" w:rsidP="00952EC1">
      <w:pPr>
        <w:rPr>
          <w:b/>
          <w:bCs/>
          <w:sz w:val="22"/>
          <w:szCs w:val="22"/>
        </w:rPr>
      </w:pPr>
      <w:r w:rsidRPr="00E6350D">
        <w:rPr>
          <w:b/>
          <w:bCs/>
          <w:sz w:val="22"/>
          <w:szCs w:val="22"/>
        </w:rPr>
        <w:t>The Church and Ecclesiastics</w:t>
      </w:r>
    </w:p>
    <w:p w14:paraId="5B4D4ED0" w14:textId="77777777" w:rsidR="00412674" w:rsidRPr="00412674" w:rsidRDefault="00412674" w:rsidP="00412674">
      <w:pPr>
        <w:rPr>
          <w:sz w:val="22"/>
          <w:szCs w:val="22"/>
        </w:rPr>
      </w:pPr>
      <w:r w:rsidRPr="00412674">
        <w:rPr>
          <w:sz w:val="22"/>
          <w:szCs w:val="22"/>
        </w:rPr>
        <w:t>The consolidation of Mercian supremacy was closely bound to the relationship between kingship and the Church, which functioned as both a source of legitimacy and a mechanism of governance. In early medieval England, religious authority was deeply intertwined with political power, and the ability of rulers to patronise and influence ecclesiastical structures formed a crucial component of effective kingship.</w:t>
      </w:r>
    </w:p>
    <w:p w14:paraId="3FD5631F" w14:textId="7BED4679" w:rsidR="00412674" w:rsidRPr="00412674" w:rsidRDefault="00412674" w:rsidP="00412674">
      <w:pPr>
        <w:rPr>
          <w:sz w:val="22"/>
          <w:szCs w:val="22"/>
        </w:rPr>
      </w:pPr>
      <w:commentRangeStart w:id="41"/>
      <w:commentRangeStart w:id="42"/>
      <w:r w:rsidRPr="00412674">
        <w:rPr>
          <w:sz w:val="22"/>
          <w:szCs w:val="22"/>
        </w:rPr>
        <w:t xml:space="preserve">The importance of ecclesiastical patronage is evident from the reign of Wulfhere, whose conversion to Christianity marked a significant moment in the integration of Mercian kingship within the wider religious </w:t>
      </w:r>
      <w:r w:rsidR="00126178">
        <w:rPr>
          <w:sz w:val="22"/>
          <w:szCs w:val="22"/>
        </w:rPr>
        <w:t>structure</w:t>
      </w:r>
      <w:r w:rsidRPr="00412674">
        <w:rPr>
          <w:sz w:val="22"/>
          <w:szCs w:val="22"/>
        </w:rPr>
        <w:t xml:space="preserve"> of Anglo-Saxon England.</w:t>
      </w:r>
      <w:commentRangeEnd w:id="41"/>
      <w:r w:rsidR="0025512E">
        <w:rPr>
          <w:rStyle w:val="CommentReference"/>
          <w:sz w:val="22"/>
          <w:szCs w:val="22"/>
          <w:vertAlign w:val="superscript"/>
        </w:rPr>
        <w:commentReference w:id="41"/>
      </w:r>
      <w:commentRangeEnd w:id="42"/>
      <w:r w:rsidR="00126178">
        <w:rPr>
          <w:rStyle w:val="CommentReference"/>
          <w:sz w:val="22"/>
          <w:szCs w:val="22"/>
          <w:vertAlign w:val="superscript"/>
        </w:rPr>
        <w:commentReference w:id="42"/>
      </w:r>
      <w:r w:rsidR="009A06DD">
        <w:rPr>
          <w:rStyle w:val="FootnoteReference"/>
          <w:sz w:val="22"/>
          <w:szCs w:val="22"/>
        </w:rPr>
        <w:footnoteReference w:id="31"/>
      </w:r>
      <w:r w:rsidRPr="00412674">
        <w:rPr>
          <w:sz w:val="22"/>
          <w:szCs w:val="22"/>
        </w:rPr>
        <w:t xml:space="preserve"> Through the foundation and endowment of monasteries, Mercian rulers associated themselves with centres of spiritual authority, enhancing their legitimacy among both clerical and lay audiences. </w:t>
      </w:r>
      <w:commentRangeStart w:id="43"/>
      <w:commentRangeStart w:id="44"/>
      <w:r w:rsidRPr="00412674">
        <w:rPr>
          <w:sz w:val="22"/>
          <w:szCs w:val="22"/>
        </w:rPr>
        <w:t>As Bede suggests, the relationship between kings and the Church was central to the moral and political order of the period, even if his perspective requires careful qualification</w:t>
      </w:r>
      <w:commentRangeEnd w:id="43"/>
      <w:r w:rsidR="0025512E" w:rsidRPr="00412674">
        <w:rPr>
          <w:rStyle w:val="CommentReference"/>
          <w:sz w:val="22"/>
          <w:szCs w:val="22"/>
        </w:rPr>
        <w:commentReference w:id="43"/>
      </w:r>
      <w:commentRangeEnd w:id="44"/>
      <w:r w:rsidR="00510B41" w:rsidRPr="00412674">
        <w:rPr>
          <w:rStyle w:val="CommentReference"/>
          <w:sz w:val="22"/>
          <w:szCs w:val="22"/>
        </w:rPr>
        <w:commentReference w:id="44"/>
      </w:r>
      <w:r w:rsidRPr="00412674">
        <w:rPr>
          <w:sz w:val="22"/>
          <w:szCs w:val="22"/>
        </w:rPr>
        <w:t>.</w:t>
      </w:r>
      <w:r w:rsidR="009A06DD">
        <w:rPr>
          <w:rStyle w:val="FootnoteReference"/>
          <w:sz w:val="22"/>
          <w:szCs w:val="22"/>
        </w:rPr>
        <w:footnoteReference w:id="32"/>
      </w:r>
    </w:p>
    <w:p w14:paraId="4C2597EF" w14:textId="3F35B548" w:rsidR="00FF78EC" w:rsidRDefault="00FF78EC" w:rsidP="00FF78EC">
      <w:pPr>
        <w:rPr>
          <w:sz w:val="22"/>
          <w:szCs w:val="22"/>
        </w:rPr>
      </w:pPr>
      <w:commentRangeStart w:id="45"/>
      <w:commentRangeStart w:id="46"/>
      <w:commentRangeStart w:id="47"/>
      <w:r w:rsidRPr="00412674">
        <w:rPr>
          <w:sz w:val="22"/>
          <w:szCs w:val="22"/>
        </w:rPr>
        <w:t>Royal authority was further reinforced through assemblies and synods, which provided structured settings in which kingship could be performed and negotiated alongside ecclesiastical elites.</w:t>
      </w:r>
      <w:commentRangeEnd w:id="45"/>
      <w:r>
        <w:rPr>
          <w:rStyle w:val="CommentReference"/>
          <w:sz w:val="22"/>
          <w:szCs w:val="22"/>
          <w:vertAlign w:val="superscript"/>
        </w:rPr>
        <w:commentReference w:id="45"/>
      </w:r>
      <w:commentRangeEnd w:id="46"/>
      <w:r w:rsidR="0025512E">
        <w:rPr>
          <w:rStyle w:val="CommentReference"/>
          <w:sz w:val="22"/>
          <w:szCs w:val="22"/>
          <w:vertAlign w:val="superscript"/>
        </w:rPr>
        <w:commentReference w:id="46"/>
      </w:r>
      <w:commentRangeEnd w:id="47"/>
      <w:r w:rsidR="00A27322">
        <w:rPr>
          <w:rStyle w:val="CommentReference"/>
          <w:sz w:val="22"/>
          <w:szCs w:val="22"/>
          <w:vertAlign w:val="superscript"/>
        </w:rPr>
        <w:commentReference w:id="47"/>
      </w:r>
      <w:r w:rsidR="009A06DD">
        <w:rPr>
          <w:rStyle w:val="FootnoteReference"/>
          <w:sz w:val="22"/>
          <w:szCs w:val="22"/>
        </w:rPr>
        <w:footnoteReference w:id="33"/>
      </w:r>
      <w:r w:rsidRPr="00412674">
        <w:rPr>
          <w:sz w:val="22"/>
          <w:szCs w:val="22"/>
        </w:rPr>
        <w:t xml:space="preserve"> These gatherings allowed rulers to articulate decisions, distribute patronage, and reinforce hierarchies of authority within a recognised institutional framework. In this context, the Church actively participated in creating a mutual</w:t>
      </w:r>
      <w:r>
        <w:rPr>
          <w:sz w:val="22"/>
          <w:szCs w:val="22"/>
        </w:rPr>
        <w:t xml:space="preserve"> </w:t>
      </w:r>
      <w:r w:rsidRPr="00412674">
        <w:rPr>
          <w:sz w:val="22"/>
          <w:szCs w:val="22"/>
        </w:rPr>
        <w:t>relationship between secular and ecclesiastical power.</w:t>
      </w:r>
    </w:p>
    <w:p w14:paraId="7BCA28C3" w14:textId="06844450" w:rsidR="00224D10" w:rsidRDefault="00224D10" w:rsidP="00412674">
      <w:pPr>
        <w:rPr>
          <w:sz w:val="22"/>
          <w:szCs w:val="22"/>
        </w:rPr>
      </w:pPr>
      <w:r w:rsidRPr="009A06DD">
        <w:rPr>
          <w:sz w:val="22"/>
          <w:szCs w:val="22"/>
        </w:rPr>
        <w:t xml:space="preserve">The appointment of bishops and participation in synods provided mechanisms through which ecclesiastical authority could be aligned with royal interests. </w:t>
      </w:r>
      <w:commentRangeStart w:id="48"/>
      <w:r w:rsidR="00603FDD" w:rsidRPr="009A06DD">
        <w:rPr>
          <w:sz w:val="22"/>
          <w:szCs w:val="22"/>
        </w:rPr>
        <w:t>T</w:t>
      </w:r>
      <w:r w:rsidRPr="009A06DD">
        <w:rPr>
          <w:sz w:val="22"/>
          <w:szCs w:val="22"/>
        </w:rPr>
        <w:t>his relationship was often characterised by negotiation rather than subordination, reinforcing royal authority within ecclesiastical structures</w:t>
      </w:r>
      <w:commentRangeEnd w:id="48"/>
      <w:r w:rsidRPr="009A06DD">
        <w:rPr>
          <w:rStyle w:val="CommentReference"/>
          <w:sz w:val="22"/>
          <w:szCs w:val="22"/>
        </w:rPr>
        <w:commentReference w:id="48"/>
      </w:r>
      <w:r w:rsidRPr="009A06DD">
        <w:rPr>
          <w:sz w:val="22"/>
          <w:szCs w:val="22"/>
        </w:rPr>
        <w:t>.</w:t>
      </w:r>
      <w:r w:rsidR="009A06DD" w:rsidRPr="009A06DD">
        <w:rPr>
          <w:rStyle w:val="FootnoteReference"/>
          <w:sz w:val="22"/>
          <w:szCs w:val="22"/>
        </w:rPr>
        <w:footnoteReference w:id="34"/>
      </w:r>
      <w:r w:rsidRPr="00224D10">
        <w:rPr>
          <w:sz w:val="22"/>
          <w:szCs w:val="22"/>
        </w:rPr>
        <w:t xml:space="preserve"> </w:t>
      </w:r>
      <w:commentRangeStart w:id="49"/>
      <w:r w:rsidRPr="00224D10">
        <w:rPr>
          <w:sz w:val="22"/>
          <w:szCs w:val="22"/>
          <w:highlight w:val="cyan"/>
        </w:rPr>
        <w:t xml:space="preserve">This dynamic is most clearly illustrated under Offa of Mercia, whose </w:t>
      </w:r>
      <w:r w:rsidRPr="00224D10">
        <w:rPr>
          <w:sz w:val="22"/>
          <w:szCs w:val="22"/>
          <w:highlight w:val="cyan"/>
        </w:rPr>
        <w:lastRenderedPageBreak/>
        <w:t>establishment of the archbishopric of Lichfield represents a significant intervention in ecclesiastical organisation</w:t>
      </w:r>
      <w:r w:rsidRPr="009A06DD">
        <w:rPr>
          <w:sz w:val="22"/>
          <w:szCs w:val="22"/>
        </w:rPr>
        <w:t>.</w:t>
      </w:r>
      <w:r w:rsidR="009A06DD" w:rsidRPr="009A06DD">
        <w:rPr>
          <w:rStyle w:val="FootnoteReference"/>
          <w:sz w:val="22"/>
          <w:szCs w:val="22"/>
        </w:rPr>
        <w:footnoteReference w:id="35"/>
      </w:r>
      <w:r w:rsidRPr="009A06DD">
        <w:rPr>
          <w:sz w:val="22"/>
          <w:szCs w:val="22"/>
        </w:rPr>
        <w:t xml:space="preserve"> </w:t>
      </w:r>
      <w:commentRangeEnd w:id="49"/>
      <w:r w:rsidR="00FF78EC" w:rsidRPr="009A06DD">
        <w:rPr>
          <w:rStyle w:val="CommentReference"/>
          <w:sz w:val="22"/>
          <w:szCs w:val="22"/>
        </w:rPr>
        <w:commentReference w:id="49"/>
      </w:r>
      <w:commentRangeStart w:id="50"/>
      <w:r w:rsidRPr="009A06DD">
        <w:rPr>
          <w:sz w:val="22"/>
          <w:szCs w:val="22"/>
        </w:rPr>
        <w:t>While its precise motivations remain debated, it is widely understood as an effort to secure greater independence for Mercian ecclesiastical structures and to reduce reliance on Canterbury, thereby strengthening the ideological foundations of royal authority.</w:t>
      </w:r>
      <w:commentRangeEnd w:id="50"/>
      <w:r w:rsidR="00FF78EC">
        <w:rPr>
          <w:rStyle w:val="CommentReference"/>
          <w:sz w:val="22"/>
          <w:szCs w:val="22"/>
        </w:rPr>
        <w:commentReference w:id="50"/>
      </w:r>
    </w:p>
    <w:p w14:paraId="13970522" w14:textId="7C2C43C5" w:rsidR="00030800" w:rsidRPr="00412674" w:rsidRDefault="00030800" w:rsidP="00412674">
      <w:pPr>
        <w:rPr>
          <w:sz w:val="22"/>
          <w:szCs w:val="22"/>
        </w:rPr>
      </w:pPr>
      <w:r w:rsidRPr="00030800">
        <w:rPr>
          <w:sz w:val="22"/>
          <w:szCs w:val="22"/>
        </w:rPr>
        <w:t xml:space="preserve">Ecclesiastical networks also extended the communicative reach of royal authority. Bishops, monasteries, and synods provided channels through which royal decisions, moral expectations, and political claims could circulate beyond the immediate royal court. This made the Church valuable </w:t>
      </w:r>
      <w:r w:rsidR="005A5913" w:rsidRPr="005A5913">
        <w:rPr>
          <w:sz w:val="22"/>
          <w:szCs w:val="22"/>
        </w:rPr>
        <w:t>as a source of spiritual legitimacy and as part of</w:t>
      </w:r>
      <w:r w:rsidRPr="00030800">
        <w:rPr>
          <w:sz w:val="22"/>
          <w:szCs w:val="22"/>
        </w:rPr>
        <w:t xml:space="preserve"> the practical infrastructure through which Mercian kingship was expressed and maintained.</w:t>
      </w:r>
    </w:p>
    <w:p w14:paraId="4259C17F" w14:textId="399821CA" w:rsidR="00412674" w:rsidRPr="00412674" w:rsidRDefault="00412674" w:rsidP="00412674">
      <w:pPr>
        <w:rPr>
          <w:sz w:val="22"/>
          <w:szCs w:val="22"/>
        </w:rPr>
      </w:pPr>
      <w:r w:rsidRPr="00412674">
        <w:rPr>
          <w:sz w:val="22"/>
          <w:szCs w:val="22"/>
        </w:rPr>
        <w:t xml:space="preserve">At the same time, ecclesiastical figures retained independent authority and could challenge royal behaviour, highlighting the limits of royal control. </w:t>
      </w:r>
      <w:commentRangeStart w:id="51"/>
      <w:commentRangeStart w:id="52"/>
      <w:r w:rsidRPr="00412674">
        <w:rPr>
          <w:sz w:val="22"/>
          <w:szCs w:val="22"/>
        </w:rPr>
        <w:t xml:space="preserve">As Patrick Wormald has emphasised, early medieval kingship operated within a moral and ideological </w:t>
      </w:r>
      <w:r w:rsidR="00636C5E">
        <w:rPr>
          <w:sz w:val="22"/>
          <w:szCs w:val="22"/>
        </w:rPr>
        <w:t>structure</w:t>
      </w:r>
      <w:r w:rsidRPr="00412674">
        <w:rPr>
          <w:sz w:val="22"/>
          <w:szCs w:val="22"/>
        </w:rPr>
        <w:t xml:space="preserve"> that constrained and legitimised power.</w:t>
      </w:r>
      <w:commentRangeEnd w:id="51"/>
      <w:r w:rsidR="005F4807">
        <w:rPr>
          <w:rStyle w:val="CommentReference"/>
          <w:sz w:val="22"/>
          <w:szCs w:val="22"/>
          <w:vertAlign w:val="superscript"/>
        </w:rPr>
        <w:commentReference w:id="51"/>
      </w:r>
      <w:commentRangeEnd w:id="52"/>
      <w:r w:rsidR="00636C5E">
        <w:rPr>
          <w:rStyle w:val="CommentReference"/>
          <w:sz w:val="22"/>
          <w:szCs w:val="22"/>
          <w:vertAlign w:val="superscript"/>
        </w:rPr>
        <w:commentReference w:id="52"/>
      </w:r>
      <w:r w:rsidR="009A06DD">
        <w:rPr>
          <w:rStyle w:val="FootnoteReference"/>
          <w:sz w:val="22"/>
          <w:szCs w:val="22"/>
        </w:rPr>
        <w:footnoteReference w:id="36"/>
      </w:r>
      <w:r w:rsidRPr="00412674">
        <w:rPr>
          <w:sz w:val="22"/>
          <w:szCs w:val="22"/>
        </w:rPr>
        <w:t xml:space="preserve"> The Church therefore functioned as a central tool of kingship, providing both legitimacy and practical mechanisms of governance, while its institutional autonomy exposed the dependence of Mercian authority on cooperation rather than control.</w:t>
      </w:r>
    </w:p>
    <w:p w14:paraId="5636A907" w14:textId="77777777" w:rsidR="00952EC1" w:rsidRPr="00E6350D" w:rsidRDefault="00952EC1" w:rsidP="00952EC1">
      <w:pPr>
        <w:rPr>
          <w:b/>
          <w:bCs/>
          <w:sz w:val="22"/>
          <w:szCs w:val="22"/>
        </w:rPr>
      </w:pPr>
      <w:r w:rsidRPr="00E6350D">
        <w:rPr>
          <w:b/>
          <w:bCs/>
          <w:sz w:val="22"/>
          <w:szCs w:val="22"/>
        </w:rPr>
        <w:t>Administrative, Economic &amp; Ideological</w:t>
      </w:r>
    </w:p>
    <w:p w14:paraId="1C05CD41" w14:textId="77777777" w:rsidR="00412674" w:rsidRPr="00412674" w:rsidRDefault="00412674" w:rsidP="00412674">
      <w:pPr>
        <w:rPr>
          <w:sz w:val="22"/>
          <w:szCs w:val="22"/>
        </w:rPr>
      </w:pPr>
      <w:r w:rsidRPr="00412674">
        <w:rPr>
          <w:sz w:val="22"/>
          <w:szCs w:val="22"/>
        </w:rPr>
        <w:t>The maintenance of Mercian supremacy in the eighth century depended increasingly on administrative, economic, and ideological processes, which allowed kings to extend authority beyond personal relationships into more structured forms. Kingship was thus articulated through institutions, material culture, and symbolic representation.</w:t>
      </w:r>
    </w:p>
    <w:p w14:paraId="25A005D0" w14:textId="49CC1288" w:rsidR="00412674" w:rsidRDefault="00412674" w:rsidP="00412674">
      <w:pPr>
        <w:rPr>
          <w:sz w:val="22"/>
          <w:szCs w:val="22"/>
        </w:rPr>
      </w:pPr>
      <w:commentRangeStart w:id="53"/>
      <w:commentRangeStart w:id="54"/>
      <w:r w:rsidRPr="00412674">
        <w:rPr>
          <w:sz w:val="22"/>
          <w:szCs w:val="22"/>
        </w:rPr>
        <w:t xml:space="preserve">Central to this development was the use of charters as instruments of governance. These documents formalised land grants and relationships with secular and ecclesiastical elites, functioning </w:t>
      </w:r>
      <w:r w:rsidR="005A5913" w:rsidRPr="005A5913">
        <w:rPr>
          <w:sz w:val="22"/>
          <w:szCs w:val="22"/>
        </w:rPr>
        <w:t>as administrative records and carefully constructed statements</w:t>
      </w:r>
      <w:r w:rsidRPr="00412674">
        <w:rPr>
          <w:sz w:val="22"/>
          <w:szCs w:val="22"/>
        </w:rPr>
        <w:t xml:space="preserve"> of royal authority.</w:t>
      </w:r>
      <w:commentRangeEnd w:id="53"/>
      <w:r w:rsidR="005F4807">
        <w:rPr>
          <w:rStyle w:val="CommentReference"/>
          <w:sz w:val="22"/>
          <w:szCs w:val="22"/>
          <w:vertAlign w:val="superscript"/>
        </w:rPr>
        <w:commentReference w:id="53"/>
      </w:r>
      <w:commentRangeEnd w:id="54"/>
      <w:r w:rsidR="00611C84">
        <w:rPr>
          <w:rStyle w:val="CommentReference"/>
          <w:sz w:val="22"/>
          <w:szCs w:val="22"/>
          <w:vertAlign w:val="superscript"/>
        </w:rPr>
        <w:commentReference w:id="54"/>
      </w:r>
      <w:r w:rsidR="00C96845">
        <w:rPr>
          <w:rStyle w:val="FootnoteReference"/>
          <w:sz w:val="22"/>
          <w:szCs w:val="22"/>
        </w:rPr>
        <w:footnoteReference w:id="37"/>
      </w:r>
      <w:r w:rsidRPr="00412674">
        <w:rPr>
          <w:sz w:val="22"/>
          <w:szCs w:val="22"/>
        </w:rPr>
        <w:t xml:space="preserve"> Through charter production, Mercian kings extended their influence into local contexts, binding elites through systems of patronage and obligation. </w:t>
      </w:r>
      <w:commentRangeStart w:id="55"/>
      <w:commentRangeStart w:id="56"/>
      <w:r w:rsidRPr="00412674">
        <w:rPr>
          <w:sz w:val="22"/>
          <w:szCs w:val="22"/>
        </w:rPr>
        <w:t>Although no complete Mercian law code from Offa’s reign survives, references to legal activity suggest an emerging conception of kingship grounded in the ordering of society through recognised legal principles</w:t>
      </w:r>
      <w:commentRangeEnd w:id="55"/>
      <w:r w:rsidR="005F4807" w:rsidRPr="00412674">
        <w:rPr>
          <w:rStyle w:val="CommentReference"/>
          <w:sz w:val="22"/>
          <w:szCs w:val="22"/>
        </w:rPr>
        <w:commentReference w:id="55"/>
      </w:r>
      <w:commentRangeEnd w:id="56"/>
      <w:r w:rsidR="003503F3" w:rsidRPr="00412674">
        <w:rPr>
          <w:rStyle w:val="CommentReference"/>
          <w:sz w:val="22"/>
          <w:szCs w:val="22"/>
        </w:rPr>
        <w:commentReference w:id="56"/>
      </w:r>
      <w:r w:rsidRPr="00412674">
        <w:rPr>
          <w:sz w:val="22"/>
          <w:szCs w:val="22"/>
        </w:rPr>
        <w:t>.</w:t>
      </w:r>
      <w:r w:rsidR="00C96845">
        <w:rPr>
          <w:rStyle w:val="FootnoteReference"/>
          <w:sz w:val="22"/>
          <w:szCs w:val="22"/>
        </w:rPr>
        <w:footnoteReference w:id="38"/>
      </w:r>
    </w:p>
    <w:p w14:paraId="6AF981A5" w14:textId="4FFD3B65" w:rsidR="00030800" w:rsidRPr="00412674" w:rsidRDefault="00030800" w:rsidP="00412674">
      <w:pPr>
        <w:rPr>
          <w:sz w:val="22"/>
          <w:szCs w:val="22"/>
        </w:rPr>
      </w:pPr>
      <w:commentRangeStart w:id="57"/>
      <w:commentRangeStart w:id="58"/>
      <w:r w:rsidRPr="00030800">
        <w:rPr>
          <w:sz w:val="22"/>
          <w:szCs w:val="22"/>
        </w:rPr>
        <w:t xml:space="preserve">Charters also point to the role of kingship in dispute settlement and the regulation of elite relationships. </w:t>
      </w:r>
      <w:r w:rsidR="005A5913" w:rsidRPr="005A5913">
        <w:rPr>
          <w:sz w:val="22"/>
          <w:szCs w:val="22"/>
        </w:rPr>
        <w:t>By granting land, confirming privileges, and defining obligations, Mercian kings presented themselves as military leaders and arbiters of order.</w:t>
      </w:r>
      <w:r w:rsidR="00C96845">
        <w:rPr>
          <w:rStyle w:val="FootnoteReference"/>
          <w:sz w:val="22"/>
          <w:szCs w:val="22"/>
        </w:rPr>
        <w:footnoteReference w:id="39"/>
      </w:r>
      <w:r w:rsidRPr="00030800">
        <w:rPr>
          <w:sz w:val="22"/>
          <w:szCs w:val="22"/>
        </w:rPr>
        <w:t xml:space="preserve"> </w:t>
      </w:r>
      <w:commentRangeEnd w:id="57"/>
      <w:r w:rsidR="005F4807" w:rsidRPr="00030800">
        <w:rPr>
          <w:rStyle w:val="CommentReference"/>
          <w:sz w:val="22"/>
          <w:szCs w:val="22"/>
        </w:rPr>
        <w:commentReference w:id="57"/>
      </w:r>
      <w:commentRangeEnd w:id="58"/>
      <w:r w:rsidR="003503F3" w:rsidRPr="00030800">
        <w:rPr>
          <w:rStyle w:val="CommentReference"/>
          <w:sz w:val="22"/>
          <w:szCs w:val="22"/>
        </w:rPr>
        <w:commentReference w:id="58"/>
      </w:r>
      <w:r w:rsidRPr="00030800">
        <w:rPr>
          <w:sz w:val="22"/>
          <w:szCs w:val="22"/>
        </w:rPr>
        <w:t>This helped to frame royal authority as something embedded in legal and administrative practice, even if it remained dependent on personal recognition and elite consent.</w:t>
      </w:r>
    </w:p>
    <w:p w14:paraId="070BD62E" w14:textId="1B73436F" w:rsidR="00412674" w:rsidRPr="00412674" w:rsidRDefault="00412674" w:rsidP="00412674">
      <w:pPr>
        <w:rPr>
          <w:sz w:val="22"/>
          <w:szCs w:val="22"/>
        </w:rPr>
      </w:pPr>
      <w:commentRangeStart w:id="59"/>
      <w:r w:rsidRPr="00412674">
        <w:rPr>
          <w:sz w:val="22"/>
          <w:szCs w:val="22"/>
        </w:rPr>
        <w:lastRenderedPageBreak/>
        <w:t>Economic control formed another dimension of this authority, most clearly demonstrated in Offa’s coinage. The introduction of high-quality silver pennies bearing the king’s name and image served both practical and symbolic functions, embedding royal authority within everyday economic activity.</w:t>
      </w:r>
      <w:commentRangeEnd w:id="59"/>
      <w:r w:rsidR="005F4807" w:rsidRPr="00412674">
        <w:rPr>
          <w:rStyle w:val="CommentReference"/>
          <w:sz w:val="22"/>
          <w:szCs w:val="22"/>
        </w:rPr>
        <w:commentReference w:id="59"/>
      </w:r>
      <w:r w:rsidRPr="00412674">
        <w:rPr>
          <w:sz w:val="22"/>
          <w:szCs w:val="22"/>
        </w:rPr>
        <w:t xml:space="preserve"> </w:t>
      </w:r>
      <w:commentRangeStart w:id="60"/>
      <w:r w:rsidRPr="00412674">
        <w:rPr>
          <w:sz w:val="22"/>
          <w:szCs w:val="22"/>
        </w:rPr>
        <w:t>Particularly notable is the inclusion of Cynethryth on coinage, a unique development in Anglo-Saxon England, which suggests an expansion of the visual language of kingship and possible influence from continental models of rulership.</w:t>
      </w:r>
      <w:commentRangeEnd w:id="60"/>
      <w:r w:rsidR="005F4807">
        <w:rPr>
          <w:rStyle w:val="CommentReference"/>
          <w:sz w:val="22"/>
          <w:szCs w:val="22"/>
          <w:vertAlign w:val="superscript"/>
        </w:rPr>
        <w:commentReference w:id="60"/>
      </w:r>
      <w:r w:rsidR="00C96845">
        <w:rPr>
          <w:rStyle w:val="FootnoteReference"/>
          <w:sz w:val="22"/>
          <w:szCs w:val="22"/>
        </w:rPr>
        <w:footnoteReference w:id="40"/>
      </w:r>
    </w:p>
    <w:p w14:paraId="6C245F7A" w14:textId="63892400" w:rsidR="00412674" w:rsidRPr="00412674" w:rsidRDefault="00412674" w:rsidP="00412674">
      <w:pPr>
        <w:rPr>
          <w:sz w:val="22"/>
          <w:szCs w:val="22"/>
        </w:rPr>
      </w:pPr>
      <w:commentRangeStart w:id="61"/>
      <w:r w:rsidRPr="00412674">
        <w:rPr>
          <w:sz w:val="22"/>
          <w:szCs w:val="22"/>
        </w:rPr>
        <w:t xml:space="preserve">The ideological </w:t>
      </w:r>
      <w:r w:rsidR="00636C5E">
        <w:rPr>
          <w:sz w:val="22"/>
          <w:szCs w:val="22"/>
        </w:rPr>
        <w:t>element</w:t>
      </w:r>
      <w:r w:rsidRPr="00412674">
        <w:rPr>
          <w:sz w:val="22"/>
          <w:szCs w:val="22"/>
        </w:rPr>
        <w:t xml:space="preserve"> of Mercian kingship is further reflected in the use of royal titles and symbolic language. Titles such as </w:t>
      </w:r>
      <w:r w:rsidRPr="00412674">
        <w:rPr>
          <w:i/>
          <w:iCs/>
          <w:sz w:val="22"/>
          <w:szCs w:val="22"/>
        </w:rPr>
        <w:t>rex Anglorum</w:t>
      </w:r>
      <w:r w:rsidRPr="00412674">
        <w:rPr>
          <w:sz w:val="22"/>
          <w:szCs w:val="22"/>
        </w:rPr>
        <w:t xml:space="preserve"> projected claims to authority beyond immediate territorial control, forming part of a broader effort to define and communicate kingship in increasingly ambitious terms. These expressions of power complemented administrative and economic practices, reinforcing the perception of kingship as both a political and ideological institution.</w:t>
      </w:r>
      <w:commentRangeEnd w:id="61"/>
      <w:r w:rsidR="005F4807">
        <w:rPr>
          <w:rStyle w:val="CommentReference"/>
          <w:sz w:val="22"/>
          <w:szCs w:val="22"/>
          <w:vertAlign w:val="superscript"/>
        </w:rPr>
        <w:commentReference w:id="61"/>
      </w:r>
      <w:r w:rsidR="00C96845">
        <w:rPr>
          <w:rStyle w:val="FootnoteReference"/>
          <w:sz w:val="22"/>
          <w:szCs w:val="22"/>
        </w:rPr>
        <w:footnoteReference w:id="41"/>
      </w:r>
    </w:p>
    <w:p w14:paraId="4A6FB113" w14:textId="7BD086C2" w:rsidR="00412674" w:rsidRPr="00412674" w:rsidRDefault="00412674" w:rsidP="00412674">
      <w:pPr>
        <w:rPr>
          <w:sz w:val="22"/>
          <w:szCs w:val="22"/>
        </w:rPr>
      </w:pPr>
      <w:commentRangeStart w:id="62"/>
      <w:r w:rsidRPr="00412674">
        <w:rPr>
          <w:sz w:val="22"/>
          <w:szCs w:val="22"/>
        </w:rPr>
        <w:t>Large-scale projects such as Offa’s Dyke further illustrate the material expression of Mercian authority. Whether defensive or symbolic, its scale represents a significant assertion of territorial control and royal power, reinforcing the king’s presence within the landscape itself.</w:t>
      </w:r>
      <w:commentRangeEnd w:id="62"/>
      <w:r w:rsidR="005F4807">
        <w:rPr>
          <w:rStyle w:val="CommentReference"/>
          <w:sz w:val="22"/>
          <w:szCs w:val="22"/>
          <w:vertAlign w:val="superscript"/>
        </w:rPr>
        <w:commentReference w:id="62"/>
      </w:r>
      <w:r w:rsidR="00DA0FFD">
        <w:rPr>
          <w:rStyle w:val="FootnoteReference"/>
          <w:sz w:val="22"/>
          <w:szCs w:val="22"/>
        </w:rPr>
        <w:footnoteReference w:id="42"/>
      </w:r>
    </w:p>
    <w:p w14:paraId="39E8F327" w14:textId="26A697DA" w:rsidR="00412674" w:rsidRPr="00412674" w:rsidRDefault="00412674" w:rsidP="00412674">
      <w:pPr>
        <w:rPr>
          <w:sz w:val="22"/>
          <w:szCs w:val="22"/>
        </w:rPr>
      </w:pPr>
      <w:r w:rsidRPr="00412674">
        <w:rPr>
          <w:sz w:val="22"/>
          <w:szCs w:val="22"/>
        </w:rPr>
        <w:t xml:space="preserve">Taken together, these developments show how administrative practice, economic control, and ideological representation enabled Mercian rulers to translate personal authority into more durable forms of rule. However, their effectiveness remained dependent upon continued royal </w:t>
      </w:r>
      <w:r w:rsidR="005F4807" w:rsidRPr="00412674">
        <w:rPr>
          <w:sz w:val="22"/>
          <w:szCs w:val="22"/>
        </w:rPr>
        <w:t>organisation</w:t>
      </w:r>
      <w:r w:rsidRPr="00412674">
        <w:rPr>
          <w:sz w:val="22"/>
          <w:szCs w:val="22"/>
        </w:rPr>
        <w:t xml:space="preserve"> and recognition by elites. Despite their sophistication, these tools did not eliminate the underlying fragility of a system still rooted in personal authority and political negotiation.</w:t>
      </w:r>
    </w:p>
    <w:p w14:paraId="4D833F60" w14:textId="77777777" w:rsidR="00952EC1" w:rsidRPr="00E6350D" w:rsidRDefault="00952EC1" w:rsidP="00952EC1">
      <w:pPr>
        <w:rPr>
          <w:b/>
          <w:bCs/>
          <w:sz w:val="22"/>
          <w:szCs w:val="22"/>
        </w:rPr>
      </w:pPr>
      <w:r w:rsidRPr="00E6350D">
        <w:rPr>
          <w:b/>
          <w:bCs/>
          <w:sz w:val="22"/>
          <w:szCs w:val="22"/>
        </w:rPr>
        <w:t>Strengths and limitations</w:t>
      </w:r>
    </w:p>
    <w:p w14:paraId="6FB3E1CF" w14:textId="5F3BE2FE" w:rsidR="00E6350D" w:rsidRDefault="00E6350D" w:rsidP="00E6350D">
      <w:pPr>
        <w:rPr>
          <w:sz w:val="22"/>
          <w:szCs w:val="22"/>
        </w:rPr>
      </w:pPr>
      <w:r w:rsidRPr="00E6350D">
        <w:rPr>
          <w:sz w:val="22"/>
          <w:szCs w:val="22"/>
        </w:rPr>
        <w:t xml:space="preserve">The preceding analysis demonstrates that Mercian supremacy </w:t>
      </w:r>
      <w:r w:rsidR="005A5913" w:rsidRPr="00E6350D">
        <w:rPr>
          <w:sz w:val="22"/>
          <w:szCs w:val="22"/>
        </w:rPr>
        <w:t>emerged</w:t>
      </w:r>
      <w:r w:rsidR="005A5913" w:rsidRPr="005A5913">
        <w:rPr>
          <w:sz w:val="22"/>
          <w:szCs w:val="22"/>
        </w:rPr>
        <w:t xml:space="preserve"> from the interaction between military, political, ecclesiastical, and ideological strategies.</w:t>
      </w:r>
      <w:r w:rsidR="005A5913">
        <w:rPr>
          <w:sz w:val="22"/>
          <w:szCs w:val="22"/>
        </w:rPr>
        <w:t xml:space="preserve"> </w:t>
      </w:r>
      <w:r w:rsidRPr="00E6350D">
        <w:rPr>
          <w:sz w:val="22"/>
          <w:szCs w:val="22"/>
        </w:rPr>
        <w:t xml:space="preserve">Its effectiveness lay in its flexibility: by combining these approaches, Mercian rulers constructed a form of authority capable of adapting to a fragmented and competitive political landscape. </w:t>
      </w:r>
      <w:r w:rsidR="00030800" w:rsidRPr="00030800">
        <w:rPr>
          <w:sz w:val="22"/>
          <w:szCs w:val="22"/>
        </w:rPr>
        <w:t>Power was exercised through a layered network of relationships and representations</w:t>
      </w:r>
      <w:r w:rsidRPr="00E6350D">
        <w:rPr>
          <w:sz w:val="22"/>
          <w:szCs w:val="22"/>
        </w:rPr>
        <w:t>, enabling influence to extend across multiple kingdoms without the need for direct territorial control.</w:t>
      </w:r>
    </w:p>
    <w:p w14:paraId="1E752005" w14:textId="12B5648E" w:rsidR="007C395D" w:rsidRDefault="007C395D" w:rsidP="00E6350D">
      <w:pPr>
        <w:rPr>
          <w:sz w:val="22"/>
          <w:szCs w:val="22"/>
        </w:rPr>
      </w:pPr>
      <w:commentRangeStart w:id="63"/>
      <w:r w:rsidRPr="007C395D">
        <w:rPr>
          <w:sz w:val="22"/>
          <w:szCs w:val="22"/>
        </w:rPr>
        <w:t xml:space="preserve">The structural limitations of Mercian supremacy were further reinforced by the elective dimension of early medieval kingship. Although royal succession often occurred within established dynasties, it was not strictly hereditary, but depended upon the recognition of leading elites, frequently </w:t>
      </w:r>
      <w:r w:rsidRPr="006B66C4">
        <w:rPr>
          <w:sz w:val="22"/>
          <w:szCs w:val="22"/>
          <w:highlight w:val="red"/>
        </w:rPr>
        <w:t>articulated through assemblies such as the witan</w:t>
      </w:r>
      <w:r w:rsidRPr="007C395D">
        <w:rPr>
          <w:sz w:val="22"/>
          <w:szCs w:val="22"/>
        </w:rPr>
        <w:t>.</w:t>
      </w:r>
      <w:r w:rsidR="00DA0FFD">
        <w:rPr>
          <w:rStyle w:val="FootnoteReference"/>
          <w:sz w:val="22"/>
          <w:szCs w:val="22"/>
        </w:rPr>
        <w:footnoteReference w:id="43"/>
      </w:r>
      <w:r w:rsidRPr="007C395D">
        <w:rPr>
          <w:sz w:val="22"/>
          <w:szCs w:val="22"/>
        </w:rPr>
        <w:t xml:space="preserve"> </w:t>
      </w:r>
      <w:commentRangeEnd w:id="63"/>
      <w:r w:rsidR="006B66C4" w:rsidRPr="007C395D">
        <w:rPr>
          <w:rStyle w:val="CommentReference"/>
          <w:sz w:val="22"/>
          <w:szCs w:val="22"/>
        </w:rPr>
        <w:commentReference w:id="63"/>
      </w:r>
      <w:r w:rsidRPr="007C395D">
        <w:rPr>
          <w:sz w:val="22"/>
          <w:szCs w:val="22"/>
        </w:rPr>
        <w:t xml:space="preserve">This meant that multiple members of royal lineages could present viable claims to kingship, creating an inherently competitive political environment. As a result, authority was never fully secure, but remained contingent upon elite support and the continued ability of individual rulers to command recognition. Such conditions limited the long-term stability of Mercian dominance, making it particularly vulnerable to internal rivalry and fragmentation during periods of dynastic </w:t>
      </w:r>
      <w:r w:rsidRPr="007C395D">
        <w:rPr>
          <w:sz w:val="22"/>
          <w:szCs w:val="22"/>
        </w:rPr>
        <w:lastRenderedPageBreak/>
        <w:t xml:space="preserve">transition or weak leadership. </w:t>
      </w:r>
      <w:commentRangeStart w:id="64"/>
      <w:r w:rsidRPr="007C395D">
        <w:rPr>
          <w:sz w:val="22"/>
          <w:szCs w:val="22"/>
        </w:rPr>
        <w:t>This is illustrated by the assassination of Æthelbald in 757, likely at the hands of discontented nobles, and by the instability following Offa’s death in 796, when the brief reign of Ecgfrith was followed by the accession of Coenwulf from a different branch of the royal house.</w:t>
      </w:r>
      <w:commentRangeEnd w:id="64"/>
      <w:r w:rsidR="00216371">
        <w:rPr>
          <w:rStyle w:val="CommentReference"/>
          <w:sz w:val="22"/>
          <w:szCs w:val="22"/>
          <w:vertAlign w:val="superscript"/>
        </w:rPr>
        <w:commentReference w:id="64"/>
      </w:r>
      <w:r w:rsidR="00DA0FFD">
        <w:rPr>
          <w:rStyle w:val="FootnoteReference"/>
          <w:sz w:val="22"/>
          <w:szCs w:val="22"/>
        </w:rPr>
        <w:footnoteReference w:id="44"/>
      </w:r>
      <w:r w:rsidRPr="007C395D">
        <w:rPr>
          <w:sz w:val="22"/>
          <w:szCs w:val="22"/>
        </w:rPr>
        <w:t xml:space="preserve"> These episodes highlight the absence of secure dynastic continuity and reinforce the fundamentally negotiated nature of Mercian kingship.</w:t>
      </w:r>
    </w:p>
    <w:p w14:paraId="2C263C72" w14:textId="25252E7C" w:rsidR="00C851D0" w:rsidRPr="00E6350D" w:rsidRDefault="00C851D0" w:rsidP="00E6350D">
      <w:pPr>
        <w:rPr>
          <w:sz w:val="22"/>
          <w:szCs w:val="22"/>
        </w:rPr>
      </w:pPr>
      <w:r w:rsidRPr="00C851D0">
        <w:rPr>
          <w:sz w:val="22"/>
          <w:szCs w:val="22"/>
        </w:rPr>
        <w:t>This flexibility also reflects the fundamentally hybrid nature of early medieval kingship, which operated simultaneously across military, political, and ideological spheres. Mercian rulers did not replace existing structures of power but instead worked through them, adapting their strategies to local contexts and shifting political conditions. This capacity for adaptation was a significant strength, allowing Mercia to maintain influence across a geographically and politically diverse landscape. At the same time, however, this reliance on negotiated authority limited the development of more formalised structures of governance, reinforcing the dependence of royal power on personal relationships and continued elite cooperation.</w:t>
      </w:r>
    </w:p>
    <w:p w14:paraId="5D1C0878" w14:textId="37A378B9" w:rsidR="008D56C8" w:rsidRDefault="00E6350D" w:rsidP="00E6350D">
      <w:pPr>
        <w:rPr>
          <w:sz w:val="22"/>
          <w:szCs w:val="22"/>
        </w:rPr>
      </w:pPr>
      <w:r w:rsidRPr="00E6350D">
        <w:rPr>
          <w:sz w:val="22"/>
          <w:szCs w:val="22"/>
        </w:rPr>
        <w:t xml:space="preserve">Military success provided the foundation for this system, but its durability depended on complementary tools. Overlordship extended influence beyond Mercia’s core; diplomacy and dynastic alliances stabilised relationships; the Church provided legitimacy and administrative reach; and developments in charters, coinage, and material display allowed authority to be structured and communicated. </w:t>
      </w:r>
      <w:r w:rsidR="00F752FE" w:rsidRPr="00F752FE">
        <w:rPr>
          <w:sz w:val="22"/>
          <w:szCs w:val="22"/>
        </w:rPr>
        <w:t xml:space="preserve">These tools gave Mercian kings an effective </w:t>
      </w:r>
      <w:r w:rsidR="005F4807" w:rsidRPr="00F752FE">
        <w:rPr>
          <w:sz w:val="22"/>
          <w:szCs w:val="22"/>
        </w:rPr>
        <w:t>structure</w:t>
      </w:r>
      <w:r w:rsidR="00F752FE" w:rsidRPr="00F752FE">
        <w:rPr>
          <w:sz w:val="22"/>
          <w:szCs w:val="22"/>
        </w:rPr>
        <w:t xml:space="preserve"> for dominance, though one that remained dependent on recognition, negotiation, and continued royal authority.</w:t>
      </w:r>
    </w:p>
    <w:p w14:paraId="5FDB01A6" w14:textId="065A9BEA" w:rsidR="00E6350D" w:rsidRPr="00E6350D" w:rsidRDefault="00E6350D" w:rsidP="00E6350D">
      <w:pPr>
        <w:rPr>
          <w:sz w:val="22"/>
          <w:szCs w:val="22"/>
        </w:rPr>
      </w:pPr>
      <w:r w:rsidRPr="00E6350D">
        <w:rPr>
          <w:sz w:val="22"/>
          <w:szCs w:val="22"/>
        </w:rPr>
        <w:t xml:space="preserve">Yet this same system revealed its limitations. </w:t>
      </w:r>
      <w:r w:rsidR="00C851D0" w:rsidRPr="00C851D0">
        <w:rPr>
          <w:sz w:val="22"/>
          <w:szCs w:val="22"/>
        </w:rPr>
        <w:t>Mercian power remained tied to the authority and effectiveness of individual rulers</w:t>
      </w:r>
      <w:r w:rsidRPr="00E6350D">
        <w:rPr>
          <w:sz w:val="22"/>
          <w:szCs w:val="22"/>
        </w:rPr>
        <w:t xml:space="preserve">, requiring continual maintenance of alliances, elite support, ecclesiastical relations, and military credibility. </w:t>
      </w:r>
      <w:commentRangeStart w:id="65"/>
      <w:r w:rsidRPr="00E6350D">
        <w:rPr>
          <w:sz w:val="22"/>
          <w:szCs w:val="22"/>
        </w:rPr>
        <w:t>Without durable institutional structures, it proved difficult to sustain beyond the reigns of particularly capable kings, as demonstrated by the weakening of Mercian authority after Offa’s death.</w:t>
      </w:r>
      <w:commentRangeEnd w:id="65"/>
      <w:r w:rsidR="00216371" w:rsidRPr="00E6350D">
        <w:rPr>
          <w:rStyle w:val="CommentReference"/>
          <w:sz w:val="22"/>
          <w:szCs w:val="22"/>
        </w:rPr>
        <w:commentReference w:id="65"/>
      </w:r>
    </w:p>
    <w:p w14:paraId="1491FCFA" w14:textId="7A1EF239" w:rsidR="00E5475C" w:rsidRDefault="00030800" w:rsidP="00E5475C">
      <w:pPr>
        <w:rPr>
          <w:sz w:val="22"/>
          <w:szCs w:val="22"/>
        </w:rPr>
      </w:pPr>
      <w:r w:rsidRPr="00030800">
        <w:rPr>
          <w:sz w:val="22"/>
          <w:szCs w:val="22"/>
        </w:rPr>
        <w:t xml:space="preserve">The decline of Mercian supremacy in the early ninth century </w:t>
      </w:r>
      <w:r w:rsidR="005A5913" w:rsidRPr="005A5913">
        <w:rPr>
          <w:sz w:val="22"/>
          <w:szCs w:val="22"/>
        </w:rPr>
        <w:t>resulted from converging internal and external pressures rather than a single event.</w:t>
      </w:r>
      <w:r w:rsidRPr="00030800">
        <w:rPr>
          <w:sz w:val="22"/>
          <w:szCs w:val="22"/>
        </w:rPr>
        <w:t xml:space="preserve"> The disruption of dynastic continuity following Offa’s death weakened central authority, while reliance on personal relationships made it difficult to sustain control in the absence of strong leadership. </w:t>
      </w:r>
      <w:commentRangeStart w:id="66"/>
      <w:r w:rsidRPr="00030800">
        <w:rPr>
          <w:sz w:val="22"/>
          <w:szCs w:val="22"/>
        </w:rPr>
        <w:t>At the same time</w:t>
      </w:r>
      <w:r w:rsidR="00E5475C">
        <w:rPr>
          <w:sz w:val="22"/>
          <w:szCs w:val="22"/>
        </w:rPr>
        <w:t>,</w:t>
      </w:r>
      <w:r w:rsidR="00E5475C" w:rsidRPr="00E5475C">
        <w:t xml:space="preserve"> </w:t>
      </w:r>
      <w:r w:rsidR="00E5475C" w:rsidRPr="00E5475C">
        <w:rPr>
          <w:sz w:val="22"/>
          <w:szCs w:val="22"/>
        </w:rPr>
        <w:t>the rise of Ecgberht of Wessex marked the emergence of a rival power capable of adopting and adapting the very strategies that had underpinned Mercian dominance</w:t>
      </w:r>
      <w:r w:rsidRPr="00030800">
        <w:rPr>
          <w:sz w:val="22"/>
          <w:szCs w:val="22"/>
        </w:rPr>
        <w:t>.</w:t>
      </w:r>
      <w:commentRangeEnd w:id="66"/>
      <w:r w:rsidR="00216371">
        <w:rPr>
          <w:rStyle w:val="CommentReference"/>
          <w:sz w:val="22"/>
          <w:szCs w:val="22"/>
          <w:vertAlign w:val="superscript"/>
        </w:rPr>
        <w:commentReference w:id="66"/>
      </w:r>
      <w:r w:rsidR="00DA0FFD">
        <w:rPr>
          <w:rStyle w:val="FootnoteReference"/>
          <w:sz w:val="22"/>
          <w:szCs w:val="22"/>
        </w:rPr>
        <w:footnoteReference w:id="45"/>
      </w:r>
      <w:r w:rsidRPr="00030800">
        <w:rPr>
          <w:sz w:val="22"/>
          <w:szCs w:val="22"/>
        </w:rPr>
        <w:t xml:space="preserve"> </w:t>
      </w:r>
      <w:commentRangeStart w:id="67"/>
      <w:r w:rsidR="00E5475C" w:rsidRPr="00E5475C">
        <w:rPr>
          <w:sz w:val="22"/>
          <w:szCs w:val="22"/>
        </w:rPr>
        <w:t>The defeat of Beornwulf at the Battle of Ellendun in 825 was a decisive moment in the reconfiguration of political authority in southern England. The rapid realignment of territories such as Kent, Sussex, and Essex into the orbit of Wessex demonstrates how far Mercian supremacy depended upon continued recognition rather than entrenched control. Authority shifted quickly because it had not been deeply embedded; once Mercian dominance was successfully challenged, the networks that sustained it fragmented with relative ease. Ellendun therefore reveals the structural limitations of Mercian overlordship, rather than acting as the sole cause of its collapse.</w:t>
      </w:r>
      <w:commentRangeEnd w:id="67"/>
      <w:r w:rsidR="00216371">
        <w:rPr>
          <w:rStyle w:val="CommentReference"/>
          <w:sz w:val="22"/>
          <w:szCs w:val="22"/>
          <w:vertAlign w:val="superscript"/>
        </w:rPr>
        <w:commentReference w:id="67"/>
      </w:r>
      <w:r w:rsidR="00DA0FFD">
        <w:rPr>
          <w:rStyle w:val="FootnoteReference"/>
          <w:sz w:val="22"/>
          <w:szCs w:val="22"/>
        </w:rPr>
        <w:footnoteReference w:id="46"/>
      </w:r>
    </w:p>
    <w:p w14:paraId="3917A088" w14:textId="2E81D1EC" w:rsidR="00E5475C" w:rsidRPr="00E5475C" w:rsidRDefault="00E5475C" w:rsidP="00E5475C">
      <w:pPr>
        <w:rPr>
          <w:sz w:val="22"/>
          <w:szCs w:val="22"/>
        </w:rPr>
      </w:pPr>
      <w:commentRangeStart w:id="68"/>
      <w:commentRangeStart w:id="69"/>
      <w:r w:rsidRPr="00E5475C">
        <w:rPr>
          <w:sz w:val="22"/>
          <w:szCs w:val="22"/>
        </w:rPr>
        <w:lastRenderedPageBreak/>
        <w:t>In addition, Viking activity from the late eighth century introduced further pressures that destabilised existing political structures. Early raids, such as the attack on Lindisfarne in 793, signalled the emergence of a new and unpredictable external threat.</w:t>
      </w:r>
      <w:r w:rsidR="00DA0FFD">
        <w:rPr>
          <w:rStyle w:val="FootnoteReference"/>
          <w:sz w:val="22"/>
          <w:szCs w:val="22"/>
        </w:rPr>
        <w:footnoteReference w:id="47"/>
      </w:r>
      <w:r w:rsidRPr="00E5475C">
        <w:rPr>
          <w:sz w:val="22"/>
          <w:szCs w:val="22"/>
        </w:rPr>
        <w:t xml:space="preserve"> </w:t>
      </w:r>
      <w:commentRangeEnd w:id="68"/>
      <w:r w:rsidR="00BC5BAA" w:rsidRPr="00E5475C">
        <w:rPr>
          <w:rStyle w:val="CommentReference"/>
          <w:sz w:val="22"/>
          <w:szCs w:val="22"/>
        </w:rPr>
        <w:commentReference w:id="68"/>
      </w:r>
      <w:commentRangeEnd w:id="69"/>
      <w:r w:rsidR="00BC5BAA" w:rsidRPr="00E5475C">
        <w:rPr>
          <w:rStyle w:val="CommentReference"/>
          <w:sz w:val="22"/>
          <w:szCs w:val="22"/>
        </w:rPr>
        <w:commentReference w:id="69"/>
      </w:r>
      <w:commentRangeStart w:id="70"/>
      <w:r w:rsidRPr="00E5475C">
        <w:rPr>
          <w:sz w:val="22"/>
          <w:szCs w:val="22"/>
        </w:rPr>
        <w:t>Although Mercia was not initially the primary target, Viking activity threatened the economic and ecclesiastical networks upon which royal authority depended. Monastic centres, which functioned as sites of wealth, communication, and ideological support, were particularly vulnerable, undermining both the material and symbolic foundations of kingship.</w:t>
      </w:r>
      <w:commentRangeEnd w:id="70"/>
      <w:r w:rsidR="00BC5BAA" w:rsidRPr="00E5475C">
        <w:rPr>
          <w:rStyle w:val="CommentReference"/>
          <w:sz w:val="22"/>
          <w:szCs w:val="22"/>
        </w:rPr>
        <w:commentReference w:id="70"/>
      </w:r>
    </w:p>
    <w:p w14:paraId="5A764FEE" w14:textId="4E7BBD0F" w:rsidR="00E5475C" w:rsidRPr="00E5475C" w:rsidRDefault="00E5475C" w:rsidP="00E5475C">
      <w:pPr>
        <w:rPr>
          <w:sz w:val="22"/>
          <w:szCs w:val="22"/>
        </w:rPr>
      </w:pPr>
      <w:r w:rsidRPr="00E5475C">
        <w:rPr>
          <w:sz w:val="22"/>
          <w:szCs w:val="22"/>
        </w:rPr>
        <w:t>Moreover, the growing need for coordinated military response exposed the limitations of Mercia’s system of overlordship. A structure reliant on negotiated relationships and the cooperation of subordinate rulers proved less effective in the face of sustained external threat, particularly when compared to the more coordinated and militarily responsive kingship developing in Wessex. Viking activity therefore did not directly cause the collapse of Mercian supremacy, but it intensified existing structural weaknesses, contributing to the fragmentation of political authority and the shift in dominance towards the West Saxon kingdom.</w:t>
      </w:r>
    </w:p>
    <w:p w14:paraId="448C472C" w14:textId="00AE9F63" w:rsidR="00E6350D" w:rsidRPr="00E6350D" w:rsidRDefault="00C851D0" w:rsidP="00E6350D">
      <w:pPr>
        <w:rPr>
          <w:sz w:val="22"/>
          <w:szCs w:val="22"/>
        </w:rPr>
      </w:pPr>
      <w:r w:rsidRPr="00C851D0">
        <w:rPr>
          <w:sz w:val="22"/>
          <w:szCs w:val="22"/>
        </w:rPr>
        <w:t>Mercian supremacy can therefore be understood as a significant but inherently unstable achievement</w:t>
      </w:r>
      <w:r>
        <w:rPr>
          <w:sz w:val="22"/>
          <w:szCs w:val="22"/>
        </w:rPr>
        <w:t>.</w:t>
      </w:r>
      <w:r w:rsidR="00E6350D" w:rsidRPr="00E6350D">
        <w:rPr>
          <w:sz w:val="22"/>
          <w:szCs w:val="22"/>
        </w:rPr>
        <w:t xml:space="preserve"> Its success lay in the effective integration of multiple tools of kingship; its failure in the absence of institutional structures capable of sustaining authority independently of individual rulers. Power remained personal, negotiated, and performative rather than fully embedded within stable systems of governance.</w:t>
      </w:r>
    </w:p>
    <w:p w14:paraId="6FE30691" w14:textId="77777777" w:rsidR="00952EC1" w:rsidRPr="00E6350D" w:rsidRDefault="00952EC1" w:rsidP="00952EC1">
      <w:pPr>
        <w:rPr>
          <w:b/>
          <w:bCs/>
          <w:sz w:val="22"/>
          <w:szCs w:val="22"/>
        </w:rPr>
      </w:pPr>
      <w:r w:rsidRPr="00E6350D">
        <w:rPr>
          <w:b/>
          <w:bCs/>
          <w:sz w:val="22"/>
          <w:szCs w:val="22"/>
        </w:rPr>
        <w:t>Conclusion</w:t>
      </w:r>
    </w:p>
    <w:p w14:paraId="02D44F87" w14:textId="77777777" w:rsidR="00110A13" w:rsidRPr="00110A13" w:rsidRDefault="00110A13" w:rsidP="00110A13">
      <w:pPr>
        <w:rPr>
          <w:sz w:val="22"/>
          <w:szCs w:val="22"/>
        </w:rPr>
      </w:pPr>
      <w:r w:rsidRPr="00110A13">
        <w:rPr>
          <w:sz w:val="22"/>
          <w:szCs w:val="22"/>
        </w:rPr>
        <w:t>The Mercian Supremacy represents a decisive phase in the political development of early medieval England because it reveals how dominance could be constructed across a fragmented political landscape. This study has argued that Mercian kingship depended not on military power alone, but on the interaction of several interrelated “tools of kingship”: warfare, overlordship, diplomacy, ecclesiastical patronage, administrative practice, and ideological display. Together, these enabled Mercian rulers to project authority beyond their core territory and to bind subordinate rulers, churches, and elites into a broader, though often unstable, framework of power.</w:t>
      </w:r>
    </w:p>
    <w:p w14:paraId="25FB97B4" w14:textId="77777777" w:rsidR="00110A13" w:rsidRPr="00110A13" w:rsidRDefault="00110A13" w:rsidP="00110A13">
      <w:pPr>
        <w:rPr>
          <w:sz w:val="22"/>
          <w:szCs w:val="22"/>
        </w:rPr>
      </w:pPr>
      <w:r w:rsidRPr="00110A13">
        <w:rPr>
          <w:sz w:val="22"/>
          <w:szCs w:val="22"/>
        </w:rPr>
        <w:t>Military success, especially under Penda of Mercia, created the conditions for Mercian expansion, but it was the development of complementary strategies that allowed supremacy to be sustained. Overlordship extended influence without requiring direct territorial control; diplomacy and dynastic alliance stabilised political relationships; the Church provided legitimacy and administrative reach; and charters, coinage, titles, and monumental projects communicated royal authority in increasingly ambitious forms. Mercian supremacy was therefore not simply imposed by force, but constructed through a flexible combination of coercion, cooperation, patronage, and representation.</w:t>
      </w:r>
    </w:p>
    <w:p w14:paraId="3FF7ADEF" w14:textId="09E07DC8" w:rsidR="00110A13" w:rsidRPr="00110A13" w:rsidRDefault="00110A13" w:rsidP="00110A13">
      <w:pPr>
        <w:rPr>
          <w:sz w:val="22"/>
          <w:szCs w:val="22"/>
        </w:rPr>
      </w:pPr>
      <w:r w:rsidRPr="00110A13">
        <w:rPr>
          <w:sz w:val="22"/>
          <w:szCs w:val="22"/>
        </w:rPr>
        <w:t xml:space="preserve">Yet this flexibility also exposed the system’s limitations. Mercian authority remained dependent on the personal effectiveness of individual rulers and the continued recognition of subordinate elites. Because supremacy rested on negotiated relationships rather than fully institutionalised structures, it was vulnerable to dynastic instability, shifting loyalties, and external challenge. </w:t>
      </w:r>
      <w:r w:rsidRPr="00110A13">
        <w:rPr>
          <w:sz w:val="22"/>
          <w:szCs w:val="22"/>
        </w:rPr>
        <w:lastRenderedPageBreak/>
        <w:t xml:space="preserve">The weakening of Mercian dominance after the death of Offa of Mercia in 796, and its eventual displacement by Wessex in the early ninth century, </w:t>
      </w:r>
      <w:r w:rsidR="00AA2295">
        <w:rPr>
          <w:sz w:val="22"/>
          <w:szCs w:val="22"/>
        </w:rPr>
        <w:t>reveal</w:t>
      </w:r>
      <w:r w:rsidRPr="00110A13">
        <w:rPr>
          <w:sz w:val="22"/>
          <w:szCs w:val="22"/>
        </w:rPr>
        <w:t xml:space="preserve"> the fragility of a political system that could project power widely but struggled to make that power permanent.</w:t>
      </w:r>
    </w:p>
    <w:p w14:paraId="1BD876A1" w14:textId="77777777" w:rsidR="00110A13" w:rsidRPr="00110A13" w:rsidRDefault="00110A13" w:rsidP="00110A13">
      <w:pPr>
        <w:rPr>
          <w:sz w:val="22"/>
          <w:szCs w:val="22"/>
        </w:rPr>
      </w:pPr>
      <w:r w:rsidRPr="00110A13">
        <w:rPr>
          <w:sz w:val="22"/>
          <w:szCs w:val="22"/>
        </w:rPr>
        <w:t>Mercian supremacy should thus be understood as an innovative but unstable form of early medieval kingship. Its success lay in the effective integration of multiple tools of rule; its failure lay in the inability to transform personal and negotiated dominance into lasting institutional control. In this respect, Mercia offers a wider insight into the possibilities and limits of kingship in early medieval England: authority could be remarkably expansive, but remained structurally fragile, dependent on recognition, performance, and the continued strength of individual rulers.</w:t>
      </w:r>
    </w:p>
    <w:p w14:paraId="67B163DE" w14:textId="77777777" w:rsidR="00624133" w:rsidRDefault="00624133">
      <w:pPr>
        <w:rPr>
          <w:sz w:val="22"/>
          <w:szCs w:val="22"/>
        </w:rPr>
      </w:pPr>
    </w:p>
    <w:p w14:paraId="14C87F03" w14:textId="77777777" w:rsidR="00624133" w:rsidRDefault="00624133">
      <w:pPr>
        <w:rPr>
          <w:sz w:val="22"/>
          <w:szCs w:val="22"/>
        </w:rPr>
      </w:pPr>
    </w:p>
    <w:p w14:paraId="7A1558D8" w14:textId="684E52C7" w:rsidR="00624133" w:rsidRPr="00E6350D" w:rsidRDefault="00624133">
      <w:pPr>
        <w:rPr>
          <w:sz w:val="22"/>
          <w:szCs w:val="22"/>
        </w:rPr>
      </w:pPr>
      <w:r w:rsidRPr="00624133">
        <w:rPr>
          <w:sz w:val="22"/>
          <w:szCs w:val="22"/>
        </w:rPr>
        <w:t>https://www-tandfonline-com.uwtsd.idm.oclc.org/doi/abs/10.1179/mdh.2005.30.1.1</w:t>
      </w:r>
    </w:p>
    <w:sectPr w:rsidR="00624133" w:rsidRPr="00E6350D" w:rsidSect="00952EC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hris Guy (2404993)" w:date="2026-05-03T22:08:00Z" w:initials="CG">
    <w:p w14:paraId="75EC5206" w14:textId="77777777" w:rsidR="00A83725" w:rsidRDefault="002A36F5" w:rsidP="00A83725">
      <w:pPr>
        <w:pStyle w:val="CommentText"/>
      </w:pPr>
      <w:r>
        <w:rPr>
          <w:rStyle w:val="CommentReference"/>
        </w:rPr>
        <w:annotationRef/>
      </w:r>
      <w:r w:rsidR="00A83725">
        <w:t>The anglo saxon world 179- 183</w:t>
      </w:r>
    </w:p>
  </w:comment>
  <w:comment w:id="1" w:author="Chris Guy (2404993)" w:date="2026-05-03T22:16:00Z" w:initials="CG">
    <w:p w14:paraId="27B7DFD2" w14:textId="77777777" w:rsidR="00FF78EC" w:rsidRDefault="00FF78EC" w:rsidP="00FF78EC">
      <w:pPr>
        <w:pStyle w:val="CommentText"/>
      </w:pPr>
      <w:r>
        <w:rPr>
          <w:rStyle w:val="CommentReference"/>
        </w:rPr>
        <w:annotationRef/>
      </w:r>
      <w:r>
        <w:t>Stenton 202-238</w:t>
      </w:r>
    </w:p>
  </w:comment>
  <w:comment w:id="2" w:author="Chris Guy (2404993)" w:date="2026-05-03T22:12:00Z" w:initials="CG">
    <w:p w14:paraId="1388646F" w14:textId="77777777" w:rsidR="002A36F5" w:rsidRDefault="002A36F5" w:rsidP="002A36F5">
      <w:pPr>
        <w:pStyle w:val="CommentText"/>
      </w:pPr>
      <w:r>
        <w:rPr>
          <w:rStyle w:val="CommentReference"/>
        </w:rPr>
        <w:annotationRef/>
      </w:r>
      <w:r>
        <w:t>Asw 179-217</w:t>
      </w:r>
    </w:p>
  </w:comment>
  <w:comment w:id="3" w:author="Chris Guy (2404993)" w:date="2026-04-25T16:04:00Z" w:initials="CG">
    <w:p w14:paraId="712749C1" w14:textId="77777777" w:rsidR="00332E1E" w:rsidRDefault="00332E1E" w:rsidP="00332E1E">
      <w:pPr>
        <w:pStyle w:val="CommentText"/>
      </w:pPr>
      <w:r>
        <w:rPr>
          <w:rStyle w:val="CommentReference"/>
        </w:rPr>
        <w:annotationRef/>
      </w:r>
      <w:r>
        <w:t>Max Adams p28-29</w:t>
      </w:r>
    </w:p>
  </w:comment>
  <w:comment w:id="4" w:author="Chris Guy (2404993)" w:date="2026-05-03T22:29:00Z" w:initials="CG">
    <w:p w14:paraId="5E292003" w14:textId="77777777" w:rsidR="00AA2295" w:rsidRDefault="00AA2295" w:rsidP="00AA2295">
      <w:pPr>
        <w:pStyle w:val="CommentText"/>
      </w:pPr>
      <w:r>
        <w:rPr>
          <w:rStyle w:val="CommentReference"/>
        </w:rPr>
        <w:annotationRef/>
      </w:r>
      <w:r>
        <w:t xml:space="preserve">Mercia zaluckyj 28-36 </w:t>
      </w:r>
    </w:p>
  </w:comment>
  <w:comment w:id="5" w:author="Chris Guy (2404993)" w:date="2026-04-25T16:03:00Z" w:initials="CG">
    <w:p w14:paraId="493A8285" w14:textId="44B067DC" w:rsidR="00332E1E" w:rsidRDefault="00332E1E" w:rsidP="00332E1E">
      <w:pPr>
        <w:pStyle w:val="CommentText"/>
      </w:pPr>
      <w:r>
        <w:rPr>
          <w:rStyle w:val="CommentReference"/>
        </w:rPr>
        <w:annotationRef/>
      </w:r>
      <w:r>
        <w:t>Bede - ec 144</w:t>
      </w:r>
    </w:p>
  </w:comment>
  <w:comment w:id="6" w:author="Chris Guy (2404993)" w:date="2026-04-25T16:07:00Z" w:initials="CG">
    <w:p w14:paraId="5E66FA1A" w14:textId="77777777" w:rsidR="008211D5" w:rsidRDefault="008211D5" w:rsidP="008211D5">
      <w:pPr>
        <w:pStyle w:val="CommentText"/>
      </w:pPr>
      <w:r>
        <w:rPr>
          <w:rStyle w:val="CommentReference"/>
        </w:rPr>
        <w:annotationRef/>
      </w:r>
      <w:r>
        <w:t>ASC  626 - p24 &amp; 633 p25</w:t>
      </w:r>
    </w:p>
  </w:comment>
  <w:comment w:id="7" w:author="Chris Guy (2404993)" w:date="2026-04-25T16:07:00Z" w:initials="CG">
    <w:p w14:paraId="596C9104" w14:textId="77777777" w:rsidR="008211D5" w:rsidRDefault="008211D5" w:rsidP="008211D5">
      <w:pPr>
        <w:pStyle w:val="CommentText"/>
      </w:pPr>
      <w:r>
        <w:rPr>
          <w:rStyle w:val="CommentReference"/>
        </w:rPr>
        <w:annotationRef/>
      </w:r>
      <w:r>
        <w:t>Bede p105</w:t>
      </w:r>
    </w:p>
  </w:comment>
  <w:comment w:id="8" w:author="Chris Guy (2404993)" w:date="2026-04-25T16:08:00Z" w:initials="CG">
    <w:p w14:paraId="6B667C1D" w14:textId="77777777" w:rsidR="008211D5" w:rsidRDefault="008211D5" w:rsidP="008211D5">
      <w:pPr>
        <w:pStyle w:val="CommentText"/>
      </w:pPr>
      <w:r>
        <w:rPr>
          <w:rStyle w:val="CommentReference"/>
        </w:rPr>
        <w:annotationRef/>
      </w:r>
      <w:r>
        <w:t>Find Max adams quote</w:t>
      </w:r>
    </w:p>
  </w:comment>
  <w:comment w:id="9" w:author="Chris Guy (2404993)" w:date="2026-04-26T12:22:00Z" w:initials="CG">
    <w:p w14:paraId="67D665CA" w14:textId="77777777" w:rsidR="00FD1E09" w:rsidRDefault="00FD1E09" w:rsidP="00FD1E09">
      <w:pPr>
        <w:pStyle w:val="CommentText"/>
      </w:pPr>
      <w:r>
        <w:rPr>
          <w:rStyle w:val="CommentReference"/>
        </w:rPr>
        <w:annotationRef/>
      </w:r>
      <w:r>
        <w:t>P16-19</w:t>
      </w:r>
    </w:p>
  </w:comment>
  <w:comment w:id="10" w:author="Chris Guy (2404993)" w:date="2026-04-26T12:25:00Z" w:initials="CG">
    <w:p w14:paraId="075894CE" w14:textId="77777777" w:rsidR="008D00DB" w:rsidRDefault="008D00DB" w:rsidP="008D00DB">
      <w:pPr>
        <w:pStyle w:val="CommentText"/>
      </w:pPr>
      <w:r>
        <w:rPr>
          <w:rStyle w:val="CommentReference"/>
        </w:rPr>
        <w:annotationRef/>
      </w:r>
      <w:r>
        <w:t>Or stenton p45</w:t>
      </w:r>
    </w:p>
  </w:comment>
  <w:comment w:id="11" w:author="Chris Guy (2404993)" w:date="2026-05-03T21:53:00Z" w:initials="CG">
    <w:p w14:paraId="0EE1EDE0" w14:textId="77777777" w:rsidR="001D5375" w:rsidRDefault="001D5375" w:rsidP="001D5375">
      <w:pPr>
        <w:pStyle w:val="CommentText"/>
      </w:pPr>
      <w:r>
        <w:rPr>
          <w:rStyle w:val="CommentReference"/>
        </w:rPr>
        <w:annotationRef/>
      </w:r>
      <w:r>
        <w:t>Cambridge medieval p.464</w:t>
      </w:r>
    </w:p>
  </w:comment>
  <w:comment w:id="12" w:author="Chris Guy (2404993)" w:date="2026-04-25T16:08:00Z" w:initials="CG">
    <w:p w14:paraId="3F2D67FB" w14:textId="77777777" w:rsidR="008211D5" w:rsidRDefault="008211D5" w:rsidP="008211D5">
      <w:pPr>
        <w:pStyle w:val="CommentText"/>
      </w:pPr>
      <w:r>
        <w:rPr>
          <w:rStyle w:val="CommentReference"/>
        </w:rPr>
        <w:annotationRef/>
      </w:r>
      <w:hyperlink r:id="rId1" w:history="1">
        <w:r w:rsidRPr="00756D17">
          <w:rPr>
            <w:rStyle w:val="Hyperlink"/>
          </w:rPr>
          <w:t>https://archive.org/details/anglosaxonenglan0000sten/page/66/mode/2up?q=wulfhere</w:t>
        </w:r>
      </w:hyperlink>
      <w:r>
        <w:t xml:space="preserve"> p67 - giving land to king of sussex</w:t>
      </w:r>
    </w:p>
  </w:comment>
  <w:comment w:id="13" w:author="Chris Guy (2404993)" w:date="2026-04-25T16:09:00Z" w:initials="CG">
    <w:p w14:paraId="608C7903" w14:textId="77777777" w:rsidR="008211D5" w:rsidRDefault="008211D5" w:rsidP="008211D5">
      <w:pPr>
        <w:pStyle w:val="CommentText"/>
      </w:pPr>
      <w:r>
        <w:rPr>
          <w:rStyle w:val="CommentReference"/>
        </w:rPr>
        <w:annotationRef/>
      </w:r>
      <w:hyperlink r:id="rId2" w:history="1">
        <w:r w:rsidRPr="00C70FF3">
          <w:rPr>
            <w:rStyle w:val="Hyperlink"/>
          </w:rPr>
          <w:t>https://archive.org/details/anglosaxonenglan0000sten/page/66/mode/2up?q=wulfhere</w:t>
        </w:r>
      </w:hyperlink>
      <w:r>
        <w:t xml:space="preserve"> p67 - giving land to king of sussex</w:t>
      </w:r>
    </w:p>
  </w:comment>
  <w:comment w:id="14" w:author="Chris Guy (2404993)" w:date="2026-04-25T16:09:00Z" w:initials="CG">
    <w:p w14:paraId="154E6DFD" w14:textId="77777777" w:rsidR="00AA730B" w:rsidRDefault="008211D5" w:rsidP="00AA730B">
      <w:pPr>
        <w:pStyle w:val="CommentText"/>
      </w:pPr>
      <w:r>
        <w:rPr>
          <w:rStyle w:val="CommentReference"/>
        </w:rPr>
        <w:annotationRef/>
      </w:r>
      <w:hyperlink r:id="rId3" w:history="1">
        <w:r w:rsidR="00AA730B" w:rsidRPr="00722638">
          <w:rPr>
            <w:rStyle w:val="Hyperlink"/>
          </w:rPr>
          <w:t>file:///C:/Users/Chris/Documents/d%20p%20kirby.pdf</w:t>
        </w:r>
      </w:hyperlink>
      <w:r w:rsidR="00AA730B">
        <w:t xml:space="preserve"> p16-18</w:t>
      </w:r>
    </w:p>
  </w:comment>
  <w:comment w:id="15" w:author="Chris Guy (2404993)" w:date="2026-04-25T16:10:00Z" w:initials="CG">
    <w:p w14:paraId="18034F16" w14:textId="7692AC52" w:rsidR="008211D5" w:rsidRDefault="008211D5" w:rsidP="008211D5">
      <w:pPr>
        <w:pStyle w:val="CommentText"/>
      </w:pPr>
      <w:r>
        <w:rPr>
          <w:rStyle w:val="CommentReference"/>
        </w:rPr>
        <w:annotationRef/>
      </w:r>
      <w:r>
        <w:t>Bede 289</w:t>
      </w:r>
    </w:p>
  </w:comment>
  <w:comment w:id="16" w:author="Chris Guy (2404993)" w:date="2026-05-03T22:08:00Z" w:initials="CG">
    <w:p w14:paraId="4AFEBCE7" w14:textId="70BDDC4C" w:rsidR="002A36F5" w:rsidRDefault="002A36F5" w:rsidP="002A36F5">
      <w:pPr>
        <w:pStyle w:val="CommentText"/>
      </w:pPr>
      <w:r>
        <w:rPr>
          <w:rStyle w:val="CommentReference"/>
        </w:rPr>
        <w:annotationRef/>
      </w:r>
      <w:r>
        <w:t>Anglo saxon world 186</w:t>
      </w:r>
    </w:p>
  </w:comment>
  <w:comment w:id="17" w:author="Chris Guy (2404993)" w:date="2026-04-25T16:22:00Z" w:initials="CG">
    <w:p w14:paraId="36C874ED" w14:textId="77777777" w:rsidR="00072F4F" w:rsidRDefault="00072F4F" w:rsidP="00072F4F">
      <w:pPr>
        <w:pStyle w:val="CommentText"/>
      </w:pPr>
      <w:r>
        <w:rPr>
          <w:rStyle w:val="CommentReference"/>
        </w:rPr>
        <w:annotationRef/>
      </w:r>
      <w:r>
        <w:t>Max adams 254-258</w:t>
      </w:r>
    </w:p>
  </w:comment>
  <w:comment w:id="18" w:author="Chris Guy (2404993)" w:date="2026-05-03T22:10:00Z" w:initials="CG">
    <w:p w14:paraId="14D28E81" w14:textId="77777777" w:rsidR="002A36F5" w:rsidRDefault="002A36F5" w:rsidP="002A36F5">
      <w:pPr>
        <w:pStyle w:val="CommentText"/>
      </w:pPr>
      <w:r>
        <w:rPr>
          <w:rStyle w:val="CommentReference"/>
        </w:rPr>
        <w:annotationRef/>
      </w:r>
      <w:r>
        <w:t>Anglo saxon world 186-191</w:t>
      </w:r>
    </w:p>
  </w:comment>
  <w:comment w:id="19" w:author="Chris Guy (2404993)" w:date="2026-04-25T16:23:00Z" w:initials="CG">
    <w:p w14:paraId="7922921E" w14:textId="77777777" w:rsidR="00072F4F" w:rsidRDefault="00072F4F" w:rsidP="00072F4F">
      <w:pPr>
        <w:pStyle w:val="CommentText"/>
      </w:pPr>
      <w:r>
        <w:rPr>
          <w:rStyle w:val="CommentReference"/>
        </w:rPr>
        <w:annotationRef/>
      </w:r>
      <w:r>
        <w:t>Asc - p56</w:t>
      </w:r>
    </w:p>
  </w:comment>
  <w:comment w:id="20" w:author="Chris Guy (2404993)" w:date="2026-04-25T16:25:00Z" w:initials="CG">
    <w:p w14:paraId="14D5D6B0" w14:textId="77777777" w:rsidR="00072F4F" w:rsidRDefault="00072F4F" w:rsidP="00072F4F">
      <w:pPr>
        <w:pStyle w:val="CommentText"/>
      </w:pPr>
      <w:r>
        <w:rPr>
          <w:rStyle w:val="CommentReference"/>
        </w:rPr>
        <w:annotationRef/>
      </w:r>
      <w:r>
        <w:t>Asc 626 p24</w:t>
      </w:r>
    </w:p>
    <w:p w14:paraId="5EB29489" w14:textId="77777777" w:rsidR="00072F4F" w:rsidRDefault="00072F4F" w:rsidP="00072F4F">
      <w:pPr>
        <w:pStyle w:val="CommentText"/>
      </w:pPr>
      <w:r>
        <w:t>Bede - 105</w:t>
      </w:r>
    </w:p>
  </w:comment>
  <w:comment w:id="21" w:author="Chris Guy (2404993)" w:date="2026-04-25T16:26:00Z" w:initials="CG">
    <w:p w14:paraId="095DF52F" w14:textId="77777777" w:rsidR="00072F4F" w:rsidRDefault="00072F4F" w:rsidP="00072F4F">
      <w:pPr>
        <w:pStyle w:val="CommentText"/>
      </w:pPr>
      <w:r>
        <w:rPr>
          <w:rStyle w:val="CommentReference"/>
        </w:rPr>
        <w:annotationRef/>
      </w:r>
      <w:r>
        <w:t>bede</w:t>
      </w:r>
    </w:p>
  </w:comment>
  <w:comment w:id="22" w:author="Chris Guy (2404993)" w:date="2026-05-02T16:52:00Z" w:initials="CG">
    <w:p w14:paraId="472884BF" w14:textId="77777777" w:rsidR="00F26BFB" w:rsidRDefault="00F26BFB" w:rsidP="00F26BFB">
      <w:pPr>
        <w:pStyle w:val="CommentText"/>
      </w:pPr>
      <w:r>
        <w:rPr>
          <w:rStyle w:val="CommentReference"/>
        </w:rPr>
        <w:annotationRef/>
      </w:r>
      <w:r>
        <w:t>105</w:t>
      </w:r>
    </w:p>
  </w:comment>
  <w:comment w:id="23" w:author="Chris Guy (2404993)" w:date="2026-04-25T16:26:00Z" w:initials="CG">
    <w:p w14:paraId="3939FD0F" w14:textId="77777777" w:rsidR="008D00DB" w:rsidRDefault="00072F4F" w:rsidP="008D00DB">
      <w:pPr>
        <w:pStyle w:val="CommentText"/>
      </w:pPr>
      <w:r>
        <w:rPr>
          <w:rStyle w:val="CommentReference"/>
        </w:rPr>
        <w:annotationRef/>
      </w:r>
      <w:r w:rsidR="008D00DB">
        <w:t>Stenton p120</w:t>
      </w:r>
    </w:p>
  </w:comment>
  <w:comment w:id="24" w:author="Chris Guy (2404993)" w:date="2026-04-25T16:27:00Z" w:initials="CG">
    <w:p w14:paraId="3DD79C58" w14:textId="49E6D608" w:rsidR="00072F4F" w:rsidRDefault="00072F4F" w:rsidP="00072F4F">
      <w:pPr>
        <w:pStyle w:val="CommentText"/>
      </w:pPr>
      <w:r>
        <w:rPr>
          <w:rStyle w:val="CommentReference"/>
        </w:rPr>
        <w:annotationRef/>
      </w:r>
      <w:r>
        <w:t>Alliance with Wales - Adams</w:t>
      </w:r>
    </w:p>
  </w:comment>
  <w:comment w:id="25" w:author="Chris Guy (2404993)" w:date="2026-05-02T16:57:00Z" w:initials="CG">
    <w:p w14:paraId="76971590" w14:textId="77777777" w:rsidR="00F26BFB" w:rsidRDefault="00F26BFB" w:rsidP="00F26BFB">
      <w:pPr>
        <w:pStyle w:val="CommentText"/>
      </w:pPr>
      <w:r>
        <w:rPr>
          <w:rStyle w:val="CommentReference"/>
        </w:rPr>
        <w:annotationRef/>
      </w:r>
      <w:r>
        <w:t>Asc - 29 - pendas death mentioned Oswy killed 30 royal children, some of them kings</w:t>
      </w:r>
    </w:p>
  </w:comment>
  <w:comment w:id="26" w:author="Chris Guy (2404993)" w:date="2026-04-25T16:27:00Z" w:initials="CG">
    <w:p w14:paraId="34853D4C" w14:textId="77777777" w:rsidR="006511A9" w:rsidRDefault="006511A9" w:rsidP="006511A9">
      <w:pPr>
        <w:pStyle w:val="CommentText"/>
      </w:pPr>
      <w:r>
        <w:rPr>
          <w:rStyle w:val="CommentReference"/>
        </w:rPr>
        <w:annotationRef/>
      </w:r>
      <w:r>
        <w:t>bede</w:t>
      </w:r>
    </w:p>
  </w:comment>
  <w:comment w:id="27" w:author="Chris Guy (2404993)" w:date="2026-05-02T17:10:00Z" w:initials="CG">
    <w:p w14:paraId="11035F41" w14:textId="77777777" w:rsidR="007A1F7C" w:rsidRDefault="007A1F7C" w:rsidP="007A1F7C">
      <w:pPr>
        <w:pStyle w:val="CommentText"/>
      </w:pPr>
      <w:r>
        <w:rPr>
          <w:rStyle w:val="CommentReference"/>
        </w:rPr>
        <w:annotationRef/>
      </w:r>
      <w:r>
        <w:t>ASC more likely!!</w:t>
      </w:r>
    </w:p>
  </w:comment>
  <w:comment w:id="28" w:author="Chris Guy (2404993)" w:date="2026-05-02T17:16:00Z" w:initials="CG">
    <w:p w14:paraId="267C50C5" w14:textId="77777777" w:rsidR="00C02F6A" w:rsidRDefault="00C02F6A" w:rsidP="00C02F6A">
      <w:pPr>
        <w:pStyle w:val="CommentText"/>
      </w:pPr>
      <w:r>
        <w:rPr>
          <w:rStyle w:val="CommentReference"/>
        </w:rPr>
        <w:annotationRef/>
      </w:r>
      <w:r>
        <w:t>Anglo Saxon World - Higham and Ryan - 182-183</w:t>
      </w:r>
    </w:p>
  </w:comment>
  <w:comment w:id="29" w:author="Chris Guy (2404993)" w:date="2026-04-25T16:28:00Z" w:initials="CG">
    <w:p w14:paraId="443805C2" w14:textId="77777777" w:rsidR="006511A9" w:rsidRDefault="006511A9" w:rsidP="006511A9">
      <w:pPr>
        <w:pStyle w:val="CommentText"/>
      </w:pPr>
      <w:r>
        <w:rPr>
          <w:rStyle w:val="CommentReference"/>
        </w:rPr>
        <w:annotationRef/>
      </w:r>
      <w:r>
        <w:t>stenton</w:t>
      </w:r>
    </w:p>
  </w:comment>
  <w:comment w:id="30" w:author="Chris Guy (2404993)" w:date="2026-04-26T11:53:00Z" w:initials="CG">
    <w:p w14:paraId="34CAAD80" w14:textId="4891F725" w:rsidR="00611C84" w:rsidRDefault="00611C84" w:rsidP="00611C84">
      <w:pPr>
        <w:pStyle w:val="CommentText"/>
      </w:pPr>
      <w:r>
        <w:rPr>
          <w:rStyle w:val="CommentReference"/>
        </w:rPr>
        <w:annotationRef/>
      </w:r>
      <w:hyperlink r:id="rId4" w:history="1">
        <w:r w:rsidRPr="003614DA">
          <w:rPr>
            <w:rStyle w:val="Hyperlink"/>
          </w:rPr>
          <w:t>https://archive.org/details/anglosaxonenglan0000sten/page/84/mode/2up?q=penda</w:t>
        </w:r>
      </w:hyperlink>
      <w:r>
        <w:t xml:space="preserve"> p79-84</w:t>
      </w:r>
    </w:p>
  </w:comment>
  <w:comment w:id="31" w:author="Chris Guy (2404993)" w:date="2026-05-02T17:30:00Z" w:initials="CG">
    <w:p w14:paraId="4C3B352E" w14:textId="77777777" w:rsidR="00E50DC5" w:rsidRDefault="00E50DC5" w:rsidP="00E50DC5">
      <w:pPr>
        <w:pStyle w:val="CommentText"/>
      </w:pPr>
      <w:r>
        <w:rPr>
          <w:rStyle w:val="CommentReference"/>
        </w:rPr>
        <w:annotationRef/>
      </w:r>
      <w:hyperlink r:id="rId5" w:history="1">
        <w:r w:rsidRPr="006F141D">
          <w:rPr>
            <w:rStyle w:val="Hyperlink"/>
          </w:rPr>
          <w:t>https://esawyer.lib.cam.ac.uk/charter/89.html</w:t>
        </w:r>
      </w:hyperlink>
      <w:r>
        <w:t xml:space="preserve"> </w:t>
      </w:r>
      <w:r>
        <w:br/>
      </w:r>
      <w:r>
        <w:br/>
        <w:t>OR</w:t>
      </w:r>
      <w:r>
        <w:br/>
      </w:r>
      <w:r>
        <w:br/>
      </w:r>
      <w:hyperlink r:id="rId6" w:history="1">
        <w:r w:rsidRPr="006F141D">
          <w:rPr>
            <w:rStyle w:val="Hyperlink"/>
          </w:rPr>
          <w:t>https://commons.wikimedia.org/wiki/File:Aethelbald_charter_Cyneberht_736.jpg</w:t>
        </w:r>
      </w:hyperlink>
    </w:p>
  </w:comment>
  <w:comment w:id="32" w:author="Chris Guy (2404993)" w:date="2026-04-25T16:28:00Z" w:initials="CG">
    <w:p w14:paraId="5FFC51DE" w14:textId="7206B8B2" w:rsidR="00C02F6A" w:rsidRDefault="006511A9" w:rsidP="00C02F6A">
      <w:pPr>
        <w:pStyle w:val="CommentText"/>
      </w:pPr>
      <w:r>
        <w:rPr>
          <w:rStyle w:val="CommentReference"/>
        </w:rPr>
        <w:annotationRef/>
      </w:r>
      <w:r w:rsidR="00C02F6A">
        <w:t>Kirby</w:t>
      </w:r>
    </w:p>
  </w:comment>
  <w:comment w:id="33" w:author="Chris Guy (2404993)" w:date="2026-05-02T17:39:00Z" w:initials="CG">
    <w:p w14:paraId="30FBF7FD" w14:textId="77777777" w:rsidR="00485926" w:rsidRDefault="00485926" w:rsidP="00485926">
      <w:pPr>
        <w:pStyle w:val="CommentText"/>
      </w:pPr>
      <w:r>
        <w:rPr>
          <w:rStyle w:val="CommentReference"/>
        </w:rPr>
        <w:annotationRef/>
      </w:r>
      <w:hyperlink r:id="rId7" w:history="1">
        <w:r w:rsidRPr="00964FB8">
          <w:rPr>
            <w:rStyle w:val="Hyperlink"/>
          </w:rPr>
          <w:t>file:///C:/Users/Chris/Documents/d%20p%20kirby.pdf</w:t>
        </w:r>
      </w:hyperlink>
      <w:r>
        <w:t xml:space="preserve"> p11-12</w:t>
      </w:r>
    </w:p>
  </w:comment>
  <w:comment w:id="34" w:author="Chris Guy (2404993)" w:date="2026-05-02T17:39:00Z" w:initials="CG">
    <w:p w14:paraId="3FDB3690" w14:textId="77777777" w:rsidR="00485926" w:rsidRDefault="00485926" w:rsidP="00485926">
      <w:pPr>
        <w:pStyle w:val="CommentText"/>
      </w:pPr>
      <w:r>
        <w:rPr>
          <w:rStyle w:val="CommentReference"/>
        </w:rPr>
        <w:annotationRef/>
      </w:r>
      <w:hyperlink r:id="rId8" w:history="1">
        <w:r w:rsidRPr="005F6841">
          <w:rPr>
            <w:rStyle w:val="Hyperlink"/>
          </w:rPr>
          <w:t>file:///C:/Users/Chris/Documents/d%20p%20kirby.pdf</w:t>
        </w:r>
      </w:hyperlink>
      <w:r>
        <w:t xml:space="preserve"> p11-12</w:t>
      </w:r>
    </w:p>
  </w:comment>
  <w:comment w:id="36" w:author="Chris Guy (2404993)" w:date="2026-04-26T11:06:00Z" w:initials="CG">
    <w:p w14:paraId="4EEB461D" w14:textId="77777777" w:rsidR="00821259" w:rsidRDefault="0007137D" w:rsidP="00821259">
      <w:pPr>
        <w:pStyle w:val="CommentText"/>
      </w:pPr>
      <w:r>
        <w:rPr>
          <w:rStyle w:val="CommentReference"/>
        </w:rPr>
        <w:annotationRef/>
      </w:r>
      <w:r w:rsidR="00821259">
        <w:t>Stenton 219 - 223</w:t>
      </w:r>
    </w:p>
  </w:comment>
  <w:comment w:id="35" w:author="Chris Guy (2404993)" w:date="2026-04-25T16:30:00Z" w:initials="CG">
    <w:p w14:paraId="0FFF67F2" w14:textId="77777777" w:rsidR="00821259" w:rsidRDefault="00986403" w:rsidP="00821259">
      <w:pPr>
        <w:pStyle w:val="CommentText"/>
      </w:pPr>
      <w:r>
        <w:rPr>
          <w:rStyle w:val="CommentReference"/>
        </w:rPr>
        <w:annotationRef/>
      </w:r>
      <w:r w:rsidR="00821259">
        <w:t>Stenton 219 - 223</w:t>
      </w:r>
    </w:p>
  </w:comment>
  <w:comment w:id="37" w:author="Chris Guy (2404993)" w:date="2026-04-25T16:30:00Z" w:initials="CG">
    <w:p w14:paraId="17FDEA37" w14:textId="77777777" w:rsidR="00821259" w:rsidRDefault="00986403" w:rsidP="00821259">
      <w:pPr>
        <w:pStyle w:val="CommentText"/>
      </w:pPr>
      <w:r>
        <w:rPr>
          <w:rStyle w:val="CommentReference"/>
        </w:rPr>
        <w:annotationRef/>
      </w:r>
      <w:r w:rsidR="00821259">
        <w:t xml:space="preserve">Letters to Charlemagne </w:t>
      </w:r>
      <w:hyperlink r:id="rId9" w:history="1">
        <w:r w:rsidR="00821259" w:rsidRPr="00B41C7F">
          <w:rPr>
            <w:rStyle w:val="Hyperlink"/>
          </w:rPr>
          <w:t>https://www.theanglosaxons.com/letter-to-offa-from-charlemagne/</w:t>
        </w:r>
      </w:hyperlink>
    </w:p>
  </w:comment>
  <w:comment w:id="38" w:author="Chris Guy (2404993)" w:date="2026-04-25T16:30:00Z" w:initials="CG">
    <w:p w14:paraId="7C0ECFA1" w14:textId="305EAB84" w:rsidR="008D464D" w:rsidRDefault="00986403" w:rsidP="008D464D">
      <w:pPr>
        <w:pStyle w:val="CommentText"/>
      </w:pPr>
      <w:r>
        <w:rPr>
          <w:rStyle w:val="CommentReference"/>
        </w:rPr>
        <w:annotationRef/>
      </w:r>
      <w:r w:rsidR="008D464D">
        <w:t>Higham pp188-189</w:t>
      </w:r>
    </w:p>
  </w:comment>
  <w:comment w:id="39" w:author="Chris Guy (2404993)" w:date="2026-05-02T17:51:00Z" w:initials="CG">
    <w:p w14:paraId="09327E6D" w14:textId="77777777" w:rsidR="008D464D" w:rsidRDefault="008D464D" w:rsidP="008D464D">
      <w:pPr>
        <w:pStyle w:val="CommentText"/>
      </w:pPr>
      <w:r>
        <w:rPr>
          <w:rStyle w:val="CommentReference"/>
        </w:rPr>
        <w:annotationRef/>
      </w:r>
      <w:r>
        <w:t>Higham pp188-189</w:t>
      </w:r>
    </w:p>
  </w:comment>
  <w:comment w:id="40" w:author="Chris Guy (2404993)" w:date="2026-04-26T10:07:00Z" w:initials="CG">
    <w:p w14:paraId="71A53DBC" w14:textId="77777777" w:rsidR="00821259" w:rsidRDefault="0025512E" w:rsidP="00821259">
      <w:pPr>
        <w:pStyle w:val="CommentText"/>
      </w:pPr>
      <w:r>
        <w:rPr>
          <w:rStyle w:val="CommentReference"/>
        </w:rPr>
        <w:annotationRef/>
      </w:r>
      <w:hyperlink r:id="rId10" w:history="1">
        <w:r w:rsidR="00821259" w:rsidRPr="006475A8">
          <w:rPr>
            <w:rStyle w:val="Hyperlink"/>
          </w:rPr>
          <w:t>https://esawyer.lib.cam.ac.uk/charter/89.html</w:t>
        </w:r>
      </w:hyperlink>
      <w:r w:rsidR="00821259">
        <w:t xml:space="preserve"> ismere charter and witness list</w:t>
      </w:r>
    </w:p>
  </w:comment>
  <w:comment w:id="41" w:author="Chris Guy (2404993)" w:date="2026-04-26T10:10:00Z" w:initials="CG">
    <w:p w14:paraId="7330421F" w14:textId="77777777" w:rsidR="0025512E" w:rsidRDefault="0025512E" w:rsidP="0025512E">
      <w:pPr>
        <w:pStyle w:val="CommentText"/>
      </w:pPr>
      <w:r>
        <w:rPr>
          <w:rStyle w:val="CommentReference"/>
        </w:rPr>
        <w:annotationRef/>
      </w:r>
      <w:r>
        <w:t>ASC or Bede</w:t>
      </w:r>
    </w:p>
  </w:comment>
  <w:comment w:id="42" w:author="Chris Guy (2404993)" w:date="2026-05-02T20:13:00Z" w:initials="CG">
    <w:p w14:paraId="42169366" w14:textId="77777777" w:rsidR="00126178" w:rsidRDefault="00126178" w:rsidP="00126178">
      <w:pPr>
        <w:pStyle w:val="CommentText"/>
      </w:pPr>
      <w:r>
        <w:rPr>
          <w:rStyle w:val="CommentReference"/>
        </w:rPr>
        <w:annotationRef/>
      </w:r>
      <w:r>
        <w:t>Asc - 32</w:t>
      </w:r>
    </w:p>
    <w:p w14:paraId="3F479BC8" w14:textId="77777777" w:rsidR="00126178" w:rsidRDefault="00126178" w:rsidP="00126178">
      <w:pPr>
        <w:pStyle w:val="CommentText"/>
      </w:pPr>
      <w:r>
        <w:t>bede</w:t>
      </w:r>
    </w:p>
  </w:comment>
  <w:comment w:id="43" w:author="Chris Guy (2404993)" w:date="2026-04-26T10:11:00Z" w:initials="CG">
    <w:p w14:paraId="434AD3D4" w14:textId="77777777" w:rsidR="0025512E" w:rsidRDefault="0025512E" w:rsidP="0025512E">
      <w:pPr>
        <w:pStyle w:val="CommentText"/>
      </w:pPr>
      <w:r>
        <w:rPr>
          <w:rStyle w:val="CommentReference"/>
        </w:rPr>
        <w:annotationRef/>
      </w:r>
      <w:r>
        <w:t>Bede</w:t>
      </w:r>
    </w:p>
  </w:comment>
  <w:comment w:id="44" w:author="Chris Guy (2404993)" w:date="2026-05-03T17:31:00Z" w:initials="CG">
    <w:p w14:paraId="349F1377" w14:textId="77777777" w:rsidR="00510B41" w:rsidRDefault="00510B41" w:rsidP="00510B41">
      <w:pPr>
        <w:pStyle w:val="CommentText"/>
      </w:pPr>
      <w:r>
        <w:rPr>
          <w:rStyle w:val="CommentReference"/>
        </w:rPr>
        <w:annotationRef/>
      </w:r>
      <w:r>
        <w:t>P91-94</w:t>
      </w:r>
    </w:p>
  </w:comment>
  <w:comment w:id="45" w:author="Chris Guy (2404993)" w:date="2026-04-26T10:12:00Z" w:initials="CG">
    <w:p w14:paraId="59428D4E" w14:textId="77777777" w:rsidR="00FF78EC" w:rsidRDefault="00FF78EC" w:rsidP="0025512E">
      <w:pPr>
        <w:pStyle w:val="CommentText"/>
      </w:pPr>
      <w:r>
        <w:rPr>
          <w:rStyle w:val="CommentReference"/>
        </w:rPr>
        <w:annotationRef/>
      </w:r>
      <w:r>
        <w:t>Synods</w:t>
      </w:r>
    </w:p>
  </w:comment>
  <w:comment w:id="46" w:author="Chris Guy (2404993)" w:date="2026-04-26T10:13:00Z" w:initials="CG">
    <w:p w14:paraId="6933CF3C" w14:textId="77777777" w:rsidR="00FF78EC" w:rsidRDefault="00FF78EC" w:rsidP="0025512E">
      <w:pPr>
        <w:pStyle w:val="CommentText"/>
      </w:pPr>
      <w:r>
        <w:rPr>
          <w:rStyle w:val="CommentReference"/>
        </w:rPr>
        <w:annotationRef/>
      </w:r>
      <w:r>
        <w:rPr>
          <w:b/>
          <w:bCs/>
          <w:color w:val="0A0A0A"/>
          <w:highlight w:val="white"/>
        </w:rPr>
        <w:t>Councils of Clovesho</w:t>
      </w:r>
      <w:r>
        <w:t xml:space="preserve"> </w:t>
      </w:r>
    </w:p>
  </w:comment>
  <w:comment w:id="47" w:author="Chris Guy (2404993)" w:date="2026-05-03T21:08:00Z" w:initials="CG">
    <w:p w14:paraId="03A23234" w14:textId="77777777" w:rsidR="00FF78EC" w:rsidRDefault="00FF78EC" w:rsidP="00A27322">
      <w:pPr>
        <w:pStyle w:val="CommentText"/>
      </w:pPr>
      <w:r>
        <w:rPr>
          <w:rStyle w:val="CommentReference"/>
        </w:rPr>
        <w:annotationRef/>
      </w:r>
      <w:hyperlink r:id="rId11" w:history="1">
        <w:r w:rsidRPr="00FE436C">
          <w:rPr>
            <w:rStyle w:val="Hyperlink"/>
          </w:rPr>
          <w:t>https://www.newadvent.org/cathen/04068a.htm</w:t>
        </w:r>
      </w:hyperlink>
    </w:p>
  </w:comment>
  <w:comment w:id="48" w:author="Chris Guy (2404993)" w:date="2026-05-03T17:35:00Z" w:initials="CG">
    <w:p w14:paraId="158ACE4F" w14:textId="77777777" w:rsidR="00224D10" w:rsidRDefault="00224D10" w:rsidP="00224D10">
      <w:pPr>
        <w:pStyle w:val="CommentText"/>
      </w:pPr>
      <w:r>
        <w:rPr>
          <w:rStyle w:val="CommentReference"/>
        </w:rPr>
        <w:annotationRef/>
      </w:r>
      <w:r>
        <w:t>Brooks</w:t>
      </w:r>
    </w:p>
  </w:comment>
  <w:comment w:id="49" w:author="Chris Guy (2404993)" w:date="2026-05-03T22:19:00Z" w:initials="CG">
    <w:p w14:paraId="15297768" w14:textId="77777777" w:rsidR="00FF78EC" w:rsidRDefault="00FF78EC" w:rsidP="00FF78EC">
      <w:pPr>
        <w:pStyle w:val="CommentText"/>
      </w:pPr>
      <w:r>
        <w:rPr>
          <w:rStyle w:val="CommentReference"/>
        </w:rPr>
        <w:annotationRef/>
      </w:r>
      <w:r>
        <w:t>Stenton 215-218</w:t>
      </w:r>
    </w:p>
  </w:comment>
  <w:comment w:id="50" w:author="Chris Guy (2404993)" w:date="2026-05-03T22:19:00Z" w:initials="CG">
    <w:p w14:paraId="0A1C1D7B" w14:textId="77777777" w:rsidR="00FF78EC" w:rsidRDefault="00FF78EC" w:rsidP="00FF78EC">
      <w:pPr>
        <w:pStyle w:val="CommentText"/>
      </w:pPr>
      <w:r>
        <w:rPr>
          <w:rStyle w:val="CommentReference"/>
        </w:rPr>
        <w:annotationRef/>
      </w:r>
      <w:r>
        <w:t>Stenton 215-218</w:t>
      </w:r>
    </w:p>
  </w:comment>
  <w:comment w:id="51" w:author="Chris Guy (2404993)" w:date="2026-04-26T10:16:00Z" w:initials="CG">
    <w:p w14:paraId="795FFC9E" w14:textId="77777777" w:rsidR="005F4807" w:rsidRDefault="005F4807" w:rsidP="005F4807">
      <w:pPr>
        <w:pStyle w:val="CommentText"/>
      </w:pPr>
      <w:r>
        <w:rPr>
          <w:rStyle w:val="CommentReference"/>
        </w:rPr>
        <w:annotationRef/>
      </w:r>
      <w:r>
        <w:t>Wormwald</w:t>
      </w:r>
    </w:p>
  </w:comment>
  <w:comment w:id="52" w:author="Chris Guy (2404993)" w:date="2026-05-03T19:56:00Z" w:initials="CG">
    <w:p w14:paraId="5B75BFFB" w14:textId="77777777" w:rsidR="00636C5E" w:rsidRDefault="00636C5E" w:rsidP="00636C5E">
      <w:pPr>
        <w:pStyle w:val="CommentText"/>
      </w:pPr>
      <w:r>
        <w:rPr>
          <w:rStyle w:val="CommentReference"/>
        </w:rPr>
        <w:annotationRef/>
      </w:r>
      <w:hyperlink r:id="rId12" w:history="1">
        <w:r w:rsidRPr="00F04E8A">
          <w:rPr>
            <w:rStyle w:val="Hyperlink"/>
          </w:rPr>
          <w:t>https://books.google.co.uk/books?hl=en&amp;lr=&amp;id=-e5YuuS_yicC&amp;oi=fnd&amp;pg=PA1&amp;dq=patrick+wormald&amp;ots=QohK-BE-PT&amp;sig=U_G1OiDmcEQWDz5y297YAL6o6eg#v=onepage&amp;q=patrick%20wormald&amp;f=false</w:t>
        </w:r>
      </w:hyperlink>
      <w:r>
        <w:t xml:space="preserve"> </w:t>
      </w:r>
    </w:p>
    <w:p w14:paraId="4F52F898" w14:textId="77777777" w:rsidR="00636C5E" w:rsidRDefault="00636C5E" w:rsidP="00636C5E">
      <w:pPr>
        <w:pStyle w:val="CommentText"/>
      </w:pPr>
    </w:p>
    <w:p w14:paraId="2F50BEDF" w14:textId="77777777" w:rsidR="00636C5E" w:rsidRDefault="00636C5E" w:rsidP="00636C5E">
      <w:pPr>
        <w:pStyle w:val="CommentText"/>
      </w:pPr>
      <w:r>
        <w:t>P16-17</w:t>
      </w:r>
    </w:p>
  </w:comment>
  <w:comment w:id="53" w:author="Chris Guy (2404993)" w:date="2026-04-26T10:16:00Z" w:initials="CG">
    <w:p w14:paraId="502B882D" w14:textId="77777777" w:rsidR="005F4807" w:rsidRDefault="005F4807" w:rsidP="005F4807">
      <w:pPr>
        <w:pStyle w:val="CommentText"/>
      </w:pPr>
      <w:r>
        <w:rPr>
          <w:rStyle w:val="CommentReference"/>
        </w:rPr>
        <w:annotationRef/>
      </w:r>
      <w:r>
        <w:t>Charters? Stenton?</w:t>
      </w:r>
    </w:p>
  </w:comment>
  <w:comment w:id="54" w:author="Chris Guy (2404993)" w:date="2026-04-26T12:02:00Z" w:initials="CG">
    <w:p w14:paraId="293701DD" w14:textId="77777777" w:rsidR="00611C84" w:rsidRDefault="00611C84" w:rsidP="00611C84">
      <w:pPr>
        <w:pStyle w:val="CommentText"/>
      </w:pPr>
      <w:r>
        <w:rPr>
          <w:rStyle w:val="CommentReference"/>
        </w:rPr>
        <w:annotationRef/>
      </w:r>
      <w:hyperlink r:id="rId13" w:history="1">
        <w:r w:rsidRPr="005431F4">
          <w:rPr>
            <w:rStyle w:val="Hyperlink"/>
          </w:rPr>
          <w:t>https://esawyer.lib.cam.ac.uk/charter/92.html</w:t>
        </w:r>
      </w:hyperlink>
      <w:r>
        <w:t xml:space="preserve"> gumley charter</w:t>
      </w:r>
    </w:p>
  </w:comment>
  <w:comment w:id="55" w:author="Chris Guy (2404993)" w:date="2026-04-26T10:16:00Z" w:initials="CG">
    <w:p w14:paraId="0B805B61" w14:textId="77777777" w:rsidR="005F4807" w:rsidRDefault="005F4807" w:rsidP="005F4807">
      <w:pPr>
        <w:pStyle w:val="CommentText"/>
      </w:pPr>
      <w:r>
        <w:rPr>
          <w:rStyle w:val="CommentReference"/>
        </w:rPr>
        <w:annotationRef/>
      </w:r>
      <w:r>
        <w:t>ASC</w:t>
      </w:r>
    </w:p>
  </w:comment>
  <w:comment w:id="56" w:author="Chris Guy (2404993)" w:date="2026-04-26T12:10:00Z" w:initials="CG">
    <w:p w14:paraId="2AE010C9" w14:textId="77777777" w:rsidR="003503F3" w:rsidRDefault="003503F3" w:rsidP="003503F3">
      <w:pPr>
        <w:pStyle w:val="CommentText"/>
      </w:pPr>
      <w:r>
        <w:rPr>
          <w:rStyle w:val="CommentReference"/>
        </w:rPr>
        <w:annotationRef/>
      </w:r>
      <w:hyperlink r:id="rId14" w:history="1">
        <w:r w:rsidRPr="0022446E">
          <w:rPr>
            <w:rStyle w:val="Hyperlink"/>
          </w:rPr>
          <w:t>https://jemne.org/issues/18/gates</w:t>
        </w:r>
      </w:hyperlink>
      <w:r>
        <w:t xml:space="preserve"> 49.9</w:t>
      </w:r>
    </w:p>
  </w:comment>
  <w:comment w:id="57" w:author="Chris Guy (2404993)" w:date="2026-04-26T10:17:00Z" w:initials="CG">
    <w:p w14:paraId="19E3D780" w14:textId="77777777" w:rsidR="005F4807" w:rsidRDefault="005F4807" w:rsidP="005F4807">
      <w:pPr>
        <w:pStyle w:val="CommentText"/>
      </w:pPr>
      <w:r>
        <w:rPr>
          <w:rStyle w:val="CommentReference"/>
        </w:rPr>
        <w:annotationRef/>
      </w:r>
      <w:r>
        <w:t>Charters</w:t>
      </w:r>
    </w:p>
  </w:comment>
  <w:comment w:id="58" w:author="Chris Guy (2404993)" w:date="2026-04-26T12:11:00Z" w:initials="CG">
    <w:p w14:paraId="768ABA99" w14:textId="77777777" w:rsidR="003503F3" w:rsidRDefault="003503F3" w:rsidP="003503F3">
      <w:pPr>
        <w:pStyle w:val="CommentText"/>
      </w:pPr>
      <w:r>
        <w:rPr>
          <w:rStyle w:val="CommentReference"/>
        </w:rPr>
        <w:annotationRef/>
      </w:r>
      <w:hyperlink r:id="rId15" w:history="1">
        <w:r w:rsidRPr="00A70706">
          <w:rPr>
            <w:rStyle w:val="Hyperlink"/>
          </w:rPr>
          <w:t>https://esawyer.lib.cam.ac.uk/charter/89.html</w:t>
        </w:r>
      </w:hyperlink>
    </w:p>
  </w:comment>
  <w:comment w:id="59" w:author="Chris Guy (2404993)" w:date="2026-04-26T10:17:00Z" w:initials="CG">
    <w:p w14:paraId="0328FD81" w14:textId="77777777" w:rsidR="00636C5E" w:rsidRDefault="005F4807" w:rsidP="00636C5E">
      <w:pPr>
        <w:pStyle w:val="CommentText"/>
      </w:pPr>
      <w:r>
        <w:rPr>
          <w:rStyle w:val="CommentReference"/>
        </w:rPr>
        <w:annotationRef/>
      </w:r>
      <w:r w:rsidR="00636C5E">
        <w:t>Anglo saxon world higham - 191</w:t>
      </w:r>
    </w:p>
  </w:comment>
  <w:comment w:id="60" w:author="Chris Guy (2404993)" w:date="2026-04-26T10:18:00Z" w:initials="CG">
    <w:p w14:paraId="1BEF15B6" w14:textId="77777777" w:rsidR="00636C5E" w:rsidRDefault="005F4807" w:rsidP="00636C5E">
      <w:pPr>
        <w:pStyle w:val="CommentText"/>
      </w:pPr>
      <w:r>
        <w:rPr>
          <w:rStyle w:val="CommentReference"/>
        </w:rPr>
        <w:annotationRef/>
      </w:r>
      <w:r w:rsidR="00636C5E">
        <w:t>Higam - 191</w:t>
      </w:r>
    </w:p>
  </w:comment>
  <w:comment w:id="61" w:author="Chris Guy (2404993)" w:date="2026-04-26T10:19:00Z" w:initials="CG">
    <w:p w14:paraId="0CF3DC5F" w14:textId="77777777" w:rsidR="007D0E8B" w:rsidRDefault="005F4807" w:rsidP="007D0E8B">
      <w:pPr>
        <w:pStyle w:val="CommentText"/>
      </w:pPr>
      <w:r>
        <w:rPr>
          <w:rStyle w:val="CommentReference"/>
        </w:rPr>
        <w:annotationRef/>
      </w:r>
      <w:r w:rsidR="007D0E8B">
        <w:t xml:space="preserve">Charter: </w:t>
      </w:r>
      <w:hyperlink r:id="rId16" w:history="1">
        <w:r w:rsidR="007D0E8B" w:rsidRPr="00C12B8E">
          <w:rPr>
            <w:rStyle w:val="Hyperlink"/>
          </w:rPr>
          <w:t>https://esawyer.lib.cam.ac.uk/charter/132.html#</w:t>
        </w:r>
      </w:hyperlink>
      <w:r w:rsidR="007D0E8B">
        <w:br/>
      </w:r>
      <w:r w:rsidR="007D0E8B">
        <w:br/>
        <w:t xml:space="preserve">Sawyer S 132 (c. 790–795) </w:t>
      </w:r>
    </w:p>
  </w:comment>
  <w:comment w:id="62" w:author="Chris Guy (2404993)" w:date="2026-04-26T10:19:00Z" w:initials="CG">
    <w:p w14:paraId="1BA61937" w14:textId="77777777" w:rsidR="00E46483" w:rsidRDefault="005F4807" w:rsidP="00E46483">
      <w:pPr>
        <w:pStyle w:val="CommentText"/>
      </w:pPr>
      <w:r>
        <w:rPr>
          <w:rStyle w:val="CommentReference"/>
        </w:rPr>
        <w:annotationRef/>
      </w:r>
      <w:r w:rsidR="00E46483">
        <w:t xml:space="preserve">Stenton - </w:t>
      </w:r>
      <w:hyperlink r:id="rId17" w:history="1">
        <w:r w:rsidR="00E46483" w:rsidRPr="00F235EA">
          <w:rPr>
            <w:rStyle w:val="Hyperlink"/>
          </w:rPr>
          <w:t>https://archive.org/details/anglosaxonenglan0000sten/page/212/mode/2up?q=dyke</w:t>
        </w:r>
      </w:hyperlink>
      <w:r w:rsidR="00E46483">
        <w:t xml:space="preserve"> p212-p214</w:t>
      </w:r>
    </w:p>
  </w:comment>
  <w:comment w:id="63" w:author="Chris Guy (2404993)" w:date="2026-05-03T22:41:00Z" w:initials="CG">
    <w:p w14:paraId="7DBDD59A" w14:textId="77777777" w:rsidR="006B66C4" w:rsidRDefault="006B66C4" w:rsidP="006B66C4">
      <w:pPr>
        <w:pStyle w:val="CommentText"/>
      </w:pPr>
      <w:r>
        <w:rPr>
          <w:rStyle w:val="CommentReference"/>
        </w:rPr>
        <w:annotationRef/>
      </w:r>
      <w:r>
        <w:t>Stenton 236-237</w:t>
      </w:r>
    </w:p>
  </w:comment>
  <w:comment w:id="64" w:author="Chris Guy (2404993)" w:date="2026-05-03T20:23:00Z" w:initials="CG">
    <w:p w14:paraId="6E7C3D99" w14:textId="77777777" w:rsidR="00E46483" w:rsidRDefault="00E46483" w:rsidP="00E46483">
      <w:pPr>
        <w:pStyle w:val="CommentText"/>
      </w:pPr>
      <w:r>
        <w:rPr>
          <w:rStyle w:val="CommentReference"/>
        </w:rPr>
        <w:annotationRef/>
      </w:r>
      <w:r>
        <w:t>Asc 46-57</w:t>
      </w:r>
    </w:p>
  </w:comment>
  <w:comment w:id="65" w:author="Chris Guy (2404993)" w:date="2026-04-26T10:24:00Z" w:initials="CG">
    <w:p w14:paraId="36C6D497" w14:textId="652AEFC4" w:rsidR="00E05539" w:rsidRDefault="00E05539" w:rsidP="00E05539">
      <w:pPr>
        <w:pStyle w:val="CommentText"/>
      </w:pPr>
      <w:r>
        <w:rPr>
          <w:rStyle w:val="CommentReference"/>
        </w:rPr>
        <w:annotationRef/>
      </w:r>
      <w:r>
        <w:t>ASC? Bede? Annie Whitehead?</w:t>
      </w:r>
    </w:p>
  </w:comment>
  <w:comment w:id="66" w:author="Chris Guy (2404993)" w:date="2026-04-26T10:25:00Z" w:initials="CG">
    <w:p w14:paraId="16E4ADC9" w14:textId="77777777" w:rsidR="00A27322" w:rsidRDefault="00E05539" w:rsidP="00A27322">
      <w:pPr>
        <w:pStyle w:val="CommentText"/>
      </w:pPr>
      <w:r>
        <w:rPr>
          <w:rStyle w:val="CommentReference"/>
        </w:rPr>
        <w:annotationRef/>
      </w:r>
      <w:r w:rsidR="00A27322">
        <w:t>Higham - 239-244</w:t>
      </w:r>
    </w:p>
  </w:comment>
  <w:comment w:id="67" w:author="Chris Guy (2404993)" w:date="2026-04-26T10:49:00Z" w:initials="CG">
    <w:p w14:paraId="3FA2ADD4" w14:textId="77777777" w:rsidR="00A27322" w:rsidRDefault="00E5475C" w:rsidP="00A27322">
      <w:pPr>
        <w:pStyle w:val="CommentText"/>
      </w:pPr>
      <w:r>
        <w:rPr>
          <w:rStyle w:val="CommentReference"/>
        </w:rPr>
        <w:annotationRef/>
      </w:r>
      <w:r w:rsidR="00A27322">
        <w:t>ASC 60-61</w:t>
      </w:r>
    </w:p>
  </w:comment>
  <w:comment w:id="68" w:author="Chris Guy (2404993)" w:date="2026-05-03T21:15:00Z" w:initials="CG">
    <w:p w14:paraId="4F2C9903" w14:textId="77777777" w:rsidR="00BC5BAA" w:rsidRDefault="00BC5BAA" w:rsidP="00BC5BAA">
      <w:pPr>
        <w:pStyle w:val="CommentText"/>
      </w:pPr>
      <w:r>
        <w:rPr>
          <w:rStyle w:val="CommentReference"/>
        </w:rPr>
        <w:annotationRef/>
      </w:r>
      <w:r>
        <w:t>asc</w:t>
      </w:r>
    </w:p>
  </w:comment>
  <w:comment w:id="69" w:author="Chris Guy (2404993)" w:date="2026-05-03T21:18:00Z" w:initials="CG">
    <w:p w14:paraId="48556205" w14:textId="77777777" w:rsidR="00BC5BAA" w:rsidRDefault="00BC5BAA" w:rsidP="00BC5BAA">
      <w:pPr>
        <w:pStyle w:val="CommentText"/>
      </w:pPr>
      <w:r>
        <w:rPr>
          <w:rStyle w:val="CommentReference"/>
        </w:rPr>
        <w:annotationRef/>
      </w:r>
      <w:r>
        <w:t>P54-57</w:t>
      </w:r>
    </w:p>
  </w:comment>
  <w:comment w:id="70" w:author="Chris Guy (2404993)" w:date="2026-05-03T21:16:00Z" w:initials="CG">
    <w:p w14:paraId="03811C00" w14:textId="77777777" w:rsidR="00BC5BAA" w:rsidRDefault="00BC5BAA" w:rsidP="00BC5BAA">
      <w:pPr>
        <w:pStyle w:val="CommentText"/>
      </w:pPr>
      <w:r>
        <w:rPr>
          <w:rStyle w:val="CommentReference"/>
        </w:rPr>
        <w:annotationRef/>
      </w:r>
      <w:r>
        <w:t>Asc - 68-78</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5EC5206" w15:done="1"/>
  <w15:commentEx w15:paraId="27B7DFD2" w15:done="1"/>
  <w15:commentEx w15:paraId="1388646F" w15:done="1"/>
  <w15:commentEx w15:paraId="712749C1" w15:done="1"/>
  <w15:commentEx w15:paraId="5E292003" w15:paraIdParent="712749C1" w15:done="1"/>
  <w15:commentEx w15:paraId="493A8285" w15:done="1"/>
  <w15:commentEx w15:paraId="5E66FA1A" w15:done="1"/>
  <w15:commentEx w15:paraId="596C9104" w15:done="1"/>
  <w15:commentEx w15:paraId="6B667C1D" w15:done="1"/>
  <w15:commentEx w15:paraId="67D665CA" w15:paraIdParent="6B667C1D" w15:done="1"/>
  <w15:commentEx w15:paraId="075894CE" w15:paraIdParent="6B667C1D" w15:done="1"/>
  <w15:commentEx w15:paraId="0EE1EDE0" w15:done="1"/>
  <w15:commentEx w15:paraId="3F2D67FB" w15:done="1"/>
  <w15:commentEx w15:paraId="608C7903" w15:done="1"/>
  <w15:commentEx w15:paraId="154E6DFD" w15:done="1"/>
  <w15:commentEx w15:paraId="18034F16" w15:done="1"/>
  <w15:commentEx w15:paraId="4AFEBCE7" w15:done="1"/>
  <w15:commentEx w15:paraId="36C874ED" w15:done="1"/>
  <w15:commentEx w15:paraId="14D28E81" w15:done="1"/>
  <w15:commentEx w15:paraId="7922921E" w15:done="0"/>
  <w15:commentEx w15:paraId="5EB29489" w15:done="1"/>
  <w15:commentEx w15:paraId="095DF52F" w15:done="1"/>
  <w15:commentEx w15:paraId="472884BF" w15:paraIdParent="095DF52F" w15:done="1"/>
  <w15:commentEx w15:paraId="3939FD0F" w15:done="1"/>
  <w15:commentEx w15:paraId="3DD79C58" w15:done="1"/>
  <w15:commentEx w15:paraId="76971590" w15:paraIdParent="3DD79C58" w15:done="1"/>
  <w15:commentEx w15:paraId="34853D4C" w15:done="1"/>
  <w15:commentEx w15:paraId="11035F41" w15:paraIdParent="34853D4C" w15:done="1"/>
  <w15:commentEx w15:paraId="267C50C5" w15:paraIdParent="34853D4C" w15:done="1"/>
  <w15:commentEx w15:paraId="443805C2" w15:done="1"/>
  <w15:commentEx w15:paraId="34CAAD80" w15:paraIdParent="443805C2" w15:done="1"/>
  <w15:commentEx w15:paraId="4C3B352E" w15:done="1"/>
  <w15:commentEx w15:paraId="5FFC51DE" w15:done="1"/>
  <w15:commentEx w15:paraId="30FBF7FD" w15:paraIdParent="5FFC51DE" w15:done="1"/>
  <w15:commentEx w15:paraId="3FDB3690" w15:done="1"/>
  <w15:commentEx w15:paraId="4EEB461D" w15:done="1"/>
  <w15:commentEx w15:paraId="0FFF67F2" w15:done="1"/>
  <w15:commentEx w15:paraId="17FDEA37" w15:done="1"/>
  <w15:commentEx w15:paraId="7C0ECFA1" w15:done="1"/>
  <w15:commentEx w15:paraId="09327E6D" w15:done="1"/>
  <w15:commentEx w15:paraId="71A53DBC" w15:done="1"/>
  <w15:commentEx w15:paraId="7330421F" w15:done="1"/>
  <w15:commentEx w15:paraId="3F479BC8" w15:paraIdParent="7330421F" w15:done="1"/>
  <w15:commentEx w15:paraId="434AD3D4" w15:done="1"/>
  <w15:commentEx w15:paraId="349F1377" w15:paraIdParent="434AD3D4" w15:done="1"/>
  <w15:commentEx w15:paraId="59428D4E" w15:done="1"/>
  <w15:commentEx w15:paraId="6933CF3C" w15:paraIdParent="59428D4E" w15:done="1"/>
  <w15:commentEx w15:paraId="03A23234" w15:paraIdParent="59428D4E" w15:done="1"/>
  <w15:commentEx w15:paraId="158ACE4F" w15:done="1"/>
  <w15:commentEx w15:paraId="15297768" w15:done="1"/>
  <w15:commentEx w15:paraId="0A1C1D7B" w15:done="1"/>
  <w15:commentEx w15:paraId="795FFC9E" w15:done="1"/>
  <w15:commentEx w15:paraId="2F50BEDF" w15:paraIdParent="795FFC9E" w15:done="1"/>
  <w15:commentEx w15:paraId="502B882D" w15:done="1"/>
  <w15:commentEx w15:paraId="293701DD" w15:paraIdParent="502B882D" w15:done="1"/>
  <w15:commentEx w15:paraId="0B805B61" w15:done="1"/>
  <w15:commentEx w15:paraId="2AE010C9" w15:paraIdParent="0B805B61" w15:done="1"/>
  <w15:commentEx w15:paraId="19E3D780" w15:done="1"/>
  <w15:commentEx w15:paraId="768ABA99" w15:paraIdParent="19E3D780" w15:done="1"/>
  <w15:commentEx w15:paraId="0328FD81" w15:done="1"/>
  <w15:commentEx w15:paraId="1BEF15B6" w15:done="1"/>
  <w15:commentEx w15:paraId="0CF3DC5F" w15:done="1"/>
  <w15:commentEx w15:paraId="1BA61937" w15:done="1"/>
  <w15:commentEx w15:paraId="7DBDD59A" w15:done="1"/>
  <w15:commentEx w15:paraId="6E7C3D99" w15:done="1"/>
  <w15:commentEx w15:paraId="36C6D497" w15:done="1"/>
  <w15:commentEx w15:paraId="16E4ADC9" w15:done="1"/>
  <w15:commentEx w15:paraId="3FA2ADD4" w15:done="1"/>
  <w15:commentEx w15:paraId="4F2C9903" w15:done="0"/>
  <w15:commentEx w15:paraId="48556205" w15:paraIdParent="4F2C9903" w15:done="0"/>
  <w15:commentEx w15:paraId="03811C0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EA7986C" w16cex:dateUtc="2026-05-03T21:08:00Z"/>
  <w16cex:commentExtensible w16cex:durableId="677FF86C" w16cex:dateUtc="2026-05-03T21:16:00Z"/>
  <w16cex:commentExtensible w16cex:durableId="66AF8CF0" w16cex:dateUtc="2026-05-03T21:12:00Z"/>
  <w16cex:commentExtensible w16cex:durableId="5644FCF5" w16cex:dateUtc="2026-04-25T15:04:00Z"/>
  <w16cex:commentExtensible w16cex:durableId="515E5472" w16cex:dateUtc="2026-05-03T21:29:00Z"/>
  <w16cex:commentExtensible w16cex:durableId="212F6DEE" w16cex:dateUtc="2026-04-25T15:03:00Z"/>
  <w16cex:commentExtensible w16cex:durableId="7A658F45" w16cex:dateUtc="2026-04-25T15:07:00Z"/>
  <w16cex:commentExtensible w16cex:durableId="257E356C" w16cex:dateUtc="2026-04-25T15:07:00Z"/>
  <w16cex:commentExtensible w16cex:durableId="77BC533E" w16cex:dateUtc="2026-04-25T15:08:00Z"/>
  <w16cex:commentExtensible w16cex:durableId="270D94E1" w16cex:dateUtc="2026-04-26T11:22:00Z"/>
  <w16cex:commentExtensible w16cex:durableId="0D68F9B5" w16cex:dateUtc="2026-04-26T11:25:00Z"/>
  <w16cex:commentExtensible w16cex:durableId="7CE1147D" w16cex:dateUtc="2026-05-03T20:53:00Z"/>
  <w16cex:commentExtensible w16cex:durableId="03BD0879" w16cex:dateUtc="2026-04-25T15:08:00Z"/>
  <w16cex:commentExtensible w16cex:durableId="2E1B61F2" w16cex:dateUtc="2026-04-25T15:09:00Z"/>
  <w16cex:commentExtensible w16cex:durableId="7E9345CA" w16cex:dateUtc="2026-04-25T15:09:00Z"/>
  <w16cex:commentExtensible w16cex:durableId="704E77C1" w16cex:dateUtc="2026-04-25T15:10:00Z"/>
  <w16cex:commentExtensible w16cex:durableId="3E15BB50" w16cex:dateUtc="2026-05-03T21:08:00Z"/>
  <w16cex:commentExtensible w16cex:durableId="7BFDAE33" w16cex:dateUtc="2026-04-25T15:22:00Z"/>
  <w16cex:commentExtensible w16cex:durableId="3E44D2BB" w16cex:dateUtc="2026-05-03T21:10:00Z"/>
  <w16cex:commentExtensible w16cex:durableId="6347C8A8" w16cex:dateUtc="2026-04-25T15:23:00Z"/>
  <w16cex:commentExtensible w16cex:durableId="784B9266" w16cex:dateUtc="2026-04-25T15:25:00Z"/>
  <w16cex:commentExtensible w16cex:durableId="2B8ADCE1" w16cex:dateUtc="2026-04-25T15:26:00Z"/>
  <w16cex:commentExtensible w16cex:durableId="5624C18B" w16cex:dateUtc="2026-05-02T15:52:00Z"/>
  <w16cex:commentExtensible w16cex:durableId="3C38B43C" w16cex:dateUtc="2026-04-25T15:26:00Z"/>
  <w16cex:commentExtensible w16cex:durableId="3F433A33" w16cex:dateUtc="2026-04-25T15:27:00Z"/>
  <w16cex:commentExtensible w16cex:durableId="756C5771" w16cex:dateUtc="2026-05-02T15:57:00Z"/>
  <w16cex:commentExtensible w16cex:durableId="1F598E65" w16cex:dateUtc="2026-04-25T15:27:00Z"/>
  <w16cex:commentExtensible w16cex:durableId="791B50BA" w16cex:dateUtc="2026-05-02T16:10:00Z"/>
  <w16cex:commentExtensible w16cex:durableId="32297C1A" w16cex:dateUtc="2026-05-02T16:16:00Z"/>
  <w16cex:commentExtensible w16cex:durableId="056FE83A" w16cex:dateUtc="2026-04-25T15:28:00Z"/>
  <w16cex:commentExtensible w16cex:durableId="5826CB72" w16cex:dateUtc="2026-04-26T10:53:00Z"/>
  <w16cex:commentExtensible w16cex:durableId="637261D9" w16cex:dateUtc="2026-05-02T16:30:00Z"/>
  <w16cex:commentExtensible w16cex:durableId="5149286C" w16cex:dateUtc="2026-04-25T15:28:00Z"/>
  <w16cex:commentExtensible w16cex:durableId="39B8110B" w16cex:dateUtc="2026-05-02T16:39:00Z"/>
  <w16cex:commentExtensible w16cex:durableId="217093D6" w16cex:dateUtc="2026-05-02T16:39:00Z"/>
  <w16cex:commentExtensible w16cex:durableId="16DEB86B" w16cex:dateUtc="2026-04-26T10:06:00Z"/>
  <w16cex:commentExtensible w16cex:durableId="01D91097" w16cex:dateUtc="2026-04-25T15:30:00Z"/>
  <w16cex:commentExtensible w16cex:durableId="224E41DF" w16cex:dateUtc="2026-04-25T15:30:00Z"/>
  <w16cex:commentExtensible w16cex:durableId="37F23B19" w16cex:dateUtc="2026-04-25T15:30:00Z"/>
  <w16cex:commentExtensible w16cex:durableId="4D838302" w16cex:dateUtc="2026-05-02T16:51:00Z"/>
  <w16cex:commentExtensible w16cex:durableId="50A373CD" w16cex:dateUtc="2026-04-26T09:07:00Z"/>
  <w16cex:commentExtensible w16cex:durableId="542A01A3" w16cex:dateUtc="2026-04-26T09:10:00Z"/>
  <w16cex:commentExtensible w16cex:durableId="2BFB700C" w16cex:dateUtc="2026-05-02T19:13:00Z"/>
  <w16cex:commentExtensible w16cex:durableId="022FF2D1" w16cex:dateUtc="2026-04-26T09:11:00Z"/>
  <w16cex:commentExtensible w16cex:durableId="7D058D01" w16cex:dateUtc="2026-05-03T16:31:00Z"/>
  <w16cex:commentExtensible w16cex:durableId="003CC844" w16cex:dateUtc="2026-04-26T09:12:00Z"/>
  <w16cex:commentExtensible w16cex:durableId="12F58564" w16cex:dateUtc="2026-04-26T09:13:00Z"/>
  <w16cex:commentExtensible w16cex:durableId="57D0D5A4" w16cex:dateUtc="2026-05-03T20:08:00Z"/>
  <w16cex:commentExtensible w16cex:durableId="53CE0E56" w16cex:dateUtc="2026-05-03T16:35:00Z"/>
  <w16cex:commentExtensible w16cex:durableId="0B9A4B73" w16cex:dateUtc="2026-05-03T21:19:00Z"/>
  <w16cex:commentExtensible w16cex:durableId="7DCAEB00" w16cex:dateUtc="2026-05-03T21:19:00Z"/>
  <w16cex:commentExtensible w16cex:durableId="57C9177E" w16cex:dateUtc="2026-04-26T09:16:00Z"/>
  <w16cex:commentExtensible w16cex:durableId="6479F6C8" w16cex:dateUtc="2026-05-03T18:56:00Z"/>
  <w16cex:commentExtensible w16cex:durableId="4D79A725" w16cex:dateUtc="2026-04-26T09:16:00Z"/>
  <w16cex:commentExtensible w16cex:durableId="1D10B984" w16cex:dateUtc="2026-04-26T11:02:00Z"/>
  <w16cex:commentExtensible w16cex:durableId="74EC6516" w16cex:dateUtc="2026-04-26T09:16:00Z"/>
  <w16cex:commentExtensible w16cex:durableId="63D351B5" w16cex:dateUtc="2026-04-26T11:10:00Z"/>
  <w16cex:commentExtensible w16cex:durableId="56BDE432" w16cex:dateUtc="2026-04-26T09:17:00Z"/>
  <w16cex:commentExtensible w16cex:durableId="5A204959" w16cex:dateUtc="2026-04-26T11:11:00Z"/>
  <w16cex:commentExtensible w16cex:durableId="1CCB3DEA" w16cex:dateUtc="2026-04-26T09:17:00Z"/>
  <w16cex:commentExtensible w16cex:durableId="7472DBFE" w16cex:dateUtc="2026-04-26T09:18:00Z"/>
  <w16cex:commentExtensible w16cex:durableId="6C7DEC5C" w16cex:dateUtc="2026-04-26T09:19:00Z"/>
  <w16cex:commentExtensible w16cex:durableId="3C9D18A6" w16cex:dateUtc="2026-04-26T09:19:00Z"/>
  <w16cex:commentExtensible w16cex:durableId="399C3A50" w16cex:dateUtc="2026-05-03T21:41:00Z"/>
  <w16cex:commentExtensible w16cex:durableId="5334EAB9" w16cex:dateUtc="2026-05-03T19:23:00Z"/>
  <w16cex:commentExtensible w16cex:durableId="3EDA29CE" w16cex:dateUtc="2026-04-26T09:24:00Z"/>
  <w16cex:commentExtensible w16cex:durableId="6202CE8A" w16cex:dateUtc="2026-04-26T09:25:00Z"/>
  <w16cex:commentExtensible w16cex:durableId="12E91D35" w16cex:dateUtc="2026-04-26T09:49:00Z"/>
  <w16cex:commentExtensible w16cex:durableId="6ED32385" w16cex:dateUtc="2026-05-03T20:15:00Z"/>
  <w16cex:commentExtensible w16cex:durableId="66046A77" w16cex:dateUtc="2026-05-03T20:18:00Z"/>
  <w16cex:commentExtensible w16cex:durableId="7791140F" w16cex:dateUtc="2026-05-03T20: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5EC5206" w16cid:durableId="2EA7986C"/>
  <w16cid:commentId w16cid:paraId="27B7DFD2" w16cid:durableId="677FF86C"/>
  <w16cid:commentId w16cid:paraId="1388646F" w16cid:durableId="66AF8CF0"/>
  <w16cid:commentId w16cid:paraId="712749C1" w16cid:durableId="5644FCF5"/>
  <w16cid:commentId w16cid:paraId="5E292003" w16cid:durableId="515E5472"/>
  <w16cid:commentId w16cid:paraId="493A8285" w16cid:durableId="212F6DEE"/>
  <w16cid:commentId w16cid:paraId="5E66FA1A" w16cid:durableId="7A658F45"/>
  <w16cid:commentId w16cid:paraId="596C9104" w16cid:durableId="257E356C"/>
  <w16cid:commentId w16cid:paraId="6B667C1D" w16cid:durableId="77BC533E"/>
  <w16cid:commentId w16cid:paraId="67D665CA" w16cid:durableId="270D94E1"/>
  <w16cid:commentId w16cid:paraId="075894CE" w16cid:durableId="0D68F9B5"/>
  <w16cid:commentId w16cid:paraId="0EE1EDE0" w16cid:durableId="7CE1147D"/>
  <w16cid:commentId w16cid:paraId="3F2D67FB" w16cid:durableId="03BD0879"/>
  <w16cid:commentId w16cid:paraId="608C7903" w16cid:durableId="2E1B61F2"/>
  <w16cid:commentId w16cid:paraId="154E6DFD" w16cid:durableId="7E9345CA"/>
  <w16cid:commentId w16cid:paraId="18034F16" w16cid:durableId="704E77C1"/>
  <w16cid:commentId w16cid:paraId="4AFEBCE7" w16cid:durableId="3E15BB50"/>
  <w16cid:commentId w16cid:paraId="36C874ED" w16cid:durableId="7BFDAE33"/>
  <w16cid:commentId w16cid:paraId="14D28E81" w16cid:durableId="3E44D2BB"/>
  <w16cid:commentId w16cid:paraId="7922921E" w16cid:durableId="6347C8A8"/>
  <w16cid:commentId w16cid:paraId="5EB29489" w16cid:durableId="784B9266"/>
  <w16cid:commentId w16cid:paraId="095DF52F" w16cid:durableId="2B8ADCE1"/>
  <w16cid:commentId w16cid:paraId="472884BF" w16cid:durableId="5624C18B"/>
  <w16cid:commentId w16cid:paraId="3939FD0F" w16cid:durableId="3C38B43C"/>
  <w16cid:commentId w16cid:paraId="3DD79C58" w16cid:durableId="3F433A33"/>
  <w16cid:commentId w16cid:paraId="76971590" w16cid:durableId="756C5771"/>
  <w16cid:commentId w16cid:paraId="34853D4C" w16cid:durableId="1F598E65"/>
  <w16cid:commentId w16cid:paraId="11035F41" w16cid:durableId="791B50BA"/>
  <w16cid:commentId w16cid:paraId="267C50C5" w16cid:durableId="32297C1A"/>
  <w16cid:commentId w16cid:paraId="443805C2" w16cid:durableId="056FE83A"/>
  <w16cid:commentId w16cid:paraId="34CAAD80" w16cid:durableId="5826CB72"/>
  <w16cid:commentId w16cid:paraId="4C3B352E" w16cid:durableId="637261D9"/>
  <w16cid:commentId w16cid:paraId="5FFC51DE" w16cid:durableId="5149286C"/>
  <w16cid:commentId w16cid:paraId="30FBF7FD" w16cid:durableId="39B8110B"/>
  <w16cid:commentId w16cid:paraId="3FDB3690" w16cid:durableId="217093D6"/>
  <w16cid:commentId w16cid:paraId="4EEB461D" w16cid:durableId="16DEB86B"/>
  <w16cid:commentId w16cid:paraId="0FFF67F2" w16cid:durableId="01D91097"/>
  <w16cid:commentId w16cid:paraId="17FDEA37" w16cid:durableId="224E41DF"/>
  <w16cid:commentId w16cid:paraId="7C0ECFA1" w16cid:durableId="37F23B19"/>
  <w16cid:commentId w16cid:paraId="09327E6D" w16cid:durableId="4D838302"/>
  <w16cid:commentId w16cid:paraId="71A53DBC" w16cid:durableId="50A373CD"/>
  <w16cid:commentId w16cid:paraId="7330421F" w16cid:durableId="542A01A3"/>
  <w16cid:commentId w16cid:paraId="3F479BC8" w16cid:durableId="2BFB700C"/>
  <w16cid:commentId w16cid:paraId="434AD3D4" w16cid:durableId="022FF2D1"/>
  <w16cid:commentId w16cid:paraId="349F1377" w16cid:durableId="7D058D01"/>
  <w16cid:commentId w16cid:paraId="59428D4E" w16cid:durableId="003CC844"/>
  <w16cid:commentId w16cid:paraId="6933CF3C" w16cid:durableId="12F58564"/>
  <w16cid:commentId w16cid:paraId="03A23234" w16cid:durableId="57D0D5A4"/>
  <w16cid:commentId w16cid:paraId="158ACE4F" w16cid:durableId="53CE0E56"/>
  <w16cid:commentId w16cid:paraId="15297768" w16cid:durableId="0B9A4B73"/>
  <w16cid:commentId w16cid:paraId="0A1C1D7B" w16cid:durableId="7DCAEB00"/>
  <w16cid:commentId w16cid:paraId="795FFC9E" w16cid:durableId="57C9177E"/>
  <w16cid:commentId w16cid:paraId="2F50BEDF" w16cid:durableId="6479F6C8"/>
  <w16cid:commentId w16cid:paraId="502B882D" w16cid:durableId="4D79A725"/>
  <w16cid:commentId w16cid:paraId="293701DD" w16cid:durableId="1D10B984"/>
  <w16cid:commentId w16cid:paraId="0B805B61" w16cid:durableId="74EC6516"/>
  <w16cid:commentId w16cid:paraId="2AE010C9" w16cid:durableId="63D351B5"/>
  <w16cid:commentId w16cid:paraId="19E3D780" w16cid:durableId="56BDE432"/>
  <w16cid:commentId w16cid:paraId="768ABA99" w16cid:durableId="5A204959"/>
  <w16cid:commentId w16cid:paraId="0328FD81" w16cid:durableId="1CCB3DEA"/>
  <w16cid:commentId w16cid:paraId="1BEF15B6" w16cid:durableId="7472DBFE"/>
  <w16cid:commentId w16cid:paraId="0CF3DC5F" w16cid:durableId="6C7DEC5C"/>
  <w16cid:commentId w16cid:paraId="1BA61937" w16cid:durableId="3C9D18A6"/>
  <w16cid:commentId w16cid:paraId="7DBDD59A" w16cid:durableId="399C3A50"/>
  <w16cid:commentId w16cid:paraId="6E7C3D99" w16cid:durableId="5334EAB9"/>
  <w16cid:commentId w16cid:paraId="36C6D497" w16cid:durableId="3EDA29CE"/>
  <w16cid:commentId w16cid:paraId="16E4ADC9" w16cid:durableId="6202CE8A"/>
  <w16cid:commentId w16cid:paraId="3FA2ADD4" w16cid:durableId="12E91D35"/>
  <w16cid:commentId w16cid:paraId="4F2C9903" w16cid:durableId="6ED32385"/>
  <w16cid:commentId w16cid:paraId="48556205" w16cid:durableId="66046A77"/>
  <w16cid:commentId w16cid:paraId="03811C00" w16cid:durableId="7791140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464E3" w14:textId="77777777" w:rsidR="00C53C40" w:rsidRDefault="00C53C40" w:rsidP="006B66C4">
      <w:pPr>
        <w:spacing w:after="0" w:line="240" w:lineRule="auto"/>
      </w:pPr>
      <w:r>
        <w:separator/>
      </w:r>
    </w:p>
  </w:endnote>
  <w:endnote w:type="continuationSeparator" w:id="0">
    <w:p w14:paraId="375D69AE" w14:textId="77777777" w:rsidR="00C53C40" w:rsidRDefault="00C53C40" w:rsidP="006B6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03FE1" w14:textId="77777777" w:rsidR="00C53C40" w:rsidRDefault="00C53C40" w:rsidP="006B66C4">
      <w:pPr>
        <w:spacing w:after="0" w:line="240" w:lineRule="auto"/>
      </w:pPr>
      <w:r>
        <w:separator/>
      </w:r>
    </w:p>
  </w:footnote>
  <w:footnote w:type="continuationSeparator" w:id="0">
    <w:p w14:paraId="5D247651" w14:textId="77777777" w:rsidR="00C53C40" w:rsidRDefault="00C53C40" w:rsidP="006B66C4">
      <w:pPr>
        <w:spacing w:after="0" w:line="240" w:lineRule="auto"/>
      </w:pPr>
      <w:r>
        <w:continuationSeparator/>
      </w:r>
    </w:p>
  </w:footnote>
  <w:footnote w:id="1">
    <w:p w14:paraId="5A63D60B" w14:textId="5BD98BB5" w:rsidR="006B66C4" w:rsidRPr="00A83725" w:rsidRDefault="006B66C4" w:rsidP="00A83725">
      <w:pPr>
        <w:pStyle w:val="FootnoteText"/>
        <w:jc w:val="both"/>
      </w:pPr>
      <w:r>
        <w:rPr>
          <w:rStyle w:val="FootnoteReference"/>
        </w:rPr>
        <w:footnoteRef/>
      </w:r>
      <w:r>
        <w:t xml:space="preserve"> Martin J. Ryan and Nicholas J. Higham, </w:t>
      </w:r>
      <w:r w:rsidR="00A83725">
        <w:rPr>
          <w:i/>
          <w:iCs/>
        </w:rPr>
        <w:t>The Anglo-Saxon World</w:t>
      </w:r>
      <w:r w:rsidR="00A83725">
        <w:t xml:space="preserve"> (London: Yale University Press, 2015), pp. 179-183.</w:t>
      </w:r>
    </w:p>
  </w:footnote>
  <w:footnote w:id="2">
    <w:p w14:paraId="5563F7B4" w14:textId="79141E95" w:rsidR="00A83725" w:rsidRPr="00A83725" w:rsidRDefault="00A83725">
      <w:pPr>
        <w:pStyle w:val="FootnoteText"/>
      </w:pPr>
      <w:r>
        <w:rPr>
          <w:rStyle w:val="FootnoteReference"/>
        </w:rPr>
        <w:footnoteRef/>
      </w:r>
      <w:r>
        <w:t xml:space="preserve"> Frank Stenton, </w:t>
      </w:r>
      <w:r>
        <w:rPr>
          <w:i/>
          <w:iCs/>
        </w:rPr>
        <w:t>Anglo-Saxon England</w:t>
      </w:r>
      <w:r>
        <w:t>, 3</w:t>
      </w:r>
      <w:r w:rsidRPr="00A83725">
        <w:rPr>
          <w:vertAlign w:val="superscript"/>
        </w:rPr>
        <w:t>rd</w:t>
      </w:r>
      <w:r>
        <w:t xml:space="preserve"> edn. (Oxford: Oxford University Press, 1989), pp. 202-238. </w:t>
      </w:r>
    </w:p>
  </w:footnote>
  <w:footnote w:id="3">
    <w:p w14:paraId="02ABFCCE" w14:textId="4BA48DF3" w:rsidR="00A83725" w:rsidRPr="00A83725" w:rsidRDefault="00A83725">
      <w:pPr>
        <w:pStyle w:val="FootnoteText"/>
      </w:pPr>
      <w:r>
        <w:rPr>
          <w:rStyle w:val="FootnoteReference"/>
        </w:rPr>
        <w:footnoteRef/>
      </w:r>
      <w:r>
        <w:t xml:space="preserve"> Martin J. Ryan and Nicholas J. Higham, </w:t>
      </w:r>
      <w:r>
        <w:rPr>
          <w:i/>
          <w:iCs/>
        </w:rPr>
        <w:t>The Anglo-Saxon World</w:t>
      </w:r>
      <w:r>
        <w:t xml:space="preserve">, pp. 179-217. </w:t>
      </w:r>
    </w:p>
  </w:footnote>
  <w:footnote w:id="4">
    <w:p w14:paraId="61F87B70" w14:textId="464DCD7A" w:rsidR="00A83725" w:rsidRPr="00A83725" w:rsidRDefault="00A83725">
      <w:pPr>
        <w:pStyle w:val="FootnoteText"/>
      </w:pPr>
      <w:r>
        <w:rPr>
          <w:rStyle w:val="FootnoteReference"/>
        </w:rPr>
        <w:footnoteRef/>
      </w:r>
      <w:r>
        <w:t xml:space="preserve"> Sarah Zaluckyj and John Zaluckyj, </w:t>
      </w:r>
      <w:r>
        <w:rPr>
          <w:i/>
          <w:iCs/>
        </w:rPr>
        <w:t>Mercia: The Anglo-Saxon Kingdom of Central England</w:t>
      </w:r>
      <w:r>
        <w:t xml:space="preserve"> (Logaston: Logaston Press, 2001), pp. 28-36. </w:t>
      </w:r>
    </w:p>
  </w:footnote>
  <w:footnote w:id="5">
    <w:p w14:paraId="652AF455" w14:textId="73074244" w:rsidR="00A83725" w:rsidRPr="00A83725" w:rsidRDefault="00A83725">
      <w:pPr>
        <w:pStyle w:val="FootnoteText"/>
      </w:pPr>
      <w:r>
        <w:rPr>
          <w:rStyle w:val="FootnoteReference"/>
        </w:rPr>
        <w:footnoteRef/>
      </w:r>
      <w:r>
        <w:t xml:space="preserve"> Bede, </w:t>
      </w:r>
      <w:r>
        <w:rPr>
          <w:i/>
          <w:iCs/>
        </w:rPr>
        <w:t>The Ecclesiastical History of the English People</w:t>
      </w:r>
      <w:r>
        <w:t xml:space="preserve">, </w:t>
      </w:r>
      <w:r w:rsidR="000D3612">
        <w:t>ed. and trans. by Judith McClure and Roger Collins (Oxford: Oxford University Press, 1969), p. 144.</w:t>
      </w:r>
    </w:p>
  </w:footnote>
  <w:footnote w:id="6">
    <w:p w14:paraId="4BB0747B" w14:textId="6FE31418" w:rsidR="000D3612" w:rsidRPr="000D3612" w:rsidRDefault="000D3612">
      <w:pPr>
        <w:pStyle w:val="FootnoteText"/>
      </w:pPr>
      <w:r>
        <w:rPr>
          <w:rStyle w:val="FootnoteReference"/>
        </w:rPr>
        <w:footnoteRef/>
      </w:r>
      <w:r>
        <w:t xml:space="preserve"> </w:t>
      </w:r>
      <w:r>
        <w:rPr>
          <w:i/>
          <w:iCs/>
        </w:rPr>
        <w:t>The Anglo-Saxon Chronicles</w:t>
      </w:r>
      <w:r>
        <w:t>, ed. and trans. by Michael Swanton (London: Phoenix Press, 2000), pp. 24-25.</w:t>
      </w:r>
    </w:p>
  </w:footnote>
  <w:footnote w:id="7">
    <w:p w14:paraId="4E526409" w14:textId="04180901" w:rsidR="000D3612" w:rsidRPr="000D3612" w:rsidRDefault="000D3612">
      <w:pPr>
        <w:pStyle w:val="FootnoteText"/>
      </w:pPr>
      <w:r>
        <w:rPr>
          <w:rStyle w:val="FootnoteReference"/>
        </w:rPr>
        <w:footnoteRef/>
      </w:r>
      <w:r>
        <w:t xml:space="preserve"> Bede, </w:t>
      </w:r>
      <w:r>
        <w:rPr>
          <w:i/>
          <w:iCs/>
        </w:rPr>
        <w:t>The Ecclesiastical History of the English People</w:t>
      </w:r>
      <w:r>
        <w:t>, p. 105.</w:t>
      </w:r>
    </w:p>
  </w:footnote>
  <w:footnote w:id="8">
    <w:p w14:paraId="01028D45" w14:textId="7412511C" w:rsidR="000D3612" w:rsidRPr="000D3612" w:rsidRDefault="000D3612">
      <w:pPr>
        <w:pStyle w:val="FootnoteText"/>
      </w:pPr>
      <w:r>
        <w:rPr>
          <w:rStyle w:val="FootnoteReference"/>
        </w:rPr>
        <w:footnoteRef/>
      </w:r>
      <w:r>
        <w:t xml:space="preserve"> Frank Stenton, </w:t>
      </w:r>
      <w:r>
        <w:rPr>
          <w:i/>
          <w:iCs/>
        </w:rPr>
        <w:t>Anglo-Saxon England</w:t>
      </w:r>
      <w:r>
        <w:t xml:space="preserve">, p. 45. </w:t>
      </w:r>
    </w:p>
  </w:footnote>
  <w:footnote w:id="9">
    <w:p w14:paraId="14F217D4" w14:textId="2012A334" w:rsidR="000D3612" w:rsidRPr="000D3612" w:rsidRDefault="000D3612">
      <w:pPr>
        <w:pStyle w:val="FootnoteText"/>
      </w:pPr>
      <w:r>
        <w:rPr>
          <w:rStyle w:val="FootnoteReference"/>
        </w:rPr>
        <w:footnoteRef/>
      </w:r>
      <w:r>
        <w:t xml:space="preserve"> Alan Thacker, </w:t>
      </w:r>
      <w:r>
        <w:rPr>
          <w:i/>
          <w:iCs/>
        </w:rPr>
        <w:t>The New Cambridge Medieval History I: c. 500 – c. 700</w:t>
      </w:r>
      <w:r>
        <w:t xml:space="preserve">, ed. by Paul Fouracre and others (Cambridge: Cambridge University Press, 2005), p. 464. </w:t>
      </w:r>
    </w:p>
  </w:footnote>
  <w:footnote w:id="10">
    <w:p w14:paraId="1A51A6ED" w14:textId="77777777" w:rsidR="00162C9E" w:rsidRPr="000D3612" w:rsidRDefault="00162C9E" w:rsidP="00162C9E">
      <w:pPr>
        <w:pStyle w:val="FootnoteText"/>
      </w:pPr>
      <w:r>
        <w:rPr>
          <w:rStyle w:val="FootnoteReference"/>
        </w:rPr>
        <w:footnoteRef/>
      </w:r>
      <w:r>
        <w:t xml:space="preserve"> Frank Stenton,</w:t>
      </w:r>
      <w:r>
        <w:rPr>
          <w:i/>
          <w:iCs/>
        </w:rPr>
        <w:t xml:space="preserve"> Anglo-Saxon England</w:t>
      </w:r>
      <w:r>
        <w:t xml:space="preserve">, p. 67. </w:t>
      </w:r>
    </w:p>
  </w:footnote>
  <w:footnote w:id="11">
    <w:p w14:paraId="73DB8747" w14:textId="6D789A37" w:rsidR="000D3612" w:rsidRPr="00162C9E" w:rsidRDefault="000D3612">
      <w:pPr>
        <w:pStyle w:val="FootnoteText"/>
      </w:pPr>
      <w:r>
        <w:rPr>
          <w:rStyle w:val="FootnoteReference"/>
        </w:rPr>
        <w:footnoteRef/>
      </w:r>
      <w:r>
        <w:t xml:space="preserve"> D. P. Kirby</w:t>
      </w:r>
      <w:r w:rsidR="00162C9E">
        <w:t xml:space="preserve">, </w:t>
      </w:r>
      <w:r w:rsidR="00162C9E">
        <w:rPr>
          <w:i/>
          <w:iCs/>
        </w:rPr>
        <w:t>The Earliest English Kings</w:t>
      </w:r>
      <w:r w:rsidR="00162C9E">
        <w:t xml:space="preserve"> (London: Routledge, 2000), pp. 16-18. </w:t>
      </w:r>
    </w:p>
  </w:footnote>
  <w:footnote w:id="12">
    <w:p w14:paraId="3AE34564" w14:textId="3917A262" w:rsidR="00162C9E" w:rsidRPr="00162C9E" w:rsidRDefault="00162C9E">
      <w:pPr>
        <w:pStyle w:val="FootnoteText"/>
      </w:pPr>
      <w:r>
        <w:rPr>
          <w:rStyle w:val="FootnoteReference"/>
        </w:rPr>
        <w:footnoteRef/>
      </w:r>
      <w:r>
        <w:t xml:space="preserve"> Bede, </w:t>
      </w:r>
      <w:r>
        <w:rPr>
          <w:i/>
          <w:iCs/>
        </w:rPr>
        <w:t>The Ecclesiastical History of the English People</w:t>
      </w:r>
      <w:r>
        <w:t xml:space="preserve">, p. 289. </w:t>
      </w:r>
    </w:p>
  </w:footnote>
  <w:footnote w:id="13">
    <w:p w14:paraId="2BD0F7ED" w14:textId="5F5AF33F" w:rsidR="00162C9E" w:rsidRPr="00162C9E" w:rsidRDefault="00162C9E">
      <w:pPr>
        <w:pStyle w:val="FootnoteText"/>
      </w:pPr>
      <w:r>
        <w:rPr>
          <w:rStyle w:val="FootnoteReference"/>
        </w:rPr>
        <w:footnoteRef/>
      </w:r>
      <w:r>
        <w:t xml:space="preserve"> Martin J. Ryan and Nicholas J. Higham, </w:t>
      </w:r>
      <w:r>
        <w:rPr>
          <w:i/>
          <w:iCs/>
        </w:rPr>
        <w:t>The Anglo-Saxon World</w:t>
      </w:r>
      <w:r>
        <w:t>, p. 186.</w:t>
      </w:r>
    </w:p>
  </w:footnote>
  <w:footnote w:id="14">
    <w:p w14:paraId="136C0E78" w14:textId="5D38E244" w:rsidR="00162C9E" w:rsidRDefault="00162C9E">
      <w:pPr>
        <w:pStyle w:val="FootnoteText"/>
      </w:pPr>
      <w:r>
        <w:rPr>
          <w:rStyle w:val="FootnoteReference"/>
        </w:rPr>
        <w:footnoteRef/>
      </w:r>
      <w:r>
        <w:t xml:space="preserve"> Ibid., pp. 186-191. </w:t>
      </w:r>
    </w:p>
  </w:footnote>
  <w:footnote w:id="15">
    <w:p w14:paraId="2BFB801E" w14:textId="37A93CC7" w:rsidR="00162C9E" w:rsidRDefault="00162C9E">
      <w:pPr>
        <w:pStyle w:val="FootnoteText"/>
      </w:pPr>
      <w:r>
        <w:rPr>
          <w:rStyle w:val="FootnoteReference"/>
        </w:rPr>
        <w:footnoteRef/>
      </w:r>
      <w:r>
        <w:t xml:space="preserve"> </w:t>
      </w:r>
      <w:r>
        <w:rPr>
          <w:i/>
          <w:iCs/>
        </w:rPr>
        <w:t>The Anglo-Saxon Chronicles</w:t>
      </w:r>
      <w:r>
        <w:t>, ed. and trans. by Michael Swanton</w:t>
      </w:r>
      <w:r>
        <w:t xml:space="preserve">, p. 56. </w:t>
      </w:r>
    </w:p>
  </w:footnote>
  <w:footnote w:id="16">
    <w:p w14:paraId="382CA330" w14:textId="07670D57" w:rsidR="00162C9E" w:rsidRDefault="00162C9E">
      <w:pPr>
        <w:pStyle w:val="FootnoteText"/>
      </w:pPr>
      <w:r>
        <w:rPr>
          <w:rStyle w:val="FootnoteReference"/>
        </w:rPr>
        <w:footnoteRef/>
      </w:r>
      <w:r>
        <w:t xml:space="preserve"> </w:t>
      </w:r>
      <w:r w:rsidRPr="00162C9E">
        <w:t>Ibid</w:t>
      </w:r>
      <w:r>
        <w:rPr>
          <w:i/>
          <w:iCs/>
        </w:rPr>
        <w:t>.</w:t>
      </w:r>
      <w:r>
        <w:t>, p. 24.</w:t>
      </w:r>
    </w:p>
  </w:footnote>
  <w:footnote w:id="17">
    <w:p w14:paraId="5CA958EC" w14:textId="7CA637C0" w:rsidR="00162C9E" w:rsidRPr="00162C9E" w:rsidRDefault="00162C9E">
      <w:pPr>
        <w:pStyle w:val="FootnoteText"/>
      </w:pPr>
      <w:r>
        <w:rPr>
          <w:rStyle w:val="FootnoteReference"/>
        </w:rPr>
        <w:footnoteRef/>
      </w:r>
      <w:r>
        <w:t xml:space="preserve"> Bede, </w:t>
      </w:r>
      <w:r>
        <w:rPr>
          <w:i/>
          <w:iCs/>
        </w:rPr>
        <w:t>The Ecclesiastical History of the English People</w:t>
      </w:r>
      <w:r>
        <w:t xml:space="preserve">, p. 105. </w:t>
      </w:r>
    </w:p>
  </w:footnote>
  <w:footnote w:id="18">
    <w:p w14:paraId="4AE9001D" w14:textId="325C58CC" w:rsidR="00162C9E" w:rsidRDefault="00162C9E">
      <w:pPr>
        <w:pStyle w:val="FootnoteText"/>
      </w:pPr>
      <w:r>
        <w:rPr>
          <w:rStyle w:val="FootnoteReference"/>
        </w:rPr>
        <w:footnoteRef/>
      </w:r>
      <w:r>
        <w:t xml:space="preserve"> Ibid., p. 105. </w:t>
      </w:r>
    </w:p>
  </w:footnote>
  <w:footnote w:id="19">
    <w:p w14:paraId="496988EF" w14:textId="0636F7AC" w:rsidR="00162C9E" w:rsidRPr="00162C9E" w:rsidRDefault="00162C9E">
      <w:pPr>
        <w:pStyle w:val="FootnoteText"/>
      </w:pPr>
      <w:r>
        <w:rPr>
          <w:rStyle w:val="FootnoteReference"/>
        </w:rPr>
        <w:footnoteRef/>
      </w:r>
      <w:r>
        <w:t xml:space="preserve"> Frank Stenton, </w:t>
      </w:r>
      <w:r>
        <w:rPr>
          <w:i/>
          <w:iCs/>
        </w:rPr>
        <w:t>Anglo-Saxon World</w:t>
      </w:r>
      <w:r>
        <w:t xml:space="preserve">, p. 120. </w:t>
      </w:r>
    </w:p>
  </w:footnote>
  <w:footnote w:id="20">
    <w:p w14:paraId="381DF2F2" w14:textId="00DA0D52" w:rsidR="004D2CB9" w:rsidRPr="004D2CB9" w:rsidRDefault="004D2CB9">
      <w:pPr>
        <w:pStyle w:val="FootnoteText"/>
      </w:pPr>
      <w:r>
        <w:rPr>
          <w:rStyle w:val="FootnoteReference"/>
        </w:rPr>
        <w:footnoteRef/>
      </w:r>
      <w:r>
        <w:t xml:space="preserve"> Alan Thacker, </w:t>
      </w:r>
      <w:r>
        <w:rPr>
          <w:i/>
          <w:iCs/>
        </w:rPr>
        <w:t>The New Cambridge Medieval History I: c. 500 – c. 700</w:t>
      </w:r>
      <w:r>
        <w:t>, p. 465.</w:t>
      </w:r>
    </w:p>
  </w:footnote>
  <w:footnote w:id="21">
    <w:p w14:paraId="00ABD5B8" w14:textId="7CB3CE81" w:rsidR="004D2CB9" w:rsidRDefault="004D2CB9">
      <w:pPr>
        <w:pStyle w:val="FootnoteText"/>
      </w:pPr>
      <w:r>
        <w:rPr>
          <w:rStyle w:val="FootnoteReference"/>
        </w:rPr>
        <w:footnoteRef/>
      </w:r>
      <w:r>
        <w:t xml:space="preserve"> </w:t>
      </w:r>
      <w:r>
        <w:t xml:space="preserve">Martin J. Ryan and Nicholas J. Higham, </w:t>
      </w:r>
      <w:r>
        <w:rPr>
          <w:i/>
          <w:iCs/>
        </w:rPr>
        <w:t>The Anglo-Saxon World</w:t>
      </w:r>
      <w:r>
        <w:t>, p</w:t>
      </w:r>
      <w:r>
        <w:t>p</w:t>
      </w:r>
      <w:r>
        <w:t xml:space="preserve">. </w:t>
      </w:r>
      <w:r>
        <w:t>182-183</w:t>
      </w:r>
      <w:r>
        <w:t>.</w:t>
      </w:r>
    </w:p>
  </w:footnote>
  <w:footnote w:id="22">
    <w:p w14:paraId="1BAF2883" w14:textId="3D96C129" w:rsidR="004D2CB9" w:rsidRPr="004D2CB9" w:rsidRDefault="004D2CB9">
      <w:pPr>
        <w:pStyle w:val="FootnoteText"/>
      </w:pPr>
      <w:r>
        <w:rPr>
          <w:rStyle w:val="FootnoteReference"/>
        </w:rPr>
        <w:footnoteRef/>
      </w:r>
      <w:r>
        <w:t xml:space="preserve"> Frank Stenton, </w:t>
      </w:r>
      <w:r>
        <w:rPr>
          <w:i/>
          <w:iCs/>
        </w:rPr>
        <w:t>Anglo-Saxon World</w:t>
      </w:r>
      <w:r>
        <w:t>, pp. 79-84.</w:t>
      </w:r>
    </w:p>
  </w:footnote>
  <w:footnote w:id="23">
    <w:p w14:paraId="210BE553" w14:textId="549678B7" w:rsidR="004D2CB9" w:rsidRPr="004D2CB9" w:rsidRDefault="004D2CB9" w:rsidP="009A06DD">
      <w:pPr>
        <w:spacing w:after="0"/>
        <w:rPr>
          <w:sz w:val="20"/>
          <w:szCs w:val="20"/>
        </w:rPr>
      </w:pPr>
      <w:r>
        <w:rPr>
          <w:rStyle w:val="FootnoteReference"/>
        </w:rPr>
        <w:footnoteRef/>
      </w:r>
      <w:r>
        <w:rPr>
          <w:color w:val="000000" w:themeColor="text1"/>
          <w:sz w:val="20"/>
          <w:szCs w:val="20"/>
        </w:rPr>
        <w:t xml:space="preserve"> </w:t>
      </w:r>
      <w:r w:rsidR="00DA0FFD" w:rsidRPr="00DA0FFD">
        <w:rPr>
          <w:i/>
          <w:iCs/>
          <w:color w:val="000000" w:themeColor="text1"/>
          <w:sz w:val="20"/>
          <w:szCs w:val="20"/>
        </w:rPr>
        <w:t>Electronic Sawyer</w:t>
      </w:r>
      <w:r w:rsidR="00DA0FFD" w:rsidRPr="00DA0FFD">
        <w:rPr>
          <w:color w:val="000000" w:themeColor="text1"/>
          <w:sz w:val="20"/>
          <w:szCs w:val="20"/>
        </w:rPr>
        <w:t xml:space="preserve">, ‘Charter </w:t>
      </w:r>
      <w:r w:rsidR="00DA0FFD">
        <w:rPr>
          <w:color w:val="000000" w:themeColor="text1"/>
          <w:sz w:val="20"/>
          <w:szCs w:val="20"/>
        </w:rPr>
        <w:t>89</w:t>
      </w:r>
      <w:r w:rsidR="00DA0FFD" w:rsidRPr="00DA0FFD">
        <w:rPr>
          <w:color w:val="000000" w:themeColor="text1"/>
          <w:sz w:val="20"/>
          <w:szCs w:val="20"/>
        </w:rPr>
        <w:t>’, University of Cambridge, &lt;https://esawyer.lib.cam.ac.uk/charter/132.html&gt; [accessed 3 May 2026].</w:t>
      </w:r>
    </w:p>
  </w:footnote>
  <w:footnote w:id="24">
    <w:p w14:paraId="146E03A5" w14:textId="0CDCEF39" w:rsidR="009A06DD" w:rsidRPr="009A06DD" w:rsidRDefault="009A06DD">
      <w:pPr>
        <w:pStyle w:val="FootnoteText"/>
      </w:pPr>
      <w:r>
        <w:rPr>
          <w:rStyle w:val="FootnoteReference"/>
        </w:rPr>
        <w:footnoteRef/>
      </w:r>
      <w:r>
        <w:t xml:space="preserve"> </w:t>
      </w:r>
      <w:r>
        <w:t xml:space="preserve">D. P. Kirby, </w:t>
      </w:r>
      <w:r>
        <w:rPr>
          <w:i/>
          <w:iCs/>
        </w:rPr>
        <w:t>The Earliest English Kings</w:t>
      </w:r>
      <w:r>
        <w:t>, pp. 11-12.</w:t>
      </w:r>
    </w:p>
  </w:footnote>
  <w:footnote w:id="25">
    <w:p w14:paraId="1F1DF2EE" w14:textId="1165DFA5" w:rsidR="009A06DD" w:rsidRDefault="009A06DD">
      <w:pPr>
        <w:pStyle w:val="FootnoteText"/>
      </w:pPr>
      <w:r>
        <w:rPr>
          <w:rStyle w:val="FootnoteReference"/>
        </w:rPr>
        <w:footnoteRef/>
      </w:r>
      <w:r>
        <w:t xml:space="preserve"> Ibid., pp. 11-12. </w:t>
      </w:r>
    </w:p>
  </w:footnote>
  <w:footnote w:id="26">
    <w:p w14:paraId="46DB7B06" w14:textId="59D028B1" w:rsidR="009A06DD" w:rsidRPr="009A06DD" w:rsidRDefault="009A06DD">
      <w:pPr>
        <w:pStyle w:val="FootnoteText"/>
      </w:pPr>
      <w:r>
        <w:rPr>
          <w:rStyle w:val="FootnoteReference"/>
        </w:rPr>
        <w:footnoteRef/>
      </w:r>
      <w:r>
        <w:t xml:space="preserve"> Frank Stenton, </w:t>
      </w:r>
      <w:r>
        <w:rPr>
          <w:i/>
          <w:iCs/>
        </w:rPr>
        <w:t>Anglo-Saxon World</w:t>
      </w:r>
      <w:r>
        <w:t xml:space="preserve">, pp. 219-223. </w:t>
      </w:r>
    </w:p>
  </w:footnote>
  <w:footnote w:id="27">
    <w:p w14:paraId="290132F1" w14:textId="015880ED" w:rsidR="009A06DD" w:rsidRPr="009A06DD" w:rsidRDefault="009A06DD">
      <w:pPr>
        <w:pStyle w:val="FootnoteText"/>
      </w:pPr>
      <w:r>
        <w:rPr>
          <w:rStyle w:val="FootnoteReference"/>
        </w:rPr>
        <w:footnoteRef/>
      </w:r>
      <w:r>
        <w:t xml:space="preserve"> The Anglo Saxons, </w:t>
      </w:r>
      <w:r>
        <w:rPr>
          <w:i/>
          <w:iCs/>
        </w:rPr>
        <w:t xml:space="preserve">Charlemagne’s Letter to Offa of Mercia </w:t>
      </w:r>
      <w:r>
        <w:t>(2024) &lt;</w:t>
      </w:r>
      <w:r w:rsidRPr="009A06DD">
        <w:t>https://www.theanglosaxons.com/letter-to-offa-from-charlemagne/</w:t>
      </w:r>
      <w:r>
        <w:t xml:space="preserve">&gt; [Accessed 03 May 2026]. </w:t>
      </w:r>
    </w:p>
  </w:footnote>
  <w:footnote w:id="28">
    <w:p w14:paraId="5A75004D" w14:textId="36F9A897" w:rsidR="009A06DD" w:rsidRDefault="009A06DD">
      <w:pPr>
        <w:pStyle w:val="FootnoteText"/>
      </w:pPr>
      <w:r>
        <w:rPr>
          <w:rStyle w:val="FootnoteReference"/>
        </w:rPr>
        <w:footnoteRef/>
      </w:r>
      <w:r>
        <w:t xml:space="preserve"> </w:t>
      </w:r>
      <w:r>
        <w:t xml:space="preserve">Martin J. Ryan and Nicholas J. Higham, </w:t>
      </w:r>
      <w:r>
        <w:rPr>
          <w:i/>
          <w:iCs/>
        </w:rPr>
        <w:t>The Anglo-Saxon World</w:t>
      </w:r>
      <w:r>
        <w:t xml:space="preserve">, pp. </w:t>
      </w:r>
      <w:r>
        <w:t>188-189</w:t>
      </w:r>
      <w:r>
        <w:t>.</w:t>
      </w:r>
    </w:p>
  </w:footnote>
  <w:footnote w:id="29">
    <w:p w14:paraId="0B457A18" w14:textId="15AFBEBD" w:rsidR="009A06DD" w:rsidRDefault="009A06DD">
      <w:pPr>
        <w:pStyle w:val="FootnoteText"/>
      </w:pPr>
      <w:r>
        <w:rPr>
          <w:rStyle w:val="FootnoteReference"/>
        </w:rPr>
        <w:footnoteRef/>
      </w:r>
      <w:r>
        <w:t xml:space="preserve"> Ibid., pp. 188-189. </w:t>
      </w:r>
    </w:p>
  </w:footnote>
  <w:footnote w:id="30">
    <w:p w14:paraId="6BA709D9" w14:textId="4B5C4CDD" w:rsidR="009A06DD" w:rsidRPr="009A06DD" w:rsidRDefault="009A06DD">
      <w:pPr>
        <w:pStyle w:val="FootnoteText"/>
      </w:pPr>
      <w:r>
        <w:rPr>
          <w:rStyle w:val="FootnoteReference"/>
        </w:rPr>
        <w:footnoteRef/>
      </w:r>
      <w:r>
        <w:t xml:space="preserve"> </w:t>
      </w:r>
      <w:r w:rsidR="00DA0FFD" w:rsidRPr="00DA0FFD">
        <w:rPr>
          <w:i/>
          <w:iCs/>
          <w:color w:val="000000" w:themeColor="text1"/>
        </w:rPr>
        <w:t>Electronic Sawyer</w:t>
      </w:r>
      <w:r w:rsidR="00DA0FFD" w:rsidRPr="00DA0FFD">
        <w:rPr>
          <w:color w:val="000000" w:themeColor="text1"/>
        </w:rPr>
        <w:t xml:space="preserve">, ‘Charter </w:t>
      </w:r>
      <w:r w:rsidR="00DA0FFD">
        <w:rPr>
          <w:color w:val="000000" w:themeColor="text1"/>
        </w:rPr>
        <w:t>89</w:t>
      </w:r>
      <w:r w:rsidR="00DA0FFD" w:rsidRPr="00DA0FFD">
        <w:rPr>
          <w:color w:val="000000" w:themeColor="text1"/>
        </w:rPr>
        <w:t>’</w:t>
      </w:r>
      <w:r w:rsidR="00DA0FFD">
        <w:rPr>
          <w:color w:val="000000" w:themeColor="text1"/>
        </w:rPr>
        <w:t>.</w:t>
      </w:r>
    </w:p>
  </w:footnote>
  <w:footnote w:id="31">
    <w:p w14:paraId="4157D292" w14:textId="2C9F7236" w:rsidR="009A06DD" w:rsidRPr="009A06DD" w:rsidRDefault="009A06DD">
      <w:pPr>
        <w:pStyle w:val="FootnoteText"/>
      </w:pPr>
      <w:r>
        <w:rPr>
          <w:rStyle w:val="FootnoteReference"/>
        </w:rPr>
        <w:footnoteRef/>
      </w:r>
      <w:r>
        <w:t xml:space="preserve"> </w:t>
      </w:r>
      <w:r>
        <w:rPr>
          <w:i/>
          <w:iCs/>
        </w:rPr>
        <w:t>The Anglo-Saxon Chronicle</w:t>
      </w:r>
      <w:r>
        <w:t>, p. 32.</w:t>
      </w:r>
    </w:p>
  </w:footnote>
  <w:footnote w:id="32">
    <w:p w14:paraId="58B58D63" w14:textId="1069A042" w:rsidR="009A06DD" w:rsidRPr="009A06DD" w:rsidRDefault="009A06DD">
      <w:pPr>
        <w:pStyle w:val="FootnoteText"/>
      </w:pPr>
      <w:r>
        <w:rPr>
          <w:rStyle w:val="FootnoteReference"/>
        </w:rPr>
        <w:footnoteRef/>
      </w:r>
      <w:r>
        <w:t xml:space="preserve"> Bede, </w:t>
      </w:r>
      <w:r>
        <w:rPr>
          <w:i/>
          <w:iCs/>
        </w:rPr>
        <w:t>An Ecclesiastical History of the English People</w:t>
      </w:r>
      <w:r>
        <w:t xml:space="preserve">, pp. 91-94. </w:t>
      </w:r>
    </w:p>
  </w:footnote>
  <w:footnote w:id="33">
    <w:p w14:paraId="0A785291" w14:textId="14F53B4E" w:rsidR="009A06DD" w:rsidRPr="009A06DD" w:rsidRDefault="009A06DD">
      <w:pPr>
        <w:pStyle w:val="FootnoteText"/>
      </w:pPr>
      <w:r>
        <w:rPr>
          <w:rStyle w:val="FootnoteReference"/>
        </w:rPr>
        <w:footnoteRef/>
      </w:r>
      <w:r>
        <w:t xml:space="preserve"> Frank Stenton, </w:t>
      </w:r>
      <w:r>
        <w:rPr>
          <w:i/>
          <w:iCs/>
        </w:rPr>
        <w:t>Anglo-Saxon England</w:t>
      </w:r>
      <w:r>
        <w:t>, p. 237.</w:t>
      </w:r>
    </w:p>
  </w:footnote>
  <w:footnote w:id="34">
    <w:p w14:paraId="17AE916E" w14:textId="77777777" w:rsidR="009A06DD" w:rsidRDefault="009A06DD" w:rsidP="009A06DD">
      <w:pPr>
        <w:pStyle w:val="FootnoteText"/>
      </w:pPr>
      <w:r>
        <w:rPr>
          <w:rStyle w:val="FootnoteReference"/>
        </w:rPr>
        <w:footnoteRef/>
      </w:r>
      <w:r>
        <w:t xml:space="preserve"> Ibid., p. 237. </w:t>
      </w:r>
    </w:p>
  </w:footnote>
  <w:footnote w:id="35">
    <w:p w14:paraId="1B3D6225" w14:textId="2AB9EBCF" w:rsidR="009A06DD" w:rsidRPr="009A06DD" w:rsidRDefault="009A06DD">
      <w:pPr>
        <w:pStyle w:val="FootnoteText"/>
      </w:pPr>
      <w:r>
        <w:rPr>
          <w:rStyle w:val="FootnoteReference"/>
        </w:rPr>
        <w:footnoteRef/>
      </w:r>
      <w:r>
        <w:t xml:space="preserve"> Frank Stenton, </w:t>
      </w:r>
      <w:r>
        <w:rPr>
          <w:i/>
          <w:iCs/>
        </w:rPr>
        <w:t>Anglo-Saxon England</w:t>
      </w:r>
      <w:r>
        <w:t>, pp. 215-218.</w:t>
      </w:r>
    </w:p>
  </w:footnote>
  <w:footnote w:id="36">
    <w:p w14:paraId="1C552810" w14:textId="3E61D242" w:rsidR="009A06DD" w:rsidRPr="009A06DD" w:rsidRDefault="009A06DD">
      <w:pPr>
        <w:pStyle w:val="FootnoteText"/>
      </w:pPr>
      <w:r>
        <w:rPr>
          <w:rStyle w:val="FootnoteReference"/>
        </w:rPr>
        <w:footnoteRef/>
      </w:r>
      <w:r>
        <w:t xml:space="preserve"> Patrick Worm</w:t>
      </w:r>
      <w:r w:rsidR="00C96845">
        <w:t>a</w:t>
      </w:r>
      <w:r>
        <w:t xml:space="preserve">ld, </w:t>
      </w:r>
      <w:r>
        <w:rPr>
          <w:i/>
          <w:iCs/>
        </w:rPr>
        <w:t>The Cambridge Companion to Old English Literature</w:t>
      </w:r>
      <w:r>
        <w:t xml:space="preserve">, ed. by Malcolm Godden and Michael Lapidge (Cambridge: Cambridge University Press, 1991), pp. 16-17. </w:t>
      </w:r>
    </w:p>
  </w:footnote>
  <w:footnote w:id="37">
    <w:p w14:paraId="13D1BA40" w14:textId="3B5D3065" w:rsidR="00C96845" w:rsidRPr="00C96845" w:rsidRDefault="00C96845">
      <w:pPr>
        <w:pStyle w:val="FootnoteText"/>
      </w:pPr>
      <w:r>
        <w:rPr>
          <w:rStyle w:val="FootnoteReference"/>
        </w:rPr>
        <w:footnoteRef/>
      </w:r>
      <w:r>
        <w:t xml:space="preserve"> </w:t>
      </w:r>
      <w:r w:rsidRPr="00C96845">
        <w:rPr>
          <w:i/>
          <w:iCs/>
        </w:rPr>
        <w:t>Electronic Sawyer</w:t>
      </w:r>
      <w:r w:rsidRPr="00C96845">
        <w:t xml:space="preserve">, ‘Charter </w:t>
      </w:r>
      <w:r>
        <w:t>92</w:t>
      </w:r>
      <w:r w:rsidRPr="00C96845">
        <w:t xml:space="preserve">’, University of Cambridge, </w:t>
      </w:r>
      <w:r>
        <w:t>&lt;</w:t>
      </w:r>
      <w:r w:rsidRPr="00C96845">
        <w:t>https://esawyer.lib.cam.ac.uk/charter/132.html</w:t>
      </w:r>
      <w:r>
        <w:t>&gt;</w:t>
      </w:r>
      <w:r w:rsidRPr="00C96845">
        <w:t xml:space="preserve"> [accessed </w:t>
      </w:r>
      <w:r>
        <w:t>0</w:t>
      </w:r>
      <w:r w:rsidRPr="00C96845">
        <w:t>3 May 2026].</w:t>
      </w:r>
    </w:p>
  </w:footnote>
  <w:footnote w:id="38">
    <w:p w14:paraId="34EFBC1B" w14:textId="0140BC8A" w:rsidR="00C96845" w:rsidRPr="00C96845" w:rsidRDefault="00C96845">
      <w:pPr>
        <w:pStyle w:val="FootnoteText"/>
      </w:pPr>
      <w:r>
        <w:rPr>
          <w:rStyle w:val="FootnoteReference"/>
        </w:rPr>
        <w:footnoteRef/>
      </w:r>
      <w:r>
        <w:t xml:space="preserve"> Jay Gates, </w:t>
      </w:r>
      <w:r>
        <w:rPr>
          <w:i/>
          <w:iCs/>
        </w:rPr>
        <w:t>Prologue to the Laws of King Alfred: An Edition and Translation for Students</w:t>
      </w:r>
      <w:r>
        <w:t xml:space="preserve"> (2018) &lt;</w:t>
      </w:r>
      <w:r w:rsidRPr="00C96845">
        <w:t>https://jemne.org/issues/18/gates.php</w:t>
      </w:r>
      <w:r>
        <w:t xml:space="preserve">&gt; [Accessed 03 May 2025]. </w:t>
      </w:r>
    </w:p>
  </w:footnote>
  <w:footnote w:id="39">
    <w:p w14:paraId="40DC7306" w14:textId="63FCFF06" w:rsidR="00C96845" w:rsidRDefault="00C96845">
      <w:pPr>
        <w:pStyle w:val="FootnoteText"/>
      </w:pPr>
      <w:r>
        <w:rPr>
          <w:rStyle w:val="FootnoteReference"/>
        </w:rPr>
        <w:footnoteRef/>
      </w:r>
      <w:r>
        <w:t xml:space="preserve"> </w:t>
      </w:r>
      <w:r w:rsidR="00DA0FFD" w:rsidRPr="00DA0FFD">
        <w:rPr>
          <w:i/>
          <w:iCs/>
          <w:color w:val="000000" w:themeColor="text1"/>
        </w:rPr>
        <w:t>Electronic Sawyer</w:t>
      </w:r>
      <w:r w:rsidR="00DA0FFD" w:rsidRPr="00DA0FFD">
        <w:rPr>
          <w:color w:val="000000" w:themeColor="text1"/>
        </w:rPr>
        <w:t xml:space="preserve">, ‘Charter </w:t>
      </w:r>
      <w:r w:rsidR="00DA0FFD">
        <w:rPr>
          <w:color w:val="000000" w:themeColor="text1"/>
        </w:rPr>
        <w:t>89</w:t>
      </w:r>
      <w:r w:rsidR="00DA0FFD" w:rsidRPr="00DA0FFD">
        <w:rPr>
          <w:color w:val="000000" w:themeColor="text1"/>
        </w:rPr>
        <w:t>’</w:t>
      </w:r>
      <w:r w:rsidR="00DA0FFD">
        <w:rPr>
          <w:color w:val="000000" w:themeColor="text1"/>
        </w:rPr>
        <w:t>.</w:t>
      </w:r>
    </w:p>
  </w:footnote>
  <w:footnote w:id="40">
    <w:p w14:paraId="5CBAC39F" w14:textId="60060F63" w:rsidR="00C96845" w:rsidRDefault="00C96845" w:rsidP="00C96845">
      <w:pPr>
        <w:pStyle w:val="FootnoteText"/>
      </w:pPr>
      <w:r>
        <w:rPr>
          <w:rStyle w:val="FootnoteReference"/>
        </w:rPr>
        <w:footnoteRef/>
      </w:r>
      <w:r>
        <w:t xml:space="preserve"> Martin J. Ryan and Nicholas J. Higham, </w:t>
      </w:r>
      <w:r>
        <w:rPr>
          <w:i/>
          <w:iCs/>
        </w:rPr>
        <w:t>The Anglo-Saxon World</w:t>
      </w:r>
      <w:r>
        <w:t xml:space="preserve">, </w:t>
      </w:r>
      <w:r>
        <w:t xml:space="preserve">p. 191. </w:t>
      </w:r>
    </w:p>
  </w:footnote>
  <w:footnote w:id="41">
    <w:p w14:paraId="1F370871" w14:textId="66F4F100" w:rsidR="00C96845" w:rsidRDefault="00C96845">
      <w:pPr>
        <w:pStyle w:val="FootnoteText"/>
      </w:pPr>
      <w:r>
        <w:rPr>
          <w:rStyle w:val="FootnoteReference"/>
        </w:rPr>
        <w:footnoteRef/>
      </w:r>
      <w:r>
        <w:t xml:space="preserve"> </w:t>
      </w:r>
      <w:r w:rsidRPr="00C96845">
        <w:rPr>
          <w:i/>
          <w:iCs/>
        </w:rPr>
        <w:t>Electronic Sawyer</w:t>
      </w:r>
      <w:r w:rsidRPr="00C96845">
        <w:t xml:space="preserve">, ‘Charter 132’, University of Cambridge, </w:t>
      </w:r>
      <w:r>
        <w:t>&lt;</w:t>
      </w:r>
      <w:r w:rsidRPr="00C96845">
        <w:t>https://esawyer.lib.cam.ac.uk/charter/132.html</w:t>
      </w:r>
      <w:r>
        <w:t>&gt;</w:t>
      </w:r>
      <w:r w:rsidRPr="00C96845">
        <w:t xml:space="preserve"> [accessed </w:t>
      </w:r>
      <w:r>
        <w:t>0</w:t>
      </w:r>
      <w:r w:rsidRPr="00C96845">
        <w:t>3 May 2026].</w:t>
      </w:r>
    </w:p>
  </w:footnote>
  <w:footnote w:id="42">
    <w:p w14:paraId="09CEAACE" w14:textId="4395BAE2" w:rsidR="00DA0FFD" w:rsidRPr="00DA0FFD" w:rsidRDefault="00DA0FFD">
      <w:pPr>
        <w:pStyle w:val="FootnoteText"/>
      </w:pPr>
      <w:r>
        <w:rPr>
          <w:rStyle w:val="FootnoteReference"/>
        </w:rPr>
        <w:footnoteRef/>
      </w:r>
      <w:r>
        <w:t xml:space="preserve"> Frank Stenton, </w:t>
      </w:r>
      <w:r>
        <w:rPr>
          <w:i/>
          <w:iCs/>
        </w:rPr>
        <w:t>Anglo-Saxon England</w:t>
      </w:r>
      <w:r>
        <w:t xml:space="preserve">, pp. 212-214. </w:t>
      </w:r>
    </w:p>
  </w:footnote>
  <w:footnote w:id="43">
    <w:p w14:paraId="4B84F09A" w14:textId="68F4CEFB" w:rsidR="00DA0FFD" w:rsidRDefault="00DA0FFD">
      <w:pPr>
        <w:pStyle w:val="FootnoteText"/>
      </w:pPr>
      <w:r>
        <w:rPr>
          <w:rStyle w:val="FootnoteReference"/>
        </w:rPr>
        <w:footnoteRef/>
      </w:r>
      <w:r>
        <w:t xml:space="preserve"> Ibid., pp. 236-237. </w:t>
      </w:r>
    </w:p>
  </w:footnote>
  <w:footnote w:id="44">
    <w:p w14:paraId="53DF483E" w14:textId="48F0DE6E" w:rsidR="00DA0FFD" w:rsidRPr="00DA0FFD" w:rsidRDefault="00DA0FFD">
      <w:pPr>
        <w:pStyle w:val="FootnoteText"/>
      </w:pPr>
      <w:r>
        <w:rPr>
          <w:rStyle w:val="FootnoteReference"/>
        </w:rPr>
        <w:footnoteRef/>
      </w:r>
      <w:r>
        <w:t xml:space="preserve"> </w:t>
      </w:r>
      <w:r>
        <w:rPr>
          <w:i/>
          <w:iCs/>
        </w:rPr>
        <w:t>The Anglo-Saxon Chronicle</w:t>
      </w:r>
      <w:r>
        <w:t xml:space="preserve">, pp. 46-57. </w:t>
      </w:r>
    </w:p>
  </w:footnote>
  <w:footnote w:id="45">
    <w:p w14:paraId="09EBBF5B" w14:textId="465D0894" w:rsidR="00DA0FFD" w:rsidRDefault="00DA0FFD">
      <w:pPr>
        <w:pStyle w:val="FootnoteText"/>
      </w:pPr>
      <w:r>
        <w:rPr>
          <w:rStyle w:val="FootnoteReference"/>
        </w:rPr>
        <w:footnoteRef/>
      </w:r>
      <w:r>
        <w:t xml:space="preserve"> </w:t>
      </w:r>
      <w:r>
        <w:t xml:space="preserve">Martin J. Ryan and Nicholas J. Higham, </w:t>
      </w:r>
      <w:r>
        <w:rPr>
          <w:i/>
          <w:iCs/>
        </w:rPr>
        <w:t>The Anglo-Saxon World</w:t>
      </w:r>
      <w:r>
        <w:t>, p</w:t>
      </w:r>
      <w:r>
        <w:t xml:space="preserve">p. 239-244. </w:t>
      </w:r>
    </w:p>
  </w:footnote>
  <w:footnote w:id="46">
    <w:p w14:paraId="103F7A75" w14:textId="189F335A" w:rsidR="00DA0FFD" w:rsidRPr="00DA0FFD" w:rsidRDefault="00DA0FFD">
      <w:pPr>
        <w:pStyle w:val="FootnoteText"/>
      </w:pPr>
      <w:r>
        <w:rPr>
          <w:rStyle w:val="FootnoteReference"/>
        </w:rPr>
        <w:footnoteRef/>
      </w:r>
      <w:r>
        <w:t xml:space="preserve"> </w:t>
      </w:r>
      <w:r>
        <w:rPr>
          <w:i/>
          <w:iCs/>
        </w:rPr>
        <w:t>The Anglo-Saxon Chronicle</w:t>
      </w:r>
      <w:r>
        <w:t xml:space="preserve">, pp. 60-61. </w:t>
      </w:r>
    </w:p>
  </w:footnote>
  <w:footnote w:id="47">
    <w:p w14:paraId="455F167D" w14:textId="255A2A39" w:rsidR="00DA0FFD" w:rsidRPr="00DA0FFD" w:rsidRDefault="00DA0FFD">
      <w:pPr>
        <w:pStyle w:val="FootnoteText"/>
      </w:pPr>
      <w:r>
        <w:rPr>
          <w:rStyle w:val="FootnoteReference"/>
        </w:rPr>
        <w:footnoteRef/>
      </w:r>
      <w:r>
        <w:t xml:space="preserve"> </w:t>
      </w:r>
      <w:r>
        <w:rPr>
          <w:i/>
          <w:iCs/>
        </w:rPr>
        <w:t xml:space="preserve">The Anglo-Saxon Chronicle, </w:t>
      </w:r>
      <w:r>
        <w:t xml:space="preserve">pp. 54-57.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690086"/>
    <w:multiLevelType w:val="multilevel"/>
    <w:tmpl w:val="62B42F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EB0E04"/>
    <w:multiLevelType w:val="multilevel"/>
    <w:tmpl w:val="9F225A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1290148">
    <w:abstractNumId w:val="0"/>
  </w:num>
  <w:num w:numId="2" w16cid:durableId="193482347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hris Guy (2404993)">
    <w15:presenceInfo w15:providerId="AD" w15:userId="S::2404993@student.uwtsd.ac.uk::91dc8477-774e-4c94-9289-3fffe9cf4cd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EC1"/>
    <w:rsid w:val="00030800"/>
    <w:rsid w:val="00055E1F"/>
    <w:rsid w:val="0007137D"/>
    <w:rsid w:val="00072F4F"/>
    <w:rsid w:val="0009362A"/>
    <w:rsid w:val="000D3612"/>
    <w:rsid w:val="00110A13"/>
    <w:rsid w:val="00126178"/>
    <w:rsid w:val="00162C9E"/>
    <w:rsid w:val="001D5375"/>
    <w:rsid w:val="00216371"/>
    <w:rsid w:val="00224D10"/>
    <w:rsid w:val="0025512E"/>
    <w:rsid w:val="002A36F5"/>
    <w:rsid w:val="00332E1E"/>
    <w:rsid w:val="003360A3"/>
    <w:rsid w:val="003503F3"/>
    <w:rsid w:val="00412674"/>
    <w:rsid w:val="004774D5"/>
    <w:rsid w:val="00485926"/>
    <w:rsid w:val="004D2CB9"/>
    <w:rsid w:val="00510B41"/>
    <w:rsid w:val="00536263"/>
    <w:rsid w:val="00571F36"/>
    <w:rsid w:val="005A5913"/>
    <w:rsid w:val="005F4807"/>
    <w:rsid w:val="00603FDD"/>
    <w:rsid w:val="00611C84"/>
    <w:rsid w:val="00624133"/>
    <w:rsid w:val="006263CD"/>
    <w:rsid w:val="00636C5E"/>
    <w:rsid w:val="00641D89"/>
    <w:rsid w:val="006511A9"/>
    <w:rsid w:val="006B66C4"/>
    <w:rsid w:val="00756D7B"/>
    <w:rsid w:val="007A1F7C"/>
    <w:rsid w:val="007C395D"/>
    <w:rsid w:val="007D0E8B"/>
    <w:rsid w:val="007E26C7"/>
    <w:rsid w:val="00807603"/>
    <w:rsid w:val="008211D5"/>
    <w:rsid w:val="00821259"/>
    <w:rsid w:val="00895533"/>
    <w:rsid w:val="008C6904"/>
    <w:rsid w:val="008D00DB"/>
    <w:rsid w:val="008D464D"/>
    <w:rsid w:val="008D56C8"/>
    <w:rsid w:val="00952EC1"/>
    <w:rsid w:val="00986403"/>
    <w:rsid w:val="009A06DD"/>
    <w:rsid w:val="009B1916"/>
    <w:rsid w:val="00A27322"/>
    <w:rsid w:val="00A83725"/>
    <w:rsid w:val="00AA2295"/>
    <w:rsid w:val="00AA730B"/>
    <w:rsid w:val="00BC5BAA"/>
    <w:rsid w:val="00C02F6A"/>
    <w:rsid w:val="00C53C40"/>
    <w:rsid w:val="00C851D0"/>
    <w:rsid w:val="00C96845"/>
    <w:rsid w:val="00D21572"/>
    <w:rsid w:val="00D67381"/>
    <w:rsid w:val="00DA0FFD"/>
    <w:rsid w:val="00E05539"/>
    <w:rsid w:val="00E46483"/>
    <w:rsid w:val="00E50DC5"/>
    <w:rsid w:val="00E5475C"/>
    <w:rsid w:val="00E6350D"/>
    <w:rsid w:val="00F26BFB"/>
    <w:rsid w:val="00F752FE"/>
    <w:rsid w:val="00FC31CD"/>
    <w:rsid w:val="00FD1E09"/>
    <w:rsid w:val="00FF7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BB73E"/>
  <w15:chartTrackingRefBased/>
  <w15:docId w15:val="{9EBDF31A-D80C-4463-827A-DEFE3402A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EC1"/>
  </w:style>
  <w:style w:type="paragraph" w:styleId="Heading1">
    <w:name w:val="heading 1"/>
    <w:basedOn w:val="Normal"/>
    <w:next w:val="Normal"/>
    <w:link w:val="Heading1Char"/>
    <w:uiPriority w:val="9"/>
    <w:qFormat/>
    <w:rsid w:val="00952E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2E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2E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2E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2E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2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2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2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2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E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2E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2E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2E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2E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2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2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2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2EC1"/>
    <w:rPr>
      <w:rFonts w:eastAsiaTheme="majorEastAsia" w:cstheme="majorBidi"/>
      <w:color w:val="272727" w:themeColor="text1" w:themeTint="D8"/>
    </w:rPr>
  </w:style>
  <w:style w:type="paragraph" w:styleId="Title">
    <w:name w:val="Title"/>
    <w:basedOn w:val="Normal"/>
    <w:next w:val="Normal"/>
    <w:link w:val="TitleChar"/>
    <w:uiPriority w:val="10"/>
    <w:qFormat/>
    <w:rsid w:val="00952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2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2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2EC1"/>
    <w:pPr>
      <w:spacing w:before="160"/>
      <w:jc w:val="center"/>
    </w:pPr>
    <w:rPr>
      <w:i/>
      <w:iCs/>
      <w:color w:val="404040" w:themeColor="text1" w:themeTint="BF"/>
    </w:rPr>
  </w:style>
  <w:style w:type="character" w:customStyle="1" w:styleId="QuoteChar">
    <w:name w:val="Quote Char"/>
    <w:basedOn w:val="DefaultParagraphFont"/>
    <w:link w:val="Quote"/>
    <w:uiPriority w:val="29"/>
    <w:rsid w:val="00952EC1"/>
    <w:rPr>
      <w:i/>
      <w:iCs/>
      <w:color w:val="404040" w:themeColor="text1" w:themeTint="BF"/>
    </w:rPr>
  </w:style>
  <w:style w:type="paragraph" w:styleId="ListParagraph">
    <w:name w:val="List Paragraph"/>
    <w:basedOn w:val="Normal"/>
    <w:uiPriority w:val="34"/>
    <w:qFormat/>
    <w:rsid w:val="00952EC1"/>
    <w:pPr>
      <w:ind w:left="720"/>
      <w:contextualSpacing/>
    </w:pPr>
  </w:style>
  <w:style w:type="character" w:styleId="IntenseEmphasis">
    <w:name w:val="Intense Emphasis"/>
    <w:basedOn w:val="DefaultParagraphFont"/>
    <w:uiPriority w:val="21"/>
    <w:qFormat/>
    <w:rsid w:val="00952EC1"/>
    <w:rPr>
      <w:i/>
      <w:iCs/>
      <w:color w:val="0F4761" w:themeColor="accent1" w:themeShade="BF"/>
    </w:rPr>
  </w:style>
  <w:style w:type="paragraph" w:styleId="IntenseQuote">
    <w:name w:val="Intense Quote"/>
    <w:basedOn w:val="Normal"/>
    <w:next w:val="Normal"/>
    <w:link w:val="IntenseQuoteChar"/>
    <w:uiPriority w:val="30"/>
    <w:qFormat/>
    <w:rsid w:val="00952E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2EC1"/>
    <w:rPr>
      <w:i/>
      <w:iCs/>
      <w:color w:val="0F4761" w:themeColor="accent1" w:themeShade="BF"/>
    </w:rPr>
  </w:style>
  <w:style w:type="character" w:styleId="IntenseReference">
    <w:name w:val="Intense Reference"/>
    <w:basedOn w:val="DefaultParagraphFont"/>
    <w:uiPriority w:val="32"/>
    <w:qFormat/>
    <w:rsid w:val="00952EC1"/>
    <w:rPr>
      <w:b/>
      <w:bCs/>
      <w:smallCaps/>
      <w:color w:val="0F4761" w:themeColor="accent1" w:themeShade="BF"/>
      <w:spacing w:val="5"/>
    </w:rPr>
  </w:style>
  <w:style w:type="character" w:styleId="CommentReference">
    <w:name w:val="annotation reference"/>
    <w:basedOn w:val="DefaultParagraphFont"/>
    <w:uiPriority w:val="99"/>
    <w:semiHidden/>
    <w:unhideWhenUsed/>
    <w:rsid w:val="00952EC1"/>
    <w:rPr>
      <w:sz w:val="16"/>
      <w:szCs w:val="16"/>
    </w:rPr>
  </w:style>
  <w:style w:type="paragraph" w:styleId="CommentText">
    <w:name w:val="annotation text"/>
    <w:basedOn w:val="Normal"/>
    <w:link w:val="CommentTextChar"/>
    <w:uiPriority w:val="99"/>
    <w:unhideWhenUsed/>
    <w:rsid w:val="00952EC1"/>
    <w:pPr>
      <w:spacing w:line="240" w:lineRule="auto"/>
    </w:pPr>
    <w:rPr>
      <w:sz w:val="20"/>
      <w:szCs w:val="20"/>
    </w:rPr>
  </w:style>
  <w:style w:type="character" w:customStyle="1" w:styleId="CommentTextChar">
    <w:name w:val="Comment Text Char"/>
    <w:basedOn w:val="DefaultParagraphFont"/>
    <w:link w:val="CommentText"/>
    <w:uiPriority w:val="99"/>
    <w:rsid w:val="00952EC1"/>
    <w:rPr>
      <w:sz w:val="20"/>
      <w:szCs w:val="20"/>
    </w:rPr>
  </w:style>
  <w:style w:type="character" w:styleId="Hyperlink">
    <w:name w:val="Hyperlink"/>
    <w:basedOn w:val="DefaultParagraphFont"/>
    <w:uiPriority w:val="99"/>
    <w:unhideWhenUsed/>
    <w:rsid w:val="00952EC1"/>
    <w:rPr>
      <w:color w:val="467886" w:themeColor="hyperlink"/>
      <w:u w:val="single"/>
    </w:rPr>
  </w:style>
  <w:style w:type="paragraph" w:styleId="NormalWeb">
    <w:name w:val="Normal (Web)"/>
    <w:basedOn w:val="Normal"/>
    <w:uiPriority w:val="99"/>
    <w:semiHidden/>
    <w:unhideWhenUsed/>
    <w:rsid w:val="00E6350D"/>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332E1E"/>
    <w:rPr>
      <w:b/>
      <w:bCs/>
    </w:rPr>
  </w:style>
  <w:style w:type="character" w:customStyle="1" w:styleId="CommentSubjectChar">
    <w:name w:val="Comment Subject Char"/>
    <w:basedOn w:val="CommentTextChar"/>
    <w:link w:val="CommentSubject"/>
    <w:uiPriority w:val="99"/>
    <w:semiHidden/>
    <w:rsid w:val="00332E1E"/>
    <w:rPr>
      <w:b/>
      <w:bCs/>
      <w:sz w:val="20"/>
      <w:szCs w:val="20"/>
    </w:rPr>
  </w:style>
  <w:style w:type="character" w:styleId="UnresolvedMention">
    <w:name w:val="Unresolved Mention"/>
    <w:basedOn w:val="DefaultParagraphFont"/>
    <w:uiPriority w:val="99"/>
    <w:semiHidden/>
    <w:unhideWhenUsed/>
    <w:rsid w:val="008211D5"/>
    <w:rPr>
      <w:color w:val="605E5C"/>
      <w:shd w:val="clear" w:color="auto" w:fill="E1DFDD"/>
    </w:rPr>
  </w:style>
  <w:style w:type="paragraph" w:styleId="Revision">
    <w:name w:val="Revision"/>
    <w:hidden/>
    <w:uiPriority w:val="99"/>
    <w:semiHidden/>
    <w:rsid w:val="00BC5BAA"/>
    <w:pPr>
      <w:spacing w:after="0" w:line="240" w:lineRule="auto"/>
    </w:pPr>
  </w:style>
  <w:style w:type="paragraph" w:styleId="FootnoteText">
    <w:name w:val="footnote text"/>
    <w:basedOn w:val="Normal"/>
    <w:link w:val="FootnoteTextChar"/>
    <w:uiPriority w:val="99"/>
    <w:semiHidden/>
    <w:unhideWhenUsed/>
    <w:rsid w:val="006B66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66C4"/>
    <w:rPr>
      <w:sz w:val="20"/>
      <w:szCs w:val="20"/>
    </w:rPr>
  </w:style>
  <w:style w:type="character" w:styleId="FootnoteReference">
    <w:name w:val="footnote reference"/>
    <w:basedOn w:val="DefaultParagraphFont"/>
    <w:uiPriority w:val="99"/>
    <w:semiHidden/>
    <w:unhideWhenUsed/>
    <w:rsid w:val="006B66C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file:///C:/Users/Chris/Documents/d%20p%20kirby.pdf" TargetMode="External"/><Relationship Id="rId13" Type="http://schemas.openxmlformats.org/officeDocument/2006/relationships/hyperlink" Target="https://esawyer.lib.cam.ac.uk/charter/92.html" TargetMode="External"/><Relationship Id="rId3" Type="http://schemas.openxmlformats.org/officeDocument/2006/relationships/hyperlink" Target="file:///C:/Users/Chris/Documents/d%20p%20kirby.pdf" TargetMode="External"/><Relationship Id="rId7" Type="http://schemas.openxmlformats.org/officeDocument/2006/relationships/hyperlink" Target="file:///C:/Users/Chris/Documents/d%20p%20kirby.pdf" TargetMode="External"/><Relationship Id="rId12" Type="http://schemas.openxmlformats.org/officeDocument/2006/relationships/hyperlink" Target="https://books.google.co.uk/books?hl=en&amp;lr=&amp;id=-e5YuuS_yicC&amp;oi=fnd&amp;pg=PA1&amp;dq=patrick+wormald&amp;ots=QohK-BE-PT&amp;sig=U_G1OiDmcEQWDz5y297YAL6o6eg#v=onepage&amp;q=patrick%20wormald&amp;f=false" TargetMode="External"/><Relationship Id="rId17" Type="http://schemas.openxmlformats.org/officeDocument/2006/relationships/hyperlink" Target="https://archive.org/details/anglosaxonenglan0000sten/page/212/mode/2up?q=dyke" TargetMode="External"/><Relationship Id="rId2" Type="http://schemas.openxmlformats.org/officeDocument/2006/relationships/hyperlink" Target="https://archive.org/details/anglosaxonenglan0000sten/page/66/mode/2up?q=wulfhere" TargetMode="External"/><Relationship Id="rId16" Type="http://schemas.openxmlformats.org/officeDocument/2006/relationships/hyperlink" Target="https://esawyer.lib.cam.ac.uk/charter/132.html#" TargetMode="External"/><Relationship Id="rId1" Type="http://schemas.openxmlformats.org/officeDocument/2006/relationships/hyperlink" Target="https://archive.org/details/anglosaxonenglan0000sten/page/66/mode/2up?q=wulfhere" TargetMode="External"/><Relationship Id="rId6" Type="http://schemas.openxmlformats.org/officeDocument/2006/relationships/hyperlink" Target="https://commons.wikimedia.org/wiki/File:Aethelbald_charter_Cyneberht_736.jpg" TargetMode="External"/><Relationship Id="rId11" Type="http://schemas.openxmlformats.org/officeDocument/2006/relationships/hyperlink" Target="https://www.newadvent.org/cathen/04068a.htm" TargetMode="External"/><Relationship Id="rId5" Type="http://schemas.openxmlformats.org/officeDocument/2006/relationships/hyperlink" Target="https://esawyer.lib.cam.ac.uk/charter/89.html" TargetMode="External"/><Relationship Id="rId15" Type="http://schemas.openxmlformats.org/officeDocument/2006/relationships/hyperlink" Target="https://esawyer.lib.cam.ac.uk/charter/89.html" TargetMode="External"/><Relationship Id="rId10" Type="http://schemas.openxmlformats.org/officeDocument/2006/relationships/hyperlink" Target="https://esawyer.lib.cam.ac.uk/charter/89.html" TargetMode="External"/><Relationship Id="rId4" Type="http://schemas.openxmlformats.org/officeDocument/2006/relationships/hyperlink" Target="https://archive.org/details/anglosaxonenglan0000sten/page/84/mode/2up?q=penda" TargetMode="External"/><Relationship Id="rId9" Type="http://schemas.openxmlformats.org/officeDocument/2006/relationships/hyperlink" Target="https://www.theanglosaxons.com/letter-to-offa-from-charlemagne/" TargetMode="External"/><Relationship Id="rId14" Type="http://schemas.openxmlformats.org/officeDocument/2006/relationships/hyperlink" Target="https://jemne.org/issues/18/gates.php"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05227-397F-4FC6-A8D2-8D4B54CE0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4322</Words>
  <Characters>26282</Characters>
  <Application>Microsoft Office Word</Application>
  <DocSecurity>0</DocSecurity>
  <Lines>392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3</cp:revision>
  <dcterms:created xsi:type="dcterms:W3CDTF">2026-05-03T21:31:00Z</dcterms:created>
  <dcterms:modified xsi:type="dcterms:W3CDTF">2026-05-03T22:51:00Z</dcterms:modified>
</cp:coreProperties>
</file>