
<file path=[Content_Types].xml><?xml version="1.0" encoding="utf-8"?>
<Types xmlns="http://schemas.openxmlformats.org/package/2006/content-types">
  <Default ContentType="image/jpeg" Extension="jpg"/>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360" w:lineRule="auto"/>
        <w:rPr>
          <w:rFonts w:ascii="Aptos" w:cs="Aptos" w:eastAsia="Aptos" w:hAnsi="Aptos"/>
          <w:sz w:val="24"/>
          <w:szCs w:val="24"/>
        </w:rPr>
      </w:pPr>
      <w:r w:rsidDel="00000000" w:rsidR="00000000" w:rsidRPr="00000000">
        <w:rPr>
          <w:rFonts w:ascii="Aptos" w:cs="Aptos" w:eastAsia="Aptos" w:hAnsi="Aptos"/>
          <w:sz w:val="24"/>
          <w:szCs w:val="24"/>
        </w:rPr>
        <w:drawing>
          <wp:inline distB="0" distT="0" distL="0" distR="0">
            <wp:extent cx="3345180" cy="1343660"/>
            <wp:effectExtent b="0" l="0" r="0" t="0"/>
            <wp:docPr descr="UWTSD logo | Discover Dylan Thomas" id="1" name="image1.jpg"/>
            <a:graphic>
              <a:graphicData uri="http://schemas.openxmlformats.org/drawingml/2006/picture">
                <pic:pic>
                  <pic:nvPicPr>
                    <pic:cNvPr descr="UWTSD logo | Discover Dylan Thomas" id="0" name="image1.jpg"/>
                    <pic:cNvPicPr preferRelativeResize="0"/>
                  </pic:nvPicPr>
                  <pic:blipFill>
                    <a:blip r:embed="rId7"/>
                    <a:srcRect b="0" l="0" r="0" t="0"/>
                    <a:stretch>
                      <a:fillRect/>
                    </a:stretch>
                  </pic:blipFill>
                  <pic:spPr>
                    <a:xfrm>
                      <a:off x="0" y="0"/>
                      <a:ext cx="3345180" cy="134366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360" w:lineRule="auto"/>
        <w:jc w:val="left"/>
        <w:rPr>
          <w:sz w:val="24"/>
          <w:szCs w:val="24"/>
        </w:rPr>
      </w:pPr>
      <w:r w:rsidDel="00000000" w:rsidR="00000000" w:rsidRPr="00000000">
        <w:rPr>
          <w:rtl w:val="0"/>
        </w:rPr>
      </w:r>
    </w:p>
    <w:p w:rsidR="00000000" w:rsidDel="00000000" w:rsidP="00000000" w:rsidRDefault="00000000" w:rsidRPr="00000000" w14:paraId="00000003">
      <w:pPr>
        <w:spacing w:line="360" w:lineRule="auto"/>
        <w:jc w:val="center"/>
        <w:rPr>
          <w:b w:val="1"/>
          <w:bCs w:val="1"/>
          <w:sz w:val="28"/>
          <w:szCs w:val="28"/>
        </w:rPr>
      </w:pPr>
      <w:r w:rsidDel="00000000" w:rsidR="00000000" w:rsidRPr="00000000">
        <w:rPr>
          <w:b w:val="1"/>
          <w:bCs w:val="1"/>
          <w:sz w:val="28"/>
          <w:szCs w:val="28"/>
          <w:rtl w:val="0"/>
        </w:rPr>
        <w:t xml:space="preserve">Research Proposal</w:t>
      </w:r>
    </w:p>
    <w:p w:rsidR="00000000" w:rsidDel="00000000" w:rsidP="00000000" w:rsidRDefault="00000000" w:rsidRPr="00000000" w14:paraId="00000004">
      <w:pPr>
        <w:spacing w:line="360" w:lineRule="auto"/>
        <w:jc w:val="center"/>
        <w:rPr>
          <w:b w:val="1"/>
          <w:bCs w:val="1"/>
          <w:sz w:val="28"/>
          <w:szCs w:val="28"/>
        </w:rPr>
      </w:pPr>
      <w:r w:rsidDel="00000000" w:rsidR="00000000" w:rsidRPr="00000000">
        <w:rPr>
          <w:b w:val="1"/>
          <w:bCs w:val="1"/>
          <w:sz w:val="28"/>
          <w:szCs w:val="28"/>
          <w:rtl w:val="0"/>
        </w:rPr>
        <w:t xml:space="preserve">The influence of health literacy on the self-management of Type 2 diabetes in the UK</w:t>
      </w:r>
    </w:p>
    <w:p w:rsidR="00000000" w:rsidDel="00000000" w:rsidP="00000000" w:rsidRDefault="00000000" w:rsidRPr="00000000" w14:paraId="00000005">
      <w:pPr>
        <w:spacing w:line="360" w:lineRule="auto"/>
        <w:jc w:val="left"/>
        <w:rPr>
          <w:b w:val="1"/>
          <w:bCs w:val="1"/>
          <w:sz w:val="28"/>
          <w:szCs w:val="28"/>
        </w:rPr>
      </w:pPr>
      <w:r w:rsidDel="00000000" w:rsidR="00000000" w:rsidRPr="00000000">
        <w:rPr>
          <w:rtl w:val="0"/>
        </w:rPr>
      </w:r>
    </w:p>
    <w:p w:rsidR="00000000" w:rsidDel="00000000" w:rsidP="00000000" w:rsidRDefault="00000000" w:rsidRPr="00000000" w14:paraId="00000006">
      <w:pPr>
        <w:spacing w:after="160"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Programma: BSc (Hons) Health and Social Care </w:t>
      </w:r>
    </w:p>
    <w:p w:rsidR="00000000" w:rsidDel="00000000" w:rsidP="00000000" w:rsidRDefault="00000000" w:rsidRPr="00000000" w14:paraId="00000007">
      <w:pPr>
        <w:spacing w:after="160" w:line="360" w:lineRule="auto"/>
        <w:rPr>
          <w:rFonts w:ascii="Arial" w:cs="Arial" w:eastAsia="Arial" w:hAnsi="Arial"/>
          <w:b w:val="1"/>
          <w:bCs w:val="1"/>
          <w:sz w:val="28"/>
          <w:szCs w:val="28"/>
        </w:rPr>
      </w:pPr>
      <w:r w:rsidDel="00000000" w:rsidR="00000000" w:rsidRPr="00000000">
        <w:rPr>
          <w:rtl w:val="0"/>
        </w:rPr>
      </w:r>
    </w:p>
    <w:p w:rsidR="00000000" w:rsidDel="00000000" w:rsidP="00000000" w:rsidRDefault="00000000" w:rsidRPr="00000000" w14:paraId="00000008">
      <w:pPr>
        <w:spacing w:after="160"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Student Name</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color w:val="1d2125"/>
          <w:sz w:val="32"/>
          <w:szCs w:val="32"/>
          <w:rtl w:val="0"/>
        </w:rPr>
        <w:t xml:space="preserve"> Momodou Lamin Demba</w:t>
      </w:r>
      <w:r w:rsidDel="00000000" w:rsidR="00000000" w:rsidRPr="00000000">
        <w:rPr>
          <w:rtl w:val="0"/>
        </w:rPr>
      </w:r>
    </w:p>
    <w:p w:rsidR="00000000" w:rsidDel="00000000" w:rsidP="00000000" w:rsidRDefault="00000000" w:rsidRPr="00000000" w14:paraId="00000009">
      <w:pPr>
        <w:spacing w:after="160" w:line="360" w:lineRule="auto"/>
        <w:rPr>
          <w:rFonts w:ascii="Arial" w:cs="Arial" w:eastAsia="Arial" w:hAnsi="Arial"/>
          <w:color w:val="1d2125"/>
          <w:sz w:val="32"/>
          <w:szCs w:val="32"/>
        </w:rPr>
      </w:pPr>
      <w:r w:rsidDel="00000000" w:rsidR="00000000" w:rsidRPr="00000000">
        <w:rPr>
          <w:rFonts w:ascii="Arial" w:cs="Arial" w:eastAsia="Arial" w:hAnsi="Arial"/>
          <w:b w:val="1"/>
          <w:bCs w:val="1"/>
          <w:sz w:val="28"/>
          <w:szCs w:val="28"/>
          <w:rtl w:val="0"/>
        </w:rPr>
        <w:t xml:space="preserve">Student ID</w:t>
      </w:r>
      <w:r w:rsidDel="00000000" w:rsidR="00000000" w:rsidRPr="00000000">
        <w:rPr>
          <w:rFonts w:ascii="Arial" w:cs="Arial" w:eastAsia="Arial" w:hAnsi="Arial"/>
          <w:sz w:val="28"/>
          <w:szCs w:val="28"/>
          <w:rtl w:val="0"/>
        </w:rPr>
        <w:t xml:space="preserve">: </w:t>
      </w:r>
      <w:r w:rsidDel="00000000" w:rsidR="00000000" w:rsidRPr="00000000">
        <w:rPr>
          <w:rFonts w:ascii="Arial" w:cs="Arial" w:eastAsia="Arial" w:hAnsi="Arial"/>
          <w:color w:val="1d2125"/>
          <w:sz w:val="32"/>
          <w:szCs w:val="32"/>
          <w:rtl w:val="0"/>
        </w:rPr>
        <w:t xml:space="preserve">2415947</w:t>
      </w:r>
    </w:p>
    <w:p w:rsidR="00000000" w:rsidDel="00000000" w:rsidP="00000000" w:rsidRDefault="00000000" w:rsidRPr="00000000" w14:paraId="0000000A">
      <w:pPr>
        <w:spacing w:after="160" w:line="360" w:lineRule="auto"/>
        <w:rPr>
          <w:rFonts w:ascii="Arial" w:cs="Arial" w:eastAsia="Arial" w:hAnsi="Arial"/>
          <w:color w:val="1d2125"/>
          <w:sz w:val="32"/>
          <w:szCs w:val="32"/>
        </w:rPr>
      </w:pPr>
      <w:r w:rsidDel="00000000" w:rsidR="00000000" w:rsidRPr="00000000">
        <w:rPr>
          <w:rFonts w:ascii="Arial" w:cs="Arial" w:eastAsia="Arial" w:hAnsi="Arial"/>
          <w:b w:val="1"/>
          <w:bCs w:val="1"/>
          <w:sz w:val="32"/>
          <w:szCs w:val="32"/>
          <w:rtl w:val="0"/>
        </w:rPr>
        <w:t xml:space="preserve">Module code: </w:t>
      </w:r>
      <w:r w:rsidDel="00000000" w:rsidR="00000000" w:rsidRPr="00000000">
        <w:rPr>
          <w:rFonts w:ascii="Arial" w:cs="Arial" w:eastAsia="Arial" w:hAnsi="Arial"/>
          <w:sz w:val="28"/>
          <w:szCs w:val="28"/>
          <w:rtl w:val="0"/>
        </w:rPr>
        <w:t xml:space="preserve">BMHP5019</w:t>
      </w:r>
      <w:r w:rsidDel="00000000" w:rsidR="00000000" w:rsidRPr="00000000">
        <w:rPr>
          <w:rtl w:val="0"/>
        </w:rPr>
      </w:r>
    </w:p>
    <w:p w:rsidR="00000000" w:rsidDel="00000000" w:rsidP="00000000" w:rsidRDefault="00000000" w:rsidRPr="00000000" w14:paraId="0000000B">
      <w:pPr>
        <w:spacing w:after="160" w:line="360" w:lineRule="auto"/>
        <w:rPr>
          <w:rFonts w:ascii="Arial" w:cs="Arial" w:eastAsia="Arial" w:hAnsi="Arial"/>
          <w:sz w:val="28"/>
          <w:szCs w:val="28"/>
        </w:rPr>
      </w:pPr>
      <w:r w:rsidDel="00000000" w:rsidR="00000000" w:rsidRPr="00000000">
        <w:rPr>
          <w:rFonts w:ascii="Arial" w:cs="Arial" w:eastAsia="Arial" w:hAnsi="Arial"/>
          <w:b w:val="1"/>
          <w:bCs w:val="1"/>
          <w:sz w:val="28"/>
          <w:szCs w:val="28"/>
          <w:rtl w:val="0"/>
        </w:rPr>
        <w:t xml:space="preserve">Date of submission</w:t>
      </w:r>
      <w:r w:rsidDel="00000000" w:rsidR="00000000" w:rsidRPr="00000000">
        <w:rPr>
          <w:rFonts w:ascii="Arial" w:cs="Arial" w:eastAsia="Arial" w:hAnsi="Arial"/>
          <w:sz w:val="28"/>
          <w:szCs w:val="28"/>
          <w:rtl w:val="0"/>
        </w:rPr>
        <w:t xml:space="preserve">: 10/07/2026</w:t>
      </w:r>
    </w:p>
    <w:p w:rsidR="00000000" w:rsidDel="00000000" w:rsidP="00000000" w:rsidRDefault="00000000" w:rsidRPr="00000000" w14:paraId="0000000C">
      <w:pPr>
        <w:spacing w:after="160" w:line="360" w:lineRule="auto"/>
        <w:rPr>
          <w:rFonts w:ascii="Arial" w:cs="Arial" w:eastAsia="Arial" w:hAnsi="Arial"/>
          <w:b w:val="1"/>
          <w:bCs w:val="1"/>
          <w:sz w:val="28"/>
          <w:szCs w:val="28"/>
        </w:rPr>
      </w:pPr>
      <w:r w:rsidDel="00000000" w:rsidR="00000000" w:rsidRPr="00000000">
        <w:rPr>
          <w:rFonts w:ascii="Arial" w:cs="Arial" w:eastAsia="Arial" w:hAnsi="Arial"/>
          <w:b w:val="1"/>
          <w:bCs w:val="1"/>
          <w:sz w:val="28"/>
          <w:szCs w:val="28"/>
          <w:rtl w:val="0"/>
        </w:rPr>
        <w:t xml:space="preserve">Lecturer’s name</w:t>
      </w:r>
      <w:r w:rsidDel="00000000" w:rsidR="00000000" w:rsidRPr="00000000">
        <w:rPr>
          <w:rFonts w:ascii="Arial" w:cs="Arial" w:eastAsia="Arial" w:hAnsi="Arial"/>
          <w:sz w:val="28"/>
          <w:szCs w:val="28"/>
          <w:rtl w:val="0"/>
        </w:rPr>
        <w:t xml:space="preserve">: Muhammed khan </w:t>
      </w:r>
      <w:r w:rsidDel="00000000" w:rsidR="00000000" w:rsidRPr="00000000">
        <w:rPr>
          <w:rtl w:val="0"/>
        </w:rPr>
      </w:r>
    </w:p>
    <w:p w:rsidR="00000000" w:rsidDel="00000000" w:rsidP="00000000" w:rsidRDefault="00000000" w:rsidRPr="00000000" w14:paraId="0000000D">
      <w:pPr>
        <w:spacing w:after="160" w:line="360" w:lineRule="auto"/>
        <w:rPr>
          <w:rFonts w:ascii="Arial" w:cs="Arial" w:eastAsia="Arial" w:hAnsi="Arial"/>
          <w:sz w:val="36"/>
          <w:szCs w:val="36"/>
        </w:rPr>
      </w:pPr>
      <w:r w:rsidDel="00000000" w:rsidR="00000000" w:rsidRPr="00000000">
        <w:rPr>
          <w:rFonts w:ascii="Arial" w:cs="Arial" w:eastAsia="Arial" w:hAnsi="Arial"/>
          <w:color w:val="1d2125"/>
          <w:sz w:val="32"/>
          <w:szCs w:val="32"/>
          <w:rtl w:val="0"/>
        </w:rPr>
        <w:t xml:space="preserve"> </w:t>
      </w:r>
      <w:r w:rsidDel="00000000" w:rsidR="00000000" w:rsidRPr="00000000">
        <w:rPr>
          <w:rtl w:val="0"/>
        </w:rPr>
      </w:r>
    </w:p>
    <w:p w:rsidR="00000000" w:rsidDel="00000000" w:rsidP="00000000" w:rsidRDefault="00000000" w:rsidRPr="00000000" w14:paraId="0000000E">
      <w:pPr>
        <w:spacing w:after="160" w:line="480" w:lineRule="auto"/>
        <w:jc w:val="left"/>
        <w:rPr>
          <w:rFonts w:ascii="Times New Roman" w:cs="Times New Roman" w:eastAsia="Times New Roman" w:hAnsi="Times New Roman"/>
          <w:b w:val="1"/>
          <w:bCs w:val="1"/>
          <w:sz w:val="24"/>
          <w:szCs w:val="24"/>
        </w:rPr>
      </w:pPr>
      <w:r w:rsidDel="00000000" w:rsidR="00000000" w:rsidRPr="00000000">
        <w:rPr>
          <w:rtl w:val="0"/>
        </w:rPr>
      </w:r>
    </w:p>
    <w:p w:rsidR="00000000" w:rsidDel="00000000" w:rsidP="00000000" w:rsidRDefault="00000000" w:rsidRPr="00000000" w14:paraId="0000000F">
      <w:pPr>
        <w:spacing w:line="360" w:lineRule="auto"/>
        <w:rPr>
          <w:sz w:val="24"/>
          <w:szCs w:val="24"/>
        </w:rPr>
      </w:pPr>
      <w:r w:rsidDel="00000000" w:rsidR="00000000" w:rsidRPr="00000000">
        <w:rPr>
          <w:rtl w:val="0"/>
        </w:rPr>
      </w:r>
    </w:p>
    <w:p w:rsidR="00000000" w:rsidDel="00000000" w:rsidP="00000000" w:rsidRDefault="00000000" w:rsidRPr="00000000" w14:paraId="00000010">
      <w:pPr>
        <w:pStyle w:val="Heading1"/>
        <w:numPr>
          <w:ilvl w:val="0"/>
          <w:numId w:val="1"/>
        </w:numPr>
        <w:spacing w:line="360" w:lineRule="auto"/>
        <w:ind w:left="720" w:hanging="360"/>
        <w:rPr>
          <w:sz w:val="24"/>
          <w:szCs w:val="24"/>
        </w:rPr>
      </w:pPr>
      <w:r w:rsidDel="00000000" w:rsidR="00000000" w:rsidRPr="00000000">
        <w:rPr>
          <w:sz w:val="24"/>
          <w:szCs w:val="24"/>
          <w:rtl w:val="0"/>
        </w:rPr>
        <w:t xml:space="preserve">Review question</w:t>
      </w:r>
    </w:p>
    <w:p w:rsidR="00000000" w:rsidDel="00000000" w:rsidP="00000000" w:rsidRDefault="00000000" w:rsidRPr="00000000" w14:paraId="00000011">
      <w:pPr>
        <w:spacing w:line="360" w:lineRule="auto"/>
        <w:rPr>
          <w:sz w:val="24"/>
          <w:szCs w:val="24"/>
        </w:rPr>
      </w:pPr>
      <w:r w:rsidDel="00000000" w:rsidR="00000000" w:rsidRPr="00000000">
        <w:rPr>
          <w:sz w:val="24"/>
          <w:szCs w:val="24"/>
          <w:rtl w:val="0"/>
        </w:rPr>
        <w:t xml:space="preserve">The research will answer the following question:</w:t>
      </w:r>
    </w:p>
    <w:p w:rsidR="00000000" w:rsidDel="00000000" w:rsidP="00000000" w:rsidRDefault="00000000" w:rsidRPr="00000000" w14:paraId="00000012">
      <w:pPr>
        <w:spacing w:line="360" w:lineRule="auto"/>
        <w:rPr>
          <w:sz w:val="24"/>
          <w:szCs w:val="24"/>
        </w:rPr>
      </w:pPr>
      <w:r w:rsidDel="00000000" w:rsidR="00000000" w:rsidRPr="00000000">
        <w:rPr>
          <w:sz w:val="24"/>
          <w:szCs w:val="24"/>
          <w:rtl w:val="0"/>
        </w:rPr>
        <w:t xml:space="preserve">What is the influence of health literacy on self-management behaviours in adults with type 2 diabetes in the UK?</w:t>
      </w:r>
    </w:p>
    <w:p w:rsidR="00000000" w:rsidDel="00000000" w:rsidP="00000000" w:rsidRDefault="00000000" w:rsidRPr="00000000" w14:paraId="00000013">
      <w:pPr>
        <w:pStyle w:val="Heading1"/>
        <w:numPr>
          <w:ilvl w:val="0"/>
          <w:numId w:val="1"/>
        </w:numPr>
        <w:spacing w:line="360" w:lineRule="auto"/>
        <w:ind w:left="720" w:hanging="360"/>
        <w:rPr>
          <w:sz w:val="24"/>
          <w:szCs w:val="24"/>
        </w:rPr>
      </w:pPr>
      <w:r w:rsidDel="00000000" w:rsidR="00000000" w:rsidRPr="00000000">
        <w:rPr>
          <w:sz w:val="24"/>
          <w:szCs w:val="24"/>
          <w:rtl w:val="0"/>
        </w:rPr>
        <w:t xml:space="preserve">Aim and Objectives</w:t>
      </w:r>
    </w:p>
    <w:p w:rsidR="00000000" w:rsidDel="00000000" w:rsidP="00000000" w:rsidRDefault="00000000" w:rsidRPr="00000000" w14:paraId="00000014">
      <w:pPr>
        <w:spacing w:line="360" w:lineRule="auto"/>
        <w:rPr>
          <w:sz w:val="24"/>
          <w:szCs w:val="24"/>
        </w:rPr>
      </w:pPr>
      <w:r w:rsidDel="00000000" w:rsidR="00000000" w:rsidRPr="00000000">
        <w:rPr>
          <w:sz w:val="24"/>
          <w:szCs w:val="24"/>
          <w:rtl w:val="0"/>
        </w:rPr>
        <w:t xml:space="preserve">This research aims to critically review the influence of health literacy on self-management behaviours in adults with type 2 diabetes in the UK. The following are the developed research objectives:</w:t>
      </w:r>
    </w:p>
    <w:p w:rsidR="00000000" w:rsidDel="00000000" w:rsidP="00000000" w:rsidRDefault="00000000" w:rsidRPr="00000000" w14:paraId="00000015">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To review how adults with Type 2 diabetes in the UK experience the relationship between self-management and health literacy</w:t>
      </w:r>
    </w:p>
    <w:p w:rsidR="00000000" w:rsidDel="00000000" w:rsidP="00000000" w:rsidRDefault="00000000" w:rsidRPr="00000000" w14:paraId="00000016">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To determine which of the components of self-management (diet, physical activity, medication, monitoring and help-seeking) is most influenced by varying levels of health literacy.</w:t>
      </w:r>
    </w:p>
    <w:p w:rsidR="00000000" w:rsidDel="00000000" w:rsidP="00000000" w:rsidRDefault="00000000" w:rsidRPr="00000000" w14:paraId="00000017">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200" w:before="0" w:line="360" w:lineRule="auto"/>
        <w:ind w:left="720" w:right="0" w:hanging="360"/>
        <w:jc w:val="left"/>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4"/>
          <w:szCs w:val="24"/>
          <w:u w:val="none"/>
          <w:shd w:fill="auto" w:val="clear"/>
          <w:vertAlign w:val="baseline"/>
          <w:rtl w:val="0"/>
        </w:rPr>
        <w:t xml:space="preserve">To examine the interaction between socioeconomic and demographic variables and health literacy</w:t>
      </w:r>
    </w:p>
    <w:p w:rsidR="00000000" w:rsidDel="00000000" w:rsidP="00000000" w:rsidRDefault="00000000" w:rsidRPr="00000000" w14:paraId="00000018">
      <w:pPr>
        <w:pStyle w:val="Heading1"/>
        <w:spacing w:line="360" w:lineRule="auto"/>
        <w:rPr>
          <w:sz w:val="24"/>
          <w:szCs w:val="24"/>
        </w:rPr>
      </w:pPr>
      <w:r w:rsidDel="00000000" w:rsidR="00000000" w:rsidRPr="00000000">
        <w:rPr>
          <w:sz w:val="24"/>
          <w:szCs w:val="24"/>
          <w:rtl w:val="0"/>
        </w:rPr>
        <w:t xml:space="preserve">3) Rationale</w:t>
      </w:r>
    </w:p>
    <w:p w:rsidR="00000000" w:rsidDel="00000000" w:rsidP="00000000" w:rsidRDefault="00000000" w:rsidRPr="00000000" w14:paraId="00000019">
      <w:pPr>
        <w:spacing w:line="360" w:lineRule="auto"/>
        <w:rPr>
          <w:sz w:val="24"/>
          <w:szCs w:val="24"/>
        </w:rPr>
      </w:pPr>
      <w:bookmarkStart w:colFirst="0" w:colLast="0" w:name="_heading=h.runb2hvafhgo" w:id="0"/>
      <w:bookmarkEnd w:id="0"/>
      <w:r w:rsidDel="00000000" w:rsidR="00000000" w:rsidRPr="00000000">
        <w:rPr>
          <w:sz w:val="24"/>
          <w:szCs w:val="24"/>
          <w:rtl w:val="0"/>
        </w:rPr>
        <w:t xml:space="preserve">Currently, it is estimated that more than 5 million UK-based individuals have diabetes, predominantly type 2 (T2D), while the diabetic rates are increasing more rapidly with younger adults and the most deprived populations (Diabetes UK, 2024). As per the report of Office for Health Improvement and Disparities (2025), the prevalence was recorded at 7% in adults in England by 2024. The primary process by which complications are managed is self-management (Maina et al., 2023). However, its effectiveness is determined by the ability of an individual to identify, interpret and act on the health-related information; a cross-sectional study revealed that almost fifty per cent of patients had poor health literacy that was associated with less effective self-management and weaker glycaemic control (Nugent, Galea and Sammut, 2023). Qualitative UK research indicates that self-management strategies experience a wide range of changes over time (Frost et al., 2014). Yet, the influence of health literacy on these experiences has never been identified in a systematic way. This needs to be clarified as it is directly connected to the inequalities that persist throughout the condition.</w:t>
      </w:r>
    </w:p>
    <w:p w:rsidR="00000000" w:rsidDel="00000000" w:rsidP="00000000" w:rsidRDefault="00000000" w:rsidRPr="00000000" w14:paraId="0000001A">
      <w:pPr>
        <w:pStyle w:val="Heading1"/>
        <w:spacing w:line="360" w:lineRule="auto"/>
        <w:rPr>
          <w:sz w:val="24"/>
          <w:szCs w:val="24"/>
        </w:rPr>
      </w:pPr>
      <w:r w:rsidDel="00000000" w:rsidR="00000000" w:rsidRPr="00000000">
        <w:rPr>
          <w:sz w:val="24"/>
          <w:szCs w:val="24"/>
          <w:rtl w:val="0"/>
        </w:rPr>
        <w:t xml:space="preserve">4) Methods</w:t>
      </w:r>
    </w:p>
    <w:p w:rsidR="00000000" w:rsidDel="00000000" w:rsidP="00000000" w:rsidRDefault="00000000" w:rsidRPr="00000000" w14:paraId="0000001B">
      <w:pPr>
        <w:spacing w:line="360" w:lineRule="auto"/>
        <w:rPr>
          <w:sz w:val="24"/>
          <w:szCs w:val="24"/>
        </w:rPr>
      </w:pPr>
      <w:r w:rsidDel="00000000" w:rsidR="00000000" w:rsidRPr="00000000">
        <w:rPr>
          <w:sz w:val="24"/>
          <w:szCs w:val="24"/>
          <w:rtl w:val="0"/>
        </w:rPr>
        <w:t xml:space="preserve">For this research, the 5-stage model of scoping review proposed by Arksey and O’Malley (2005), which will be modified and updated by Levac, Colquhoun and O’Brien (2010), will be employed. The relevant articles would be searched using appropriate databases, including PsycINFO, MEDLINE, and CINAHL. These databases will help in searching and identifying peer-reviewed qualitative primary research and qualitative syntheses published since 2010, and dealing with UK adults with type 2 diabetes. Screening will be preceded by the establishment of inclusion and exclusion criteria, and the results will be divided thematically and reported against the PRISMA-ScR checklist. The process of screening and charting will be conducted in comparison to a piloted data-extraction form, and the decisions will be recorded to ensure transparency. It does not do quality appraisal as per the scoping review conventions (Levac, Colquhoun and O’Brien, 2010).</w:t>
      </w:r>
    </w:p>
    <w:p w:rsidR="00000000" w:rsidDel="00000000" w:rsidP="00000000" w:rsidRDefault="00000000" w:rsidRPr="00000000" w14:paraId="0000001C">
      <w:pPr>
        <w:pStyle w:val="Heading1"/>
        <w:spacing w:line="360" w:lineRule="auto"/>
        <w:rPr>
          <w:sz w:val="24"/>
          <w:szCs w:val="24"/>
        </w:rPr>
      </w:pPr>
      <w:r w:rsidDel="00000000" w:rsidR="00000000" w:rsidRPr="00000000">
        <w:rPr>
          <w:sz w:val="24"/>
          <w:szCs w:val="24"/>
          <w:rtl w:val="0"/>
        </w:rPr>
        <w:t xml:space="preserve">5) Ethical considerations</w:t>
      </w:r>
    </w:p>
    <w:p w:rsidR="00000000" w:rsidDel="00000000" w:rsidP="00000000" w:rsidRDefault="00000000" w:rsidRPr="00000000" w14:paraId="0000001D">
      <w:pPr>
        <w:spacing w:line="360" w:lineRule="auto"/>
        <w:rPr>
          <w:sz w:val="24"/>
          <w:szCs w:val="24"/>
        </w:rPr>
      </w:pPr>
      <w:r w:rsidDel="00000000" w:rsidR="00000000" w:rsidRPr="00000000">
        <w:rPr>
          <w:sz w:val="24"/>
          <w:szCs w:val="24"/>
          <w:rtl w:val="0"/>
        </w:rPr>
        <w:t xml:space="preserve">Since this is secondary research involving the use of published research only, formal ethical approval is not a requirement. The sources will be referenced properly and reflectively, and the protocol will be documented transparently to facilitate replication.</w:t>
      </w:r>
    </w:p>
    <w:p w:rsidR="00000000" w:rsidDel="00000000" w:rsidP="00000000" w:rsidRDefault="00000000" w:rsidRPr="00000000" w14:paraId="0000001E">
      <w:pPr>
        <w:spacing w:line="360" w:lineRule="auto"/>
        <w:rPr>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F">
      <w:pPr>
        <w:pStyle w:val="Heading1"/>
        <w:spacing w:line="360" w:lineRule="auto"/>
        <w:jc w:val="center"/>
        <w:rPr>
          <w:sz w:val="24"/>
          <w:szCs w:val="24"/>
        </w:rPr>
      </w:pPr>
      <w:r w:rsidDel="00000000" w:rsidR="00000000" w:rsidRPr="00000000">
        <w:rPr>
          <w:sz w:val="24"/>
          <w:szCs w:val="24"/>
          <w:rtl w:val="0"/>
        </w:rPr>
        <w:t xml:space="preserve">References</w:t>
      </w:r>
    </w:p>
    <w:p w:rsidR="00000000" w:rsidDel="00000000" w:rsidP="00000000" w:rsidRDefault="00000000" w:rsidRPr="00000000" w14:paraId="00000020">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Arksey, H., and O'Malley, L. (2005). Scoping studies: towards a methodological framework. </w:t>
      </w:r>
      <w:r w:rsidDel="00000000" w:rsidR="00000000" w:rsidRPr="00000000">
        <w:rPr>
          <w:i w:val="1"/>
          <w:iCs w:val="1"/>
          <w:color w:val="222222"/>
          <w:sz w:val="24"/>
          <w:szCs w:val="24"/>
          <w:highlight w:val="white"/>
          <w:rtl w:val="0"/>
        </w:rPr>
        <w:t xml:space="preserve">International journal of social research methodology</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8</w:t>
      </w:r>
      <w:r w:rsidDel="00000000" w:rsidR="00000000" w:rsidRPr="00000000">
        <w:rPr>
          <w:color w:val="222222"/>
          <w:sz w:val="24"/>
          <w:szCs w:val="24"/>
          <w:highlight w:val="white"/>
          <w:rtl w:val="0"/>
        </w:rPr>
        <w:t xml:space="preserve">(1), 19-32.</w:t>
      </w:r>
    </w:p>
    <w:p w:rsidR="00000000" w:rsidDel="00000000" w:rsidP="00000000" w:rsidRDefault="00000000" w:rsidRPr="00000000" w14:paraId="00000021">
      <w:pPr>
        <w:spacing w:line="360" w:lineRule="auto"/>
        <w:ind w:left="720" w:hanging="720"/>
        <w:rPr>
          <w:sz w:val="24"/>
          <w:szCs w:val="24"/>
        </w:rPr>
      </w:pPr>
      <w:r w:rsidDel="00000000" w:rsidR="00000000" w:rsidRPr="00000000">
        <w:rPr>
          <w:sz w:val="24"/>
          <w:szCs w:val="24"/>
          <w:rtl w:val="0"/>
        </w:rPr>
        <w:t xml:space="preserve">Diabetes UK (2024). Type 2 Diabetes Prevention Week 2024: action needed to tackle rising type 2 cases among under-40s. London: Diabetes UK. Available at: https://www.diabetes.org.uk (Accessed: 28 June 2026).</w:t>
      </w:r>
    </w:p>
    <w:p w:rsidR="00000000" w:rsidDel="00000000" w:rsidP="00000000" w:rsidRDefault="00000000" w:rsidRPr="00000000" w14:paraId="00000022">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Frost, J., Garside, R., Cooper, C., and Britten, N. (2014). A qualitative synthesis of diabetes self-management strategies for long-term medical outcomes and quality of life in the UK. </w:t>
      </w:r>
      <w:r w:rsidDel="00000000" w:rsidR="00000000" w:rsidRPr="00000000">
        <w:rPr>
          <w:i w:val="1"/>
          <w:iCs w:val="1"/>
          <w:color w:val="222222"/>
          <w:sz w:val="24"/>
          <w:szCs w:val="24"/>
          <w:highlight w:val="white"/>
          <w:rtl w:val="0"/>
        </w:rPr>
        <w:t xml:space="preserve">BMC Health Services Research</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14</w:t>
      </w:r>
      <w:r w:rsidDel="00000000" w:rsidR="00000000" w:rsidRPr="00000000">
        <w:rPr>
          <w:color w:val="222222"/>
          <w:sz w:val="24"/>
          <w:szCs w:val="24"/>
          <w:highlight w:val="white"/>
          <w:rtl w:val="0"/>
        </w:rPr>
        <w:t xml:space="preserve">(1), 348.</w:t>
      </w:r>
    </w:p>
    <w:p w:rsidR="00000000" w:rsidDel="00000000" w:rsidP="00000000" w:rsidRDefault="00000000" w:rsidRPr="00000000" w14:paraId="00000023">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Levac, D., Colquhoun, H. and O'Brien, K.K. (2010). Scoping studies: advancing the methodology. </w:t>
      </w:r>
      <w:r w:rsidDel="00000000" w:rsidR="00000000" w:rsidRPr="00000000">
        <w:rPr>
          <w:i w:val="1"/>
          <w:iCs w:val="1"/>
          <w:color w:val="222222"/>
          <w:sz w:val="24"/>
          <w:szCs w:val="24"/>
          <w:highlight w:val="white"/>
          <w:rtl w:val="0"/>
        </w:rPr>
        <w:t xml:space="preserve">Implementation science</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5</w:t>
      </w:r>
      <w:r w:rsidDel="00000000" w:rsidR="00000000" w:rsidRPr="00000000">
        <w:rPr>
          <w:color w:val="222222"/>
          <w:sz w:val="24"/>
          <w:szCs w:val="24"/>
          <w:highlight w:val="white"/>
          <w:rtl w:val="0"/>
        </w:rPr>
        <w:t xml:space="preserve">(1), p.69.</w:t>
      </w:r>
    </w:p>
    <w:p w:rsidR="00000000" w:rsidDel="00000000" w:rsidP="00000000" w:rsidRDefault="00000000" w:rsidRPr="00000000" w14:paraId="00000024">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Maina, P. M., Pienaar, M., and Reid, M. (2023). Self-management practices for preventing complications of type II diabetes mellitus in low and middle-income countries: A scoping review. </w:t>
      </w:r>
      <w:r w:rsidDel="00000000" w:rsidR="00000000" w:rsidRPr="00000000">
        <w:rPr>
          <w:i w:val="1"/>
          <w:iCs w:val="1"/>
          <w:color w:val="222222"/>
          <w:sz w:val="24"/>
          <w:szCs w:val="24"/>
          <w:highlight w:val="white"/>
          <w:rtl w:val="0"/>
        </w:rPr>
        <w:t xml:space="preserve">International Journal of Nursing Studies Advances</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5</w:t>
      </w:r>
      <w:r w:rsidDel="00000000" w:rsidR="00000000" w:rsidRPr="00000000">
        <w:rPr>
          <w:color w:val="222222"/>
          <w:sz w:val="24"/>
          <w:szCs w:val="24"/>
          <w:highlight w:val="white"/>
          <w:rtl w:val="0"/>
        </w:rPr>
        <w:t xml:space="preserve">, 100136.</w:t>
      </w:r>
    </w:p>
    <w:p w:rsidR="00000000" w:rsidDel="00000000" w:rsidP="00000000" w:rsidRDefault="00000000" w:rsidRPr="00000000" w14:paraId="00000025">
      <w:pPr>
        <w:spacing w:line="360" w:lineRule="auto"/>
        <w:ind w:left="720" w:hanging="720"/>
        <w:rPr>
          <w:color w:val="222222"/>
          <w:sz w:val="24"/>
          <w:szCs w:val="24"/>
          <w:highlight w:val="white"/>
        </w:rPr>
      </w:pPr>
      <w:r w:rsidDel="00000000" w:rsidR="00000000" w:rsidRPr="00000000">
        <w:rPr>
          <w:color w:val="222222"/>
          <w:sz w:val="24"/>
          <w:szCs w:val="24"/>
          <w:highlight w:val="white"/>
          <w:rtl w:val="0"/>
        </w:rPr>
        <w:t xml:space="preserve">Nugent, T. L., Galea, A. M., and Sammut, R. (2023). Health literacy, self‐management and glycaemic control in persons living with type 2 diabetes mellitus: a cross‐sectional study. </w:t>
      </w:r>
      <w:r w:rsidDel="00000000" w:rsidR="00000000" w:rsidRPr="00000000">
        <w:rPr>
          <w:i w:val="1"/>
          <w:iCs w:val="1"/>
          <w:color w:val="222222"/>
          <w:sz w:val="24"/>
          <w:szCs w:val="24"/>
          <w:highlight w:val="white"/>
          <w:rtl w:val="0"/>
        </w:rPr>
        <w:t xml:space="preserve">Practical Diabetes</w:t>
      </w:r>
      <w:r w:rsidDel="00000000" w:rsidR="00000000" w:rsidRPr="00000000">
        <w:rPr>
          <w:color w:val="222222"/>
          <w:sz w:val="24"/>
          <w:szCs w:val="24"/>
          <w:highlight w:val="white"/>
          <w:rtl w:val="0"/>
        </w:rPr>
        <w:t xml:space="preserve">, </w:t>
      </w:r>
      <w:r w:rsidDel="00000000" w:rsidR="00000000" w:rsidRPr="00000000">
        <w:rPr>
          <w:i w:val="1"/>
          <w:iCs w:val="1"/>
          <w:color w:val="222222"/>
          <w:sz w:val="24"/>
          <w:szCs w:val="24"/>
          <w:highlight w:val="white"/>
          <w:rtl w:val="0"/>
        </w:rPr>
        <w:t xml:space="preserve">40</w:t>
      </w:r>
      <w:r w:rsidDel="00000000" w:rsidR="00000000" w:rsidRPr="00000000">
        <w:rPr>
          <w:color w:val="222222"/>
          <w:sz w:val="24"/>
          <w:szCs w:val="24"/>
          <w:highlight w:val="white"/>
          <w:rtl w:val="0"/>
        </w:rPr>
        <w:t xml:space="preserve">(4), 28-34.</w:t>
      </w:r>
    </w:p>
    <w:p w:rsidR="00000000" w:rsidDel="00000000" w:rsidP="00000000" w:rsidRDefault="00000000" w:rsidRPr="00000000" w14:paraId="00000026">
      <w:pPr>
        <w:spacing w:line="360" w:lineRule="auto"/>
        <w:ind w:left="720" w:hanging="720"/>
        <w:rPr>
          <w:sz w:val="24"/>
          <w:szCs w:val="24"/>
        </w:rPr>
      </w:pPr>
      <w:r w:rsidDel="00000000" w:rsidR="00000000" w:rsidRPr="00000000">
        <w:rPr>
          <w:sz w:val="24"/>
          <w:szCs w:val="24"/>
          <w:rtl w:val="0"/>
        </w:rPr>
        <w:t xml:space="preserve">Office for Health Improvement and Disparities (2025). Diabetes profile: statistical commentary, March 2025. London: GOV.UK. Available at: https://www.gov.uk/government/statistics/diabetes-profile-update-march-2025/diabetes-profile-statistical-commentary-march-2025 (Accessed: 28 June 2026).</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Arial"/>
  <w:font w:name="Times New Roman"/>
  <w:font w:name="Apto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abstractNum w:abstractNumId="2">
    <w:lvl w:ilvl="0">
      <w:start w:val="1"/>
      <w:numFmt w:val="upperRoman"/>
      <w:lvlText w:val="%1."/>
      <w:lvlJc w:val="right"/>
      <w:pPr>
        <w:ind w:left="720" w:hanging="360"/>
      </w:pPr>
      <w:rPr/>
    </w:lvl>
    <w:lvl w:ilvl="1">
      <w:start w:val="1"/>
      <w:numFmt w:val="lowerLetter"/>
      <w:lvlText w:val="%2."/>
      <w:lvlJc w:val="left"/>
      <w:pPr>
        <w:ind w:left="1440" w:hanging="360"/>
      </w:pPr>
      <w:rPr/>
    </w:lvl>
    <w:lvl w:ilvl="2">
      <w:start w:val="1"/>
      <w:numFmt w:val="lowerRoman"/>
      <w:lvlText w:val="%3."/>
      <w:lvlJc w:val="right"/>
      <w:pPr>
        <w:ind w:left="2160" w:hanging="180"/>
      </w:pPr>
      <w:rPr/>
    </w:lvl>
    <w:lvl w:ilvl="3">
      <w:start w:val="1"/>
      <w:numFmt w:val="decimal"/>
      <w:lvlText w:val="%4."/>
      <w:lvlJc w:val="left"/>
      <w:pPr>
        <w:ind w:left="2880" w:hanging="360"/>
      </w:pPr>
      <w:rPr/>
    </w:lvl>
    <w:lvl w:ilvl="4">
      <w:start w:val="1"/>
      <w:numFmt w:val="lowerLetter"/>
      <w:lvlText w:val="%5."/>
      <w:lvlJc w:val="left"/>
      <w:pPr>
        <w:ind w:left="3600" w:hanging="360"/>
      </w:pPr>
      <w:rPr/>
    </w:lvl>
    <w:lvl w:ilvl="5">
      <w:start w:val="1"/>
      <w:numFmt w:val="lowerRoman"/>
      <w:lvlText w:val="%6."/>
      <w:lvlJc w:val="right"/>
      <w:pPr>
        <w:ind w:left="4320" w:hanging="180"/>
      </w:pPr>
      <w:rPr/>
    </w:lvl>
    <w:lvl w:ilvl="6">
      <w:start w:val="1"/>
      <w:numFmt w:val="decimal"/>
      <w:lvlText w:val="%7."/>
      <w:lvlJc w:val="left"/>
      <w:pPr>
        <w:ind w:left="5040" w:hanging="360"/>
      </w:pPr>
      <w:rPr/>
    </w:lvl>
    <w:lvl w:ilvl="7">
      <w:start w:val="1"/>
      <w:numFmt w:val="lowerLetter"/>
      <w:lvlText w:val="%8."/>
      <w:lvlJc w:val="left"/>
      <w:pPr>
        <w:ind w:left="5760" w:hanging="360"/>
      </w:pPr>
      <w:rPr/>
    </w:lvl>
    <w:lvl w:ilvl="8">
      <w:start w:val="1"/>
      <w:numFmt w:val="lowerRoman"/>
      <w:lvlText w:val="%9."/>
      <w:lvlJc w:val="right"/>
      <w:pPr>
        <w:ind w:left="6480" w:hanging="180"/>
      </w:pPr>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mbria" w:cs="Cambria" w:eastAsia="Cambria" w:hAnsi="Cambria"/>
      <w:b w:val="1"/>
      <w:bCs w:val="1"/>
      <w:color w:val="366091"/>
      <w:sz w:val="28"/>
      <w:szCs w:val="2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zcUocUabjzsvTCV+H7stv3S4dJg==">CgMxLjAyDmgucnVuYjJodmFmaGdvOAByITFoSVEyYUZ5NlJmNmp2a05FLXV1NlR2eG5JcFYzdWI3dg==</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7c0a98ee-4bde-4728-8b85-87913566612c</vt:lpwstr>
  </property>
</Properties>
</file>