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61C2" w:rsidRDefault="00AE61C2" w:rsidP="00AE61C2">
      <w:pPr>
        <w:rPr>
          <w:b/>
          <w:sz w:val="28"/>
          <w:szCs w:val="28"/>
        </w:rPr>
      </w:pPr>
      <w:r>
        <w:rPr>
          <w:b/>
          <w:sz w:val="28"/>
          <w:szCs w:val="28"/>
        </w:rPr>
        <w:t>To what extent,</w:t>
      </w:r>
      <w:bookmarkStart w:id="0" w:name="_GoBack"/>
      <w:bookmarkEnd w:id="0"/>
      <w:r>
        <w:rPr>
          <w:b/>
          <w:sz w:val="28"/>
          <w:szCs w:val="28"/>
        </w:rPr>
        <w:t xml:space="preserve"> if at all, is the person and work of Christ as explained in Anselm’s Cur Deus Homo a contribution to our understanding of the Doctrine of the Trinity?</w:t>
      </w:r>
    </w:p>
    <w:p w:rsidR="00AE61C2" w:rsidRDefault="00AE61C2" w:rsidP="00AE61C2">
      <w:r>
        <w:t xml:space="preserve">“Leaving Christ out of view, no salvation can be found for man? For, either by Christ or by someone else can man be saved, or else not at </w:t>
      </w:r>
      <w:proofErr w:type="gramStart"/>
      <w:r>
        <w:t>all.</w:t>
      </w:r>
      <w:proofErr w:type="gramEnd"/>
      <w:r>
        <w:t xml:space="preserve"> If, then, it is false that man cannot be saved at all, or that he can be saved in any other way, his salvation must necessarily be by Christ.” </w:t>
      </w:r>
    </w:p>
    <w:p w:rsidR="00AE61C2" w:rsidRDefault="00AE61C2" w:rsidP="00AE61C2">
      <w:pPr>
        <w:pStyle w:val="ListParagraph"/>
        <w:numPr>
          <w:ilvl w:val="0"/>
          <w:numId w:val="6"/>
        </w:numPr>
      </w:pPr>
      <w:r>
        <w:t xml:space="preserve"> Anselm - Cur Deus Homo </w:t>
      </w:r>
    </w:p>
    <w:p w:rsidR="00AE61C2" w:rsidRDefault="00AE61C2" w:rsidP="00AE61C2">
      <w:r>
        <w:t>Despite St Anselm’s reference in the preface to his Cur Deus Homo (1) about “</w:t>
      </w:r>
      <w:r>
        <w:rPr>
          <w:i/>
        </w:rPr>
        <w:t>removing Christ from view</w:t>
      </w:r>
      <w:r>
        <w:t>” (</w:t>
      </w:r>
      <w:r>
        <w:rPr>
          <w:i/>
        </w:rPr>
        <w:t>remote Christo</w:t>
      </w:r>
      <w:r>
        <w:t xml:space="preserve">) the truth is that Christ, his person, his work and his role within the context of the Trinity as endorsed by the Council of Chalcedon (451) is the fulcrum upon which many of Anselm’s key theological innovations like the meaning of ‘satisfaction’ and the methodology by which ‘atonement’ can be achieved, depends (2). </w:t>
      </w:r>
    </w:p>
    <w:p w:rsidR="00AE61C2" w:rsidRDefault="00AE61C2" w:rsidP="00AE61C2">
      <w:r>
        <w:t>In fact what St. Anselm (1033-1109) does in his Cur Deus Homo according to McGrath is to “</w:t>
      </w:r>
      <w:r>
        <w:rPr>
          <w:i/>
        </w:rPr>
        <w:t>seek to set out a rational demonstration of the necessity of God becoming man, and is therefore “an analysis of the benefits which accrue to humanity as a result of the incarnation and obedience of the Son of God…in other words, achieving an understanding of the meaning of the death and resurrection of Christ</w:t>
      </w:r>
      <w:r>
        <w:t>.” (3)</w:t>
      </w:r>
    </w:p>
    <w:p w:rsidR="00AE61C2" w:rsidRDefault="00AE61C2" w:rsidP="00AE61C2">
      <w:r>
        <w:t>McGrath emphasizing the point in regard to the person and work of Christ, that only:</w:t>
      </w:r>
    </w:p>
    <w:p w:rsidR="00AE61C2" w:rsidRDefault="00AE61C2" w:rsidP="00AE61C2">
      <w:r>
        <w:t>“</w:t>
      </w:r>
      <w:r>
        <w:rPr>
          <w:i/>
        </w:rPr>
        <w:t>A God-Man would possess both the ability (as God) and the obligation (as a human being) to pay the required satisfaction. Therefore the incarnation takes place, in order that the required satisfaction may be made, and humanity redeemed</w:t>
      </w:r>
      <w:r>
        <w:t xml:space="preserve">.” (4) </w:t>
      </w:r>
    </w:p>
    <w:p w:rsidR="00AE61C2" w:rsidRDefault="00AE61C2" w:rsidP="00AE61C2">
      <w:r>
        <w:t xml:space="preserve">A view that seems justified given Anselm’s statement: </w:t>
      </w:r>
    </w:p>
    <w:p w:rsidR="00AE61C2" w:rsidRDefault="00AE61C2" w:rsidP="00AE61C2">
      <w:r>
        <w:t>“</w:t>
      </w:r>
      <w:r>
        <w:rPr>
          <w:i/>
        </w:rPr>
        <w:t>This is the question which you ought to ask of those on whose behalf you are speaking, who have no faith in the need of Christ for man’s salvation, and you should also request them to tell how man can be saved without Christ</w:t>
      </w:r>
      <w:r>
        <w:t>.”(5)</w:t>
      </w:r>
    </w:p>
    <w:p w:rsidR="00AE61C2" w:rsidRDefault="00AE61C2" w:rsidP="00AE61C2">
      <w:r>
        <w:t xml:space="preserve">The conclusion according to Anselm’s own logic, being: </w:t>
      </w:r>
    </w:p>
    <w:p w:rsidR="00AE61C2" w:rsidRDefault="00AE61C2" w:rsidP="00AE61C2">
      <w:r>
        <w:t>“</w:t>
      </w:r>
      <w:r>
        <w:rPr>
          <w:i/>
        </w:rPr>
        <w:t xml:space="preserve">Therefore, in order that the God-man may perform this, it is necessary that the same being should be perfect God and perfect man, in order to make this atonement. </w:t>
      </w:r>
      <w:proofErr w:type="gramStart"/>
      <w:r>
        <w:rPr>
          <w:i/>
        </w:rPr>
        <w:t>For he cannot and ought not to do it, unless he be very God and very man.</w:t>
      </w:r>
      <w:proofErr w:type="gramEnd"/>
      <w:r>
        <w:rPr>
          <w:i/>
        </w:rPr>
        <w:t xml:space="preserve"> Since, then, it is necessary that the God man preserve the completeness of each nature, it is no less necessary that these two natures be united entire in one person, just as a body and a reasonable soul exist together in every human being; for otherwise it is impossible that the same being should be very God and very man</w:t>
      </w:r>
      <w:r>
        <w:t>.” (6)</w:t>
      </w:r>
    </w:p>
    <w:p w:rsidR="00AE61C2" w:rsidRDefault="00AE61C2" w:rsidP="00AE61C2">
      <w:r>
        <w:t xml:space="preserve">Which clearly signals Anselm’s further development of </w:t>
      </w:r>
      <w:proofErr w:type="gramStart"/>
      <w:r>
        <w:t>Leonine</w:t>
      </w:r>
      <w:proofErr w:type="gramEnd"/>
      <w:r>
        <w:t xml:space="preserve"> concepts of both Christology and The Triune nature of God (7) when he writes:</w:t>
      </w:r>
    </w:p>
    <w:p w:rsidR="00AE61C2" w:rsidRDefault="00AE61C2" w:rsidP="00AE61C2">
      <w:r>
        <w:lastRenderedPageBreak/>
        <w:t>“</w:t>
      </w:r>
      <w:r>
        <w:rPr>
          <w:i/>
        </w:rPr>
        <w:t xml:space="preserve">Now must we inquire further, in what person God, who exists in three persons, shall take upon himself the nature of </w:t>
      </w:r>
      <w:proofErr w:type="gramStart"/>
      <w:r>
        <w:rPr>
          <w:i/>
        </w:rPr>
        <w:t>man.</w:t>
      </w:r>
      <w:proofErr w:type="gramEnd"/>
      <w:r>
        <w:rPr>
          <w:i/>
        </w:rPr>
        <w:t xml:space="preserve"> For a plurality of persons cannot take one and the same man into a unity of person. Wherefore in one person only can this be </w:t>
      </w:r>
      <w:proofErr w:type="gramStart"/>
      <w:r>
        <w:rPr>
          <w:i/>
        </w:rPr>
        <w:t>done.</w:t>
      </w:r>
      <w:proofErr w:type="gramEnd"/>
      <w:r>
        <w:rPr>
          <w:i/>
        </w:rPr>
        <w:t xml:space="preserve"> But, as respects this personal unity of God and man, and in which of the Divine persons this ought to be effected, I have expressed myself, as far as I think needful for the present inquiry, in a letter on the Incarnation of the Word, addressed to my lord, the Pope Urban</w:t>
      </w:r>
      <w:r>
        <w:t>.” (8)</w:t>
      </w:r>
    </w:p>
    <w:p w:rsidR="00AE61C2" w:rsidRDefault="00AE61C2" w:rsidP="00AE61C2">
      <w:r>
        <w:t>Mann (9), stressing that “</w:t>
      </w:r>
      <w:r>
        <w:rPr>
          <w:i/>
        </w:rPr>
        <w:t xml:space="preserve">Anselm investigates the doctrine of the Trinity extensively in three of his treatises. Roughly two fifths of the </w:t>
      </w:r>
      <w:proofErr w:type="spellStart"/>
      <w:r>
        <w:rPr>
          <w:i/>
        </w:rPr>
        <w:t>Monologion</w:t>
      </w:r>
      <w:proofErr w:type="spellEnd"/>
      <w:r>
        <w:rPr>
          <w:i/>
        </w:rPr>
        <w:t xml:space="preserve"> is devoted to it and it is the sole center of attention in On the Incarnation of the Word (De Inc. </w:t>
      </w:r>
      <w:proofErr w:type="spellStart"/>
      <w:r>
        <w:rPr>
          <w:i/>
        </w:rPr>
        <w:t>Verbi</w:t>
      </w:r>
      <w:proofErr w:type="spellEnd"/>
      <w:r>
        <w:rPr>
          <w:i/>
        </w:rPr>
        <w:t>) and On the Procession of the Holy Spirit (De Proc.)</w:t>
      </w:r>
      <w:r>
        <w:t>.”Mann  reiterating that Anselm based his Triune concept on “</w:t>
      </w:r>
      <w:r>
        <w:rPr>
          <w:i/>
        </w:rPr>
        <w:t>the authority of Scripture (the revealed Word of God), the authority of confessional creeds formulated by church councils (in particular the Nicene Creed) and the authority of the Church Fathers (in particular Augustine)</w:t>
      </w:r>
      <w:r>
        <w:t>.” (10)</w:t>
      </w:r>
    </w:p>
    <w:p w:rsidR="00AE61C2" w:rsidRDefault="00AE61C2" w:rsidP="00AE61C2">
      <w:r>
        <w:t xml:space="preserve">Anselm continuing:   </w:t>
      </w:r>
    </w:p>
    <w:p w:rsidR="00AE61C2" w:rsidRDefault="00AE61C2" w:rsidP="00AE61C2">
      <w:r>
        <w:t>“</w:t>
      </w:r>
      <w:r>
        <w:rPr>
          <w:i/>
        </w:rPr>
        <w:t xml:space="preserve">That the Divine and human natures must unite in one person, and that this is evidently more fitting in respect to the person of the Word than the persons, we determine that God the Word must unite with man in one person… (11) …Because it was neither possible nor right for any one of them to be the same with God, as we say that man was.  </w:t>
      </w:r>
      <w:proofErr w:type="gramStart"/>
      <w:r>
        <w:rPr>
          <w:i/>
        </w:rPr>
        <w:t>And if you ask why he did not bring the three persons, or at least the Word, into unity with men at that time.</w:t>
      </w:r>
      <w:proofErr w:type="gramEnd"/>
      <w:r>
        <w:rPr>
          <w:i/>
        </w:rPr>
        <w:t xml:space="preserve"> I answer: Because reason did not at all demand any such thing then, but wholly forbade it, for God does nothing without reason.(12) …It was certainly proper that the atonement which Christ made should benefit not only those who lived at that time but also others… When, then, we say that man (who, by the union of persons, is also God, the Son of God) could not avoid death, or the choice of death, after he was born of the virgin… (13) For this end was accomplished by the united natures of Christ, that the Divine nature should perform that part of the work needful for man’s restoration which the human nature could not do; and that in the human should be manifested what was inappropriate to the Divine</w:t>
      </w:r>
      <w:r>
        <w:t xml:space="preserve">.”(14)  </w:t>
      </w:r>
    </w:p>
    <w:p w:rsidR="00AE61C2" w:rsidRDefault="00AE61C2" w:rsidP="00AE61C2">
      <w:r>
        <w:t xml:space="preserve">All of which has great bearing on Anselm’s conception of the personification of Christ, his works among mankind and the Son’s inter-relations within the Trinity:  </w:t>
      </w:r>
    </w:p>
    <w:p w:rsidR="00AE61C2" w:rsidRDefault="00AE61C2" w:rsidP="00AE61C2">
      <w:r>
        <w:t>“</w:t>
      </w:r>
      <w:r>
        <w:rPr>
          <w:i/>
        </w:rPr>
        <w:t xml:space="preserve">In like manner, as one person of the Trinity, he must have had whatever he possessed of his own right, so as to be complete in himself, and could not have been under obligations to another, nor have need of giving anything in order to be repaid </w:t>
      </w:r>
      <w:proofErr w:type="gramStart"/>
      <w:r>
        <w:rPr>
          <w:i/>
        </w:rPr>
        <w:t>himself</w:t>
      </w:r>
      <w:proofErr w:type="gramEnd"/>
      <w:r>
        <w:t xml:space="preserve">.” (15) </w:t>
      </w:r>
    </w:p>
    <w:p w:rsidR="00AE61C2" w:rsidRDefault="00AE61C2" w:rsidP="00AE61C2">
      <w:r>
        <w:t>For, has Anselm strenuously asserts:</w:t>
      </w:r>
    </w:p>
    <w:p w:rsidR="00AE61C2" w:rsidRDefault="00AE61C2" w:rsidP="00AE61C2">
      <w:r>
        <w:t>“</w:t>
      </w:r>
      <w:r>
        <w:rPr>
          <w:i/>
        </w:rPr>
        <w:t xml:space="preserve">That honor certainly belongs to the whole Trinity; and, since he is very God, the Son of God, he offered himself for his own honor, as well as for that of the Father and the Holy Spirit; that is, he gave his humanity to his divinity, which is one person of the Triune God. But, though we express our idea more definitely by clinging to the precise truth, yet we may say, according to our custom, that the Son freely gave himself to the Father. For thus we plainly affirm that in speaking of one person we understand the whole Deity, to whom as man he offered himself. And, by the names of Father and Son, a wondrous </w:t>
      </w:r>
      <w:r>
        <w:rPr>
          <w:i/>
        </w:rPr>
        <w:lastRenderedPageBreak/>
        <w:t>depth of devotion is excited in the hearts of the hearers, when it is said that the Son supplicates the Father on our behalf</w:t>
      </w:r>
      <w:r>
        <w:t xml:space="preserve">.” (16) </w:t>
      </w:r>
    </w:p>
    <w:p w:rsidR="00AE61C2" w:rsidRDefault="00AE61C2" w:rsidP="00AE61C2">
      <w:r>
        <w:t>Thus, despite “</w:t>
      </w:r>
      <w:r>
        <w:rPr>
          <w:i/>
        </w:rPr>
        <w:t xml:space="preserve">writing within the cultural framework of medieval feudalism, the answer was that Christ became incarnate, and suffered cruelly on our behalf to satisfy the demands of God’s violated </w:t>
      </w:r>
      <w:proofErr w:type="spellStart"/>
      <w:r>
        <w:rPr>
          <w:i/>
        </w:rPr>
        <w:t>honour</w:t>
      </w:r>
      <w:proofErr w:type="spellEnd"/>
      <w:r>
        <w:rPr>
          <w:i/>
        </w:rPr>
        <w:t xml:space="preserve"> and justice</w:t>
      </w:r>
      <w:r>
        <w:t xml:space="preserve">,” as per Greene (17). Hence, from Anselm, Abelard and Bernard of </w:t>
      </w:r>
      <w:proofErr w:type="spellStart"/>
      <w:r>
        <w:t>Clairvaux</w:t>
      </w:r>
      <w:proofErr w:type="spellEnd"/>
      <w:r>
        <w:t xml:space="preserve"> “</w:t>
      </w:r>
      <w:r>
        <w:rPr>
          <w:i/>
        </w:rPr>
        <w:t>through to Luther and Calvin, atonement theologies proliferated and the essential pro-nobs structure of soteriological concerns dominated theological considerations</w:t>
      </w:r>
      <w:r>
        <w:t xml:space="preserve">.” (18). Anselm </w:t>
      </w:r>
      <w:proofErr w:type="spellStart"/>
      <w:r>
        <w:t>focussed</w:t>
      </w:r>
      <w:proofErr w:type="spellEnd"/>
      <w:r>
        <w:t xml:space="preserve"> on the fact that to achieve </w:t>
      </w:r>
      <w:proofErr w:type="gramStart"/>
      <w:r>
        <w:t xml:space="preserve">atonement </w:t>
      </w:r>
      <w:proofErr w:type="gramEnd"/>
      <w:r w:rsidR="00975638">
        <w:t xml:space="preserve"> </w:t>
      </w:r>
      <w:proofErr w:type="gramStart"/>
      <w:r>
        <w:t>then</w:t>
      </w:r>
      <w:proofErr w:type="gramEnd"/>
      <w:r>
        <w:t xml:space="preserve"> the incarnation became a “necessity” (19). </w:t>
      </w:r>
    </w:p>
    <w:p w:rsidR="00AE61C2" w:rsidRDefault="00AE61C2" w:rsidP="00AE61C2">
      <w:r>
        <w:t>Brown (2004) making the point “</w:t>
      </w:r>
      <w:r>
        <w:rPr>
          <w:i/>
        </w:rPr>
        <w:t>All this helps to explain why Anselm’s late work Cur Deus Homo (written between 1094 and 1098) constitutes such a major landmark in the history of Christian thought. For what is uncontestably now offered is a fully developed carefully articulated theory of how atonement is achievable only through the work of Christ. In brief, only someone who is both God and man can save us, because while it is human beings that owe recompense to God for sin, it is only God who has the power and ability to make such recompense</w:t>
      </w:r>
      <w:r>
        <w:t>.” (20)</w:t>
      </w:r>
    </w:p>
    <w:p w:rsidR="00AE61C2" w:rsidRDefault="00AE61C2" w:rsidP="00AE61C2">
      <w:r>
        <w:t xml:space="preserve">A recurring theme, whose traces, reflecting many of Anselm’s very own theological cogitations on Christology, Soteriology and the Trinity had an obvious  and influential impact in relation not only to near -contemporaries like Peter Abelard and Thomas Aquinas but also thinkers that shaped the theological debates around the Reformation like Luther and Calvin and also modern thinkers and writers on religious themes like the highly respected Catholic  Hans </w:t>
      </w:r>
      <w:proofErr w:type="spellStart"/>
      <w:r>
        <w:t>Urs</w:t>
      </w:r>
      <w:proofErr w:type="spellEnd"/>
      <w:r>
        <w:t xml:space="preserve"> von </w:t>
      </w:r>
      <w:proofErr w:type="spellStart"/>
      <w:r>
        <w:t>Balthasar</w:t>
      </w:r>
      <w:proofErr w:type="spellEnd"/>
      <w:r>
        <w:t xml:space="preserve"> and Karl Barth, who largely endorsed Anselm’s Doctrine of Atonement as set out in Cur Deus Homo in his Church </w:t>
      </w:r>
      <w:proofErr w:type="spellStart"/>
      <w:r>
        <w:t>Dogmatics</w:t>
      </w:r>
      <w:proofErr w:type="spellEnd"/>
      <w:r>
        <w:t xml:space="preserve"> 11/1 and  predominantly agreed with Anselm that humanity’s  sin could not be removed  by the divine act alone as per his Church </w:t>
      </w:r>
      <w:proofErr w:type="spellStart"/>
      <w:r>
        <w:t>Dogmatics</w:t>
      </w:r>
      <w:proofErr w:type="spellEnd"/>
      <w:r>
        <w:t xml:space="preserve"> IV/1. (21)</w:t>
      </w:r>
    </w:p>
    <w:p w:rsidR="00AE61C2" w:rsidRDefault="00AE61C2" w:rsidP="00AE61C2">
      <w:r>
        <w:t>Anselm’s theology then not only adding to and extending many later scholars’ understanding of Christology but further illuminating aspects of the Trinity that are still discussed today. A substantial contribution that denotes why he is still considered a highly significant intellectual figure among the academic community of our time and remains keenly studied in the 21</w:t>
      </w:r>
      <w:r>
        <w:rPr>
          <w:vertAlign w:val="superscript"/>
        </w:rPr>
        <w:t>st</w:t>
      </w:r>
      <w:r>
        <w:t xml:space="preserve"> Century.             </w:t>
      </w:r>
    </w:p>
    <w:p w:rsidR="002750F8" w:rsidRDefault="00D94C09" w:rsidP="002750F8">
      <w:pPr>
        <w:rPr>
          <w:b/>
        </w:rPr>
      </w:pPr>
      <w:r>
        <w:rPr>
          <w:b/>
        </w:rPr>
        <w:t xml:space="preserve"> </w:t>
      </w:r>
      <w:r w:rsidR="002750F8">
        <w:rPr>
          <w:b/>
        </w:rPr>
        <w:t>(1</w:t>
      </w:r>
      <w:r w:rsidR="004B1FB3">
        <w:rPr>
          <w:b/>
        </w:rPr>
        <w:t>478</w:t>
      </w:r>
      <w:r w:rsidR="002750F8">
        <w:rPr>
          <w:b/>
        </w:rPr>
        <w:t xml:space="preserve"> words)</w:t>
      </w:r>
    </w:p>
    <w:p w:rsidR="002750F8" w:rsidRDefault="002750F8" w:rsidP="002750F8">
      <w:pPr>
        <w:rPr>
          <w:b/>
        </w:rPr>
      </w:pPr>
    </w:p>
    <w:p w:rsidR="002750F8" w:rsidRDefault="002750F8" w:rsidP="002750F8">
      <w:pPr>
        <w:rPr>
          <w:b/>
          <w:sz w:val="28"/>
          <w:szCs w:val="28"/>
        </w:rPr>
      </w:pPr>
      <w:r>
        <w:rPr>
          <w:b/>
          <w:sz w:val="28"/>
          <w:szCs w:val="28"/>
        </w:rPr>
        <w:t>Footnotes:</w:t>
      </w:r>
    </w:p>
    <w:p w:rsidR="002750F8" w:rsidRDefault="002750F8" w:rsidP="002750F8">
      <w:r>
        <w:t xml:space="preserve">(1) A work written between 1094 and 1098 that McGrath (1994 p. 43) describes as an example of “scholasticism at its best: the appeal to reason, the logical marshaling of arguments, the relentless exploration of the implications of ideas, and the fundamental conviction that at its heart, the Christian gospel is rational and can be shown to be rational.” Themes crystallized in phrases that McGrath (1994 p. 48) asserts are indelibly “linked to his (Anselm’s) name” – </w:t>
      </w:r>
      <w:r>
        <w:rPr>
          <w:i/>
        </w:rPr>
        <w:t xml:space="preserve">fides </w:t>
      </w:r>
      <w:proofErr w:type="spellStart"/>
      <w:r>
        <w:rPr>
          <w:i/>
        </w:rPr>
        <w:t>quaerens</w:t>
      </w:r>
      <w:proofErr w:type="spellEnd"/>
      <w:r>
        <w:rPr>
          <w:i/>
        </w:rPr>
        <w:t xml:space="preserve"> </w:t>
      </w:r>
      <w:proofErr w:type="spellStart"/>
      <w:r>
        <w:rPr>
          <w:i/>
        </w:rPr>
        <w:t>intellectum</w:t>
      </w:r>
      <w:proofErr w:type="spellEnd"/>
      <w:r>
        <w:t xml:space="preserve"> (“faith seeking understanding”) and </w:t>
      </w:r>
      <w:r>
        <w:rPr>
          <w:i/>
        </w:rPr>
        <w:t xml:space="preserve">credo </w:t>
      </w:r>
      <w:proofErr w:type="spellStart"/>
      <w:r>
        <w:rPr>
          <w:i/>
        </w:rPr>
        <w:t>ut</w:t>
      </w:r>
      <w:proofErr w:type="spellEnd"/>
      <w:r>
        <w:rPr>
          <w:i/>
        </w:rPr>
        <w:t xml:space="preserve"> </w:t>
      </w:r>
      <w:proofErr w:type="spellStart"/>
      <w:r>
        <w:rPr>
          <w:i/>
        </w:rPr>
        <w:t>intellegam</w:t>
      </w:r>
      <w:proofErr w:type="spellEnd"/>
      <w:r>
        <w:t xml:space="preserve"> (“I believe, in order that I may understand”). John Glyndwr Harris describing Anselm in his book Christian Theology: The Spiritual Tradition (2001) as the “Father of </w:t>
      </w:r>
      <w:r>
        <w:lastRenderedPageBreak/>
        <w:t>the schoolmen” p. 135</w:t>
      </w:r>
      <w:r w:rsidR="00D037EA">
        <w:t>,</w:t>
      </w:r>
      <w:r>
        <w:t xml:space="preserve"> before articulating the opinion that Anselm “expounded the doctrine of the atonement - as satisfaction to God’s justice” and that “God made provision for this in the work of Christ and his death”. Harris contending that it was in the passion and cross of Christ and his death that made atonement possible. Atonement for Anselm states Harris “His something done by Christ and accepted by God in expiation of human sin. For this work of atonement Christ was ordained by God, for Anselm in Cur Deus Homo declares: “Christ therefore came not to do his own will, but the Father’s because the righteous will which he had was not from his human but from his divine nature,” in  Harris (2001 p.135)    </w:t>
      </w:r>
    </w:p>
    <w:p w:rsidR="002750F8" w:rsidRDefault="002750F8" w:rsidP="002750F8">
      <w:pPr>
        <w:rPr>
          <w:b/>
        </w:rPr>
      </w:pPr>
    </w:p>
    <w:p w:rsidR="002750F8" w:rsidRDefault="002750F8" w:rsidP="002750F8">
      <w:r>
        <w:t xml:space="preserve">(2) Indeed, </w:t>
      </w:r>
      <w:proofErr w:type="spellStart"/>
      <w:r>
        <w:t>O’Collins</w:t>
      </w:r>
      <w:proofErr w:type="spellEnd"/>
      <w:r>
        <w:t xml:space="preserve"> (2009 p. 202) writing “The first major contribution from the Middle Ages which calls for attention is the theory of satisfaction from St Anselm of Canterbury.” </w:t>
      </w:r>
      <w:proofErr w:type="spellStart"/>
      <w:r>
        <w:t>O’Collins</w:t>
      </w:r>
      <w:proofErr w:type="spellEnd"/>
      <w:r>
        <w:t xml:space="preserve"> continuing (2009 p. 204): “Satisfaction, a non-biblical term drawn from Roman law and applied by Tertullian to penitential practice, took pride of place in Anselm’s theology as developed in Cur Deus homo…satisfaction, Anselm insisted, requires from human beings not only that they should stop sinning and seek pardon but also that they do something over and above existing obligations towards God, namely, a work of supererogation that will satisfy for the offence. However, since all sin offends the divine </w:t>
      </w:r>
      <w:proofErr w:type="spellStart"/>
      <w:r>
        <w:t>honour</w:t>
      </w:r>
      <w:proofErr w:type="spellEnd"/>
      <w:r>
        <w:t xml:space="preserve"> of the infinite God, the reparation made must likewise have infinite value - something of which finite human beings are incapable. Moreover, they have nothing extra to offer God, since they already owe God everything.” McGrath (1994 p. 349/5) concurring when he suggests that “The notion of the idea of the death of Christ providing the basis by which God is enabled to forgive sin,” is traditionally attributed to Anselm, who “developed an argument for the necessity of the incarnation on this basis.” The Oxford theologian explaining that Anselm’s work is a “sustained engagement with the question of the possibility of human redemption, cast in the form of a dialogue,” as per the Socratic hypothesis elimination debating style with his interlocutor </w:t>
      </w:r>
      <w:proofErr w:type="spellStart"/>
      <w:r>
        <w:t>Boso</w:t>
      </w:r>
      <w:proofErr w:type="spellEnd"/>
      <w:r>
        <w:t xml:space="preserve">, and focusses on the “necessity of the incarnation and the saving potential of the death and resurrection of Jesus Christ.” (McGrath 1994 p. 350/51) describing what is meant by ‘satisfaction’ and the significance of the purpose of ‘atonement’ while emphasizing the role of Christ to be the ‘covenant representative of humanity’, the ‘participation’ of believers in Christ  who will share in his ‘risen life’ (resurrection) and the </w:t>
      </w:r>
      <w:proofErr w:type="spellStart"/>
      <w:r>
        <w:t>Anselmian</w:t>
      </w:r>
      <w:proofErr w:type="spellEnd"/>
      <w:r>
        <w:t xml:space="preserve"> notion of ‘penal substitution’ whereby “Christ is understood to be a substitute, the one who goes to the cross in our place…Christ is crucified in our place. </w:t>
      </w:r>
      <w:proofErr w:type="gramStart"/>
      <w:r>
        <w:t>God allows Christ to stand in our place, taking our guilt upon himself, so that his righteousness - won by obedience upon the cross - might become ours” (McGrath 1994 p. 352).</w:t>
      </w:r>
      <w:proofErr w:type="gramEnd"/>
      <w:r>
        <w:t xml:space="preserve">      </w:t>
      </w:r>
    </w:p>
    <w:p w:rsidR="002750F8" w:rsidRDefault="002750F8" w:rsidP="002750F8">
      <w:r>
        <w:t xml:space="preserve">(3)McGrath A.E. (1994 p. 43)  </w:t>
      </w:r>
    </w:p>
    <w:p w:rsidR="002750F8" w:rsidRDefault="002750F8" w:rsidP="002750F8">
      <w:r>
        <w:t>(4) McGrath (1994 p. 349)</w:t>
      </w:r>
    </w:p>
    <w:p w:rsidR="002750F8" w:rsidRDefault="002750F8" w:rsidP="002750F8">
      <w:r>
        <w:t>(5)</w:t>
      </w:r>
      <w:r>
        <w:rPr>
          <w:b/>
        </w:rPr>
        <w:t xml:space="preserve"> </w:t>
      </w:r>
      <w:r>
        <w:t xml:space="preserve">Quoted from Cur Deus Homo (Why God Became Man) - by Anselm (translated by Sidney Norton Deane), </w:t>
      </w:r>
      <w:proofErr w:type="spellStart"/>
      <w:r>
        <w:t>Pantianos</w:t>
      </w:r>
      <w:proofErr w:type="spellEnd"/>
      <w:r>
        <w:t xml:space="preserve"> Classics, 2016. P. 48)</w:t>
      </w:r>
    </w:p>
    <w:p w:rsidR="002750F8" w:rsidRDefault="002750F8" w:rsidP="002750F8">
      <w:r>
        <w:t>(6) Anselm P.55</w:t>
      </w:r>
    </w:p>
    <w:p w:rsidR="002750F8" w:rsidRDefault="002750F8" w:rsidP="002750F8">
      <w:r>
        <w:t>(7) According to Deem, Michael J.</w:t>
      </w:r>
      <w:r>
        <w:rPr>
          <w:b/>
        </w:rPr>
        <w:t xml:space="preserve"> </w:t>
      </w:r>
      <w:r>
        <w:t xml:space="preserve">in A Christological Renaissance: The </w:t>
      </w:r>
      <w:proofErr w:type="spellStart"/>
      <w:r>
        <w:t>Chalcedonian</w:t>
      </w:r>
      <w:proofErr w:type="spellEnd"/>
      <w:r>
        <w:t xml:space="preserve"> Turn of St. Anselm (2004)</w:t>
      </w:r>
      <w:r>
        <w:rPr>
          <w:b/>
        </w:rPr>
        <w:t xml:space="preserve"> “</w:t>
      </w:r>
      <w:r>
        <w:t xml:space="preserve">Anselm was firmly rooted within the Latin Christological tradition stemming from Leo the Great. </w:t>
      </w:r>
      <w:r>
        <w:lastRenderedPageBreak/>
        <w:t xml:space="preserve">However, Anselm sought to go even further through the incorporation of the </w:t>
      </w:r>
      <w:proofErr w:type="spellStart"/>
      <w:r>
        <w:t>Chalcedonian</w:t>
      </w:r>
      <w:proofErr w:type="spellEnd"/>
      <w:r>
        <w:t xml:space="preserve"> doctrine into a soteriological model that illustrates the necessity of the Incarnation.” Deem continuing “The starting point for Leonine Christology is the doctrine of the Son’s consubstantiality with the Father as promulgated at the First Council of Nicaea.” For Deem “Anselm marked a new a direction in the history of Christological thinking. His thought is thoroughly Leonine, embodying the very heart of the </w:t>
      </w:r>
      <w:proofErr w:type="spellStart"/>
      <w:r>
        <w:t>Chalcedonian</w:t>
      </w:r>
      <w:proofErr w:type="spellEnd"/>
      <w:r>
        <w:t xml:space="preserve"> doctrine” when he (Anselm ) writes, “For as there is one nature and several persons in God, and the several persons are one nature, so there is one person (</w:t>
      </w:r>
      <w:proofErr w:type="spellStart"/>
      <w:r>
        <w:t>una</w:t>
      </w:r>
      <w:proofErr w:type="spellEnd"/>
      <w:r>
        <w:t xml:space="preserve"> persona) and several natures (</w:t>
      </w:r>
      <w:proofErr w:type="spellStart"/>
      <w:r>
        <w:t>plures</w:t>
      </w:r>
      <w:proofErr w:type="spellEnd"/>
      <w:r>
        <w:t xml:space="preserve"> </w:t>
      </w:r>
      <w:proofErr w:type="spellStart"/>
      <w:r>
        <w:t>naturae</w:t>
      </w:r>
      <w:proofErr w:type="spellEnd"/>
      <w:r>
        <w:t>) in Christ, and the several natures are one person.”  Deem submitting that Anselm “unwaveringly adheres to Chalcedon, yet incorporates much of Leo’s own developments into his thinking. Anselm’s conception of the two natures of Christ is rooted in the post-</w:t>
      </w:r>
      <w:proofErr w:type="spellStart"/>
      <w:r>
        <w:t>Chalcedonian</w:t>
      </w:r>
      <w:proofErr w:type="spellEnd"/>
      <w:r>
        <w:t xml:space="preserve"> tradition of the Latin Church. The divine nature of Christ is solely derived from the Eternal Son of God, the divine Word. Responding to the infamous accusation of </w:t>
      </w:r>
      <w:proofErr w:type="spellStart"/>
      <w:r>
        <w:t>Roscelin</w:t>
      </w:r>
      <w:proofErr w:type="spellEnd"/>
      <w:r>
        <w:t xml:space="preserve">,” </w:t>
      </w:r>
      <w:proofErr w:type="spellStart"/>
      <w:r>
        <w:t>Beem</w:t>
      </w:r>
      <w:proofErr w:type="spellEnd"/>
      <w:r>
        <w:t xml:space="preserve"> claims “Anselm demonstrates that plurality in the Godhead in no way compromises its unity. While God is one according to nature (</w:t>
      </w:r>
      <w:proofErr w:type="spellStart"/>
      <w:r>
        <w:t>natura</w:t>
      </w:r>
      <w:proofErr w:type="spellEnd"/>
      <w:r>
        <w:t>), God is three according to person (persona): Father, Son and Spirit. No single person of the Trinity possesses its own nature, for each shares the same divine nature. Each person is distinguished by what is peculiarly proper to it-the Father is not the Son, and the Son is not the Father. And yet it is necessary to affirm that the Father is God and that the Son is God according to nature. The divine nature does not lose its singularity, and the divine persons, or relations, do not lose their plurality.”</w:t>
      </w:r>
    </w:p>
    <w:p w:rsidR="002750F8" w:rsidRDefault="002750F8" w:rsidP="002750F8">
      <w:r>
        <w:rPr>
          <w:b/>
        </w:rPr>
        <w:t xml:space="preserve"> </w:t>
      </w:r>
      <w:r>
        <w:t>(8)</w:t>
      </w:r>
      <w:r>
        <w:rPr>
          <w:b/>
        </w:rPr>
        <w:t xml:space="preserve"> </w:t>
      </w:r>
      <w:r>
        <w:t>Anselm P. 57</w:t>
      </w:r>
    </w:p>
    <w:p w:rsidR="002750F8" w:rsidRDefault="002750F8" w:rsidP="002750F8">
      <w:r>
        <w:t xml:space="preserve">(9) Mann William E. in Anselm on the Trinity in Davies and </w:t>
      </w:r>
      <w:proofErr w:type="spellStart"/>
      <w:r>
        <w:t>Leftow</w:t>
      </w:r>
      <w:proofErr w:type="spellEnd"/>
      <w:r>
        <w:t xml:space="preserve"> (2004 p. 257,258)</w:t>
      </w:r>
    </w:p>
    <w:p w:rsidR="002750F8" w:rsidRDefault="002750F8" w:rsidP="002750F8">
      <w:r>
        <w:t xml:space="preserve">(10) ibid </w:t>
      </w:r>
    </w:p>
    <w:p w:rsidR="002750F8" w:rsidRDefault="002750F8" w:rsidP="002750F8">
      <w:r>
        <w:t xml:space="preserve">(11) ibid - Mann, basing his contention on the belief that Anselm was taking his lead from the first chapter of the </w:t>
      </w:r>
      <w:proofErr w:type="gramStart"/>
      <w:r>
        <w:t>Gospel  according</w:t>
      </w:r>
      <w:proofErr w:type="gramEnd"/>
      <w:r>
        <w:t xml:space="preserve"> to John: “in the beginning was the Word, and the Word was with God, and the Word was God. He was in the beginning with God, all things were made through Him, and without Him was not anything made that was not made.” </w:t>
      </w:r>
      <w:proofErr w:type="gramStart"/>
      <w:r>
        <w:t>Mann arguing that this “anchors Anselm’s identification of the Son with the Word.”</w:t>
      </w:r>
      <w:proofErr w:type="gramEnd"/>
      <w:r>
        <w:t xml:space="preserve">  Thus indicating that Anselm was following the Latin </w:t>
      </w:r>
      <w:proofErr w:type="gramStart"/>
      <w:r>
        <w:t>church</w:t>
      </w:r>
      <w:proofErr w:type="gramEnd"/>
      <w:r>
        <w:t xml:space="preserve"> in saying “God is three persons in one substance,” Mann (2004 p. 263). A position he held while attending the Council of Bari in 1098 to defend the </w:t>
      </w:r>
      <w:proofErr w:type="spellStart"/>
      <w:r>
        <w:rPr>
          <w:i/>
        </w:rPr>
        <w:t>filioque</w:t>
      </w:r>
      <w:proofErr w:type="spellEnd"/>
      <w:r>
        <w:rPr>
          <w:i/>
        </w:rPr>
        <w:t xml:space="preserve"> </w:t>
      </w:r>
      <w:r>
        <w:t>conception before delegates from both Latin and Greek traditions. Anselm basing his arguments, set out in On the Procession of the Holy Spirit, on Augustine’s On the Trinity, which set out a concept of ‘simplicity’ and ‘</w:t>
      </w:r>
      <w:proofErr w:type="spellStart"/>
      <w:r>
        <w:t>Triplicity</w:t>
      </w:r>
      <w:proofErr w:type="spellEnd"/>
      <w:r>
        <w:t xml:space="preserve">’. Mann (2004 p. 278) using Anselm’s </w:t>
      </w:r>
      <w:proofErr w:type="spellStart"/>
      <w:r>
        <w:t>favoured</w:t>
      </w:r>
      <w:proofErr w:type="spellEnd"/>
      <w:r>
        <w:t xml:space="preserve"> Nile analogy: ‘three can be said of one and one of three’. This being an attempt to help us understand that the concept of the incarnation is only a way to explain the inexplicable mystery of the Trinity and that it remains a mystery. Mann (2004 P. 278) writing “For now we see in a mirror dimly, a mirror whose act of reflecting is itself a dim reflection of its maker.”   </w:t>
      </w:r>
    </w:p>
    <w:p w:rsidR="002750F8" w:rsidRDefault="002750F8" w:rsidP="002750F8"/>
    <w:p w:rsidR="002750F8" w:rsidRDefault="002750F8" w:rsidP="002750F8">
      <w:pPr>
        <w:rPr>
          <w:b/>
        </w:rPr>
      </w:pPr>
      <w:r>
        <w:rPr>
          <w:b/>
        </w:rPr>
        <w:t xml:space="preserve"> </w:t>
      </w:r>
      <w:r>
        <w:t>(12)</w:t>
      </w:r>
      <w:r>
        <w:rPr>
          <w:b/>
        </w:rPr>
        <w:t xml:space="preserve"> </w:t>
      </w:r>
      <w:r>
        <w:t>p. 58 Anselm</w:t>
      </w:r>
      <w:r>
        <w:rPr>
          <w:b/>
        </w:rPr>
        <w:t xml:space="preserve"> </w:t>
      </w:r>
    </w:p>
    <w:p w:rsidR="002750F8" w:rsidRDefault="002750F8" w:rsidP="002750F8">
      <w:pPr>
        <w:rPr>
          <w:b/>
        </w:rPr>
      </w:pPr>
      <w:r>
        <w:t>(13) p. 61 Anselm</w:t>
      </w:r>
    </w:p>
    <w:p w:rsidR="002750F8" w:rsidRDefault="002750F8" w:rsidP="002750F8">
      <w:r>
        <w:lastRenderedPageBreak/>
        <w:t>(14)</w:t>
      </w:r>
      <w:r>
        <w:rPr>
          <w:b/>
        </w:rPr>
        <w:t xml:space="preserve"> </w:t>
      </w:r>
      <w:r>
        <w:t>p. 69 Anselm</w:t>
      </w:r>
    </w:p>
    <w:p w:rsidR="002750F8" w:rsidRDefault="002750F8" w:rsidP="002750F8">
      <w:pPr>
        <w:rPr>
          <w:b/>
        </w:rPr>
      </w:pPr>
      <w:r>
        <w:t>(15) p. 75 Anselm</w:t>
      </w:r>
    </w:p>
    <w:p w:rsidR="002750F8" w:rsidRDefault="002750F8" w:rsidP="002750F8">
      <w:pPr>
        <w:rPr>
          <w:b/>
        </w:rPr>
      </w:pPr>
      <w:r>
        <w:t>(16)</w:t>
      </w:r>
      <w:r>
        <w:rPr>
          <w:b/>
        </w:rPr>
        <w:t xml:space="preserve"> </w:t>
      </w:r>
      <w:r>
        <w:t>Anselm p. 75/76</w:t>
      </w:r>
    </w:p>
    <w:p w:rsidR="002750F8" w:rsidRDefault="002750F8" w:rsidP="002750F8">
      <w:pPr>
        <w:rPr>
          <w:b/>
        </w:rPr>
      </w:pPr>
      <w:r>
        <w:t xml:space="preserve">(17) Anselm p. 80   </w:t>
      </w:r>
    </w:p>
    <w:p w:rsidR="002750F8" w:rsidRDefault="002750F8" w:rsidP="002750F8">
      <w:r>
        <w:t xml:space="preserve">(18) Anselm p. 80       </w:t>
      </w:r>
    </w:p>
    <w:p w:rsidR="002750F8" w:rsidRDefault="002750F8" w:rsidP="002750F8">
      <w:r>
        <w:t xml:space="preserve">(19) </w:t>
      </w:r>
      <w:proofErr w:type="gramStart"/>
      <w:r>
        <w:t>as</w:t>
      </w:r>
      <w:proofErr w:type="gramEnd"/>
      <w:r>
        <w:t xml:space="preserve"> per Greene (2003 p. 67 and 349). An opinion shared by </w:t>
      </w:r>
      <w:proofErr w:type="spellStart"/>
      <w:r>
        <w:t>O’Collins</w:t>
      </w:r>
      <w:proofErr w:type="spellEnd"/>
      <w:r>
        <w:t xml:space="preserve"> Only the </w:t>
      </w:r>
      <w:r>
        <w:rPr>
          <w:i/>
        </w:rPr>
        <w:t>God</w:t>
      </w:r>
      <w:r>
        <w:t>-man can offer something of infinite value; the ‘hypostatic’ union or personal union with the Word of God confers such value on the human acts of Christ. Only the God-</w:t>
      </w:r>
      <w:r>
        <w:rPr>
          <w:i/>
        </w:rPr>
        <w:t>man</w:t>
      </w:r>
      <w:r>
        <w:t xml:space="preserve"> has something to offer; being without sin, Christ is exempt from the need to undergo death and hence can freely offer the gift of his life as a work of reparation for the whole human race.” (</w:t>
      </w:r>
      <w:proofErr w:type="spellStart"/>
      <w:r>
        <w:t>O’Collins</w:t>
      </w:r>
      <w:proofErr w:type="spellEnd"/>
      <w:r>
        <w:t xml:space="preserve"> p. 231) </w:t>
      </w:r>
      <w:proofErr w:type="spellStart"/>
      <w:r>
        <w:t>O’Collins</w:t>
      </w:r>
      <w:proofErr w:type="spellEnd"/>
      <w:r>
        <w:t xml:space="preserve"> (2009 p. 212 )stating:  “Anselm’s classic thesis on salvation both expressed and encouraged a concern which was to remain dominant right through to the time of the Reformation and beyond; the saving work of Christ.” Not that it was always fully comprehended or indeed exempt from misinterpretation. </w:t>
      </w:r>
      <w:proofErr w:type="spellStart"/>
      <w:r>
        <w:t>O’Collins</w:t>
      </w:r>
      <w:proofErr w:type="spellEnd"/>
      <w:r>
        <w:t xml:space="preserve"> (2009 p. 216) articulating the view that the Council of Trent (1545)  aligned ‘satisfaction’ with ‘punishments’ and by speaking of God being ‘appeased’ introduced “elements which Aquinas and others had introduced into Anselm’s theory of ‘satisfaction’. Quite against Anselm’s explicit intention, ‘satisfaction’ was now depicted as involving punishment…” in place of Anselm’s commutative version, God’s justice was being interpreted as vindictive - with the divine anger venting itself on Christ, the penal substitute for sinners, whose suffering on the cross was the rightful punishment imposed upon human sin.” Whereas McGrath (2002 p. 341/2) postulates that key to the question of Christ’s role within the Trinity is the fulfillment of man’s atonement through the incarnation. “The incarnation takes place, in order that the required satisfaction can be made, and humanity be redeemed</w:t>
      </w:r>
      <w:proofErr w:type="gramStart"/>
      <w:r>
        <w:t>, ”</w:t>
      </w:r>
      <w:proofErr w:type="gramEnd"/>
      <w:r>
        <w:t xml:space="preserve"> - McGrath (2002 p. 342). </w:t>
      </w:r>
    </w:p>
    <w:p w:rsidR="002750F8" w:rsidRDefault="002750F8" w:rsidP="002750F8">
      <w:r>
        <w:t xml:space="preserve">(20) Brown, David in Anselm on Atonement in Davies and </w:t>
      </w:r>
      <w:proofErr w:type="spellStart"/>
      <w:r>
        <w:t>Leftow</w:t>
      </w:r>
      <w:proofErr w:type="spellEnd"/>
      <w:r>
        <w:t xml:space="preserve"> (2004 p. 280). Brown adding for good measure:  “However, so central is Christ to Christian self-understanding that Christianity has almost invariably insisted that no such reconciliation with God is possible except through the mediation of Christ.” </w:t>
      </w:r>
      <w:proofErr w:type="gramStart"/>
      <w:r>
        <w:t xml:space="preserve">- David Brown in Davies and </w:t>
      </w:r>
      <w:proofErr w:type="spellStart"/>
      <w:r>
        <w:t>Leftow</w:t>
      </w:r>
      <w:proofErr w:type="spellEnd"/>
      <w:r>
        <w:t xml:space="preserve"> (2004 p. 280).</w:t>
      </w:r>
      <w:proofErr w:type="gramEnd"/>
      <w:r>
        <w:t xml:space="preserve"> Brown breaking down the argument thus:</w:t>
      </w:r>
    </w:p>
    <w:p w:rsidR="002750F8" w:rsidRDefault="002750F8" w:rsidP="002750F8">
      <w:r>
        <w:t>- “But it is not fitting for the Father or the Holy Spirit to be incarnated: 2:11.”</w:t>
      </w:r>
    </w:p>
    <w:p w:rsidR="002750F8" w:rsidRDefault="002750F8" w:rsidP="002750F8">
      <w:r>
        <w:t>- “Therefore, the requisite compensation must be achieved by the incarnation of God the Son</w:t>
      </w:r>
      <w:proofErr w:type="gramStart"/>
      <w:r>
        <w:t>:2:11</w:t>
      </w:r>
      <w:proofErr w:type="gramEnd"/>
      <w:r>
        <w:t>.”</w:t>
      </w:r>
    </w:p>
    <w:p w:rsidR="002750F8" w:rsidRDefault="002750F8" w:rsidP="002750F8">
      <w:r>
        <w:t xml:space="preserve">(21) Although it is true to say Barth’s views on Anselm varied over time.    </w:t>
      </w:r>
    </w:p>
    <w:p w:rsidR="002750F8" w:rsidRDefault="002750F8" w:rsidP="002750F8"/>
    <w:p w:rsidR="002750F8" w:rsidRDefault="002750F8" w:rsidP="002750F8">
      <w:pPr>
        <w:rPr>
          <w:b/>
          <w:sz w:val="28"/>
          <w:szCs w:val="28"/>
        </w:rPr>
      </w:pPr>
    </w:p>
    <w:p w:rsidR="002750F8" w:rsidRDefault="002750F8" w:rsidP="002750F8">
      <w:pPr>
        <w:rPr>
          <w:b/>
          <w:sz w:val="28"/>
          <w:szCs w:val="28"/>
        </w:rPr>
      </w:pPr>
    </w:p>
    <w:p w:rsidR="002750F8" w:rsidRDefault="002750F8" w:rsidP="002750F8">
      <w:pPr>
        <w:rPr>
          <w:b/>
          <w:sz w:val="28"/>
          <w:szCs w:val="28"/>
        </w:rPr>
      </w:pPr>
      <w:r>
        <w:rPr>
          <w:b/>
          <w:sz w:val="28"/>
          <w:szCs w:val="28"/>
        </w:rPr>
        <w:lastRenderedPageBreak/>
        <w:t>Bibliography:</w:t>
      </w:r>
    </w:p>
    <w:p w:rsidR="002750F8" w:rsidRDefault="002750F8" w:rsidP="002750F8">
      <w:pPr>
        <w:ind w:left="360"/>
      </w:pPr>
      <w:r>
        <w:t xml:space="preserve">Anselm - Cur Deus Homo (translated by Sidney Norton Deane (2016) </w:t>
      </w:r>
    </w:p>
    <w:p w:rsidR="002750F8" w:rsidRDefault="002750F8" w:rsidP="002750F8">
      <w:pPr>
        <w:ind w:left="360"/>
      </w:pPr>
      <w:r>
        <w:t>McGrath, A.E - Christian Theology: An Introduction (1994)</w:t>
      </w:r>
    </w:p>
    <w:p w:rsidR="002750F8" w:rsidRDefault="002750F8" w:rsidP="002750F8">
      <w:r>
        <w:t xml:space="preserve">       Harris, J.G. - Christian Theology: The Spiritual Tradition (2001)</w:t>
      </w:r>
    </w:p>
    <w:p w:rsidR="002750F8" w:rsidRDefault="002750F8" w:rsidP="002750F8">
      <w:r>
        <w:t xml:space="preserve">       Greene, C. - Christology in Cultural </w:t>
      </w:r>
      <w:r w:rsidR="00CA2470">
        <w:t>P</w:t>
      </w:r>
      <w:r>
        <w:t>erspective: Marking out the horizons (2003)</w:t>
      </w:r>
    </w:p>
    <w:p w:rsidR="002750F8" w:rsidRDefault="002750F8" w:rsidP="002750F8">
      <w:r>
        <w:t xml:space="preserve">       </w:t>
      </w:r>
      <w:proofErr w:type="spellStart"/>
      <w:r>
        <w:t>Gunton</w:t>
      </w:r>
      <w:proofErr w:type="spellEnd"/>
      <w:r>
        <w:t>, C.E. (ed.) - Christian Doctrine (1997)</w:t>
      </w:r>
    </w:p>
    <w:p w:rsidR="002750F8" w:rsidRDefault="002750F8" w:rsidP="002750F8">
      <w:r>
        <w:t xml:space="preserve">       </w:t>
      </w:r>
      <w:proofErr w:type="spellStart"/>
      <w:r>
        <w:t>O’Collins</w:t>
      </w:r>
      <w:proofErr w:type="spellEnd"/>
      <w:r>
        <w:t>, G. - Christology: A Biblical, Historical and Systematic Study of Jesus (2013)</w:t>
      </w:r>
    </w:p>
    <w:p w:rsidR="002750F8" w:rsidRDefault="002750F8" w:rsidP="002750F8">
      <w:r>
        <w:t xml:space="preserve">       Davis, S.T., Kendal D., and </w:t>
      </w:r>
      <w:proofErr w:type="spellStart"/>
      <w:r>
        <w:t>O’Collins</w:t>
      </w:r>
      <w:proofErr w:type="spellEnd"/>
      <w:r>
        <w:t xml:space="preserve"> G. (ed.) - The Incarnation (2002)</w:t>
      </w:r>
    </w:p>
    <w:p w:rsidR="002750F8" w:rsidRDefault="002750F8" w:rsidP="002750F8">
      <w:r>
        <w:t xml:space="preserve">       Davies, B. and </w:t>
      </w:r>
      <w:proofErr w:type="spellStart"/>
      <w:r>
        <w:t>Leftow</w:t>
      </w:r>
      <w:proofErr w:type="spellEnd"/>
      <w:r>
        <w:t xml:space="preserve"> B. (Ed.) - The Cambridge Companion to Anselm (2004)     </w:t>
      </w:r>
    </w:p>
    <w:p w:rsidR="002750F8" w:rsidRDefault="002750F8" w:rsidP="002750F8">
      <w:r>
        <w:t xml:space="preserve">       Deem, M.J. - </w:t>
      </w:r>
      <w:proofErr w:type="gramStart"/>
      <w:r>
        <w:t>A</w:t>
      </w:r>
      <w:proofErr w:type="gramEnd"/>
      <w:r>
        <w:t xml:space="preserve"> Christological Renaissance: The </w:t>
      </w:r>
      <w:proofErr w:type="spellStart"/>
      <w:r>
        <w:t>Chalcedonian</w:t>
      </w:r>
      <w:proofErr w:type="spellEnd"/>
      <w:r>
        <w:t xml:space="preserve"> Turn of St. Anselm of Canterbury (2004)  </w:t>
      </w:r>
    </w:p>
    <w:p w:rsidR="002750F8" w:rsidRDefault="002750F8" w:rsidP="002750F8"/>
    <w:p w:rsidR="002750F8" w:rsidRDefault="002750F8" w:rsidP="002750F8"/>
    <w:p w:rsidR="002750F8" w:rsidRDefault="002750F8" w:rsidP="002750F8"/>
    <w:p w:rsidR="002750F8" w:rsidRDefault="002750F8" w:rsidP="002750F8"/>
    <w:p w:rsidR="002750F8" w:rsidRDefault="002750F8" w:rsidP="002750F8"/>
    <w:p w:rsidR="002750F8" w:rsidRDefault="002750F8" w:rsidP="002750F8">
      <w:r>
        <w:t xml:space="preserve">       </w:t>
      </w:r>
    </w:p>
    <w:p w:rsidR="002750F8" w:rsidRDefault="002750F8" w:rsidP="002750F8">
      <w:r>
        <w:t xml:space="preserve"> </w:t>
      </w:r>
    </w:p>
    <w:p w:rsidR="002750F8" w:rsidRDefault="002750F8" w:rsidP="002750F8"/>
    <w:p w:rsidR="00FA2802" w:rsidRPr="00D82C00" w:rsidRDefault="00FA2802" w:rsidP="00D82C00">
      <w:r w:rsidRPr="00D82C00">
        <w:t xml:space="preserve"> </w:t>
      </w:r>
    </w:p>
    <w:sectPr w:rsidR="00FA2802" w:rsidRPr="00D82C0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B91625"/>
    <w:multiLevelType w:val="hybridMultilevel"/>
    <w:tmpl w:val="82E28A3E"/>
    <w:lvl w:ilvl="0" w:tplc="A16ADA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BD5DF3"/>
    <w:multiLevelType w:val="hybridMultilevel"/>
    <w:tmpl w:val="9DD0B4B4"/>
    <w:lvl w:ilvl="0" w:tplc="CFC8D4BE">
      <w:start w:val="1"/>
      <w:numFmt w:val="decimal"/>
      <w:lvlText w:val="(%1)"/>
      <w:lvlJc w:val="left"/>
      <w:pPr>
        <w:ind w:left="360" w:hanging="360"/>
      </w:pPr>
      <w:rPr>
        <w:rFonts w:asciiTheme="minorHAnsi" w:eastAsiaTheme="minorHAnsi" w:hAnsiTheme="minorHAnsi" w:cstheme="minorHAnsi"/>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2">
    <w:nsid w:val="4CCA292E"/>
    <w:multiLevelType w:val="hybridMultilevel"/>
    <w:tmpl w:val="1918249A"/>
    <w:lvl w:ilvl="0" w:tplc="8DDC94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2"/>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9"/>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07C"/>
    <w:rsid w:val="00073C87"/>
    <w:rsid w:val="000955FE"/>
    <w:rsid w:val="000B2264"/>
    <w:rsid w:val="000D3530"/>
    <w:rsid w:val="000E1A95"/>
    <w:rsid w:val="000F7FB7"/>
    <w:rsid w:val="0015432B"/>
    <w:rsid w:val="0016207C"/>
    <w:rsid w:val="001752E0"/>
    <w:rsid w:val="001832EF"/>
    <w:rsid w:val="00190F59"/>
    <w:rsid w:val="00196286"/>
    <w:rsid w:val="00205FD2"/>
    <w:rsid w:val="002158E5"/>
    <w:rsid w:val="002267F7"/>
    <w:rsid w:val="0023297B"/>
    <w:rsid w:val="002364BD"/>
    <w:rsid w:val="00244A78"/>
    <w:rsid w:val="002748AD"/>
    <w:rsid w:val="002750F8"/>
    <w:rsid w:val="00275425"/>
    <w:rsid w:val="002A1C81"/>
    <w:rsid w:val="002B3421"/>
    <w:rsid w:val="002F64E2"/>
    <w:rsid w:val="00320754"/>
    <w:rsid w:val="00363C07"/>
    <w:rsid w:val="00365B77"/>
    <w:rsid w:val="00371EEA"/>
    <w:rsid w:val="00390ABF"/>
    <w:rsid w:val="003A0F44"/>
    <w:rsid w:val="00435EFB"/>
    <w:rsid w:val="00454FCB"/>
    <w:rsid w:val="00495367"/>
    <w:rsid w:val="004B1FB3"/>
    <w:rsid w:val="005003B2"/>
    <w:rsid w:val="00552F35"/>
    <w:rsid w:val="005911A2"/>
    <w:rsid w:val="005A0C91"/>
    <w:rsid w:val="005A5ACC"/>
    <w:rsid w:val="005F7C43"/>
    <w:rsid w:val="00605C7A"/>
    <w:rsid w:val="00635952"/>
    <w:rsid w:val="006910A0"/>
    <w:rsid w:val="006951D9"/>
    <w:rsid w:val="006A0E29"/>
    <w:rsid w:val="006D5E77"/>
    <w:rsid w:val="007022D4"/>
    <w:rsid w:val="00707D48"/>
    <w:rsid w:val="00730670"/>
    <w:rsid w:val="00732FF5"/>
    <w:rsid w:val="007352A7"/>
    <w:rsid w:val="007424DF"/>
    <w:rsid w:val="00762FA5"/>
    <w:rsid w:val="0076665A"/>
    <w:rsid w:val="007B7231"/>
    <w:rsid w:val="0084611D"/>
    <w:rsid w:val="0086061A"/>
    <w:rsid w:val="00887C6D"/>
    <w:rsid w:val="008C7692"/>
    <w:rsid w:val="008D130B"/>
    <w:rsid w:val="008E4182"/>
    <w:rsid w:val="008F748D"/>
    <w:rsid w:val="00975638"/>
    <w:rsid w:val="00985E7D"/>
    <w:rsid w:val="009A0F0C"/>
    <w:rsid w:val="00A474EF"/>
    <w:rsid w:val="00A47EA1"/>
    <w:rsid w:val="00AC3BD9"/>
    <w:rsid w:val="00AD34D4"/>
    <w:rsid w:val="00AE61C2"/>
    <w:rsid w:val="00B10FB9"/>
    <w:rsid w:val="00B312B0"/>
    <w:rsid w:val="00B5207D"/>
    <w:rsid w:val="00B63A2C"/>
    <w:rsid w:val="00B70B8C"/>
    <w:rsid w:val="00B84F4D"/>
    <w:rsid w:val="00B86308"/>
    <w:rsid w:val="00B964E6"/>
    <w:rsid w:val="00BA2665"/>
    <w:rsid w:val="00BF41E4"/>
    <w:rsid w:val="00C24CC7"/>
    <w:rsid w:val="00C31C91"/>
    <w:rsid w:val="00C438A7"/>
    <w:rsid w:val="00C7491D"/>
    <w:rsid w:val="00C92B2E"/>
    <w:rsid w:val="00C94E82"/>
    <w:rsid w:val="00C95C23"/>
    <w:rsid w:val="00CA2470"/>
    <w:rsid w:val="00CB467B"/>
    <w:rsid w:val="00CC603B"/>
    <w:rsid w:val="00D037EA"/>
    <w:rsid w:val="00D07A73"/>
    <w:rsid w:val="00D13744"/>
    <w:rsid w:val="00D40F69"/>
    <w:rsid w:val="00D82C00"/>
    <w:rsid w:val="00D836C2"/>
    <w:rsid w:val="00D94C09"/>
    <w:rsid w:val="00DA5EF4"/>
    <w:rsid w:val="00DA7A19"/>
    <w:rsid w:val="00DB205E"/>
    <w:rsid w:val="00DB2DC3"/>
    <w:rsid w:val="00DD1EFB"/>
    <w:rsid w:val="00DE2F43"/>
    <w:rsid w:val="00E07417"/>
    <w:rsid w:val="00E77916"/>
    <w:rsid w:val="00EB0F49"/>
    <w:rsid w:val="00ED293F"/>
    <w:rsid w:val="00EE7835"/>
    <w:rsid w:val="00EF1563"/>
    <w:rsid w:val="00EF69EC"/>
    <w:rsid w:val="00F142A7"/>
    <w:rsid w:val="00F24553"/>
    <w:rsid w:val="00F44075"/>
    <w:rsid w:val="00F92FAD"/>
    <w:rsid w:val="00F97488"/>
    <w:rsid w:val="00FA2802"/>
    <w:rsid w:val="00FA5C69"/>
    <w:rsid w:val="00FB2C5E"/>
    <w:rsid w:val="00FD088D"/>
    <w:rsid w:val="00FE767A"/>
    <w:rsid w:val="00FE76E1"/>
    <w:rsid w:val="00FF1A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50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0B8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50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0B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389575">
      <w:bodyDiv w:val="1"/>
      <w:marLeft w:val="0"/>
      <w:marRight w:val="0"/>
      <w:marTop w:val="0"/>
      <w:marBottom w:val="0"/>
      <w:divBdr>
        <w:top w:val="none" w:sz="0" w:space="0" w:color="auto"/>
        <w:left w:val="none" w:sz="0" w:space="0" w:color="auto"/>
        <w:bottom w:val="none" w:sz="0" w:space="0" w:color="auto"/>
        <w:right w:val="none" w:sz="0" w:space="0" w:color="auto"/>
      </w:divBdr>
    </w:div>
    <w:div w:id="427967824">
      <w:bodyDiv w:val="1"/>
      <w:marLeft w:val="0"/>
      <w:marRight w:val="0"/>
      <w:marTop w:val="0"/>
      <w:marBottom w:val="0"/>
      <w:divBdr>
        <w:top w:val="none" w:sz="0" w:space="0" w:color="auto"/>
        <w:left w:val="none" w:sz="0" w:space="0" w:color="auto"/>
        <w:bottom w:val="none" w:sz="0" w:space="0" w:color="auto"/>
        <w:right w:val="none" w:sz="0" w:space="0" w:color="auto"/>
      </w:divBdr>
    </w:div>
    <w:div w:id="814687024">
      <w:bodyDiv w:val="1"/>
      <w:marLeft w:val="0"/>
      <w:marRight w:val="0"/>
      <w:marTop w:val="0"/>
      <w:marBottom w:val="0"/>
      <w:divBdr>
        <w:top w:val="none" w:sz="0" w:space="0" w:color="auto"/>
        <w:left w:val="none" w:sz="0" w:space="0" w:color="auto"/>
        <w:bottom w:val="none" w:sz="0" w:space="0" w:color="auto"/>
        <w:right w:val="none" w:sz="0" w:space="0" w:color="auto"/>
      </w:divBdr>
    </w:div>
    <w:div w:id="1150172599">
      <w:bodyDiv w:val="1"/>
      <w:marLeft w:val="0"/>
      <w:marRight w:val="0"/>
      <w:marTop w:val="0"/>
      <w:marBottom w:val="0"/>
      <w:divBdr>
        <w:top w:val="none" w:sz="0" w:space="0" w:color="auto"/>
        <w:left w:val="none" w:sz="0" w:space="0" w:color="auto"/>
        <w:bottom w:val="none" w:sz="0" w:space="0" w:color="auto"/>
        <w:right w:val="none" w:sz="0" w:space="0" w:color="auto"/>
      </w:divBdr>
    </w:div>
    <w:div w:id="1290479191">
      <w:bodyDiv w:val="1"/>
      <w:marLeft w:val="0"/>
      <w:marRight w:val="0"/>
      <w:marTop w:val="0"/>
      <w:marBottom w:val="0"/>
      <w:divBdr>
        <w:top w:val="none" w:sz="0" w:space="0" w:color="auto"/>
        <w:left w:val="none" w:sz="0" w:space="0" w:color="auto"/>
        <w:bottom w:val="none" w:sz="0" w:space="0" w:color="auto"/>
        <w:right w:val="none" w:sz="0" w:space="0" w:color="auto"/>
      </w:divBdr>
    </w:div>
    <w:div w:id="1321883374">
      <w:bodyDiv w:val="1"/>
      <w:marLeft w:val="0"/>
      <w:marRight w:val="0"/>
      <w:marTop w:val="0"/>
      <w:marBottom w:val="0"/>
      <w:divBdr>
        <w:top w:val="none" w:sz="0" w:space="0" w:color="auto"/>
        <w:left w:val="none" w:sz="0" w:space="0" w:color="auto"/>
        <w:bottom w:val="none" w:sz="0" w:space="0" w:color="auto"/>
        <w:right w:val="none" w:sz="0" w:space="0" w:color="auto"/>
      </w:divBdr>
    </w:div>
    <w:div w:id="1590969966">
      <w:bodyDiv w:val="1"/>
      <w:marLeft w:val="0"/>
      <w:marRight w:val="0"/>
      <w:marTop w:val="0"/>
      <w:marBottom w:val="0"/>
      <w:divBdr>
        <w:top w:val="none" w:sz="0" w:space="0" w:color="auto"/>
        <w:left w:val="none" w:sz="0" w:space="0" w:color="auto"/>
        <w:bottom w:val="none" w:sz="0" w:space="0" w:color="auto"/>
        <w:right w:val="none" w:sz="0" w:space="0" w:color="auto"/>
      </w:divBdr>
    </w:div>
    <w:div w:id="1592009043">
      <w:bodyDiv w:val="1"/>
      <w:marLeft w:val="0"/>
      <w:marRight w:val="0"/>
      <w:marTop w:val="0"/>
      <w:marBottom w:val="0"/>
      <w:divBdr>
        <w:top w:val="none" w:sz="0" w:space="0" w:color="auto"/>
        <w:left w:val="none" w:sz="0" w:space="0" w:color="auto"/>
        <w:bottom w:val="none" w:sz="0" w:space="0" w:color="auto"/>
        <w:right w:val="none" w:sz="0" w:space="0" w:color="auto"/>
      </w:divBdr>
    </w:div>
    <w:div w:id="1687169626">
      <w:bodyDiv w:val="1"/>
      <w:marLeft w:val="0"/>
      <w:marRight w:val="0"/>
      <w:marTop w:val="0"/>
      <w:marBottom w:val="0"/>
      <w:divBdr>
        <w:top w:val="none" w:sz="0" w:space="0" w:color="auto"/>
        <w:left w:val="none" w:sz="0" w:space="0" w:color="auto"/>
        <w:bottom w:val="none" w:sz="0" w:space="0" w:color="auto"/>
        <w:right w:val="none" w:sz="0" w:space="0" w:color="auto"/>
      </w:divBdr>
    </w:div>
    <w:div w:id="1802384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826</TotalTime>
  <Pages>1</Pages>
  <Words>2849</Words>
  <Characters>16241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114</cp:revision>
  <dcterms:created xsi:type="dcterms:W3CDTF">2021-03-20T11:17:00Z</dcterms:created>
  <dcterms:modified xsi:type="dcterms:W3CDTF">2021-03-31T21:10:00Z</dcterms:modified>
</cp:coreProperties>
</file>