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69A52D" w14:textId="77777777" w:rsidR="007C7EE3" w:rsidRDefault="007C7EE3" w:rsidP="007C7EE3">
      <w:pPr>
        <w:tabs>
          <w:tab w:val="left" w:pos="392"/>
        </w:tabs>
        <w:spacing w:line="360" w:lineRule="auto"/>
        <w:ind w:left="144" w:right="473"/>
      </w:pPr>
    </w:p>
    <w:p w14:paraId="0B2C158B" w14:textId="7C9C6B80" w:rsidR="007C7EE3" w:rsidRPr="00783876" w:rsidRDefault="007C7EE3" w:rsidP="007C7EE3">
      <w:pPr>
        <w:tabs>
          <w:tab w:val="left" w:pos="392"/>
        </w:tabs>
        <w:spacing w:line="360" w:lineRule="auto"/>
        <w:ind w:right="473"/>
        <w:jc w:val="center"/>
        <w:rPr>
          <w:b/>
          <w:bCs/>
          <w:sz w:val="36"/>
          <w:szCs w:val="36"/>
          <w:lang w:val="nl-NL"/>
        </w:rPr>
      </w:pPr>
      <w:r w:rsidRPr="00783876">
        <w:rPr>
          <w:b/>
          <w:bCs/>
          <w:sz w:val="36"/>
          <w:szCs w:val="36"/>
          <w:lang w:val="nl-NL"/>
        </w:rPr>
        <w:t xml:space="preserve">STUDENT NAME: Jael </w:t>
      </w:r>
      <w:r w:rsidR="00783876">
        <w:rPr>
          <w:b/>
          <w:bCs/>
          <w:sz w:val="36"/>
          <w:szCs w:val="36"/>
          <w:lang w:val="nl-NL"/>
        </w:rPr>
        <w:t>Sungula</w:t>
      </w:r>
    </w:p>
    <w:p w14:paraId="46EBD17C" w14:textId="77777777" w:rsidR="007C7EE3" w:rsidRPr="00783876" w:rsidRDefault="007C7EE3" w:rsidP="007C7EE3">
      <w:pPr>
        <w:tabs>
          <w:tab w:val="left" w:pos="392"/>
        </w:tabs>
        <w:spacing w:line="360" w:lineRule="auto"/>
        <w:ind w:right="473"/>
        <w:jc w:val="center"/>
        <w:rPr>
          <w:b/>
          <w:bCs/>
          <w:spacing w:val="-1"/>
          <w:sz w:val="36"/>
          <w:szCs w:val="36"/>
          <w:lang w:val="nl-NL"/>
        </w:rPr>
      </w:pPr>
    </w:p>
    <w:p w14:paraId="7583E4D6" w14:textId="62F5F50F" w:rsidR="007C7EE3" w:rsidRPr="00783876" w:rsidRDefault="007C7EE3" w:rsidP="007C7EE3">
      <w:pPr>
        <w:tabs>
          <w:tab w:val="left" w:pos="392"/>
        </w:tabs>
        <w:spacing w:line="360" w:lineRule="auto"/>
        <w:ind w:right="473"/>
        <w:jc w:val="center"/>
        <w:rPr>
          <w:b/>
          <w:bCs/>
          <w:sz w:val="36"/>
          <w:szCs w:val="36"/>
          <w:lang w:val="nl-NL"/>
        </w:rPr>
      </w:pPr>
      <w:r w:rsidRPr="00783876">
        <w:rPr>
          <w:b/>
          <w:bCs/>
          <w:sz w:val="36"/>
          <w:szCs w:val="36"/>
          <w:lang w:val="nl-NL"/>
        </w:rPr>
        <w:t>STUDENT NUMBER:</w:t>
      </w:r>
    </w:p>
    <w:p w14:paraId="5477148C" w14:textId="77777777" w:rsidR="007C7EE3" w:rsidRPr="00783876" w:rsidRDefault="007C7EE3" w:rsidP="007C7EE3">
      <w:pPr>
        <w:tabs>
          <w:tab w:val="left" w:pos="392"/>
        </w:tabs>
        <w:spacing w:line="360" w:lineRule="auto"/>
        <w:ind w:right="473"/>
        <w:jc w:val="center"/>
        <w:rPr>
          <w:b/>
          <w:bCs/>
          <w:sz w:val="36"/>
          <w:szCs w:val="36"/>
          <w:lang w:val="nl-NL"/>
        </w:rPr>
      </w:pPr>
    </w:p>
    <w:p w14:paraId="2AB54693" w14:textId="543D823A" w:rsidR="007C7EE3" w:rsidRDefault="007C7EE3" w:rsidP="007C7EE3">
      <w:pPr>
        <w:tabs>
          <w:tab w:val="left" w:pos="392"/>
        </w:tabs>
        <w:spacing w:line="360" w:lineRule="auto"/>
        <w:ind w:right="473"/>
        <w:jc w:val="center"/>
        <w:rPr>
          <w:b/>
          <w:bCs/>
          <w:spacing w:val="-2"/>
          <w:sz w:val="36"/>
          <w:szCs w:val="36"/>
        </w:rPr>
      </w:pPr>
      <w:r w:rsidRPr="007C7EE3">
        <w:rPr>
          <w:b/>
          <w:bCs/>
          <w:sz w:val="36"/>
          <w:szCs w:val="36"/>
        </w:rPr>
        <w:t>MODULE CODE:</w:t>
      </w:r>
      <w:r w:rsidRPr="007C7EE3">
        <w:rPr>
          <w:b/>
          <w:bCs/>
          <w:spacing w:val="-2"/>
          <w:sz w:val="36"/>
          <w:szCs w:val="36"/>
        </w:rPr>
        <w:t xml:space="preserve"> LCHS4010</w:t>
      </w:r>
    </w:p>
    <w:p w14:paraId="250C671B" w14:textId="77777777" w:rsidR="007C7EE3" w:rsidRPr="007C7EE3" w:rsidRDefault="007C7EE3" w:rsidP="007C7EE3">
      <w:pPr>
        <w:tabs>
          <w:tab w:val="left" w:pos="392"/>
        </w:tabs>
        <w:spacing w:line="360" w:lineRule="auto"/>
        <w:ind w:right="473"/>
        <w:jc w:val="center"/>
        <w:rPr>
          <w:b/>
          <w:bCs/>
          <w:sz w:val="36"/>
          <w:szCs w:val="36"/>
        </w:rPr>
      </w:pPr>
    </w:p>
    <w:p w14:paraId="52542A6B" w14:textId="65A21E28" w:rsidR="007C7EE3" w:rsidRDefault="007C7EE3" w:rsidP="007C7EE3">
      <w:pPr>
        <w:tabs>
          <w:tab w:val="left" w:pos="392"/>
        </w:tabs>
        <w:spacing w:line="360" w:lineRule="auto"/>
        <w:ind w:right="473"/>
        <w:jc w:val="center"/>
        <w:rPr>
          <w:b/>
          <w:bCs/>
          <w:spacing w:val="-4"/>
          <w:sz w:val="36"/>
          <w:szCs w:val="36"/>
        </w:rPr>
      </w:pPr>
      <w:r w:rsidRPr="007C7EE3">
        <w:rPr>
          <w:b/>
          <w:bCs/>
          <w:sz w:val="36"/>
          <w:szCs w:val="36"/>
        </w:rPr>
        <w:t>MODULE TITLE: Psychology</w:t>
      </w:r>
      <w:r w:rsidRPr="007C7EE3">
        <w:rPr>
          <w:b/>
          <w:bCs/>
          <w:spacing w:val="-6"/>
          <w:sz w:val="36"/>
          <w:szCs w:val="36"/>
        </w:rPr>
        <w:t xml:space="preserve"> </w:t>
      </w:r>
      <w:r w:rsidRPr="007C7EE3">
        <w:rPr>
          <w:b/>
          <w:bCs/>
          <w:sz w:val="36"/>
          <w:szCs w:val="36"/>
        </w:rPr>
        <w:t>in</w:t>
      </w:r>
      <w:r w:rsidRPr="007C7EE3">
        <w:rPr>
          <w:b/>
          <w:bCs/>
          <w:spacing w:val="-4"/>
          <w:sz w:val="36"/>
          <w:szCs w:val="36"/>
        </w:rPr>
        <w:t xml:space="preserve"> </w:t>
      </w:r>
      <w:r w:rsidRPr="007C7EE3">
        <w:rPr>
          <w:b/>
          <w:bCs/>
          <w:sz w:val="36"/>
          <w:szCs w:val="36"/>
        </w:rPr>
        <w:t>Health</w:t>
      </w:r>
      <w:r w:rsidRPr="007C7EE3">
        <w:rPr>
          <w:b/>
          <w:bCs/>
          <w:spacing w:val="-3"/>
          <w:sz w:val="36"/>
          <w:szCs w:val="36"/>
        </w:rPr>
        <w:t xml:space="preserve"> </w:t>
      </w:r>
      <w:r w:rsidRPr="007C7EE3">
        <w:rPr>
          <w:b/>
          <w:bCs/>
          <w:sz w:val="36"/>
          <w:szCs w:val="36"/>
        </w:rPr>
        <w:t>and</w:t>
      </w:r>
      <w:r w:rsidRPr="007C7EE3">
        <w:rPr>
          <w:b/>
          <w:bCs/>
          <w:spacing w:val="-4"/>
          <w:sz w:val="36"/>
          <w:szCs w:val="36"/>
        </w:rPr>
        <w:t xml:space="preserve"> </w:t>
      </w:r>
      <w:r w:rsidRPr="007C7EE3">
        <w:rPr>
          <w:b/>
          <w:bCs/>
          <w:sz w:val="36"/>
          <w:szCs w:val="36"/>
        </w:rPr>
        <w:t>Social</w:t>
      </w:r>
      <w:r w:rsidRPr="007C7EE3">
        <w:rPr>
          <w:b/>
          <w:bCs/>
          <w:spacing w:val="-4"/>
          <w:sz w:val="36"/>
          <w:szCs w:val="36"/>
        </w:rPr>
        <w:t xml:space="preserve"> Care</w:t>
      </w:r>
    </w:p>
    <w:p w14:paraId="0499C0D5" w14:textId="77777777" w:rsidR="007C7EE3" w:rsidRPr="007C7EE3" w:rsidRDefault="007C7EE3" w:rsidP="007C7EE3">
      <w:pPr>
        <w:tabs>
          <w:tab w:val="left" w:pos="392"/>
        </w:tabs>
        <w:spacing w:line="360" w:lineRule="auto"/>
        <w:ind w:right="473"/>
        <w:jc w:val="center"/>
        <w:rPr>
          <w:b/>
          <w:bCs/>
          <w:sz w:val="36"/>
          <w:szCs w:val="36"/>
        </w:rPr>
      </w:pPr>
    </w:p>
    <w:p w14:paraId="6DBA96B2" w14:textId="1815BBCD" w:rsidR="007C7EE3" w:rsidRDefault="007C7EE3" w:rsidP="007C7EE3">
      <w:pPr>
        <w:tabs>
          <w:tab w:val="left" w:pos="392"/>
        </w:tabs>
        <w:spacing w:line="360" w:lineRule="auto"/>
        <w:ind w:right="473"/>
        <w:jc w:val="center"/>
        <w:rPr>
          <w:b/>
          <w:bCs/>
          <w:sz w:val="36"/>
          <w:szCs w:val="36"/>
        </w:rPr>
      </w:pPr>
      <w:r w:rsidRPr="007C7EE3">
        <w:rPr>
          <w:b/>
          <w:bCs/>
          <w:sz w:val="36"/>
          <w:szCs w:val="36"/>
        </w:rPr>
        <w:t>LECTURER’S NAME: Neale Haddon</w:t>
      </w:r>
    </w:p>
    <w:p w14:paraId="7A6E3C4B" w14:textId="77777777" w:rsidR="007C7EE3" w:rsidRPr="007C7EE3" w:rsidRDefault="007C7EE3" w:rsidP="007C7EE3">
      <w:pPr>
        <w:tabs>
          <w:tab w:val="left" w:pos="392"/>
        </w:tabs>
        <w:spacing w:line="360" w:lineRule="auto"/>
        <w:ind w:right="473"/>
        <w:jc w:val="center"/>
        <w:rPr>
          <w:b/>
          <w:bCs/>
          <w:sz w:val="36"/>
          <w:szCs w:val="36"/>
        </w:rPr>
      </w:pPr>
    </w:p>
    <w:p w14:paraId="4E6A7C2E" w14:textId="745AFB46" w:rsidR="007C7EE3" w:rsidRPr="007C7EE3" w:rsidRDefault="007C7EE3" w:rsidP="007C7EE3">
      <w:pPr>
        <w:widowControl/>
        <w:autoSpaceDE/>
        <w:autoSpaceDN/>
        <w:spacing w:after="160" w:line="278" w:lineRule="auto"/>
        <w:jc w:val="center"/>
        <w:rPr>
          <w:rFonts w:ascii="Aptos" w:eastAsia="DengXian" w:hAnsi="Aptos"/>
          <w:b/>
          <w:bCs/>
          <w:kern w:val="2"/>
          <w:sz w:val="36"/>
          <w:szCs w:val="36"/>
          <w:lang w:eastAsia="zh-CN"/>
          <w14:ligatures w14:val="standardContextual"/>
        </w:rPr>
      </w:pPr>
      <w:r w:rsidRPr="007C7EE3">
        <w:rPr>
          <w:b/>
          <w:bCs/>
          <w:sz w:val="36"/>
          <w:szCs w:val="36"/>
        </w:rPr>
        <w:t xml:space="preserve">ASSIGNMENT TITLE: A report </w:t>
      </w:r>
      <w:r w:rsidRPr="007C7EE3">
        <w:rPr>
          <w:rFonts w:ascii="Aptos" w:eastAsia="DengXian" w:hAnsi="Aptos"/>
          <w:b/>
          <w:bCs/>
          <w:kern w:val="2"/>
          <w:sz w:val="36"/>
          <w:szCs w:val="36"/>
          <w:lang w:eastAsia="zh-CN"/>
          <w14:ligatures w14:val="standardContextual"/>
        </w:rPr>
        <w:t>on how psychological theories and research can be used to support adults aged 65 and over who are experiencing dementia living in a care home.</w:t>
      </w:r>
    </w:p>
    <w:p w14:paraId="37E1C7CC" w14:textId="662AD676" w:rsidR="007C7EE3" w:rsidRDefault="007C7EE3" w:rsidP="007C7EE3">
      <w:pPr>
        <w:tabs>
          <w:tab w:val="left" w:pos="392"/>
        </w:tabs>
        <w:spacing w:line="360" w:lineRule="auto"/>
        <w:ind w:right="473"/>
        <w:rPr>
          <w:b/>
          <w:sz w:val="36"/>
          <w:szCs w:val="36"/>
        </w:rPr>
      </w:pPr>
    </w:p>
    <w:p w14:paraId="29799168" w14:textId="77777777" w:rsidR="00676951" w:rsidRDefault="00676951" w:rsidP="007C7EE3">
      <w:pPr>
        <w:tabs>
          <w:tab w:val="left" w:pos="392"/>
        </w:tabs>
        <w:spacing w:line="360" w:lineRule="auto"/>
        <w:ind w:right="473"/>
        <w:rPr>
          <w:b/>
          <w:sz w:val="36"/>
          <w:szCs w:val="36"/>
        </w:rPr>
      </w:pPr>
    </w:p>
    <w:p w14:paraId="2AC684B4" w14:textId="77777777" w:rsidR="00676951" w:rsidRDefault="00676951" w:rsidP="007C7EE3">
      <w:pPr>
        <w:tabs>
          <w:tab w:val="left" w:pos="392"/>
        </w:tabs>
        <w:spacing w:line="360" w:lineRule="auto"/>
        <w:ind w:right="473"/>
        <w:rPr>
          <w:b/>
          <w:sz w:val="36"/>
          <w:szCs w:val="36"/>
        </w:rPr>
      </w:pPr>
    </w:p>
    <w:p w14:paraId="0328547F" w14:textId="77777777" w:rsidR="00676951" w:rsidRDefault="00676951" w:rsidP="007C7EE3">
      <w:pPr>
        <w:tabs>
          <w:tab w:val="left" w:pos="392"/>
        </w:tabs>
        <w:spacing w:line="360" w:lineRule="auto"/>
        <w:ind w:right="473"/>
        <w:rPr>
          <w:b/>
          <w:sz w:val="36"/>
          <w:szCs w:val="36"/>
        </w:rPr>
      </w:pPr>
    </w:p>
    <w:p w14:paraId="19E44726" w14:textId="77777777" w:rsidR="00676951" w:rsidRDefault="00676951" w:rsidP="007C7EE3">
      <w:pPr>
        <w:tabs>
          <w:tab w:val="left" w:pos="392"/>
        </w:tabs>
        <w:spacing w:line="360" w:lineRule="auto"/>
        <w:ind w:right="473"/>
        <w:rPr>
          <w:b/>
          <w:sz w:val="36"/>
          <w:szCs w:val="36"/>
        </w:rPr>
      </w:pPr>
    </w:p>
    <w:p w14:paraId="04566A35" w14:textId="77777777" w:rsidR="00676951" w:rsidRDefault="00676951" w:rsidP="007C7EE3">
      <w:pPr>
        <w:tabs>
          <w:tab w:val="left" w:pos="392"/>
        </w:tabs>
        <w:spacing w:line="360" w:lineRule="auto"/>
        <w:ind w:right="473"/>
        <w:rPr>
          <w:b/>
          <w:sz w:val="36"/>
          <w:szCs w:val="36"/>
        </w:rPr>
      </w:pPr>
    </w:p>
    <w:p w14:paraId="65B109CC" w14:textId="77777777" w:rsidR="001438FC" w:rsidRDefault="001438FC" w:rsidP="001438FC">
      <w:pPr>
        <w:tabs>
          <w:tab w:val="left" w:pos="392"/>
        </w:tabs>
        <w:spacing w:line="360" w:lineRule="auto"/>
        <w:ind w:right="473"/>
        <w:jc w:val="both"/>
        <w:rPr>
          <w:b/>
          <w:sz w:val="36"/>
          <w:szCs w:val="36"/>
        </w:rPr>
      </w:pPr>
    </w:p>
    <w:p w14:paraId="7E7899B8" w14:textId="3153D55A" w:rsidR="00676951" w:rsidRPr="001438FC" w:rsidRDefault="00676951" w:rsidP="001438FC">
      <w:pPr>
        <w:tabs>
          <w:tab w:val="left" w:pos="392"/>
        </w:tabs>
        <w:spacing w:line="360" w:lineRule="auto"/>
        <w:ind w:right="473"/>
        <w:jc w:val="both"/>
        <w:rPr>
          <w:bCs/>
        </w:rPr>
      </w:pPr>
      <w:r w:rsidRPr="001438FC">
        <w:rPr>
          <w:bCs/>
        </w:rPr>
        <w:lastRenderedPageBreak/>
        <w:t>This assignment aims to provide a detailed report on two psychological theories relevant to adult behavior and health and how they</w:t>
      </w:r>
      <w:r w:rsidR="00234E15">
        <w:rPr>
          <w:bCs/>
        </w:rPr>
        <w:t xml:space="preserve"> apply to </w:t>
      </w:r>
      <w:r w:rsidR="00234E15" w:rsidRPr="001438FC">
        <w:rPr>
          <w:bCs/>
        </w:rPr>
        <w:t>adults</w:t>
      </w:r>
      <w:r w:rsidR="00234E15">
        <w:rPr>
          <w:bCs/>
        </w:rPr>
        <w:t xml:space="preserve"> </w:t>
      </w:r>
      <w:r w:rsidRPr="001438FC">
        <w:rPr>
          <w:bCs/>
        </w:rPr>
        <w:t>over 65 living with dementia in a care home. Practical examples will be provided to show how health and social care professionals can apply these theories to support these older adults. The potential challenges that may be met when applying these theories and the strategies to tackle them will also be discussed. The two psychological theories that will be discussed are the Erikson’s theory of psychosocial development specifically the ego integrity versus despair stage and the Health Belief model.</w:t>
      </w:r>
    </w:p>
    <w:p w14:paraId="48024DEE" w14:textId="77777777" w:rsidR="00676951" w:rsidRPr="001438FC" w:rsidRDefault="00676951" w:rsidP="001438FC">
      <w:pPr>
        <w:tabs>
          <w:tab w:val="left" w:pos="392"/>
        </w:tabs>
        <w:spacing w:line="360" w:lineRule="auto"/>
        <w:ind w:right="473"/>
        <w:jc w:val="both"/>
        <w:rPr>
          <w:bCs/>
        </w:rPr>
      </w:pPr>
    </w:p>
    <w:p w14:paraId="5F98BD67" w14:textId="3EED64DF" w:rsidR="00676951" w:rsidRPr="001438FC" w:rsidRDefault="00676951" w:rsidP="001438FC">
      <w:pPr>
        <w:tabs>
          <w:tab w:val="left" w:pos="392"/>
        </w:tabs>
        <w:spacing w:line="360" w:lineRule="auto"/>
        <w:ind w:right="473"/>
        <w:jc w:val="both"/>
      </w:pPr>
      <w:r w:rsidRPr="001438FC">
        <w:t>The psychologist and psychiatrist Erik Erikson developed the idea known as Erikson's Stages of Psychosocial Development in the 1950s</w:t>
      </w:r>
      <w:r w:rsidR="00234E15">
        <w:t xml:space="preserve"> (Orenstein and Lewis, 2022)</w:t>
      </w:r>
      <w:r w:rsidRPr="001438FC">
        <w:t>. It proposes eight distinct phases of human development that are impacted by social, psychological, and biological elements during the course of a person's lifetime. In dementia care, Erikson's psychosocial model emphasises assisting older persons in achieving ego integrity</w:t>
      </w:r>
      <w:r w:rsidR="00234E15">
        <w:t xml:space="preserve"> (</w:t>
      </w:r>
      <w:r w:rsidRPr="001438FC">
        <w:t>life satisfaction and acceptance</w:t>
      </w:r>
      <w:r w:rsidR="00234E15">
        <w:t>)</w:t>
      </w:r>
      <w:r w:rsidRPr="001438FC">
        <w:t xml:space="preserve"> over despair</w:t>
      </w:r>
      <w:r w:rsidR="00234E15">
        <w:t xml:space="preserve"> (</w:t>
      </w:r>
      <w:r w:rsidRPr="001438FC">
        <w:t>regret and hopelessness) and going back to earlier phases to revitalise a feeling of autonomy and purpose</w:t>
      </w:r>
      <w:r w:rsidR="00234E15">
        <w:t xml:space="preserve"> </w:t>
      </w:r>
      <w:r w:rsidRPr="001438FC">
        <w:t>(Orenstein and Lewis, 2022). When individuals look back on their lives with a sense of contentment, fulfilment, and acceptance of the life they have live</w:t>
      </w:r>
      <w:r w:rsidR="00A42C4B">
        <w:t xml:space="preserve">d </w:t>
      </w:r>
      <w:r w:rsidRPr="001438FC">
        <w:t>including both accomplishments and failure</w:t>
      </w:r>
      <w:r w:rsidR="00DD01EE">
        <w:t xml:space="preserve"> </w:t>
      </w:r>
      <w:r w:rsidRPr="001438FC">
        <w:t>they have acquired ego integrity (Orenstein and Lewis, 2022). They believe they have led a purposeful life and are able to face death with composure because they have acquired the virtue of wisdom</w:t>
      </w:r>
      <w:r w:rsidR="00234E15">
        <w:t xml:space="preserve"> (Orenstein and Lewis, 2022)</w:t>
      </w:r>
      <w:r w:rsidRPr="001438FC">
        <w:t xml:space="preserve">. When people see their lives as a string of lost chances, mistakes, and regrets, they become depressed and develop feelings of resentment, despair, and the belief that it is too late to change things (Orenstein and Lewis, 2022). </w:t>
      </w:r>
    </w:p>
    <w:p w14:paraId="001797DC" w14:textId="754B96A3" w:rsidR="00676951" w:rsidRPr="001438FC" w:rsidRDefault="00676951" w:rsidP="001438FC">
      <w:pPr>
        <w:tabs>
          <w:tab w:val="left" w:pos="392"/>
        </w:tabs>
        <w:spacing w:line="360" w:lineRule="auto"/>
        <w:ind w:right="473"/>
        <w:jc w:val="both"/>
      </w:pPr>
      <w:r w:rsidRPr="001438FC">
        <w:t xml:space="preserve">Older adults living with dementia may have been termed as having lost sense of self, however studies indicate that parts of self are still preserved which has created opportunities for them to participate in their own care and develop methods for enhancing their connection with the outside world (Mazaheri et al., 2021). According to Erikson's theory, the primary developmental challenge for older adults is to achieve ego integrity in contrast to hopelessness (Chen et al., 2021). Given that older person frequently go through a "life review" process in which they consider their prior experiences, relationships, and achievements, this notion is extremely pertinent to them (Chen et al., 2021). Activities that strengthen a sense of purpose and self-worth might be the focus of older persons with dementia such as giving them options for everyday routines such mealtimes and activities </w:t>
      </w:r>
      <w:r w:rsidR="00234E15">
        <w:t xml:space="preserve">which </w:t>
      </w:r>
      <w:r w:rsidRPr="001438FC">
        <w:t xml:space="preserve">honours their independence and capacity for self-management (Perry et al., 2018). Volunteering, lifelong learning, mentoring younger generations, or taking part in family activities are some examples of how to do this (Perry </w:t>
      </w:r>
      <w:r w:rsidRPr="001438FC">
        <w:lastRenderedPageBreak/>
        <w:t>et al., 2018). A resident's historical hobbies, preferences, and current functional skills should all be taken into consideration while creating a care plan for example gardening activities for a former gardener or involvement in preparation of light meals for someone who loved cooking (Perry et al., 2018).  A sense of integrity can also be strengthened by effectively managing bodily declines or social losses such as retirement or widowhood</w:t>
      </w:r>
      <w:r w:rsidR="00234E15">
        <w:t xml:space="preserve"> (Chen et al., 2021).</w:t>
      </w:r>
      <w:r w:rsidRPr="001438FC">
        <w:t xml:space="preserve"> </w:t>
      </w:r>
      <w:r w:rsidR="00234E15">
        <w:t>B</w:t>
      </w:r>
      <w:r w:rsidRPr="001438FC">
        <w:t>y utilising prior coping mechanisms such as therapeutic techniques like life story writing or cognitive behavioral therapy (CBT), healthcare providers and support networks can assist older persons in resolving unresolved conflicts and regrets (Chen et al., 2021). Establishing effective communication older adults living with dementia require</w:t>
      </w:r>
      <w:r w:rsidR="00234E15">
        <w:t>s</w:t>
      </w:r>
      <w:r w:rsidRPr="001438FC">
        <w:t xml:space="preserve"> carers to get to know them and their life stories which better assist in resolving crisis as they better understand how they express themselves (Chen et al., 2021). Older persons with dementia might be encouraged to concentrate on their talents rather than their limitations by framing obstacles as chances to reapply competence and resilience acquired earlier in life, thereby reducing despair (Chen et al., 2021). Studies indicate that carers who used the Erikson</w:t>
      </w:r>
      <w:r w:rsidR="00234E15">
        <w:t>’</w:t>
      </w:r>
      <w:r w:rsidRPr="001438FC">
        <w:t>s theory to promote integrity among adults with dementia in a care home resulted in better motor skills, social skills, attentiveness, and fewer depressive symptoms, along with increased independence and initiative (Chen et al., 2021).</w:t>
      </w:r>
    </w:p>
    <w:p w14:paraId="1FBE3F2D" w14:textId="6ECE8452" w:rsidR="00676951" w:rsidRPr="001438FC" w:rsidRDefault="00676951" w:rsidP="001438FC">
      <w:pPr>
        <w:tabs>
          <w:tab w:val="left" w:pos="392"/>
        </w:tabs>
        <w:spacing w:line="360" w:lineRule="auto"/>
        <w:ind w:right="473"/>
        <w:jc w:val="both"/>
      </w:pPr>
      <w:r w:rsidRPr="001438FC">
        <w:t>The Health Belief Model is a theory of health behaviour that focuses on a person's attitudes and beliefs in an effort t</w:t>
      </w:r>
      <w:r w:rsidR="00560629">
        <w:t xml:space="preserve">o </w:t>
      </w:r>
      <w:r w:rsidRPr="001438FC">
        <w:t xml:space="preserve"> explain and forecast health behaviours (Nortje, 2024). According to the concept, </w:t>
      </w:r>
      <w:r w:rsidR="00560629">
        <w:t xml:space="preserve">a </w:t>
      </w:r>
      <w:r w:rsidRPr="001438FC">
        <w:t>num</w:t>
      </w:r>
      <w:r w:rsidR="00560629">
        <w:t>ber of</w:t>
      </w:r>
      <w:r w:rsidRPr="001438FC">
        <w:t xml:space="preserve"> important elements influence a person's propensity to engage in a behaviour that promotes health (Nortje, 2024). </w:t>
      </w:r>
      <w:r w:rsidRPr="001438FC">
        <w:rPr>
          <w:lang w:val="en-GB"/>
        </w:rPr>
        <w:t xml:space="preserve">The Health Belief Model is frequently used to encourage self-care and preventive health practices in older individuals, a population that frequently has several chronic illnesses such as dementia (Nortje, 2024). </w:t>
      </w:r>
      <w:r w:rsidRPr="001438FC">
        <w:t>Interventions concentrate on current, observable, and pertinent experiences rather than complicated conversations about potential health hazards (Sheth, 2019). The residen</w:t>
      </w:r>
      <w:r w:rsidR="00560629">
        <w:t>t</w:t>
      </w:r>
      <w:r w:rsidRPr="001438FC">
        <w:t xml:space="preserve"> with dementia may not understand future decline on their health but may understand how a walk in the park may help them become less stiff and sleep better that night (Sheth, 2019). Carers at care homes are essential in recognising and reducing psychological and physical obstacles to participation of older adults with dementia in activities at the home (Sheth, 219). </w:t>
      </w:r>
      <w:r w:rsidR="00234E15">
        <w:t>For example, for a resident who</w:t>
      </w:r>
      <w:r w:rsidRPr="001438FC">
        <w:t xml:space="preserve"> experience</w:t>
      </w:r>
      <w:r w:rsidR="00234E15">
        <w:t>s</w:t>
      </w:r>
      <w:r w:rsidRPr="001438FC">
        <w:t xml:space="preserve"> social anxiety in joining a group activity in such as dancing, the care staff may encourage a</w:t>
      </w:r>
      <w:r w:rsidR="00234E15">
        <w:t xml:space="preserve"> one-to-one</w:t>
      </w:r>
      <w:r w:rsidRPr="001438FC">
        <w:t xml:space="preserve"> dance in a quieter part of the room making it easier to integrate with the rest of the residents (Sheth, 2019). By using these strategies, care home staff may offer a nurturing setting that attends to the fundamental psychosocial needs of people with dementia, fostering their sense of worth, purpose, and general wellbeing (Nortje, 224).</w:t>
      </w:r>
    </w:p>
    <w:p w14:paraId="7FFF1E14" w14:textId="5DF8319C" w:rsidR="00676951" w:rsidRPr="001438FC" w:rsidRDefault="00676951" w:rsidP="001438FC">
      <w:pPr>
        <w:tabs>
          <w:tab w:val="left" w:pos="392"/>
        </w:tabs>
        <w:spacing w:line="360" w:lineRule="auto"/>
        <w:ind w:right="473"/>
        <w:jc w:val="both"/>
      </w:pPr>
      <w:r w:rsidRPr="001438FC">
        <w:lastRenderedPageBreak/>
        <w:t>Some challenges may be experienced during application of these theories</w:t>
      </w:r>
      <w:r w:rsidR="00234E15">
        <w:t xml:space="preserve"> as follows</w:t>
      </w:r>
      <w:r w:rsidRPr="001438FC">
        <w:t>. The cognitive and communication deficits linked to dementia make it difficult to apply Erikson's psychosocial model to older persons living in care homes (Perry et al., 2018). People with dementia have trouble expressing their ideas and emotions, which makes verbal "life review" and conventional counselling challenging</w:t>
      </w:r>
      <w:r w:rsidR="00234E15">
        <w:t xml:space="preserve"> (Perry et al., 2018)</w:t>
      </w:r>
      <w:r w:rsidRPr="001438FC">
        <w:t>. Because of this, it is challenging for carers to determine which "crisis" the person is going through or how well they are resolving the last stage of integrity versus despair</w:t>
      </w:r>
      <w:r w:rsidR="00234E15">
        <w:t xml:space="preserve"> (Perry et al., 2018)</w:t>
      </w:r>
      <w:r w:rsidRPr="001438FC">
        <w:t>. Severe memory loss experienced as a result</w:t>
      </w:r>
      <w:r w:rsidR="00705FF4">
        <w:t xml:space="preserve"> of </w:t>
      </w:r>
      <w:r w:rsidRPr="001438FC">
        <w:t xml:space="preserve"> memory loss can make it difficult to think back on the past in a consistent or coherent manner, which can cause life experiences to become fragmented rather than unified (Perry et al., 2018). The "despair" component of Erikson's final stage can be exacerbated by feelings of sorrow, regret, and hopelessness brought on by loss of capacities, physical decline, and dependency (Perry et al., 2018). Beyond only attending to bodily requirements, carers must employ particular techniques to assist people in discovering purpose and overcoming negative emotions (Perry et al., 2018). In order</w:t>
      </w:r>
      <w:r w:rsidR="00880C6C">
        <w:t xml:space="preserve"> to</w:t>
      </w:r>
      <w:r w:rsidRPr="001438FC">
        <w:t xml:space="preserve"> overcome the difficulties in implementing Erikson's psychosocial model in dementia care, strategies emphasise non-pharmacological approaches that recognise and support residents' ongoing development and quest for meaning, person-centred care, and adapting interventions to current cognitive abilities</w:t>
      </w:r>
      <w:r w:rsidR="00234E15">
        <w:t xml:space="preserve"> (Chen et al., 2025)</w:t>
      </w:r>
      <w:r w:rsidRPr="001438FC">
        <w:t>. For example, in the case of cognitive decline, physical artefacts like pictures, treasured items, or music in reminiscence therapy and life story work should be utilised to trigger memories and access personal histories</w:t>
      </w:r>
      <w:r w:rsidR="00234E15">
        <w:t xml:space="preserve"> (Chen et al., 2025)</w:t>
      </w:r>
      <w:r w:rsidRPr="001438FC">
        <w:t>.</w:t>
      </w:r>
      <w:r w:rsidR="00234E15">
        <w:t xml:space="preserve"> </w:t>
      </w:r>
      <w:r w:rsidRPr="001438FC">
        <w:t xml:space="preserve">Other strategies include the use of some psychosocial interventions to help older adults with dementia complete developmental tasks and foster a sense of well-being (Cohen -Mansfield et al, 2025). These include reminiscence and life review adapted for those with cognitive impairment, creative arts therapies, and encouraging a sense of purpose and competence in current activities (Cohen- Mansfield et al., 2025). </w:t>
      </w:r>
    </w:p>
    <w:p w14:paraId="6C1A554A" w14:textId="633210CD" w:rsidR="00676951" w:rsidRPr="001438FC" w:rsidRDefault="00676951" w:rsidP="001438FC">
      <w:pPr>
        <w:tabs>
          <w:tab w:val="left" w:pos="392"/>
        </w:tabs>
        <w:spacing w:line="360" w:lineRule="auto"/>
        <w:ind w:right="473"/>
        <w:jc w:val="both"/>
      </w:pPr>
      <w:r w:rsidRPr="001438FC">
        <w:t xml:space="preserve">The main obstacle to using the Health Belief </w:t>
      </w:r>
      <w:r w:rsidR="00BA07F0" w:rsidRPr="001438FC">
        <w:t>Model for</w:t>
      </w:r>
      <w:r w:rsidRPr="001438FC">
        <w:t xml:space="preserve"> older persons with dementia is that the model's fundamental concepts mostly depend on a person's capacity for logical, cognitive decision-making, which is severely compromised by the illness (Chen et al., 2025). People suffering from dementia might not be as aware of or comprehend their personal risk for certain disorders, their current state of health, or the consequences of doing nothing (Chen et al., 2025). It might be difficult to properly communicate health information or get input on the health beliefs and preferences of older persons with dementia since they frequently struggle to communicate with healthcare professionals and personnel (Chen et al., 2025). The Health Belief Model may see behaviour as the outcome of a linear decision-making process thus ignoring the fact that behaviours can change over time and are impacted by immediate circumstances, mood, and developing </w:t>
      </w:r>
      <w:r w:rsidRPr="001438FC">
        <w:lastRenderedPageBreak/>
        <w:t>dementia symptoms (Chen et al., 2025). To overcome this, a person-centred, environment-focused, and caregiver-supported strategy must take precedence over the individual's logical decision-making</w:t>
      </w:r>
      <w:r w:rsidR="00BA07F0" w:rsidRPr="001438FC">
        <w:t xml:space="preserve"> (Chen et al., 2025)</w:t>
      </w:r>
      <w:r w:rsidRPr="001438FC">
        <w:t>. In a care home setting these may include training the care staff and adjusting the environment to facilitate healthy behaviour as opposed to relying on the resident’s understanding</w:t>
      </w:r>
      <w:r w:rsidR="00BA07F0" w:rsidRPr="001438FC">
        <w:t xml:space="preserve"> (Chen et al., 2025)</w:t>
      </w:r>
      <w:r w:rsidRPr="001438FC">
        <w:t>.</w:t>
      </w:r>
    </w:p>
    <w:p w14:paraId="26CE8837" w14:textId="1F0ADF00" w:rsidR="00676951" w:rsidRPr="001438FC" w:rsidRDefault="00234E15" w:rsidP="001438FC">
      <w:pPr>
        <w:tabs>
          <w:tab w:val="left" w:pos="392"/>
        </w:tabs>
        <w:spacing w:line="360" w:lineRule="auto"/>
        <w:ind w:right="473"/>
        <w:rPr>
          <w:bCs/>
        </w:rPr>
      </w:pPr>
      <w:r>
        <w:rPr>
          <w:bCs/>
        </w:rPr>
        <w:t>It can be concluded that psychological theories are useful in supporting older adults with dementia in a care home if applied correctly. Although challenges may come up, there are strategies that can be used to overcome them</w:t>
      </w:r>
      <w:r w:rsidR="003536D4">
        <w:rPr>
          <w:bCs/>
        </w:rPr>
        <w:t xml:space="preserve"> for best outcomes</w:t>
      </w:r>
      <w:r>
        <w:rPr>
          <w:bCs/>
        </w:rPr>
        <w:t xml:space="preserve">. </w:t>
      </w:r>
    </w:p>
    <w:p w14:paraId="79A5FCF0" w14:textId="77777777" w:rsidR="00676951" w:rsidRPr="001438FC" w:rsidRDefault="00676951" w:rsidP="001438FC">
      <w:pPr>
        <w:tabs>
          <w:tab w:val="left" w:pos="392"/>
        </w:tabs>
        <w:spacing w:line="360" w:lineRule="auto"/>
        <w:ind w:right="473"/>
        <w:rPr>
          <w:bCs/>
        </w:rPr>
      </w:pPr>
    </w:p>
    <w:p w14:paraId="6613D5B8" w14:textId="2A342C37" w:rsidR="007C7EE3" w:rsidRPr="001438FC" w:rsidRDefault="007C7EE3" w:rsidP="001438FC">
      <w:pPr>
        <w:tabs>
          <w:tab w:val="left" w:pos="392"/>
        </w:tabs>
        <w:spacing w:line="360" w:lineRule="auto"/>
        <w:ind w:right="473"/>
      </w:pPr>
      <w:r w:rsidRPr="001438FC">
        <w:rPr>
          <w:b/>
        </w:rPr>
        <w:t xml:space="preserve"> </w:t>
      </w:r>
    </w:p>
    <w:p w14:paraId="081A0C9C" w14:textId="77777777" w:rsidR="007C7EE3" w:rsidRPr="001438FC" w:rsidRDefault="007C7EE3" w:rsidP="001438FC">
      <w:pPr>
        <w:spacing w:line="360" w:lineRule="auto"/>
      </w:pPr>
    </w:p>
    <w:p w14:paraId="210929C9" w14:textId="77777777" w:rsidR="001438FC" w:rsidRPr="001438FC" w:rsidRDefault="001438FC" w:rsidP="001438FC">
      <w:pPr>
        <w:spacing w:line="360" w:lineRule="auto"/>
      </w:pPr>
    </w:p>
    <w:p w14:paraId="23722538" w14:textId="77777777" w:rsidR="001438FC" w:rsidRPr="001438FC" w:rsidRDefault="001438FC" w:rsidP="001438FC">
      <w:pPr>
        <w:spacing w:line="360" w:lineRule="auto"/>
      </w:pPr>
    </w:p>
    <w:p w14:paraId="4AD053B3" w14:textId="77777777" w:rsidR="001438FC" w:rsidRPr="001438FC" w:rsidRDefault="001438FC" w:rsidP="001438FC">
      <w:pPr>
        <w:spacing w:line="360" w:lineRule="auto"/>
      </w:pPr>
    </w:p>
    <w:p w14:paraId="531D4726" w14:textId="77777777" w:rsidR="001438FC" w:rsidRPr="001438FC" w:rsidRDefault="001438FC" w:rsidP="001438FC">
      <w:pPr>
        <w:spacing w:line="360" w:lineRule="auto"/>
      </w:pPr>
    </w:p>
    <w:p w14:paraId="0ACBFF88" w14:textId="77777777" w:rsidR="001438FC" w:rsidRPr="001438FC" w:rsidRDefault="001438FC" w:rsidP="001438FC">
      <w:pPr>
        <w:spacing w:line="360" w:lineRule="auto"/>
      </w:pPr>
    </w:p>
    <w:p w14:paraId="335A44A4" w14:textId="77777777" w:rsidR="001438FC" w:rsidRPr="001438FC" w:rsidRDefault="001438FC" w:rsidP="001438FC">
      <w:pPr>
        <w:spacing w:line="360" w:lineRule="auto"/>
      </w:pPr>
    </w:p>
    <w:p w14:paraId="34EEBA76" w14:textId="77777777" w:rsidR="001438FC" w:rsidRPr="001438FC" w:rsidRDefault="001438FC" w:rsidP="001438FC">
      <w:pPr>
        <w:spacing w:line="360" w:lineRule="auto"/>
      </w:pPr>
    </w:p>
    <w:p w14:paraId="1225E3F2" w14:textId="77777777" w:rsidR="001438FC" w:rsidRPr="001438FC" w:rsidRDefault="001438FC" w:rsidP="001438FC">
      <w:pPr>
        <w:spacing w:line="360" w:lineRule="auto"/>
      </w:pPr>
    </w:p>
    <w:p w14:paraId="584CE853" w14:textId="77777777" w:rsidR="001438FC" w:rsidRPr="001438FC" w:rsidRDefault="001438FC" w:rsidP="001438FC">
      <w:pPr>
        <w:spacing w:line="360" w:lineRule="auto"/>
      </w:pPr>
    </w:p>
    <w:p w14:paraId="67E28EF1" w14:textId="77777777" w:rsidR="001438FC" w:rsidRPr="001438FC" w:rsidRDefault="001438FC" w:rsidP="001438FC">
      <w:pPr>
        <w:spacing w:line="360" w:lineRule="auto"/>
      </w:pPr>
    </w:p>
    <w:p w14:paraId="0BF58591" w14:textId="77777777" w:rsidR="001438FC" w:rsidRPr="001438FC" w:rsidRDefault="001438FC" w:rsidP="001438FC">
      <w:pPr>
        <w:spacing w:line="360" w:lineRule="auto"/>
      </w:pPr>
    </w:p>
    <w:p w14:paraId="72C2A526" w14:textId="77777777" w:rsidR="001438FC" w:rsidRPr="001438FC" w:rsidRDefault="001438FC" w:rsidP="001438FC">
      <w:pPr>
        <w:spacing w:line="360" w:lineRule="auto"/>
      </w:pPr>
    </w:p>
    <w:p w14:paraId="21F68952" w14:textId="77777777" w:rsidR="001438FC" w:rsidRPr="001438FC" w:rsidRDefault="001438FC" w:rsidP="001438FC">
      <w:pPr>
        <w:spacing w:line="360" w:lineRule="auto"/>
      </w:pPr>
    </w:p>
    <w:p w14:paraId="0DD9D798" w14:textId="77777777" w:rsidR="001438FC" w:rsidRPr="001438FC" w:rsidRDefault="001438FC" w:rsidP="001438FC">
      <w:pPr>
        <w:spacing w:line="360" w:lineRule="auto"/>
      </w:pPr>
    </w:p>
    <w:p w14:paraId="57FFBE6E" w14:textId="77777777" w:rsidR="001438FC" w:rsidRPr="001438FC" w:rsidRDefault="001438FC" w:rsidP="001438FC">
      <w:pPr>
        <w:spacing w:line="360" w:lineRule="auto"/>
      </w:pPr>
    </w:p>
    <w:p w14:paraId="79E2495D" w14:textId="77777777" w:rsidR="001438FC" w:rsidRPr="001438FC" w:rsidRDefault="001438FC" w:rsidP="001438FC">
      <w:pPr>
        <w:spacing w:line="360" w:lineRule="auto"/>
      </w:pPr>
    </w:p>
    <w:p w14:paraId="2C59676B" w14:textId="77777777" w:rsidR="001438FC" w:rsidRPr="001438FC" w:rsidRDefault="001438FC" w:rsidP="001438FC">
      <w:pPr>
        <w:spacing w:line="360" w:lineRule="auto"/>
      </w:pPr>
    </w:p>
    <w:p w14:paraId="683BAA23" w14:textId="77777777" w:rsidR="001438FC" w:rsidRPr="001438FC" w:rsidRDefault="001438FC" w:rsidP="001438FC">
      <w:pPr>
        <w:spacing w:line="360" w:lineRule="auto"/>
      </w:pPr>
    </w:p>
    <w:p w14:paraId="59DE8869" w14:textId="77777777" w:rsidR="001438FC" w:rsidRPr="001438FC" w:rsidRDefault="001438FC" w:rsidP="001438FC">
      <w:pPr>
        <w:spacing w:line="360" w:lineRule="auto"/>
      </w:pPr>
    </w:p>
    <w:p w14:paraId="086B54D7" w14:textId="77777777" w:rsidR="001438FC" w:rsidRPr="001438FC" w:rsidRDefault="001438FC" w:rsidP="001438FC">
      <w:pPr>
        <w:spacing w:line="360" w:lineRule="auto"/>
      </w:pPr>
    </w:p>
    <w:p w14:paraId="28665269" w14:textId="77777777" w:rsidR="001438FC" w:rsidRPr="001438FC" w:rsidRDefault="001438FC" w:rsidP="001438FC">
      <w:pPr>
        <w:spacing w:line="360" w:lineRule="auto"/>
      </w:pPr>
    </w:p>
    <w:p w14:paraId="1F4EC95D" w14:textId="77777777" w:rsidR="001438FC" w:rsidRDefault="001438FC" w:rsidP="001438FC">
      <w:pPr>
        <w:spacing w:line="360" w:lineRule="auto"/>
      </w:pPr>
    </w:p>
    <w:p w14:paraId="4FF68239" w14:textId="77777777" w:rsidR="001438FC" w:rsidRPr="001438FC" w:rsidRDefault="001438FC" w:rsidP="001438FC">
      <w:pPr>
        <w:spacing w:line="360" w:lineRule="auto"/>
      </w:pPr>
    </w:p>
    <w:p w14:paraId="49FE91EC" w14:textId="77777777" w:rsidR="001438FC" w:rsidRDefault="001438FC" w:rsidP="001438FC">
      <w:pPr>
        <w:pStyle w:val="NormalWeb"/>
        <w:spacing w:line="360" w:lineRule="auto"/>
        <w:rPr>
          <w:rFonts w:ascii="Arial" w:hAnsi="Arial" w:cs="Arial"/>
          <w:b/>
          <w:bCs/>
          <w:color w:val="000000"/>
          <w:sz w:val="22"/>
          <w:szCs w:val="22"/>
        </w:rPr>
      </w:pPr>
    </w:p>
    <w:p w14:paraId="08491662" w14:textId="77777777" w:rsidR="001438FC" w:rsidRDefault="001438FC" w:rsidP="001438FC">
      <w:pPr>
        <w:pStyle w:val="NormalWeb"/>
        <w:spacing w:line="360" w:lineRule="auto"/>
        <w:rPr>
          <w:rFonts w:ascii="Arial" w:hAnsi="Arial" w:cs="Arial"/>
          <w:b/>
          <w:bCs/>
          <w:color w:val="000000"/>
          <w:sz w:val="22"/>
          <w:szCs w:val="22"/>
        </w:rPr>
      </w:pPr>
    </w:p>
    <w:p w14:paraId="3235A4D5" w14:textId="4AB7CD3A" w:rsidR="001438FC" w:rsidRDefault="001438FC" w:rsidP="001438FC">
      <w:pPr>
        <w:pStyle w:val="NormalWeb"/>
        <w:spacing w:line="360" w:lineRule="auto"/>
        <w:rPr>
          <w:rFonts w:ascii="Arial" w:hAnsi="Arial" w:cs="Arial"/>
          <w:b/>
          <w:bCs/>
          <w:color w:val="000000"/>
          <w:sz w:val="22"/>
          <w:szCs w:val="22"/>
        </w:rPr>
      </w:pPr>
      <w:r w:rsidRPr="001438FC">
        <w:rPr>
          <w:rFonts w:ascii="Arial" w:hAnsi="Arial" w:cs="Arial"/>
          <w:b/>
          <w:bCs/>
          <w:color w:val="000000"/>
          <w:sz w:val="22"/>
          <w:szCs w:val="22"/>
        </w:rPr>
        <w:t>REFERENCES</w:t>
      </w:r>
    </w:p>
    <w:p w14:paraId="1B815FE2" w14:textId="77777777" w:rsidR="001438FC" w:rsidRDefault="001438FC" w:rsidP="001438FC">
      <w:pPr>
        <w:pStyle w:val="NormalWeb"/>
        <w:spacing w:line="360" w:lineRule="auto"/>
        <w:rPr>
          <w:rFonts w:ascii="Arial" w:hAnsi="Arial" w:cs="Arial"/>
          <w:b/>
          <w:bCs/>
          <w:color w:val="000000"/>
          <w:sz w:val="22"/>
          <w:szCs w:val="22"/>
        </w:rPr>
      </w:pPr>
      <w:r w:rsidRPr="001438FC">
        <w:rPr>
          <w:rFonts w:ascii="Arial" w:hAnsi="Arial" w:cs="Arial"/>
          <w:color w:val="000000"/>
          <w:sz w:val="22"/>
          <w:szCs w:val="22"/>
        </w:rPr>
        <w:t>Chen, P.-Y., Ho, W.-C., Lo, C. and Yeh, T.-P. (2021). Predicting Ego Integrity Using Prior Ego Development Stages for Older Adults in the Community. </w:t>
      </w:r>
      <w:r w:rsidRPr="001438FC">
        <w:rPr>
          <w:rFonts w:ascii="Arial" w:hAnsi="Arial" w:cs="Arial"/>
          <w:i/>
          <w:iCs/>
          <w:color w:val="000000"/>
          <w:sz w:val="22"/>
          <w:szCs w:val="22"/>
        </w:rPr>
        <w:t>International Journal of Environmental Research and Public Health</w:t>
      </w:r>
      <w:r w:rsidRPr="001438FC">
        <w:rPr>
          <w:rFonts w:ascii="Arial" w:hAnsi="Arial" w:cs="Arial"/>
          <w:color w:val="000000"/>
          <w:sz w:val="22"/>
          <w:szCs w:val="22"/>
        </w:rPr>
        <w:t>, [online] 18(18), p.9490. doi:https://doi.org/10.3390/ijerph18189490.</w:t>
      </w:r>
    </w:p>
    <w:p w14:paraId="35425BB1" w14:textId="77777777" w:rsidR="001438FC" w:rsidRDefault="001438FC" w:rsidP="001438FC">
      <w:pPr>
        <w:pStyle w:val="NormalWeb"/>
        <w:spacing w:line="360" w:lineRule="auto"/>
        <w:rPr>
          <w:rFonts w:ascii="Arial" w:hAnsi="Arial" w:cs="Arial"/>
          <w:b/>
          <w:bCs/>
          <w:color w:val="000000"/>
          <w:sz w:val="22"/>
          <w:szCs w:val="22"/>
        </w:rPr>
      </w:pPr>
      <w:r w:rsidRPr="001438FC">
        <w:rPr>
          <w:rFonts w:ascii="Arial" w:hAnsi="Arial" w:cs="Arial"/>
          <w:color w:val="000000"/>
          <w:sz w:val="22"/>
          <w:szCs w:val="22"/>
        </w:rPr>
        <w:t>Chen, M.-L., Hsieh, K.-L., Hsieh, S.-L., Hsieh, M.-C., Lo, D.C.-T. and Hsu, J.-L. (2025). Barriers to Using Mobile App-Based Cognitive Testing in Older Adults with Probable Alzheimer’s Disease: A Qualitative Study. </w:t>
      </w:r>
      <w:r w:rsidRPr="001438FC">
        <w:rPr>
          <w:rFonts w:ascii="Arial" w:hAnsi="Arial" w:cs="Arial"/>
          <w:i/>
          <w:iCs/>
          <w:color w:val="000000"/>
          <w:sz w:val="22"/>
          <w:szCs w:val="22"/>
        </w:rPr>
        <w:t>Brain Sciences</w:t>
      </w:r>
      <w:r w:rsidRPr="001438FC">
        <w:rPr>
          <w:rFonts w:ascii="Arial" w:hAnsi="Arial" w:cs="Arial"/>
          <w:color w:val="000000"/>
          <w:sz w:val="22"/>
          <w:szCs w:val="22"/>
        </w:rPr>
        <w:t>, [online] 15(5), pp.464–464. doi:https://doi.org/10.3390/brainsci15050464.</w:t>
      </w:r>
    </w:p>
    <w:p w14:paraId="2A9ACEB8" w14:textId="7A554B9A" w:rsidR="001438FC" w:rsidRPr="001438FC" w:rsidRDefault="001438FC" w:rsidP="001438FC">
      <w:pPr>
        <w:pStyle w:val="NormalWeb"/>
        <w:spacing w:line="360" w:lineRule="auto"/>
        <w:rPr>
          <w:rFonts w:ascii="Arial" w:hAnsi="Arial" w:cs="Arial"/>
          <w:b/>
          <w:bCs/>
          <w:color w:val="000000"/>
          <w:sz w:val="22"/>
          <w:szCs w:val="22"/>
        </w:rPr>
      </w:pPr>
      <w:r w:rsidRPr="001438FC">
        <w:rPr>
          <w:rFonts w:ascii="Arial" w:hAnsi="Arial" w:cs="Arial"/>
          <w:color w:val="000000"/>
          <w:sz w:val="22"/>
          <w:szCs w:val="22"/>
        </w:rPr>
        <w:t>Cohen-Mansfield, J., Dakheel-Ali, M., Marx, M.S., Thein, K. and Regier, N.G. (2015). Which unmet needs contribute to behavior problems in persons with advanced dementia? </w:t>
      </w:r>
      <w:r w:rsidRPr="001438FC">
        <w:rPr>
          <w:rFonts w:ascii="Arial" w:hAnsi="Arial" w:cs="Arial"/>
          <w:i/>
          <w:iCs/>
          <w:color w:val="000000"/>
          <w:sz w:val="22"/>
          <w:szCs w:val="22"/>
        </w:rPr>
        <w:t>Psychiatry Research</w:t>
      </w:r>
      <w:r w:rsidRPr="001438FC">
        <w:rPr>
          <w:rFonts w:ascii="Arial" w:hAnsi="Arial" w:cs="Arial"/>
          <w:color w:val="000000"/>
          <w:sz w:val="22"/>
          <w:szCs w:val="22"/>
        </w:rPr>
        <w:t>, [online] 228(1), pp.59–64. doi:https://doi.org/10.1016/j.psychres.2015.03.043.</w:t>
      </w:r>
    </w:p>
    <w:p w14:paraId="0FF92D68" w14:textId="77777777" w:rsidR="001438FC" w:rsidRPr="001438FC" w:rsidRDefault="001438FC" w:rsidP="001438FC">
      <w:pPr>
        <w:pStyle w:val="NormalWeb"/>
        <w:spacing w:before="0" w:beforeAutospacing="0" w:after="0" w:afterAutospacing="0" w:line="360" w:lineRule="auto"/>
        <w:rPr>
          <w:rFonts w:ascii="Arial" w:hAnsi="Arial" w:cs="Arial"/>
          <w:color w:val="000000"/>
          <w:sz w:val="22"/>
          <w:szCs w:val="22"/>
        </w:rPr>
      </w:pPr>
      <w:r w:rsidRPr="00783876">
        <w:rPr>
          <w:rFonts w:ascii="Arial" w:hAnsi="Arial" w:cs="Arial"/>
          <w:color w:val="000000"/>
          <w:sz w:val="22"/>
          <w:szCs w:val="22"/>
          <w:lang w:val="de-DE"/>
        </w:rPr>
        <w:t xml:space="preserve">‌Mazaheri, M., Kihlgren, M. and Norberg, A. (2021). </w:t>
      </w:r>
      <w:r w:rsidRPr="001438FC">
        <w:rPr>
          <w:rFonts w:ascii="Arial" w:hAnsi="Arial" w:cs="Arial"/>
          <w:color w:val="000000"/>
          <w:sz w:val="22"/>
          <w:szCs w:val="22"/>
        </w:rPr>
        <w:t>Applying the theory of human development by Erik and Joan Erikson when communicating with persons with advanced dementia diseases. </w:t>
      </w:r>
      <w:r w:rsidRPr="001438FC">
        <w:rPr>
          <w:rFonts w:ascii="Arial" w:hAnsi="Arial" w:cs="Arial"/>
          <w:i/>
          <w:iCs/>
          <w:color w:val="000000"/>
          <w:sz w:val="22"/>
          <w:szCs w:val="22"/>
        </w:rPr>
        <w:t>Nordic Journal of Nursing Research</w:t>
      </w:r>
      <w:r w:rsidRPr="001438FC">
        <w:rPr>
          <w:rFonts w:ascii="Arial" w:hAnsi="Arial" w:cs="Arial"/>
          <w:color w:val="000000"/>
          <w:sz w:val="22"/>
          <w:szCs w:val="22"/>
        </w:rPr>
        <w:t>, 42(4), p.205715852110482. doi:https://doi.org/10.1177/20571585211048280.</w:t>
      </w:r>
    </w:p>
    <w:p w14:paraId="654FA9F9" w14:textId="77777777" w:rsidR="001438FC" w:rsidRPr="001438FC" w:rsidRDefault="001438FC" w:rsidP="001438FC">
      <w:pPr>
        <w:pStyle w:val="NormalWeb"/>
        <w:spacing w:before="0" w:beforeAutospacing="0" w:after="0" w:afterAutospacing="0" w:line="360" w:lineRule="auto"/>
        <w:rPr>
          <w:rFonts w:ascii="Arial" w:hAnsi="Arial" w:cs="Arial"/>
          <w:color w:val="000000"/>
          <w:sz w:val="22"/>
          <w:szCs w:val="22"/>
        </w:rPr>
      </w:pPr>
      <w:r w:rsidRPr="00783876">
        <w:rPr>
          <w:rFonts w:ascii="Arial" w:hAnsi="Arial" w:cs="Arial"/>
          <w:color w:val="000000"/>
          <w:sz w:val="22"/>
          <w:szCs w:val="22"/>
          <w:lang w:val="de-DE"/>
        </w:rPr>
        <w:t>Orenstein, G. and Lewis, L. (2022). </w:t>
      </w:r>
      <w:r w:rsidRPr="001438FC">
        <w:rPr>
          <w:rFonts w:ascii="Arial" w:hAnsi="Arial" w:cs="Arial"/>
          <w:i/>
          <w:iCs/>
          <w:color w:val="000000"/>
          <w:sz w:val="22"/>
          <w:szCs w:val="22"/>
        </w:rPr>
        <w:t>Erikson’s stages of psychosocial development</w:t>
      </w:r>
      <w:r w:rsidRPr="001438FC">
        <w:rPr>
          <w:rFonts w:ascii="Arial" w:hAnsi="Arial" w:cs="Arial"/>
          <w:color w:val="000000"/>
          <w:sz w:val="22"/>
          <w:szCs w:val="22"/>
        </w:rPr>
        <w:t xml:space="preserve">. [online] National Library of Medicine. Available at: </w:t>
      </w:r>
      <w:hyperlink r:id="rId7" w:history="1">
        <w:r w:rsidRPr="001438FC">
          <w:rPr>
            <w:rStyle w:val="Hyperlink"/>
            <w:rFonts w:ascii="Arial" w:eastAsia="Arial" w:hAnsi="Arial" w:cs="Arial"/>
            <w:sz w:val="22"/>
            <w:szCs w:val="22"/>
          </w:rPr>
          <w:t>https://www.ncbi.nlm.nih.gov/books/NBK556096/</w:t>
        </w:r>
      </w:hyperlink>
      <w:r w:rsidRPr="001438FC">
        <w:rPr>
          <w:rFonts w:ascii="Arial" w:hAnsi="Arial" w:cs="Arial"/>
          <w:color w:val="000000"/>
          <w:sz w:val="22"/>
          <w:szCs w:val="22"/>
        </w:rPr>
        <w:t>. (Accessed 15 Nov 2025)</w:t>
      </w:r>
    </w:p>
    <w:p w14:paraId="3C38A254" w14:textId="77777777" w:rsidR="001438FC" w:rsidRPr="001438FC" w:rsidRDefault="001438FC" w:rsidP="001438FC">
      <w:pPr>
        <w:pStyle w:val="NormalWeb"/>
        <w:spacing w:before="0" w:beforeAutospacing="0" w:after="0" w:afterAutospacing="0" w:line="360" w:lineRule="auto"/>
        <w:rPr>
          <w:rFonts w:ascii="Arial" w:hAnsi="Arial" w:cs="Arial"/>
          <w:color w:val="000000"/>
          <w:sz w:val="22"/>
          <w:szCs w:val="22"/>
        </w:rPr>
      </w:pPr>
      <w:r w:rsidRPr="001438FC">
        <w:rPr>
          <w:rFonts w:ascii="Arial" w:hAnsi="Arial" w:cs="Arial"/>
          <w:color w:val="000000"/>
          <w:sz w:val="22"/>
          <w:szCs w:val="22"/>
        </w:rPr>
        <w:t>‌Perry, T.E., Ruggiano, N., Shtompel, N. and Hassevoort, L. (2018). Applying Erikson’s Wisdom to Self-Management Practices of Older Adults. </w:t>
      </w:r>
      <w:r w:rsidRPr="001438FC">
        <w:rPr>
          <w:rFonts w:ascii="Arial" w:hAnsi="Arial" w:cs="Arial"/>
          <w:i/>
          <w:iCs/>
          <w:color w:val="000000"/>
          <w:sz w:val="22"/>
          <w:szCs w:val="22"/>
        </w:rPr>
        <w:t>Research on Aging</w:t>
      </w:r>
      <w:r w:rsidRPr="001438FC">
        <w:rPr>
          <w:rFonts w:ascii="Arial" w:hAnsi="Arial" w:cs="Arial"/>
          <w:color w:val="000000"/>
          <w:sz w:val="22"/>
          <w:szCs w:val="22"/>
        </w:rPr>
        <w:t>, [online] 37(3), pp.253–274. doi:https://doi.org/10.1177/0164027514527974.</w:t>
      </w:r>
    </w:p>
    <w:p w14:paraId="63B8476E" w14:textId="77777777" w:rsidR="001438FC" w:rsidRPr="001438FC" w:rsidRDefault="001438FC" w:rsidP="001438FC">
      <w:pPr>
        <w:pStyle w:val="NormalWeb"/>
        <w:spacing w:before="0" w:beforeAutospacing="0" w:after="0" w:afterAutospacing="0" w:line="360" w:lineRule="auto"/>
        <w:rPr>
          <w:rFonts w:ascii="Arial" w:hAnsi="Arial" w:cs="Arial"/>
          <w:color w:val="000000"/>
          <w:sz w:val="22"/>
          <w:szCs w:val="22"/>
        </w:rPr>
      </w:pPr>
      <w:r w:rsidRPr="001438FC">
        <w:rPr>
          <w:rFonts w:ascii="Arial" w:hAnsi="Arial" w:cs="Arial"/>
          <w:color w:val="000000"/>
          <w:sz w:val="22"/>
          <w:szCs w:val="22"/>
        </w:rPr>
        <w:t>Sheth, A.J. (2019). Intellectual disability and dementia: perspectives on environmental influences. </w:t>
      </w:r>
      <w:r w:rsidRPr="001438FC">
        <w:rPr>
          <w:rFonts w:ascii="Arial" w:hAnsi="Arial" w:cs="Arial"/>
          <w:i/>
          <w:iCs/>
          <w:color w:val="000000"/>
          <w:sz w:val="22"/>
          <w:szCs w:val="22"/>
        </w:rPr>
        <w:t>Quality in Ageing and Older Adults</w:t>
      </w:r>
      <w:r w:rsidRPr="001438FC">
        <w:rPr>
          <w:rFonts w:ascii="Arial" w:hAnsi="Arial" w:cs="Arial"/>
          <w:color w:val="000000"/>
          <w:sz w:val="22"/>
          <w:szCs w:val="22"/>
        </w:rPr>
        <w:t>, 20(4), pp.179–189. doi:https://doi.org/10.1108/qaoa-11-2018-0060.</w:t>
      </w:r>
    </w:p>
    <w:p w14:paraId="2F993BC7" w14:textId="77777777" w:rsidR="001438FC" w:rsidRPr="001438FC" w:rsidRDefault="001438FC" w:rsidP="001438FC">
      <w:pPr>
        <w:pStyle w:val="NormalWeb"/>
        <w:spacing w:line="360" w:lineRule="auto"/>
        <w:rPr>
          <w:rFonts w:ascii="Arial" w:hAnsi="Arial" w:cs="Arial"/>
          <w:color w:val="000000"/>
          <w:sz w:val="22"/>
          <w:szCs w:val="22"/>
        </w:rPr>
      </w:pPr>
    </w:p>
    <w:p w14:paraId="2496FB97" w14:textId="77777777" w:rsidR="001438FC" w:rsidRPr="001438FC" w:rsidRDefault="001438FC" w:rsidP="001438FC">
      <w:pPr>
        <w:pStyle w:val="NormalWeb"/>
        <w:spacing w:line="360" w:lineRule="auto"/>
        <w:rPr>
          <w:rFonts w:ascii="Arial" w:hAnsi="Arial" w:cs="Arial"/>
          <w:color w:val="000000"/>
          <w:sz w:val="22"/>
          <w:szCs w:val="22"/>
        </w:rPr>
      </w:pPr>
    </w:p>
    <w:p w14:paraId="4F3E8F78" w14:textId="77777777" w:rsidR="001438FC" w:rsidRPr="001438FC" w:rsidRDefault="001438FC" w:rsidP="001438FC">
      <w:pPr>
        <w:pStyle w:val="NormalWeb"/>
        <w:spacing w:line="360" w:lineRule="auto"/>
        <w:rPr>
          <w:rFonts w:ascii="Arial" w:hAnsi="Arial" w:cs="Arial"/>
          <w:color w:val="000000"/>
          <w:sz w:val="22"/>
          <w:szCs w:val="22"/>
        </w:rPr>
      </w:pPr>
    </w:p>
    <w:p w14:paraId="2E12D09A" w14:textId="77777777" w:rsidR="001438FC" w:rsidRPr="001438FC" w:rsidRDefault="001438FC" w:rsidP="001438FC">
      <w:pPr>
        <w:pStyle w:val="NormalWeb"/>
        <w:spacing w:line="360" w:lineRule="auto"/>
        <w:rPr>
          <w:rFonts w:ascii="Arial" w:hAnsi="Arial" w:cs="Arial"/>
          <w:color w:val="000000"/>
          <w:sz w:val="22"/>
          <w:szCs w:val="22"/>
        </w:rPr>
      </w:pPr>
    </w:p>
    <w:p w14:paraId="22D96DE7" w14:textId="77777777" w:rsidR="001438FC" w:rsidRPr="001438FC" w:rsidRDefault="001438FC" w:rsidP="001438FC">
      <w:pPr>
        <w:pStyle w:val="NormalWeb"/>
        <w:spacing w:line="360" w:lineRule="auto"/>
        <w:rPr>
          <w:rFonts w:ascii="Arial" w:hAnsi="Arial" w:cs="Arial"/>
          <w:color w:val="000000"/>
          <w:sz w:val="22"/>
          <w:szCs w:val="22"/>
        </w:rPr>
      </w:pPr>
    </w:p>
    <w:p w14:paraId="0A59F51D" w14:textId="77777777" w:rsidR="001438FC" w:rsidRPr="001438FC" w:rsidRDefault="001438FC" w:rsidP="001438FC">
      <w:pPr>
        <w:pStyle w:val="NormalWeb"/>
        <w:spacing w:line="360" w:lineRule="auto"/>
        <w:rPr>
          <w:rFonts w:ascii="Arial" w:hAnsi="Arial" w:cs="Arial"/>
          <w:color w:val="000000"/>
          <w:sz w:val="22"/>
          <w:szCs w:val="22"/>
        </w:rPr>
      </w:pPr>
    </w:p>
    <w:p w14:paraId="381D03DF" w14:textId="77777777" w:rsidR="001438FC" w:rsidRPr="001438FC" w:rsidRDefault="001438FC" w:rsidP="001438FC">
      <w:pPr>
        <w:pStyle w:val="NormalWeb"/>
        <w:spacing w:line="360" w:lineRule="auto"/>
        <w:rPr>
          <w:rFonts w:ascii="Arial" w:hAnsi="Arial" w:cs="Arial"/>
          <w:color w:val="000000"/>
          <w:sz w:val="22"/>
          <w:szCs w:val="22"/>
        </w:rPr>
      </w:pPr>
    </w:p>
    <w:p w14:paraId="4C2A4D8A" w14:textId="77777777" w:rsidR="001438FC" w:rsidRPr="001438FC" w:rsidRDefault="001438FC" w:rsidP="001438FC">
      <w:pPr>
        <w:spacing w:line="360" w:lineRule="auto"/>
      </w:pPr>
    </w:p>
    <w:p w14:paraId="74046349" w14:textId="2E90FD95" w:rsidR="001438FC" w:rsidRPr="001438FC" w:rsidRDefault="001438FC" w:rsidP="001438FC">
      <w:pPr>
        <w:spacing w:line="360" w:lineRule="auto"/>
      </w:pPr>
    </w:p>
    <w:sectPr w:rsidR="001438FC" w:rsidRPr="001438FC" w:rsidSect="001438FC">
      <w:footerReference w:type="even" r:id="rId8"/>
      <w:footerReference w:type="default" r:id="rId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D2834F" w14:textId="77777777" w:rsidR="00970B77" w:rsidRDefault="00970B77" w:rsidP="00676951">
      <w:r>
        <w:separator/>
      </w:r>
    </w:p>
  </w:endnote>
  <w:endnote w:type="continuationSeparator" w:id="0">
    <w:p w14:paraId="1405B8A5" w14:textId="77777777" w:rsidR="00970B77" w:rsidRDefault="00970B77" w:rsidP="00676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04013958"/>
      <w:docPartObj>
        <w:docPartGallery w:val="Page Numbers (Bottom of Page)"/>
        <w:docPartUnique/>
      </w:docPartObj>
    </w:sdtPr>
    <w:sdtEndPr>
      <w:rPr>
        <w:rStyle w:val="PageNumber"/>
      </w:rPr>
    </w:sdtEndPr>
    <w:sdtContent>
      <w:p w14:paraId="5EC3B381" w14:textId="2D136536" w:rsidR="001438FC" w:rsidRDefault="001438FC" w:rsidP="0059475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DA88EC" w14:textId="77777777" w:rsidR="001438FC" w:rsidRDefault="001438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68558051"/>
      <w:docPartObj>
        <w:docPartGallery w:val="Page Numbers (Bottom of Page)"/>
        <w:docPartUnique/>
      </w:docPartObj>
    </w:sdtPr>
    <w:sdtEndPr>
      <w:rPr>
        <w:rStyle w:val="PageNumber"/>
      </w:rPr>
    </w:sdtEndPr>
    <w:sdtContent>
      <w:p w14:paraId="51044F02" w14:textId="0A78789D" w:rsidR="001438FC" w:rsidRDefault="001438FC" w:rsidP="0059475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D83B6B0" w14:textId="77777777" w:rsidR="001438FC" w:rsidRDefault="001438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8EF3B" w14:textId="77777777" w:rsidR="00970B77" w:rsidRDefault="00970B77" w:rsidP="00676951">
      <w:r>
        <w:separator/>
      </w:r>
    </w:p>
  </w:footnote>
  <w:footnote w:type="continuationSeparator" w:id="0">
    <w:p w14:paraId="0F2854A3" w14:textId="77777777" w:rsidR="00970B77" w:rsidRDefault="00970B77" w:rsidP="0067695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1148592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EE3"/>
    <w:rsid w:val="001438FC"/>
    <w:rsid w:val="00234E15"/>
    <w:rsid w:val="002C0383"/>
    <w:rsid w:val="003536D4"/>
    <w:rsid w:val="00530328"/>
    <w:rsid w:val="00560629"/>
    <w:rsid w:val="00676951"/>
    <w:rsid w:val="00705FF4"/>
    <w:rsid w:val="00783876"/>
    <w:rsid w:val="007C7EE3"/>
    <w:rsid w:val="00880C6C"/>
    <w:rsid w:val="008F517B"/>
    <w:rsid w:val="00917DA3"/>
    <w:rsid w:val="00970B77"/>
    <w:rsid w:val="00A42C4B"/>
    <w:rsid w:val="00A8678C"/>
    <w:rsid w:val="00BA07F0"/>
    <w:rsid w:val="00BC5178"/>
    <w:rsid w:val="00C06F5F"/>
    <w:rsid w:val="00C64477"/>
    <w:rsid w:val="00DD0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BABA9"/>
  <w15:chartTrackingRefBased/>
  <w15:docId w15:val="{4F79208F-19A8-4B45-927E-010D86FE0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7EE3"/>
    <w:pPr>
      <w:widowControl w:val="0"/>
      <w:autoSpaceDE w:val="0"/>
      <w:autoSpaceDN w:val="0"/>
    </w:pPr>
    <w:rPr>
      <w:rFonts w:ascii="Arial" w:eastAsia="Arial" w:hAnsi="Arial" w:cs="Arial"/>
      <w:kern w:val="0"/>
      <w:sz w:val="22"/>
      <w:szCs w:val="2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6951"/>
    <w:pPr>
      <w:tabs>
        <w:tab w:val="center" w:pos="4513"/>
        <w:tab w:val="right" w:pos="9026"/>
      </w:tabs>
    </w:pPr>
  </w:style>
  <w:style w:type="character" w:customStyle="1" w:styleId="HeaderChar">
    <w:name w:val="Header Char"/>
    <w:basedOn w:val="DefaultParagraphFont"/>
    <w:link w:val="Header"/>
    <w:uiPriority w:val="99"/>
    <w:rsid w:val="00676951"/>
    <w:rPr>
      <w:rFonts w:ascii="Arial" w:eastAsia="Arial" w:hAnsi="Arial" w:cs="Arial"/>
      <w:kern w:val="0"/>
      <w:sz w:val="22"/>
      <w:szCs w:val="22"/>
      <w:lang w:val="en-US"/>
      <w14:ligatures w14:val="none"/>
    </w:rPr>
  </w:style>
  <w:style w:type="paragraph" w:styleId="Footer">
    <w:name w:val="footer"/>
    <w:basedOn w:val="Normal"/>
    <w:link w:val="FooterChar"/>
    <w:uiPriority w:val="99"/>
    <w:unhideWhenUsed/>
    <w:rsid w:val="00676951"/>
    <w:pPr>
      <w:tabs>
        <w:tab w:val="center" w:pos="4513"/>
        <w:tab w:val="right" w:pos="9026"/>
      </w:tabs>
    </w:pPr>
  </w:style>
  <w:style w:type="character" w:customStyle="1" w:styleId="FooterChar">
    <w:name w:val="Footer Char"/>
    <w:basedOn w:val="DefaultParagraphFont"/>
    <w:link w:val="Footer"/>
    <w:uiPriority w:val="99"/>
    <w:rsid w:val="00676951"/>
    <w:rPr>
      <w:rFonts w:ascii="Arial" w:eastAsia="Arial" w:hAnsi="Arial" w:cs="Arial"/>
      <w:kern w:val="0"/>
      <w:sz w:val="22"/>
      <w:szCs w:val="22"/>
      <w:lang w:val="en-US"/>
      <w14:ligatures w14:val="none"/>
    </w:rPr>
  </w:style>
  <w:style w:type="paragraph" w:styleId="NormalWeb">
    <w:name w:val="Normal (Web)"/>
    <w:basedOn w:val="Normal"/>
    <w:uiPriority w:val="99"/>
    <w:semiHidden/>
    <w:unhideWhenUsed/>
    <w:rsid w:val="001438FC"/>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1438FC"/>
    <w:rPr>
      <w:color w:val="0563C1" w:themeColor="hyperlink"/>
      <w:u w:val="single"/>
    </w:rPr>
  </w:style>
  <w:style w:type="character" w:styleId="PageNumber">
    <w:name w:val="page number"/>
    <w:basedOn w:val="DefaultParagraphFont"/>
    <w:uiPriority w:val="99"/>
    <w:semiHidden/>
    <w:unhideWhenUsed/>
    <w:rsid w:val="00143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871358">
      <w:bodyDiv w:val="1"/>
      <w:marLeft w:val="0"/>
      <w:marRight w:val="0"/>
      <w:marTop w:val="0"/>
      <w:marBottom w:val="0"/>
      <w:divBdr>
        <w:top w:val="none" w:sz="0" w:space="0" w:color="auto"/>
        <w:left w:val="none" w:sz="0" w:space="0" w:color="auto"/>
        <w:bottom w:val="none" w:sz="0" w:space="0" w:color="auto"/>
        <w:right w:val="none" w:sz="0" w:space="0" w:color="auto"/>
      </w:divBdr>
    </w:div>
    <w:div w:id="515777535">
      <w:bodyDiv w:val="1"/>
      <w:marLeft w:val="0"/>
      <w:marRight w:val="0"/>
      <w:marTop w:val="0"/>
      <w:marBottom w:val="0"/>
      <w:divBdr>
        <w:top w:val="none" w:sz="0" w:space="0" w:color="auto"/>
        <w:left w:val="none" w:sz="0" w:space="0" w:color="auto"/>
        <w:bottom w:val="none" w:sz="0" w:space="0" w:color="auto"/>
        <w:right w:val="none" w:sz="0" w:space="0" w:color="auto"/>
      </w:divBdr>
    </w:div>
    <w:div w:id="575164886">
      <w:bodyDiv w:val="1"/>
      <w:marLeft w:val="0"/>
      <w:marRight w:val="0"/>
      <w:marTop w:val="0"/>
      <w:marBottom w:val="0"/>
      <w:divBdr>
        <w:top w:val="none" w:sz="0" w:space="0" w:color="auto"/>
        <w:left w:val="none" w:sz="0" w:space="0" w:color="auto"/>
        <w:bottom w:val="none" w:sz="0" w:space="0" w:color="auto"/>
        <w:right w:val="none" w:sz="0" w:space="0" w:color="auto"/>
      </w:divBdr>
    </w:div>
    <w:div w:id="682365572">
      <w:bodyDiv w:val="1"/>
      <w:marLeft w:val="0"/>
      <w:marRight w:val="0"/>
      <w:marTop w:val="0"/>
      <w:marBottom w:val="0"/>
      <w:divBdr>
        <w:top w:val="none" w:sz="0" w:space="0" w:color="auto"/>
        <w:left w:val="none" w:sz="0" w:space="0" w:color="auto"/>
        <w:bottom w:val="none" w:sz="0" w:space="0" w:color="auto"/>
        <w:right w:val="none" w:sz="0" w:space="0" w:color="auto"/>
      </w:divBdr>
    </w:div>
    <w:div w:id="124538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cbi.nlm.nih.gov/books/NBK55609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1817</Words>
  <Characters>10362</Characters>
  <Application>Microsoft Office Word</Application>
  <DocSecurity>0</DocSecurity>
  <Lines>86</Lines>
  <Paragraphs>24</Paragraphs>
  <ScaleCrop>false</ScaleCrop>
  <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Zuri Wachira</dc:creator>
  <cp:keywords/>
  <dc:description/>
  <cp:lastModifiedBy>Nelly Kalombo</cp:lastModifiedBy>
  <cp:revision>12</cp:revision>
  <dcterms:created xsi:type="dcterms:W3CDTF">2025-11-16T18:36:00Z</dcterms:created>
  <dcterms:modified xsi:type="dcterms:W3CDTF">2025-11-16T21:11:00Z</dcterms:modified>
</cp:coreProperties>
</file>