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4EB04" w14:textId="41FF50EB" w:rsidR="000F7C87" w:rsidRPr="00606561" w:rsidRDefault="000F7C87" w:rsidP="000F7C87">
      <w:pPr>
        <w:spacing w:line="276" w:lineRule="auto"/>
        <w:rPr>
          <w:rFonts w:ascii="Arial" w:hAnsi="Arial" w:cs="Arial"/>
          <w:b/>
          <w:bCs/>
          <w:sz w:val="36"/>
          <w:szCs w:val="36"/>
        </w:rPr>
      </w:pPr>
      <w:r w:rsidRPr="00606561">
        <w:rPr>
          <w:rFonts w:ascii="Arial" w:hAnsi="Arial" w:cs="Arial"/>
          <w:noProof/>
        </w:rPr>
        <w:drawing>
          <wp:anchor distT="0" distB="0" distL="114300" distR="114300" simplePos="0" relativeHeight="251659264" behindDoc="0" locked="0" layoutInCell="1" allowOverlap="1" wp14:anchorId="3003AE76" wp14:editId="1848B5CB">
            <wp:simplePos x="0" y="0"/>
            <wp:positionH relativeFrom="column">
              <wp:posOffset>-312420</wp:posOffset>
            </wp:positionH>
            <wp:positionV relativeFrom="paragraph">
              <wp:posOffset>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FA8B034" w14:textId="77777777" w:rsidR="000F7C87" w:rsidRPr="00606561" w:rsidRDefault="000F7C87" w:rsidP="000F7C87">
      <w:pPr>
        <w:spacing w:line="276" w:lineRule="auto"/>
        <w:rPr>
          <w:rFonts w:ascii="Arial" w:hAnsi="Arial" w:cs="Arial"/>
          <w:b/>
          <w:bCs/>
          <w:sz w:val="36"/>
          <w:szCs w:val="36"/>
        </w:rPr>
      </w:pPr>
    </w:p>
    <w:p w14:paraId="257C73C3" w14:textId="77777777" w:rsidR="000F7C87" w:rsidRPr="00606561" w:rsidRDefault="000F7C87" w:rsidP="000F7C87">
      <w:pPr>
        <w:spacing w:line="276" w:lineRule="auto"/>
        <w:rPr>
          <w:rFonts w:ascii="Arial" w:hAnsi="Arial" w:cs="Arial"/>
          <w:b/>
          <w:bCs/>
          <w:sz w:val="36"/>
          <w:szCs w:val="36"/>
        </w:rPr>
      </w:pPr>
    </w:p>
    <w:p w14:paraId="3271D483" w14:textId="77777777" w:rsidR="000F7C87" w:rsidRPr="00606561" w:rsidRDefault="000F7C87" w:rsidP="000F7C87">
      <w:pPr>
        <w:spacing w:line="276" w:lineRule="auto"/>
        <w:rPr>
          <w:rFonts w:ascii="Arial" w:hAnsi="Arial" w:cs="Arial"/>
          <w:b/>
          <w:bCs/>
          <w:sz w:val="36"/>
          <w:szCs w:val="36"/>
        </w:rPr>
      </w:pPr>
    </w:p>
    <w:p w14:paraId="53F262CE" w14:textId="77777777" w:rsidR="000F7C87" w:rsidRPr="00606561" w:rsidRDefault="000F7C87" w:rsidP="000F7C87">
      <w:pPr>
        <w:spacing w:line="276" w:lineRule="auto"/>
        <w:jc w:val="center"/>
        <w:rPr>
          <w:rFonts w:ascii="Arial" w:hAnsi="Arial" w:cs="Arial"/>
          <w:b/>
          <w:bCs/>
          <w:sz w:val="36"/>
          <w:szCs w:val="36"/>
        </w:rPr>
      </w:pPr>
      <w:bookmarkStart w:id="0" w:name="_Hlk214092511"/>
      <w:r w:rsidRPr="00606561">
        <w:rPr>
          <w:rFonts w:ascii="Arial" w:hAnsi="Arial" w:cs="Arial"/>
          <w:b/>
          <w:bCs/>
          <w:sz w:val="36"/>
          <w:szCs w:val="36"/>
        </w:rPr>
        <w:t>UNIVERSITY OF WALES – TRINITY SAINT DAVID</w:t>
      </w:r>
    </w:p>
    <w:bookmarkEnd w:id="0"/>
    <w:p w14:paraId="3141FB4B" w14:textId="77777777" w:rsidR="000F7C87" w:rsidRPr="00606561" w:rsidRDefault="000F7C87" w:rsidP="000F7C87">
      <w:pPr>
        <w:spacing w:line="360" w:lineRule="auto"/>
        <w:jc w:val="center"/>
        <w:rPr>
          <w:rFonts w:ascii="Arial" w:hAnsi="Arial" w:cs="Arial"/>
          <w:b/>
          <w:bCs/>
          <w:sz w:val="32"/>
          <w:szCs w:val="32"/>
        </w:rPr>
      </w:pPr>
    </w:p>
    <w:p w14:paraId="4B523AB2" w14:textId="77777777" w:rsidR="000F7C87" w:rsidRPr="00606561" w:rsidRDefault="000F7C87" w:rsidP="000F7C87">
      <w:pPr>
        <w:spacing w:line="360" w:lineRule="auto"/>
        <w:jc w:val="center"/>
        <w:rPr>
          <w:rFonts w:ascii="Arial" w:hAnsi="Arial" w:cs="Arial"/>
          <w:b/>
          <w:bCs/>
          <w:sz w:val="32"/>
          <w:szCs w:val="32"/>
        </w:rPr>
      </w:pPr>
    </w:p>
    <w:p w14:paraId="2CA29F53" w14:textId="7E22B67E" w:rsidR="000F7C87" w:rsidRPr="00606561" w:rsidRDefault="000F7C87" w:rsidP="000F7C87">
      <w:pPr>
        <w:spacing w:line="360" w:lineRule="auto"/>
        <w:jc w:val="center"/>
        <w:rPr>
          <w:rFonts w:ascii="Arial" w:hAnsi="Arial" w:cs="Arial"/>
          <w:b/>
          <w:bCs/>
          <w:sz w:val="32"/>
          <w:szCs w:val="32"/>
        </w:rPr>
      </w:pPr>
      <w:r w:rsidRPr="00606561">
        <w:rPr>
          <w:rFonts w:ascii="Arial" w:hAnsi="Arial" w:cs="Arial"/>
          <w:b/>
          <w:bCs/>
          <w:sz w:val="32"/>
          <w:szCs w:val="32"/>
        </w:rPr>
        <w:t>LCLM500</w:t>
      </w:r>
      <w:r>
        <w:rPr>
          <w:rFonts w:ascii="Arial" w:hAnsi="Arial" w:cs="Arial"/>
          <w:b/>
          <w:bCs/>
          <w:sz w:val="32"/>
          <w:szCs w:val="32"/>
        </w:rPr>
        <w:t>5 ORGANISATIONAL CULTURE</w:t>
      </w:r>
    </w:p>
    <w:p w14:paraId="75C6F2C3" w14:textId="35C9286A" w:rsidR="000F7C87" w:rsidRDefault="000F7C87" w:rsidP="000F7C87">
      <w:pPr>
        <w:pStyle w:val="ListParagraph"/>
        <w:numPr>
          <w:ilvl w:val="0"/>
          <w:numId w:val="10"/>
        </w:numPr>
        <w:spacing w:line="360" w:lineRule="auto"/>
        <w:jc w:val="center"/>
        <w:rPr>
          <w:rFonts w:ascii="Arial" w:hAnsi="Arial" w:cs="Arial"/>
          <w:b/>
          <w:bCs/>
          <w:sz w:val="32"/>
          <w:szCs w:val="32"/>
        </w:rPr>
      </w:pPr>
      <w:r w:rsidRPr="000F7C87">
        <w:rPr>
          <w:rFonts w:ascii="Arial" w:hAnsi="Arial" w:cs="Arial"/>
          <w:b/>
          <w:bCs/>
          <w:sz w:val="32"/>
          <w:szCs w:val="32"/>
        </w:rPr>
        <w:t xml:space="preserve">Individual report </w:t>
      </w:r>
      <w:r>
        <w:rPr>
          <w:rFonts w:ascii="Arial" w:hAnsi="Arial" w:cs="Arial"/>
          <w:b/>
          <w:bCs/>
          <w:sz w:val="32"/>
          <w:szCs w:val="32"/>
        </w:rPr>
        <w:t>–</w:t>
      </w:r>
      <w:r w:rsidRPr="000F7C87">
        <w:rPr>
          <w:rFonts w:ascii="Arial" w:hAnsi="Arial" w:cs="Arial"/>
          <w:b/>
          <w:bCs/>
          <w:sz w:val="32"/>
          <w:szCs w:val="32"/>
        </w:rPr>
        <w:t xml:space="preserve"> </w:t>
      </w:r>
    </w:p>
    <w:p w14:paraId="1DCB7759" w14:textId="4638ABE0" w:rsidR="000F7C87" w:rsidRPr="000F7C87" w:rsidRDefault="000F7C87" w:rsidP="000F7C87">
      <w:pPr>
        <w:pStyle w:val="ListParagraph"/>
        <w:spacing w:line="360" w:lineRule="auto"/>
        <w:jc w:val="center"/>
        <w:rPr>
          <w:rFonts w:ascii="Arial" w:hAnsi="Arial" w:cs="Arial"/>
          <w:b/>
          <w:bCs/>
          <w:sz w:val="32"/>
          <w:szCs w:val="32"/>
        </w:rPr>
      </w:pPr>
      <w:r w:rsidRPr="000F7C87">
        <w:rPr>
          <w:rFonts w:ascii="Arial" w:hAnsi="Arial" w:cs="Arial"/>
          <w:b/>
          <w:bCs/>
          <w:sz w:val="32"/>
          <w:szCs w:val="32"/>
        </w:rPr>
        <w:t>Organisational Culture and Its Influence on Structure and Decision-Making: The Case of Toyota</w:t>
      </w:r>
    </w:p>
    <w:p w14:paraId="403B45AB" w14:textId="77777777" w:rsidR="000F7C87" w:rsidRDefault="000F7C87" w:rsidP="000F7C87">
      <w:pPr>
        <w:spacing w:line="276" w:lineRule="auto"/>
        <w:rPr>
          <w:rFonts w:ascii="Arial" w:hAnsi="Arial" w:cs="Arial"/>
          <w:b/>
          <w:bCs/>
          <w:sz w:val="48"/>
          <w:szCs w:val="48"/>
        </w:rPr>
      </w:pPr>
    </w:p>
    <w:p w14:paraId="263E3740" w14:textId="77777777" w:rsidR="005501D3" w:rsidRPr="00606561" w:rsidRDefault="005501D3" w:rsidP="000F7C87">
      <w:pPr>
        <w:spacing w:line="276" w:lineRule="auto"/>
        <w:rPr>
          <w:rFonts w:ascii="Arial" w:hAnsi="Arial" w:cs="Arial"/>
          <w:b/>
          <w:bCs/>
          <w:sz w:val="48"/>
          <w:szCs w:val="48"/>
        </w:rPr>
      </w:pPr>
    </w:p>
    <w:p w14:paraId="3CEC88CA" w14:textId="77777777" w:rsidR="000F7C87" w:rsidRPr="00606561" w:rsidRDefault="000F7C87" w:rsidP="000F7C87">
      <w:pPr>
        <w:spacing w:line="360" w:lineRule="auto"/>
        <w:jc w:val="center"/>
        <w:rPr>
          <w:rFonts w:ascii="Arial" w:hAnsi="Arial" w:cs="Arial"/>
          <w:b/>
          <w:bCs/>
          <w:sz w:val="32"/>
          <w:szCs w:val="32"/>
        </w:rPr>
      </w:pPr>
    </w:p>
    <w:p w14:paraId="594874CA" w14:textId="77777777" w:rsidR="000F7C87" w:rsidRPr="00606561" w:rsidRDefault="000F7C87" w:rsidP="000F7C87">
      <w:pPr>
        <w:pStyle w:val="NoSpacing"/>
        <w:spacing w:line="360" w:lineRule="auto"/>
        <w:jc w:val="right"/>
        <w:rPr>
          <w:rFonts w:ascii="Arial" w:hAnsi="Arial" w:cs="Arial"/>
          <w:sz w:val="32"/>
          <w:szCs w:val="32"/>
        </w:rPr>
      </w:pPr>
      <w:r w:rsidRPr="00606561">
        <w:rPr>
          <w:rFonts w:ascii="Arial" w:hAnsi="Arial" w:cs="Arial"/>
          <w:b/>
          <w:bCs/>
          <w:sz w:val="32"/>
          <w:szCs w:val="32"/>
        </w:rPr>
        <w:t xml:space="preserve">Student name: </w:t>
      </w:r>
      <w:r w:rsidRPr="00606561">
        <w:rPr>
          <w:rFonts w:ascii="Arial" w:hAnsi="Arial" w:cs="Arial"/>
          <w:sz w:val="32"/>
          <w:szCs w:val="32"/>
        </w:rPr>
        <w:t>Alexandru Constantin Popa</w:t>
      </w:r>
    </w:p>
    <w:p w14:paraId="4BB54731" w14:textId="77777777" w:rsidR="000F7C87" w:rsidRPr="00606561" w:rsidRDefault="000F7C87" w:rsidP="000F7C87">
      <w:pPr>
        <w:pStyle w:val="NoSpacing"/>
        <w:spacing w:line="360" w:lineRule="auto"/>
        <w:jc w:val="right"/>
        <w:rPr>
          <w:rFonts w:ascii="Arial" w:hAnsi="Arial" w:cs="Arial"/>
          <w:b/>
          <w:bCs/>
          <w:sz w:val="32"/>
          <w:szCs w:val="32"/>
        </w:rPr>
      </w:pPr>
      <w:r w:rsidRPr="00606561">
        <w:rPr>
          <w:rFonts w:ascii="Arial" w:hAnsi="Arial" w:cs="Arial"/>
          <w:b/>
          <w:bCs/>
          <w:sz w:val="32"/>
          <w:szCs w:val="32"/>
        </w:rPr>
        <w:t xml:space="preserve">Student id: </w:t>
      </w:r>
      <w:r w:rsidRPr="00606561">
        <w:rPr>
          <w:rFonts w:ascii="Arial" w:hAnsi="Arial" w:cs="Arial"/>
          <w:sz w:val="32"/>
          <w:szCs w:val="32"/>
        </w:rPr>
        <w:t>2332748</w:t>
      </w:r>
    </w:p>
    <w:p w14:paraId="04790C87" w14:textId="074DA5AE" w:rsidR="000F7C87" w:rsidRDefault="000F7C87" w:rsidP="000F7C87">
      <w:pPr>
        <w:pStyle w:val="NoSpacing"/>
        <w:spacing w:line="360" w:lineRule="auto"/>
        <w:jc w:val="right"/>
        <w:rPr>
          <w:rFonts w:ascii="Arial" w:hAnsi="Arial" w:cs="Arial"/>
          <w:sz w:val="32"/>
          <w:szCs w:val="32"/>
        </w:rPr>
      </w:pPr>
      <w:r w:rsidRPr="00606561">
        <w:rPr>
          <w:rFonts w:ascii="Arial" w:hAnsi="Arial" w:cs="Arial"/>
          <w:b/>
          <w:bCs/>
          <w:sz w:val="32"/>
          <w:szCs w:val="32"/>
        </w:rPr>
        <w:t xml:space="preserve">Lecturer’s Name: </w:t>
      </w:r>
      <w:r>
        <w:rPr>
          <w:rFonts w:ascii="Arial" w:hAnsi="Arial" w:cs="Arial"/>
          <w:sz w:val="32"/>
          <w:szCs w:val="32"/>
        </w:rPr>
        <w:t>David Oyebisi</w:t>
      </w:r>
    </w:p>
    <w:p w14:paraId="554C94F2" w14:textId="75FAF874" w:rsidR="005501D3" w:rsidRDefault="005501D3">
      <w:pPr>
        <w:rPr>
          <w:rFonts w:ascii="Arial" w:hAnsi="Arial" w:cs="Arial"/>
          <w:sz w:val="32"/>
          <w:szCs w:val="32"/>
        </w:rPr>
      </w:pPr>
      <w:r>
        <w:rPr>
          <w:rFonts w:ascii="Arial" w:hAnsi="Arial" w:cs="Arial"/>
          <w:sz w:val="32"/>
          <w:szCs w:val="32"/>
        </w:rPr>
        <w:br w:type="page"/>
      </w:r>
    </w:p>
    <w:p w14:paraId="381A739A" w14:textId="77777777" w:rsidR="005501D3" w:rsidRPr="00606561" w:rsidRDefault="005501D3" w:rsidP="005501D3">
      <w:pPr>
        <w:pStyle w:val="NoSpacing"/>
        <w:spacing w:line="360" w:lineRule="auto"/>
        <w:rPr>
          <w:rFonts w:ascii="Arial" w:hAnsi="Arial" w:cs="Arial"/>
          <w:b/>
          <w:bCs/>
          <w:kern w:val="36"/>
          <w:sz w:val="32"/>
          <w:szCs w:val="32"/>
        </w:rPr>
      </w:pPr>
    </w:p>
    <w:sdt>
      <w:sdtPr>
        <w:id w:val="-1121297475"/>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5DFD1892" w14:textId="4DBCC9C7" w:rsidR="005501D3" w:rsidRDefault="005501D3">
          <w:pPr>
            <w:pStyle w:val="TOCHeading"/>
          </w:pPr>
          <w:r>
            <w:t>Contents</w:t>
          </w:r>
        </w:p>
        <w:p w14:paraId="0A796FAF" w14:textId="4663193C" w:rsidR="005501D3" w:rsidRDefault="005501D3">
          <w:pPr>
            <w:pStyle w:val="TOC1"/>
            <w:tabs>
              <w:tab w:val="right" w:leader="dot" w:pos="9350"/>
            </w:tabs>
            <w:rPr>
              <w:noProof/>
            </w:rPr>
          </w:pPr>
          <w:r>
            <w:fldChar w:fldCharType="begin"/>
          </w:r>
          <w:r>
            <w:instrText xml:space="preserve"> TOC \o "1-3" \h \z \u </w:instrText>
          </w:r>
          <w:r>
            <w:fldChar w:fldCharType="separate"/>
          </w:r>
          <w:hyperlink w:anchor="_Toc224332883" w:history="1">
            <w:r w:rsidRPr="00065FAF">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_Toc224332883 \h </w:instrText>
            </w:r>
            <w:r>
              <w:rPr>
                <w:noProof/>
                <w:webHidden/>
              </w:rPr>
            </w:r>
            <w:r>
              <w:rPr>
                <w:noProof/>
                <w:webHidden/>
              </w:rPr>
              <w:fldChar w:fldCharType="separate"/>
            </w:r>
            <w:r>
              <w:rPr>
                <w:noProof/>
                <w:webHidden/>
              </w:rPr>
              <w:t>2</w:t>
            </w:r>
            <w:r>
              <w:rPr>
                <w:noProof/>
                <w:webHidden/>
              </w:rPr>
              <w:fldChar w:fldCharType="end"/>
            </w:r>
          </w:hyperlink>
        </w:p>
        <w:p w14:paraId="6FBE50C2" w14:textId="4613A5F0" w:rsidR="005501D3" w:rsidRDefault="005501D3">
          <w:pPr>
            <w:pStyle w:val="TOC1"/>
            <w:tabs>
              <w:tab w:val="right" w:leader="dot" w:pos="9350"/>
            </w:tabs>
            <w:rPr>
              <w:noProof/>
            </w:rPr>
          </w:pPr>
          <w:hyperlink w:anchor="_Toc224332884" w:history="1">
            <w:r w:rsidRPr="00065FAF">
              <w:rPr>
                <w:rStyle w:val="Hyperlink"/>
                <w:rFonts w:ascii="Times New Roman" w:hAnsi="Times New Roman" w:cs="Times New Roman"/>
                <w:noProof/>
              </w:rPr>
              <w:t>2. Company Overview</w:t>
            </w:r>
            <w:r>
              <w:rPr>
                <w:noProof/>
                <w:webHidden/>
              </w:rPr>
              <w:tab/>
            </w:r>
            <w:r>
              <w:rPr>
                <w:noProof/>
                <w:webHidden/>
              </w:rPr>
              <w:fldChar w:fldCharType="begin"/>
            </w:r>
            <w:r>
              <w:rPr>
                <w:noProof/>
                <w:webHidden/>
              </w:rPr>
              <w:instrText xml:space="preserve"> PAGEREF _Toc224332884 \h </w:instrText>
            </w:r>
            <w:r>
              <w:rPr>
                <w:noProof/>
                <w:webHidden/>
              </w:rPr>
            </w:r>
            <w:r>
              <w:rPr>
                <w:noProof/>
                <w:webHidden/>
              </w:rPr>
              <w:fldChar w:fldCharType="separate"/>
            </w:r>
            <w:r>
              <w:rPr>
                <w:noProof/>
                <w:webHidden/>
              </w:rPr>
              <w:t>3</w:t>
            </w:r>
            <w:r>
              <w:rPr>
                <w:noProof/>
                <w:webHidden/>
              </w:rPr>
              <w:fldChar w:fldCharType="end"/>
            </w:r>
          </w:hyperlink>
        </w:p>
        <w:p w14:paraId="732D078D" w14:textId="59ABF3A1" w:rsidR="005501D3" w:rsidRDefault="005501D3">
          <w:pPr>
            <w:pStyle w:val="TOC1"/>
            <w:tabs>
              <w:tab w:val="right" w:leader="dot" w:pos="9350"/>
            </w:tabs>
            <w:rPr>
              <w:noProof/>
            </w:rPr>
          </w:pPr>
          <w:hyperlink w:anchor="_Toc224332885" w:history="1">
            <w:r w:rsidRPr="00065FAF">
              <w:rPr>
                <w:rStyle w:val="Hyperlink"/>
                <w:rFonts w:ascii="Times New Roman" w:hAnsi="Times New Roman" w:cs="Times New Roman"/>
                <w:noProof/>
              </w:rPr>
              <w:t>3. Organisational Culture at Toyota</w:t>
            </w:r>
            <w:r>
              <w:rPr>
                <w:noProof/>
                <w:webHidden/>
              </w:rPr>
              <w:tab/>
            </w:r>
            <w:r>
              <w:rPr>
                <w:noProof/>
                <w:webHidden/>
              </w:rPr>
              <w:fldChar w:fldCharType="begin"/>
            </w:r>
            <w:r>
              <w:rPr>
                <w:noProof/>
                <w:webHidden/>
              </w:rPr>
              <w:instrText xml:space="preserve"> PAGEREF _Toc224332885 \h </w:instrText>
            </w:r>
            <w:r>
              <w:rPr>
                <w:noProof/>
                <w:webHidden/>
              </w:rPr>
            </w:r>
            <w:r>
              <w:rPr>
                <w:noProof/>
                <w:webHidden/>
              </w:rPr>
              <w:fldChar w:fldCharType="separate"/>
            </w:r>
            <w:r>
              <w:rPr>
                <w:noProof/>
                <w:webHidden/>
              </w:rPr>
              <w:t>4</w:t>
            </w:r>
            <w:r>
              <w:rPr>
                <w:noProof/>
                <w:webHidden/>
              </w:rPr>
              <w:fldChar w:fldCharType="end"/>
            </w:r>
          </w:hyperlink>
        </w:p>
        <w:p w14:paraId="2187ADC7" w14:textId="2073D27E" w:rsidR="005501D3" w:rsidRDefault="005501D3">
          <w:pPr>
            <w:pStyle w:val="TOC1"/>
            <w:tabs>
              <w:tab w:val="right" w:leader="dot" w:pos="9350"/>
            </w:tabs>
            <w:rPr>
              <w:noProof/>
            </w:rPr>
          </w:pPr>
          <w:hyperlink w:anchor="_Toc224332886" w:history="1">
            <w:r w:rsidRPr="00065FAF">
              <w:rPr>
                <w:rStyle w:val="Hyperlink"/>
                <w:rFonts w:ascii="Times New Roman" w:hAnsi="Times New Roman" w:cs="Times New Roman"/>
                <w:noProof/>
              </w:rPr>
              <w:t>4. Cultural Frameworks Applied to Toyota</w:t>
            </w:r>
            <w:r>
              <w:rPr>
                <w:noProof/>
                <w:webHidden/>
              </w:rPr>
              <w:tab/>
            </w:r>
            <w:r>
              <w:rPr>
                <w:noProof/>
                <w:webHidden/>
              </w:rPr>
              <w:fldChar w:fldCharType="begin"/>
            </w:r>
            <w:r>
              <w:rPr>
                <w:noProof/>
                <w:webHidden/>
              </w:rPr>
              <w:instrText xml:space="preserve"> PAGEREF _Toc224332886 \h </w:instrText>
            </w:r>
            <w:r>
              <w:rPr>
                <w:noProof/>
                <w:webHidden/>
              </w:rPr>
            </w:r>
            <w:r>
              <w:rPr>
                <w:noProof/>
                <w:webHidden/>
              </w:rPr>
              <w:fldChar w:fldCharType="separate"/>
            </w:r>
            <w:r>
              <w:rPr>
                <w:noProof/>
                <w:webHidden/>
              </w:rPr>
              <w:t>4</w:t>
            </w:r>
            <w:r>
              <w:rPr>
                <w:noProof/>
                <w:webHidden/>
              </w:rPr>
              <w:fldChar w:fldCharType="end"/>
            </w:r>
          </w:hyperlink>
        </w:p>
        <w:p w14:paraId="6D226104" w14:textId="55B4F1B9" w:rsidR="005501D3" w:rsidRDefault="005501D3">
          <w:pPr>
            <w:pStyle w:val="TOC2"/>
            <w:tabs>
              <w:tab w:val="right" w:leader="dot" w:pos="9350"/>
            </w:tabs>
            <w:rPr>
              <w:noProof/>
            </w:rPr>
          </w:pPr>
          <w:hyperlink w:anchor="_Toc224332887" w:history="1">
            <w:r w:rsidRPr="00065FAF">
              <w:rPr>
                <w:rStyle w:val="Hyperlink"/>
                <w:rFonts w:ascii="Times New Roman" w:hAnsi="Times New Roman" w:cs="Times New Roman"/>
                <w:noProof/>
              </w:rPr>
              <w:t>4.1 Schein’s Model of Organisational Culture</w:t>
            </w:r>
            <w:r>
              <w:rPr>
                <w:noProof/>
                <w:webHidden/>
              </w:rPr>
              <w:tab/>
            </w:r>
            <w:r>
              <w:rPr>
                <w:noProof/>
                <w:webHidden/>
              </w:rPr>
              <w:fldChar w:fldCharType="begin"/>
            </w:r>
            <w:r>
              <w:rPr>
                <w:noProof/>
                <w:webHidden/>
              </w:rPr>
              <w:instrText xml:space="preserve"> PAGEREF _Toc224332887 \h </w:instrText>
            </w:r>
            <w:r>
              <w:rPr>
                <w:noProof/>
                <w:webHidden/>
              </w:rPr>
            </w:r>
            <w:r>
              <w:rPr>
                <w:noProof/>
                <w:webHidden/>
              </w:rPr>
              <w:fldChar w:fldCharType="separate"/>
            </w:r>
            <w:r>
              <w:rPr>
                <w:noProof/>
                <w:webHidden/>
              </w:rPr>
              <w:t>5</w:t>
            </w:r>
            <w:r>
              <w:rPr>
                <w:noProof/>
                <w:webHidden/>
              </w:rPr>
              <w:fldChar w:fldCharType="end"/>
            </w:r>
          </w:hyperlink>
        </w:p>
        <w:p w14:paraId="5AF0B95B" w14:textId="32569319" w:rsidR="005501D3" w:rsidRDefault="005501D3">
          <w:pPr>
            <w:pStyle w:val="TOC2"/>
            <w:tabs>
              <w:tab w:val="right" w:leader="dot" w:pos="9350"/>
            </w:tabs>
            <w:rPr>
              <w:noProof/>
            </w:rPr>
          </w:pPr>
          <w:hyperlink w:anchor="_Toc224332888" w:history="1">
            <w:r w:rsidRPr="00065FAF">
              <w:rPr>
                <w:rStyle w:val="Hyperlink"/>
                <w:rFonts w:ascii="Times New Roman" w:hAnsi="Times New Roman" w:cs="Times New Roman"/>
                <w:noProof/>
              </w:rPr>
              <w:t>4.2 Hofstede's Cultural Dimensions</w:t>
            </w:r>
            <w:r>
              <w:rPr>
                <w:noProof/>
                <w:webHidden/>
              </w:rPr>
              <w:tab/>
            </w:r>
            <w:r>
              <w:rPr>
                <w:noProof/>
                <w:webHidden/>
              </w:rPr>
              <w:fldChar w:fldCharType="begin"/>
            </w:r>
            <w:r>
              <w:rPr>
                <w:noProof/>
                <w:webHidden/>
              </w:rPr>
              <w:instrText xml:space="preserve"> PAGEREF _Toc224332888 \h </w:instrText>
            </w:r>
            <w:r>
              <w:rPr>
                <w:noProof/>
                <w:webHidden/>
              </w:rPr>
            </w:r>
            <w:r>
              <w:rPr>
                <w:noProof/>
                <w:webHidden/>
              </w:rPr>
              <w:fldChar w:fldCharType="separate"/>
            </w:r>
            <w:r>
              <w:rPr>
                <w:noProof/>
                <w:webHidden/>
              </w:rPr>
              <w:t>5</w:t>
            </w:r>
            <w:r>
              <w:rPr>
                <w:noProof/>
                <w:webHidden/>
              </w:rPr>
              <w:fldChar w:fldCharType="end"/>
            </w:r>
          </w:hyperlink>
        </w:p>
        <w:p w14:paraId="6003CF45" w14:textId="00653F28" w:rsidR="005501D3" w:rsidRDefault="005501D3">
          <w:pPr>
            <w:pStyle w:val="TOC2"/>
            <w:tabs>
              <w:tab w:val="right" w:leader="dot" w:pos="9350"/>
            </w:tabs>
            <w:rPr>
              <w:noProof/>
            </w:rPr>
          </w:pPr>
          <w:hyperlink w:anchor="_Toc224332889" w:history="1">
            <w:r w:rsidRPr="00065FAF">
              <w:rPr>
                <w:rStyle w:val="Hyperlink"/>
                <w:rFonts w:ascii="Times New Roman" w:hAnsi="Times New Roman" w:cs="Times New Roman"/>
                <w:noProof/>
              </w:rPr>
              <w:t>4.3 Competing Values Framework</w:t>
            </w:r>
            <w:r>
              <w:rPr>
                <w:noProof/>
                <w:webHidden/>
              </w:rPr>
              <w:tab/>
            </w:r>
            <w:r>
              <w:rPr>
                <w:noProof/>
                <w:webHidden/>
              </w:rPr>
              <w:fldChar w:fldCharType="begin"/>
            </w:r>
            <w:r>
              <w:rPr>
                <w:noProof/>
                <w:webHidden/>
              </w:rPr>
              <w:instrText xml:space="preserve"> PAGEREF _Toc224332889 \h </w:instrText>
            </w:r>
            <w:r>
              <w:rPr>
                <w:noProof/>
                <w:webHidden/>
              </w:rPr>
            </w:r>
            <w:r>
              <w:rPr>
                <w:noProof/>
                <w:webHidden/>
              </w:rPr>
              <w:fldChar w:fldCharType="separate"/>
            </w:r>
            <w:r>
              <w:rPr>
                <w:noProof/>
                <w:webHidden/>
              </w:rPr>
              <w:t>6</w:t>
            </w:r>
            <w:r>
              <w:rPr>
                <w:noProof/>
                <w:webHidden/>
              </w:rPr>
              <w:fldChar w:fldCharType="end"/>
            </w:r>
          </w:hyperlink>
        </w:p>
        <w:p w14:paraId="0D336389" w14:textId="482B350E" w:rsidR="005501D3" w:rsidRDefault="005501D3">
          <w:pPr>
            <w:pStyle w:val="TOC1"/>
            <w:tabs>
              <w:tab w:val="right" w:leader="dot" w:pos="9350"/>
            </w:tabs>
            <w:rPr>
              <w:noProof/>
            </w:rPr>
          </w:pPr>
          <w:hyperlink w:anchor="_Toc224332890" w:history="1">
            <w:r w:rsidRPr="00065FAF">
              <w:rPr>
                <w:rStyle w:val="Hyperlink"/>
                <w:rFonts w:ascii="Times New Roman" w:hAnsi="Times New Roman" w:cs="Times New Roman"/>
                <w:noProof/>
              </w:rPr>
              <w:t>5. Influence of Culture on Organisational Structure</w:t>
            </w:r>
            <w:r>
              <w:rPr>
                <w:noProof/>
                <w:webHidden/>
              </w:rPr>
              <w:tab/>
            </w:r>
            <w:r>
              <w:rPr>
                <w:noProof/>
                <w:webHidden/>
              </w:rPr>
              <w:fldChar w:fldCharType="begin"/>
            </w:r>
            <w:r>
              <w:rPr>
                <w:noProof/>
                <w:webHidden/>
              </w:rPr>
              <w:instrText xml:space="preserve"> PAGEREF _Toc224332890 \h </w:instrText>
            </w:r>
            <w:r>
              <w:rPr>
                <w:noProof/>
                <w:webHidden/>
              </w:rPr>
            </w:r>
            <w:r>
              <w:rPr>
                <w:noProof/>
                <w:webHidden/>
              </w:rPr>
              <w:fldChar w:fldCharType="separate"/>
            </w:r>
            <w:r>
              <w:rPr>
                <w:noProof/>
                <w:webHidden/>
              </w:rPr>
              <w:t>7</w:t>
            </w:r>
            <w:r>
              <w:rPr>
                <w:noProof/>
                <w:webHidden/>
              </w:rPr>
              <w:fldChar w:fldCharType="end"/>
            </w:r>
          </w:hyperlink>
        </w:p>
        <w:p w14:paraId="077E2D9A" w14:textId="4144AC08" w:rsidR="005501D3" w:rsidRDefault="005501D3">
          <w:pPr>
            <w:pStyle w:val="TOC1"/>
            <w:tabs>
              <w:tab w:val="right" w:leader="dot" w:pos="9350"/>
            </w:tabs>
            <w:rPr>
              <w:noProof/>
            </w:rPr>
          </w:pPr>
          <w:hyperlink w:anchor="_Toc224332891" w:history="1">
            <w:r w:rsidRPr="00065FAF">
              <w:rPr>
                <w:rStyle w:val="Hyperlink"/>
                <w:rFonts w:ascii="Times New Roman" w:hAnsi="Times New Roman" w:cs="Times New Roman"/>
                <w:noProof/>
              </w:rPr>
              <w:t>6. Culture and Decision-Making</w:t>
            </w:r>
            <w:r>
              <w:rPr>
                <w:noProof/>
                <w:webHidden/>
              </w:rPr>
              <w:tab/>
            </w:r>
            <w:r>
              <w:rPr>
                <w:noProof/>
                <w:webHidden/>
              </w:rPr>
              <w:fldChar w:fldCharType="begin"/>
            </w:r>
            <w:r>
              <w:rPr>
                <w:noProof/>
                <w:webHidden/>
              </w:rPr>
              <w:instrText xml:space="preserve"> PAGEREF _Toc224332891 \h </w:instrText>
            </w:r>
            <w:r>
              <w:rPr>
                <w:noProof/>
                <w:webHidden/>
              </w:rPr>
            </w:r>
            <w:r>
              <w:rPr>
                <w:noProof/>
                <w:webHidden/>
              </w:rPr>
              <w:fldChar w:fldCharType="separate"/>
            </w:r>
            <w:r>
              <w:rPr>
                <w:noProof/>
                <w:webHidden/>
              </w:rPr>
              <w:t>8</w:t>
            </w:r>
            <w:r>
              <w:rPr>
                <w:noProof/>
                <w:webHidden/>
              </w:rPr>
              <w:fldChar w:fldCharType="end"/>
            </w:r>
          </w:hyperlink>
        </w:p>
        <w:p w14:paraId="0EA83495" w14:textId="49046F4D" w:rsidR="005501D3" w:rsidRDefault="005501D3">
          <w:pPr>
            <w:pStyle w:val="TOC1"/>
            <w:tabs>
              <w:tab w:val="right" w:leader="dot" w:pos="9350"/>
            </w:tabs>
            <w:rPr>
              <w:noProof/>
            </w:rPr>
          </w:pPr>
          <w:hyperlink w:anchor="_Toc224332892" w:history="1">
            <w:r w:rsidRPr="00065FAF">
              <w:rPr>
                <w:rStyle w:val="Hyperlink"/>
                <w:rFonts w:ascii="Times New Roman" w:hAnsi="Times New Roman" w:cs="Times New Roman"/>
                <w:noProof/>
              </w:rPr>
              <w:t>7. External Environment Analysis (PESTLE)</w:t>
            </w:r>
            <w:r>
              <w:rPr>
                <w:noProof/>
                <w:webHidden/>
              </w:rPr>
              <w:tab/>
            </w:r>
            <w:r>
              <w:rPr>
                <w:noProof/>
                <w:webHidden/>
              </w:rPr>
              <w:fldChar w:fldCharType="begin"/>
            </w:r>
            <w:r>
              <w:rPr>
                <w:noProof/>
                <w:webHidden/>
              </w:rPr>
              <w:instrText xml:space="preserve"> PAGEREF _Toc224332892 \h </w:instrText>
            </w:r>
            <w:r>
              <w:rPr>
                <w:noProof/>
                <w:webHidden/>
              </w:rPr>
            </w:r>
            <w:r>
              <w:rPr>
                <w:noProof/>
                <w:webHidden/>
              </w:rPr>
              <w:fldChar w:fldCharType="separate"/>
            </w:r>
            <w:r>
              <w:rPr>
                <w:noProof/>
                <w:webHidden/>
              </w:rPr>
              <w:t>9</w:t>
            </w:r>
            <w:r>
              <w:rPr>
                <w:noProof/>
                <w:webHidden/>
              </w:rPr>
              <w:fldChar w:fldCharType="end"/>
            </w:r>
          </w:hyperlink>
        </w:p>
        <w:p w14:paraId="65F5DE1E" w14:textId="7FD45374" w:rsidR="005501D3" w:rsidRDefault="005501D3">
          <w:pPr>
            <w:pStyle w:val="TOC1"/>
            <w:tabs>
              <w:tab w:val="right" w:leader="dot" w:pos="9350"/>
            </w:tabs>
            <w:rPr>
              <w:noProof/>
            </w:rPr>
          </w:pPr>
          <w:hyperlink w:anchor="_Toc224332893" w:history="1">
            <w:r w:rsidRPr="00065FAF">
              <w:rPr>
                <w:rStyle w:val="Hyperlink"/>
                <w:rFonts w:ascii="Times New Roman" w:hAnsi="Times New Roman" w:cs="Times New Roman"/>
                <w:noProof/>
              </w:rPr>
              <w:t>8. Culture as Barrier and Enabler — A Critical Assessment</w:t>
            </w:r>
            <w:r>
              <w:rPr>
                <w:noProof/>
                <w:webHidden/>
              </w:rPr>
              <w:tab/>
            </w:r>
            <w:r>
              <w:rPr>
                <w:noProof/>
                <w:webHidden/>
              </w:rPr>
              <w:fldChar w:fldCharType="begin"/>
            </w:r>
            <w:r>
              <w:rPr>
                <w:noProof/>
                <w:webHidden/>
              </w:rPr>
              <w:instrText xml:space="preserve"> PAGEREF _Toc224332893 \h </w:instrText>
            </w:r>
            <w:r>
              <w:rPr>
                <w:noProof/>
                <w:webHidden/>
              </w:rPr>
            </w:r>
            <w:r>
              <w:rPr>
                <w:noProof/>
                <w:webHidden/>
              </w:rPr>
              <w:fldChar w:fldCharType="separate"/>
            </w:r>
            <w:r>
              <w:rPr>
                <w:noProof/>
                <w:webHidden/>
              </w:rPr>
              <w:t>9</w:t>
            </w:r>
            <w:r>
              <w:rPr>
                <w:noProof/>
                <w:webHidden/>
              </w:rPr>
              <w:fldChar w:fldCharType="end"/>
            </w:r>
          </w:hyperlink>
        </w:p>
        <w:p w14:paraId="24570243" w14:textId="04BCDA82" w:rsidR="005501D3" w:rsidRDefault="005501D3">
          <w:pPr>
            <w:pStyle w:val="TOC1"/>
            <w:tabs>
              <w:tab w:val="right" w:leader="dot" w:pos="9350"/>
            </w:tabs>
            <w:rPr>
              <w:noProof/>
            </w:rPr>
          </w:pPr>
          <w:hyperlink w:anchor="_Toc224332894" w:history="1">
            <w:r w:rsidRPr="00065FAF">
              <w:rPr>
                <w:rStyle w:val="Hyperlink"/>
                <w:rFonts w:ascii="Times New Roman" w:hAnsi="Times New Roman" w:cs="Times New Roman"/>
                <w:noProof/>
              </w:rPr>
              <w:t>9. Impact of Organisational Culture on Performance</w:t>
            </w:r>
            <w:r>
              <w:rPr>
                <w:noProof/>
                <w:webHidden/>
              </w:rPr>
              <w:tab/>
            </w:r>
            <w:r>
              <w:rPr>
                <w:noProof/>
                <w:webHidden/>
              </w:rPr>
              <w:fldChar w:fldCharType="begin"/>
            </w:r>
            <w:r>
              <w:rPr>
                <w:noProof/>
                <w:webHidden/>
              </w:rPr>
              <w:instrText xml:space="preserve"> PAGEREF _Toc224332894 \h </w:instrText>
            </w:r>
            <w:r>
              <w:rPr>
                <w:noProof/>
                <w:webHidden/>
              </w:rPr>
            </w:r>
            <w:r>
              <w:rPr>
                <w:noProof/>
                <w:webHidden/>
              </w:rPr>
              <w:fldChar w:fldCharType="separate"/>
            </w:r>
            <w:r>
              <w:rPr>
                <w:noProof/>
                <w:webHidden/>
              </w:rPr>
              <w:t>10</w:t>
            </w:r>
            <w:r>
              <w:rPr>
                <w:noProof/>
                <w:webHidden/>
              </w:rPr>
              <w:fldChar w:fldCharType="end"/>
            </w:r>
          </w:hyperlink>
        </w:p>
        <w:p w14:paraId="38FE8441" w14:textId="08BD415E" w:rsidR="005501D3" w:rsidRDefault="005501D3">
          <w:pPr>
            <w:pStyle w:val="TOC1"/>
            <w:tabs>
              <w:tab w:val="right" w:leader="dot" w:pos="9350"/>
            </w:tabs>
            <w:rPr>
              <w:noProof/>
            </w:rPr>
          </w:pPr>
          <w:hyperlink w:anchor="_Toc224332895" w:history="1">
            <w:r w:rsidRPr="00065FAF">
              <w:rPr>
                <w:rStyle w:val="Hyperlink"/>
                <w:rFonts w:ascii="Times New Roman" w:hAnsi="Times New Roman" w:cs="Times New Roman"/>
                <w:noProof/>
              </w:rPr>
              <w:t>10. Recommendations</w:t>
            </w:r>
            <w:r>
              <w:rPr>
                <w:noProof/>
                <w:webHidden/>
              </w:rPr>
              <w:tab/>
            </w:r>
            <w:r>
              <w:rPr>
                <w:noProof/>
                <w:webHidden/>
              </w:rPr>
              <w:fldChar w:fldCharType="begin"/>
            </w:r>
            <w:r>
              <w:rPr>
                <w:noProof/>
                <w:webHidden/>
              </w:rPr>
              <w:instrText xml:space="preserve"> PAGEREF _Toc224332895 \h </w:instrText>
            </w:r>
            <w:r>
              <w:rPr>
                <w:noProof/>
                <w:webHidden/>
              </w:rPr>
            </w:r>
            <w:r>
              <w:rPr>
                <w:noProof/>
                <w:webHidden/>
              </w:rPr>
              <w:fldChar w:fldCharType="separate"/>
            </w:r>
            <w:r>
              <w:rPr>
                <w:noProof/>
                <w:webHidden/>
              </w:rPr>
              <w:t>11</w:t>
            </w:r>
            <w:r>
              <w:rPr>
                <w:noProof/>
                <w:webHidden/>
              </w:rPr>
              <w:fldChar w:fldCharType="end"/>
            </w:r>
          </w:hyperlink>
        </w:p>
        <w:p w14:paraId="17248922" w14:textId="01E63E54" w:rsidR="005501D3" w:rsidRDefault="005501D3">
          <w:pPr>
            <w:pStyle w:val="TOC1"/>
            <w:tabs>
              <w:tab w:val="right" w:leader="dot" w:pos="9350"/>
            </w:tabs>
            <w:rPr>
              <w:noProof/>
            </w:rPr>
          </w:pPr>
          <w:hyperlink w:anchor="_Toc224332896" w:history="1">
            <w:r w:rsidRPr="00065FAF">
              <w:rPr>
                <w:rStyle w:val="Hyperlink"/>
                <w:rFonts w:ascii="Times New Roman" w:hAnsi="Times New Roman" w:cs="Times New Roman"/>
                <w:noProof/>
              </w:rPr>
              <w:t>11. Conclusion</w:t>
            </w:r>
            <w:r>
              <w:rPr>
                <w:noProof/>
                <w:webHidden/>
              </w:rPr>
              <w:tab/>
            </w:r>
            <w:r>
              <w:rPr>
                <w:noProof/>
                <w:webHidden/>
              </w:rPr>
              <w:fldChar w:fldCharType="begin"/>
            </w:r>
            <w:r>
              <w:rPr>
                <w:noProof/>
                <w:webHidden/>
              </w:rPr>
              <w:instrText xml:space="preserve"> PAGEREF _Toc224332896 \h </w:instrText>
            </w:r>
            <w:r>
              <w:rPr>
                <w:noProof/>
                <w:webHidden/>
              </w:rPr>
            </w:r>
            <w:r>
              <w:rPr>
                <w:noProof/>
                <w:webHidden/>
              </w:rPr>
              <w:fldChar w:fldCharType="separate"/>
            </w:r>
            <w:r>
              <w:rPr>
                <w:noProof/>
                <w:webHidden/>
              </w:rPr>
              <w:t>11</w:t>
            </w:r>
            <w:r>
              <w:rPr>
                <w:noProof/>
                <w:webHidden/>
              </w:rPr>
              <w:fldChar w:fldCharType="end"/>
            </w:r>
          </w:hyperlink>
        </w:p>
        <w:p w14:paraId="6FAD96D2" w14:textId="6E5245A1" w:rsidR="005501D3" w:rsidRDefault="005501D3">
          <w:pPr>
            <w:pStyle w:val="TOC1"/>
            <w:tabs>
              <w:tab w:val="right" w:leader="dot" w:pos="9350"/>
            </w:tabs>
            <w:rPr>
              <w:noProof/>
            </w:rPr>
          </w:pPr>
          <w:hyperlink w:anchor="_Toc224332897" w:history="1">
            <w:r w:rsidRPr="00065FAF">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_Toc224332897 \h </w:instrText>
            </w:r>
            <w:r>
              <w:rPr>
                <w:noProof/>
                <w:webHidden/>
              </w:rPr>
            </w:r>
            <w:r>
              <w:rPr>
                <w:noProof/>
                <w:webHidden/>
              </w:rPr>
              <w:fldChar w:fldCharType="separate"/>
            </w:r>
            <w:r>
              <w:rPr>
                <w:noProof/>
                <w:webHidden/>
              </w:rPr>
              <w:t>13</w:t>
            </w:r>
            <w:r>
              <w:rPr>
                <w:noProof/>
                <w:webHidden/>
              </w:rPr>
              <w:fldChar w:fldCharType="end"/>
            </w:r>
          </w:hyperlink>
        </w:p>
        <w:p w14:paraId="51A4780C" w14:textId="65461C69" w:rsidR="005501D3" w:rsidRDefault="005501D3">
          <w:r>
            <w:rPr>
              <w:b/>
              <w:bCs/>
              <w:noProof/>
            </w:rPr>
            <w:fldChar w:fldCharType="end"/>
          </w:r>
        </w:p>
      </w:sdtContent>
    </w:sdt>
    <w:p w14:paraId="02EC6585" w14:textId="14BFFEA1" w:rsidR="000F7C87" w:rsidRDefault="000F7C87">
      <w:pPr>
        <w:rPr>
          <w:b/>
          <w:bCs/>
        </w:rPr>
      </w:pPr>
      <w:r>
        <w:rPr>
          <w:b/>
          <w:bCs/>
        </w:rPr>
        <w:br w:type="page"/>
      </w:r>
    </w:p>
    <w:p w14:paraId="027017EE" w14:textId="59D3E875" w:rsidR="000725F3" w:rsidRPr="000F7C87" w:rsidRDefault="000725F3" w:rsidP="000F7C87">
      <w:pPr>
        <w:pStyle w:val="Heading1"/>
        <w:spacing w:line="360" w:lineRule="auto"/>
        <w:jc w:val="both"/>
        <w:rPr>
          <w:rFonts w:ascii="Times New Roman" w:hAnsi="Times New Roman" w:cs="Times New Roman"/>
          <w:sz w:val="24"/>
          <w:szCs w:val="24"/>
        </w:rPr>
      </w:pPr>
      <w:bookmarkStart w:id="1" w:name="_Toc224332883"/>
      <w:r w:rsidRPr="000F7C87">
        <w:rPr>
          <w:rFonts w:ascii="Times New Roman" w:hAnsi="Times New Roman" w:cs="Times New Roman"/>
          <w:sz w:val="24"/>
          <w:szCs w:val="24"/>
        </w:rPr>
        <w:lastRenderedPageBreak/>
        <w:t>1. Introduction</w:t>
      </w:r>
      <w:bookmarkEnd w:id="1"/>
    </w:p>
    <w:p w14:paraId="2152B558" w14:textId="51E2BF6D"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Organisational culture is widely </w:t>
      </w:r>
      <w:r w:rsidR="000F7C87" w:rsidRPr="000F7C87">
        <w:rPr>
          <w:rFonts w:ascii="Times New Roman" w:hAnsi="Times New Roman" w:cs="Times New Roman"/>
        </w:rPr>
        <w:t>recognized</w:t>
      </w:r>
      <w:r w:rsidRPr="000F7C87">
        <w:rPr>
          <w:rFonts w:ascii="Times New Roman" w:hAnsi="Times New Roman" w:cs="Times New Roman"/>
        </w:rPr>
        <w:t xml:space="preserve"> as one of the most important factors influencing how organisations operate and how employees behave within the workplace. Culture affects communication patterns, leadership styles, decision-making processes and the overall ability of organisations to adapt to changing environments. According to Schein (2010), organisational culture can be defined as a pattern of shared assumptions that a group develops while learning to cope with problems of external adaptation and internal integration. These shared assumptions gradually become embedded in organisational practices and influence the behaviour of employees at all organisational levels.</w:t>
      </w:r>
    </w:p>
    <w:p w14:paraId="7D03A711" w14:textId="1B9D93C2"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In modern organisations, particularly those operating internationally, organisational culture plays a critical role in maintaining consistency and guiding employee behaviour. Multinational organisations often operate across diverse geographical regions and employ individuals from different cultural backgrounds. A strong organisational culture helps </w:t>
      </w:r>
      <w:r w:rsidR="005501D3" w:rsidRPr="000F7C87">
        <w:rPr>
          <w:rFonts w:ascii="Times New Roman" w:hAnsi="Times New Roman" w:cs="Times New Roman"/>
        </w:rPr>
        <w:t>to align</w:t>
      </w:r>
      <w:r w:rsidRPr="000F7C87">
        <w:rPr>
          <w:rFonts w:ascii="Times New Roman" w:hAnsi="Times New Roman" w:cs="Times New Roman"/>
        </w:rPr>
        <w:t xml:space="preserve"> employees with organisational values and strategic objectives. Mullins and Christy (2016) argue that culture contributes significantly to employee motivation, organisational cohesion and long-term organisational performance. However, culture may also become a constraint if it discourages innovation or creates resistance to change.</w:t>
      </w:r>
    </w:p>
    <w:p w14:paraId="102D2D91" w14:textId="4191254C"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This report critically examines the role of organisational culture within </w:t>
      </w:r>
      <w:r w:rsidRPr="000F7C87">
        <w:rPr>
          <w:rFonts w:ascii="Times New Roman" w:hAnsi="Times New Roman" w:cs="Times New Roman"/>
          <w:b/>
          <w:bCs/>
        </w:rPr>
        <w:t>Toyota</w:t>
      </w:r>
      <w:r w:rsidRPr="000F7C87">
        <w:rPr>
          <w:rFonts w:ascii="Times New Roman" w:hAnsi="Times New Roman" w:cs="Times New Roman"/>
        </w:rPr>
        <w:t xml:space="preserve">, one of the most influential automotive manufacturers in the global economy. Toyota is widely </w:t>
      </w:r>
      <w:r w:rsidR="005501D3" w:rsidRPr="000F7C87">
        <w:rPr>
          <w:rFonts w:ascii="Times New Roman" w:hAnsi="Times New Roman" w:cs="Times New Roman"/>
        </w:rPr>
        <w:t>recognized</w:t>
      </w:r>
      <w:r w:rsidRPr="000F7C87">
        <w:rPr>
          <w:rFonts w:ascii="Times New Roman" w:hAnsi="Times New Roman" w:cs="Times New Roman"/>
        </w:rPr>
        <w:t xml:space="preserve"> for its distinctive organisational philosophy and its innovative management practices. In particular, the Toyota Production System (TPS) has attracted considerable attention in academic literature due to its focus on operational efficiency, continuous improvement and employee involvement.</w:t>
      </w:r>
    </w:p>
    <w:p w14:paraId="338E755C" w14:textId="62ADAEAD"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The purpose of this report is to analyse how Toyota’s organisational culture influences organisational structure and decision-making processes. The report first explores the key characteristics of Toyota’s culture and the principles that shape employee behaviour within the organisation. It then applies several theoretical frameworks, including Schein’s organisational culture model, Denison’s organisational culture model and the Competing Values Framework, to analyse Toyota’s cultural structure. The report also examines how organisational culture influences organisational structure and managerial decision-making. Furthermore, the external environment influencing Toyota is </w:t>
      </w:r>
      <w:r w:rsidR="005501D3" w:rsidRPr="000F7C87">
        <w:rPr>
          <w:rFonts w:ascii="Times New Roman" w:hAnsi="Times New Roman" w:cs="Times New Roman"/>
        </w:rPr>
        <w:t>analyzed</w:t>
      </w:r>
      <w:r w:rsidRPr="000F7C87">
        <w:rPr>
          <w:rFonts w:ascii="Times New Roman" w:hAnsi="Times New Roman" w:cs="Times New Roman"/>
        </w:rPr>
        <w:t xml:space="preserve"> using a PESTLE framework, while a SWOT analysis evaluates the </w:t>
      </w:r>
      <w:r w:rsidRPr="000F7C87">
        <w:rPr>
          <w:rFonts w:ascii="Times New Roman" w:hAnsi="Times New Roman" w:cs="Times New Roman"/>
        </w:rPr>
        <w:lastRenderedPageBreak/>
        <w:t>strengths and weaknesses of Toyota’s organisational culture. Finally, the report discusses how organisational culture contributes to organisational performance and proposes recommendations for strengthening Toyota’s cultural practices in the future.</w:t>
      </w:r>
    </w:p>
    <w:p w14:paraId="7B390DEE"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2" w:name="_Toc224332884"/>
      <w:r w:rsidRPr="000F7C87">
        <w:rPr>
          <w:rFonts w:ascii="Times New Roman" w:hAnsi="Times New Roman" w:cs="Times New Roman"/>
          <w:sz w:val="24"/>
          <w:szCs w:val="24"/>
        </w:rPr>
        <w:t>2. Company Overview</w:t>
      </w:r>
      <w:bookmarkEnd w:id="2"/>
    </w:p>
    <w:p w14:paraId="56D8568D"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 Motor Corporation was founded in 1937 in Japan and has developed into one of the largest and most successful automotive manufacturers in the world. The company produces a wide range of vehicles including passenger cars, hybrid vehicles and commercial vehicles. Toyota operates in numerous international markets and employs a global workforce of hundreds of thousands of employees.</w:t>
      </w:r>
    </w:p>
    <w:p w14:paraId="447D3910"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Toyota’s global success is closely associated with its distinctive management philosophy and production practices. Unlike many organisations that focus primarily on short-term financial performance, Toyota emphasises long-term organisational development and sustainable growth. This philosophy is embedded in the Toyota Production System, which focuses on improving efficiency while maintaining high levels of quality.</w:t>
      </w:r>
    </w:p>
    <w:p w14:paraId="1302EC7D"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The Toyota Production </w:t>
      </w:r>
      <w:r w:rsidRPr="005501D3">
        <w:rPr>
          <w:rFonts w:ascii="Times New Roman" w:hAnsi="Times New Roman" w:cs="Times New Roman"/>
        </w:rPr>
        <w:t>System is based on two fundamental principles: continuous improvement (Kaizen) and respect for people.</w:t>
      </w:r>
      <w:r w:rsidRPr="000F7C87">
        <w:rPr>
          <w:rFonts w:ascii="Times New Roman" w:hAnsi="Times New Roman" w:cs="Times New Roman"/>
        </w:rPr>
        <w:t xml:space="preserve"> Continuous improvement encourages employees to constantly identify opportunities for enhancing processes and reducing inefficiencies. Rather than relying solely on management directives, Toyota encourages employees at all levels of the organisation to participate in organisational improvement initiatives.</w:t>
      </w:r>
    </w:p>
    <w:p w14:paraId="72372A6F" w14:textId="797100EA"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Respect for people emphasises collaboration, trust and mutual support among employees. Toyota </w:t>
      </w:r>
      <w:proofErr w:type="spellStart"/>
      <w:r w:rsidRPr="000F7C87">
        <w:rPr>
          <w:rFonts w:ascii="Times New Roman" w:hAnsi="Times New Roman" w:cs="Times New Roman"/>
        </w:rPr>
        <w:t>recognises</w:t>
      </w:r>
      <w:proofErr w:type="spellEnd"/>
      <w:r w:rsidRPr="000F7C87">
        <w:rPr>
          <w:rFonts w:ascii="Times New Roman" w:hAnsi="Times New Roman" w:cs="Times New Roman"/>
        </w:rPr>
        <w:t xml:space="preserve"> that employees play a central role in organisational </w:t>
      </w:r>
      <w:r w:rsidR="005501D3" w:rsidRPr="000F7C87">
        <w:rPr>
          <w:rFonts w:ascii="Times New Roman" w:hAnsi="Times New Roman" w:cs="Times New Roman"/>
        </w:rPr>
        <w:t>success and</w:t>
      </w:r>
      <w:r w:rsidRPr="000F7C87">
        <w:rPr>
          <w:rFonts w:ascii="Times New Roman" w:hAnsi="Times New Roman" w:cs="Times New Roman"/>
        </w:rPr>
        <w:t xml:space="preserve"> therefore encourages teamwork and knowledge sharing. This approach contributes to the development of a supportive work environment where employees feel responsible for improving organisational performance.</w:t>
      </w:r>
    </w:p>
    <w:p w14:paraId="4963D8EA"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Another important concept within Toyota’s management philosophy is </w:t>
      </w:r>
      <w:r w:rsidRPr="005501D3">
        <w:rPr>
          <w:rFonts w:ascii="Times New Roman" w:hAnsi="Times New Roman" w:cs="Times New Roman"/>
        </w:rPr>
        <w:t>Genchi Genbutsu</w:t>
      </w:r>
      <w:r w:rsidRPr="000F7C87">
        <w:rPr>
          <w:rFonts w:ascii="Times New Roman" w:hAnsi="Times New Roman" w:cs="Times New Roman"/>
        </w:rPr>
        <w:t>, which means “go and see.” This principle encourages managers to observe operational processes directly rather than relying solely on reports. By understanding problems at their source, managers can make more informed decisions and develop more effective solutions.</w:t>
      </w:r>
    </w:p>
    <w:p w14:paraId="168554C3"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lastRenderedPageBreak/>
        <w:t>Through these principles, Toyota has created a culture that emphasises learning, operational discipline and collaborative problem-solving.</w:t>
      </w:r>
    </w:p>
    <w:p w14:paraId="7FBA9ACE"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3" w:name="_Toc224332885"/>
      <w:r w:rsidRPr="000F7C87">
        <w:rPr>
          <w:rFonts w:ascii="Times New Roman" w:hAnsi="Times New Roman" w:cs="Times New Roman"/>
          <w:sz w:val="24"/>
          <w:szCs w:val="24"/>
        </w:rPr>
        <w:t>3. Organisational Culture at Toyota</w:t>
      </w:r>
      <w:bookmarkEnd w:id="3"/>
    </w:p>
    <w:p w14:paraId="34D1CBB8" w14:textId="117935D6"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Toyota’s organisational culture is often described as a lean culture because it focuses on efficiency, continuous improvement and the elimination of waste. </w:t>
      </w:r>
      <w:r w:rsidR="000F7C87" w:rsidRPr="000F7C87">
        <w:rPr>
          <w:rFonts w:ascii="Times New Roman" w:hAnsi="Times New Roman" w:cs="Times New Roman"/>
        </w:rPr>
        <w:t>Learn</w:t>
      </w:r>
      <w:r w:rsidRPr="000F7C87">
        <w:rPr>
          <w:rFonts w:ascii="Times New Roman" w:hAnsi="Times New Roman" w:cs="Times New Roman"/>
        </w:rPr>
        <w:t xml:space="preserve"> management practices encourage employees to analyse processes carefully and identify opportunities for improvement.</w:t>
      </w:r>
    </w:p>
    <w:p w14:paraId="6F81277C"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One of the most distinctive aspects of Toyota’s culture is its emphasis on continuous improvement. Employees are encouraged to suggest improvements to existing processes, even if those improvements are relatively small. Over time, these incremental improvements can significantly enhance organisational performance.</w:t>
      </w:r>
    </w:p>
    <w:p w14:paraId="48D4B17D"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Another important element of Toyota’s culture is employee empowerment. Workers are trusted to monitor product quality and identify operational problems. In many Toyota manufacturing facilities, employees have the authority to stop production lines if they detect defects or quality issues. This practice demonstrates the organisation’s commitment to maintaining high quality standards.</w:t>
      </w:r>
    </w:p>
    <w:p w14:paraId="22A9E28D"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Toyota’s culture also emphasises teamwork and collaboration. Employees are encouraged to work together to solve problems and share knowledge. Team-based problem solving helps organisations respond more effectively to operational challenges and supports organisational learning.</w:t>
      </w:r>
    </w:p>
    <w:p w14:paraId="6A650267"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In addition, Toyota promotes a culture of learning and reflection. When problems occur, employees are expected to analyse the root causes rather than applying quick temporary fixes. This analytical approach encourages employees to learn from mistakes and develop more effective solutions in the future.</w:t>
      </w:r>
    </w:p>
    <w:p w14:paraId="401A18B0"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However, Toyota’s organisational culture also presents certain challenges. The organisation’s strong emphasis on established procedures and structured processes may sometimes reduce flexibility. In rapidly changing industries such as automotive manufacturing, organisations must ensure that cultural stability does not prevent innovation or strategic transformation.</w:t>
      </w:r>
    </w:p>
    <w:p w14:paraId="2AB61A75"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4" w:name="_Toc224332886"/>
      <w:r w:rsidRPr="000F7C87">
        <w:rPr>
          <w:rFonts w:ascii="Times New Roman" w:hAnsi="Times New Roman" w:cs="Times New Roman"/>
          <w:sz w:val="24"/>
          <w:szCs w:val="24"/>
        </w:rPr>
        <w:lastRenderedPageBreak/>
        <w:t>4. Cultural Frameworks Applied to Toyota</w:t>
      </w:r>
      <w:bookmarkEnd w:id="4"/>
    </w:p>
    <w:p w14:paraId="2721C6B5"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Understanding organisational culture requires the use of theoretical frameworks that help analyse how values, behaviours and assumptions influence organisational performance. Several academic models can be applied to examine the culture of </w:t>
      </w:r>
      <w:r w:rsidRPr="000F7C87">
        <w:rPr>
          <w:rFonts w:ascii="Times New Roman" w:hAnsi="Times New Roman" w:cs="Times New Roman"/>
          <w:b/>
          <w:bCs/>
        </w:rPr>
        <w:t>Toyota</w:t>
      </w:r>
      <w:r w:rsidRPr="000F7C87">
        <w:rPr>
          <w:rFonts w:ascii="Times New Roman" w:hAnsi="Times New Roman" w:cs="Times New Roman"/>
        </w:rPr>
        <w:t>, including Schein’s Model of Organisational Culture, Denison’s Organisational Culture Model and the Competing Values Framework. These models provide different perspectives on how culture operates within organisations and how it influences managerial practices.</w:t>
      </w:r>
    </w:p>
    <w:p w14:paraId="55D0DD2D" w14:textId="77777777" w:rsidR="000725F3" w:rsidRPr="000F7C87" w:rsidRDefault="000725F3" w:rsidP="000F7C87">
      <w:pPr>
        <w:pStyle w:val="Heading2"/>
        <w:spacing w:line="360" w:lineRule="auto"/>
        <w:jc w:val="both"/>
        <w:rPr>
          <w:rFonts w:ascii="Times New Roman" w:hAnsi="Times New Roman" w:cs="Times New Roman"/>
          <w:sz w:val="24"/>
          <w:szCs w:val="24"/>
        </w:rPr>
      </w:pPr>
      <w:bookmarkStart w:id="5" w:name="_Toc224332887"/>
      <w:r w:rsidRPr="000F7C87">
        <w:rPr>
          <w:rFonts w:ascii="Times New Roman" w:hAnsi="Times New Roman" w:cs="Times New Roman"/>
          <w:sz w:val="24"/>
          <w:szCs w:val="24"/>
        </w:rPr>
        <w:t>4.1 Schein’s Model of Organisational Culture</w:t>
      </w:r>
      <w:bookmarkEnd w:id="5"/>
    </w:p>
    <w:p w14:paraId="48C1F5DE"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Schein (2010) proposed that organisational culture exists at three different levels: artefacts, espoused values and basic underlying assumptions.</w:t>
      </w:r>
    </w:p>
    <w:p w14:paraId="54021C6A" w14:textId="33EF44D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The first level, artefacts, represents the visible aspects of organisational culture. These include organisational structures, work processes, language, technology and observable behaviours within the workplace. In Toyota, artefacts are clearly visible in its production systems, workplace organisation and lean manufacturing practices. For example, Toyota factories are designed to </w:t>
      </w:r>
      <w:r w:rsidR="000F7C87" w:rsidRPr="000F7C87">
        <w:rPr>
          <w:rFonts w:ascii="Times New Roman" w:hAnsi="Times New Roman" w:cs="Times New Roman"/>
        </w:rPr>
        <w:t>minimize</w:t>
      </w:r>
      <w:r w:rsidRPr="000F7C87">
        <w:rPr>
          <w:rFonts w:ascii="Times New Roman" w:hAnsi="Times New Roman" w:cs="Times New Roman"/>
        </w:rPr>
        <w:t xml:space="preserve"> waste and </w:t>
      </w:r>
      <w:r w:rsidR="000F7C87" w:rsidRPr="000F7C87">
        <w:rPr>
          <w:rFonts w:ascii="Times New Roman" w:hAnsi="Times New Roman" w:cs="Times New Roman"/>
        </w:rPr>
        <w:t>maximize</w:t>
      </w:r>
      <w:r w:rsidRPr="000F7C87">
        <w:rPr>
          <w:rFonts w:ascii="Times New Roman" w:hAnsi="Times New Roman" w:cs="Times New Roman"/>
        </w:rPr>
        <w:t xml:space="preserve"> efficiency, reflecting the company’s focus on operational excellence.</w:t>
      </w:r>
    </w:p>
    <w:p w14:paraId="7008F562"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The second level consists of espoused values. These are the values and principles that organisations communicate publicly and expect employees to follow. Toyota strongly promotes values such as continuous improvement, teamwork and long-term thinking. These values are reflected in the Toyota Production System and influence the way employees approach problem solving and operational challenges.</w:t>
      </w:r>
    </w:p>
    <w:p w14:paraId="22BA9981" w14:textId="65A4179B"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The third level involves basic underlying assumptions. These assumptions are deeply embedded beliefs that guide behaviour but may not always be consciously </w:t>
      </w:r>
      <w:r w:rsidR="000F7C87" w:rsidRPr="000F7C87">
        <w:rPr>
          <w:rFonts w:ascii="Times New Roman" w:hAnsi="Times New Roman" w:cs="Times New Roman"/>
        </w:rPr>
        <w:t>recognized</w:t>
      </w:r>
      <w:r w:rsidRPr="000F7C87">
        <w:rPr>
          <w:rFonts w:ascii="Times New Roman" w:hAnsi="Times New Roman" w:cs="Times New Roman"/>
        </w:rPr>
        <w:t xml:space="preserve"> by employees. Within Toyota, one of the most important underlying assumptions is that organisational success depends on constant learning and improvement. Employees are encouraged to view problems as opportunities to improve processes rather than as failures.</w:t>
      </w:r>
    </w:p>
    <w:p w14:paraId="6B9FA8BA"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Schein’s model helps explain why Toyota’s organisational culture has remained relatively consistent over time. The underlying assumptions of continuous improvement and respect for </w:t>
      </w:r>
      <w:r w:rsidRPr="000F7C87">
        <w:rPr>
          <w:rFonts w:ascii="Times New Roman" w:hAnsi="Times New Roman" w:cs="Times New Roman"/>
        </w:rPr>
        <w:lastRenderedPageBreak/>
        <w:t>people are deeply embedded in organisational practices and influence the behaviour of employees across the organisation.</w:t>
      </w:r>
    </w:p>
    <w:p w14:paraId="15103C3B" w14:textId="421E688B" w:rsidR="00E95E5E" w:rsidRPr="000F7C87" w:rsidRDefault="000725F3" w:rsidP="000F7C87">
      <w:pPr>
        <w:pStyle w:val="Heading2"/>
        <w:spacing w:line="360" w:lineRule="auto"/>
        <w:jc w:val="both"/>
        <w:rPr>
          <w:rFonts w:ascii="Times New Roman" w:hAnsi="Times New Roman" w:cs="Times New Roman"/>
          <w:sz w:val="24"/>
          <w:szCs w:val="24"/>
        </w:rPr>
      </w:pPr>
      <w:bookmarkStart w:id="6" w:name="_Toc224332888"/>
      <w:r w:rsidRPr="000F7C87">
        <w:rPr>
          <w:rFonts w:ascii="Times New Roman" w:hAnsi="Times New Roman" w:cs="Times New Roman"/>
          <w:sz w:val="24"/>
          <w:szCs w:val="24"/>
        </w:rPr>
        <w:t xml:space="preserve">4.2 </w:t>
      </w:r>
      <w:r w:rsidR="00E95E5E" w:rsidRPr="000F7C87">
        <w:rPr>
          <w:rFonts w:ascii="Times New Roman" w:hAnsi="Times New Roman" w:cs="Times New Roman"/>
          <w:sz w:val="24"/>
          <w:szCs w:val="24"/>
        </w:rPr>
        <w:t>Hofstede's Cultural Dimensions</w:t>
      </w:r>
      <w:bookmarkEnd w:id="6"/>
    </w:p>
    <w:p w14:paraId="2AE357E3"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Hofstede's (2011) Cultural Dimensions framework provides a valuable lens for understanding how national culture interacts with organisational culture, particularly relevant for a multinational organisation such as Toyota. Hofstede identified six cultural dimensions, of which four are especially applicable to Toyota's context: power distance, individualism versus collectivism, uncertainty avoidance, and long-term orientation.</w:t>
      </w:r>
    </w:p>
    <w:p w14:paraId="6EAF58A2"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Japan, where Toyota's organisational culture originates, scores relatively high on power distance, meaning employees traditionally respect hierarchical authority. This is reflected in Toyota's structured reporting systems and the cultural reluctance to openly challenge management decisions — a tendency that, as discussed in Section 8, contributed to the 2009–2010 recall crisis.</w:t>
      </w:r>
    </w:p>
    <w:p w14:paraId="57E82F65" w14:textId="5C5D646E"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 xml:space="preserve">Japan also scores strongly on collectivism, which aligns directly with Toyota's emphasis on teamwork, shared responsibility and group-based problem solving. </w:t>
      </w:r>
      <w:r w:rsidR="000F7C87" w:rsidRPr="000F7C87">
        <w:rPr>
          <w:rFonts w:ascii="Times New Roman" w:hAnsi="Times New Roman" w:cs="Times New Roman"/>
        </w:rPr>
        <w:t>Kaizen</w:t>
      </w:r>
      <w:r w:rsidRPr="000F7C87">
        <w:rPr>
          <w:rFonts w:ascii="Times New Roman" w:hAnsi="Times New Roman" w:cs="Times New Roman"/>
        </w:rPr>
        <w:t xml:space="preserve"> philosophy is fundamentally collectivist in nature — improvement is seen as a collective organisational obligation rather than an individual achievement (Liker, 2004).</w:t>
      </w:r>
    </w:p>
    <w:p w14:paraId="016F08F1"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High uncertainty avoidance in Japanese culture explains Toyota's preference for standardised processes, detailed procedures and risk-averse decision-making. While this supports operational consistency, it can constrain the organisation's ability to embrace radical innovation rapidly.</w:t>
      </w:r>
    </w:p>
    <w:p w14:paraId="1BB6B176"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Finally, Japan's exceptionally high long-term orientation score is directly reflected in Toyota's strategic philosophy. Rather than prioritising short-term financial returns, Toyota consistently invests in long-term capabilities such as hybrid technology and sustainable manufacturing (Mullins and Christy, 2016).</w:t>
      </w:r>
    </w:p>
    <w:p w14:paraId="38E6FD46" w14:textId="48998BB5" w:rsidR="000725F3"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Hofstede's framework therefore reveals that Toyota's organisational culture is not simply a corporate construct — it is deeply shaped by the national cultural context in which it originated, which has both strengthened and, in certain respects, limited its global adaptability.</w:t>
      </w:r>
    </w:p>
    <w:p w14:paraId="108F33FC" w14:textId="77777777" w:rsidR="000725F3" w:rsidRPr="000F7C87" w:rsidRDefault="000725F3" w:rsidP="000F7C87">
      <w:pPr>
        <w:pStyle w:val="Heading2"/>
        <w:spacing w:line="360" w:lineRule="auto"/>
        <w:jc w:val="both"/>
        <w:rPr>
          <w:rFonts w:ascii="Times New Roman" w:hAnsi="Times New Roman" w:cs="Times New Roman"/>
          <w:sz w:val="24"/>
          <w:szCs w:val="24"/>
        </w:rPr>
      </w:pPr>
      <w:bookmarkStart w:id="7" w:name="_Toc224332889"/>
      <w:r w:rsidRPr="000F7C87">
        <w:rPr>
          <w:rFonts w:ascii="Times New Roman" w:hAnsi="Times New Roman" w:cs="Times New Roman"/>
          <w:sz w:val="24"/>
          <w:szCs w:val="24"/>
        </w:rPr>
        <w:lastRenderedPageBreak/>
        <w:t>4.3 Competing Values Framework</w:t>
      </w:r>
      <w:bookmarkEnd w:id="7"/>
    </w:p>
    <w:p w14:paraId="60C9FDF2"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The Competing Values Framework developed by Cameron and Quinn (2011) identifies four types of organisational culture: clan culture, adhocracy culture, market culture and hierarchy culture.</w:t>
      </w:r>
    </w:p>
    <w:p w14:paraId="40201DFB"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Toyota’s organisational culture reflects characteristics of both clan culture and hierarchy culture.</w:t>
      </w:r>
    </w:p>
    <w:p w14:paraId="2B2B03B2"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Clan culture emphasises collaboration, teamwork and employee involvement. Toyota’s emphasis on collective problem solving and knowledge sharing reflects this cultural orientation. Employees work together to identify improvements in production processes and share knowledge across teams.</w:t>
      </w:r>
    </w:p>
    <w:p w14:paraId="2C399184"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Hierarchy culture focuses on stability, formal procedures and organisational efficiency. Manufacturing environments require clearly defined roles, structured processes and strong quality control systems. Toyota therefore relies on hierarchical structures to ensure operational consistency and maintain high quality standards.</w:t>
      </w:r>
    </w:p>
    <w:p w14:paraId="3790443A"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The combination of these two cultural orientations allows Toyota to balance stability and efficiency with collaboration and employee engagement. This balance contributes to Toyota’s ability to maintain operational discipline while encouraging continuous improvement.</w:t>
      </w:r>
    </w:p>
    <w:p w14:paraId="03FAF6AE"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8" w:name="_Toc224332890"/>
      <w:r w:rsidRPr="000F7C87">
        <w:rPr>
          <w:rFonts w:ascii="Times New Roman" w:hAnsi="Times New Roman" w:cs="Times New Roman"/>
          <w:sz w:val="24"/>
          <w:szCs w:val="24"/>
        </w:rPr>
        <w:t>5. Influence of Culture on Organisational Structure</w:t>
      </w:r>
      <w:bookmarkEnd w:id="8"/>
    </w:p>
    <w:p w14:paraId="4DD630F9"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Organisational culture plays a significant role in shaping organisational structure. In many organisations, hierarchical structures dominate decision-making processes and limit employee participation. However, Toyota’s organisational culture encourages a more collaborative approach to organisational design.</w:t>
      </w:r>
    </w:p>
    <w:p w14:paraId="2D21B067"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Toyota’s structure integrates both formal hierarchy and team-based collaboration. While the organisation maintains clear reporting structures and management responsibilities, employees are also encouraged to participate in problem solving and process improvement.</w:t>
      </w:r>
    </w:p>
    <w:p w14:paraId="00792122"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Production teams play a particularly important role in Toyota’s organisational structure. Teams are responsible for monitoring quality, identifying operational issues and proposing improvements to work processes. This team-based structure supports the organisation’s emphasis on continuous improvement and operational efficiency.</w:t>
      </w:r>
    </w:p>
    <w:p w14:paraId="41F8D44B"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lastRenderedPageBreak/>
        <w:t>Managers within Toyota act primarily as facilitators rather than authoritative decision-makers. Their role involves supporting employees, guiding improvement initiatives and ensuring that organisational goals are achieved. This leadership style encourages employees to take responsibility for improving organisational performance.</w:t>
      </w:r>
    </w:p>
    <w:p w14:paraId="01F50AE8" w14:textId="4998A674"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Toyota’s structure also reflects the principles of lean management. Decision-making </w:t>
      </w:r>
      <w:r w:rsidR="005501D3" w:rsidRPr="000F7C87">
        <w:rPr>
          <w:rFonts w:ascii="Times New Roman" w:hAnsi="Times New Roman" w:cs="Times New Roman"/>
        </w:rPr>
        <w:t>authorities are</w:t>
      </w:r>
      <w:r w:rsidRPr="000F7C87">
        <w:rPr>
          <w:rFonts w:ascii="Times New Roman" w:hAnsi="Times New Roman" w:cs="Times New Roman"/>
        </w:rPr>
        <w:t xml:space="preserve"> often </w:t>
      </w:r>
      <w:r w:rsidR="000F7C87" w:rsidRPr="000F7C87">
        <w:rPr>
          <w:rFonts w:ascii="Times New Roman" w:hAnsi="Times New Roman" w:cs="Times New Roman"/>
        </w:rPr>
        <w:t>decentralized</w:t>
      </w:r>
      <w:r w:rsidRPr="000F7C87">
        <w:rPr>
          <w:rFonts w:ascii="Times New Roman" w:hAnsi="Times New Roman" w:cs="Times New Roman"/>
        </w:rPr>
        <w:t xml:space="preserve"> in order to enable rapid responses to operational issues. Employees who work directly within production processes are often best positioned to identify problems and suggest improvements.</w:t>
      </w:r>
    </w:p>
    <w:p w14:paraId="6DFE82FA" w14:textId="1DF8610B"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By aligning organisational structure with cultural principles, Toyota creates an environment where employees are empowered to contribute to organisational development while maintaining operational discipline.</w:t>
      </w:r>
    </w:p>
    <w:p w14:paraId="57F3A781"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9" w:name="_Toc224332891"/>
      <w:r w:rsidRPr="000F7C87">
        <w:rPr>
          <w:rFonts w:ascii="Times New Roman" w:hAnsi="Times New Roman" w:cs="Times New Roman"/>
          <w:sz w:val="24"/>
          <w:szCs w:val="24"/>
        </w:rPr>
        <w:t>6. Culture and Decision-Making</w:t>
      </w:r>
      <w:bookmarkEnd w:id="9"/>
    </w:p>
    <w:p w14:paraId="396DF547"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Organisational culture strongly influences how decisions are made within organisations. In traditional hierarchical organisations, decisions are often made exclusively by senior managers. However, Toyota’s culture encourages collaborative decision-making processes that involve employees at multiple organisational levels.</w:t>
      </w:r>
    </w:p>
    <w:p w14:paraId="4A677078"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One of the most distinctive decision-making practices within Toyota is known as </w:t>
      </w:r>
      <w:r w:rsidRPr="005501D3">
        <w:rPr>
          <w:rFonts w:ascii="Times New Roman" w:hAnsi="Times New Roman" w:cs="Times New Roman"/>
        </w:rPr>
        <w:t>nemawashi</w:t>
      </w:r>
      <w:r w:rsidRPr="000F7C87">
        <w:rPr>
          <w:rFonts w:ascii="Times New Roman" w:hAnsi="Times New Roman" w:cs="Times New Roman"/>
        </w:rPr>
        <w:t>. This approach involves discussing proposals informally with relevant stakeholders before formal decisions are made. The objective is to gather feedback, identify potential challenges and build consensus among employees.</w:t>
      </w:r>
    </w:p>
    <w:p w14:paraId="7D5296F6" w14:textId="68D318DF"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Although this decision-making approach may take longer than traditional top-down decision-making, it often results in more effective outcomes. Because employees participate in discussions before decisions are </w:t>
      </w:r>
      <w:r w:rsidR="000F7C87" w:rsidRPr="000F7C87">
        <w:rPr>
          <w:rFonts w:ascii="Times New Roman" w:hAnsi="Times New Roman" w:cs="Times New Roman"/>
        </w:rPr>
        <w:t>finalized</w:t>
      </w:r>
      <w:r w:rsidRPr="000F7C87">
        <w:rPr>
          <w:rFonts w:ascii="Times New Roman" w:hAnsi="Times New Roman" w:cs="Times New Roman"/>
        </w:rPr>
        <w:t>, they are more likely to support the implementation of those decisions.</w:t>
      </w:r>
    </w:p>
    <w:p w14:paraId="647666BB" w14:textId="6608347D"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Toyota’s decision-making culture also </w:t>
      </w:r>
      <w:r w:rsidR="000F7C87" w:rsidRPr="000F7C87">
        <w:rPr>
          <w:rFonts w:ascii="Times New Roman" w:hAnsi="Times New Roman" w:cs="Times New Roman"/>
        </w:rPr>
        <w:t>emphasises</w:t>
      </w:r>
      <w:r w:rsidRPr="000F7C87">
        <w:rPr>
          <w:rFonts w:ascii="Times New Roman" w:hAnsi="Times New Roman" w:cs="Times New Roman"/>
        </w:rPr>
        <w:t xml:space="preserve"> careful analysis and evidence-based reasoning. Managers are encouraged to examine operational data and observe processes directly before making strategic decisions. This approach aligns with the principle of Genchi Genbutsu, which encourages managers to investigate problems at their source.</w:t>
      </w:r>
    </w:p>
    <w:p w14:paraId="2D500E71"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lastRenderedPageBreak/>
        <w:t>However, consensus-based decision-making may also present challenges. In rapidly changing environments, organisations may need to make quick decisions in order to remain competitive. Toyota must therefore balance collaborative decision-making with the need for organisational agility.</w:t>
      </w:r>
    </w:p>
    <w:p w14:paraId="7346DE36"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Overall, Toyota’s decision-making culture reflects its broader organisational values of collaboration, learning and continuous improvement.</w:t>
      </w:r>
    </w:p>
    <w:p w14:paraId="3D4CAEE1" w14:textId="02B37B41" w:rsidR="00E95E5E" w:rsidRPr="000F7C87" w:rsidRDefault="000725F3" w:rsidP="000F7C87">
      <w:pPr>
        <w:pStyle w:val="Heading1"/>
        <w:spacing w:line="360" w:lineRule="auto"/>
        <w:jc w:val="both"/>
        <w:rPr>
          <w:rFonts w:ascii="Times New Roman" w:hAnsi="Times New Roman" w:cs="Times New Roman"/>
          <w:sz w:val="24"/>
          <w:szCs w:val="24"/>
        </w:rPr>
      </w:pPr>
      <w:bookmarkStart w:id="10" w:name="_Toc224332892"/>
      <w:r w:rsidRPr="000F7C87">
        <w:rPr>
          <w:rFonts w:ascii="Times New Roman" w:hAnsi="Times New Roman" w:cs="Times New Roman"/>
          <w:sz w:val="24"/>
          <w:szCs w:val="24"/>
        </w:rPr>
        <w:t xml:space="preserve">7. </w:t>
      </w:r>
      <w:r w:rsidR="00E95E5E" w:rsidRPr="000F7C87">
        <w:rPr>
          <w:rFonts w:ascii="Times New Roman" w:hAnsi="Times New Roman" w:cs="Times New Roman"/>
          <w:sz w:val="24"/>
          <w:szCs w:val="24"/>
        </w:rPr>
        <w:t>External Environment Analysis (PESTLE)</w:t>
      </w:r>
      <w:bookmarkEnd w:id="10"/>
    </w:p>
    <w:p w14:paraId="41DDCE65" w14:textId="275DC434"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As a global organisation, Toyota is continuously shaped by external forces that interact directly with its organisational culture. Politically, governments across key markets impose stringent emissions and safety regulations; Toyota's culture of continuous improvement enables rapid compliance, as employees are accustomed to iterative process adaptation. Economically, lean manufacturing practices protect profitability during downturns by reducing waste and maintaining cost efficiency (Liker, 2004). Socially, growing consumer demand for sustainable mobility has accelerated Toyota's investment in hybrid and electric vehicles — a transition made culturally feasible by the organisation's long-term strategic orientation. Technologically, advances in autonomous driving and AI present both opportunity and disruption; Toyota's R&amp;D investment reflects its cultural commitment to innovation, though the pace of external change may exceed the speed of internally consensus-driven decisions. Legally, Toyota's quality-</w:t>
      </w:r>
      <w:r w:rsidR="000F7C87" w:rsidRPr="000F7C87">
        <w:rPr>
          <w:rFonts w:ascii="Times New Roman" w:hAnsi="Times New Roman" w:cs="Times New Roman"/>
        </w:rPr>
        <w:t>centered</w:t>
      </w:r>
      <w:r w:rsidRPr="000F7C87">
        <w:rPr>
          <w:rFonts w:ascii="Times New Roman" w:hAnsi="Times New Roman" w:cs="Times New Roman"/>
        </w:rPr>
        <w:t xml:space="preserve"> culture reduces regulatory risk, though the 2009–2010 recall crisis — discussed further in Section 8 — exposed how cultural pressures can paradoxically suppress quality reporting. Environmentally, increasing carbon reduction mandates </w:t>
      </w:r>
      <w:r w:rsidR="000F7C87" w:rsidRPr="000F7C87">
        <w:rPr>
          <w:rFonts w:ascii="Times New Roman" w:hAnsi="Times New Roman" w:cs="Times New Roman"/>
        </w:rPr>
        <w:t>aligning</w:t>
      </w:r>
      <w:r w:rsidRPr="000F7C87">
        <w:rPr>
          <w:rFonts w:ascii="Times New Roman" w:hAnsi="Times New Roman" w:cs="Times New Roman"/>
        </w:rPr>
        <w:t xml:space="preserve"> with Toyota's existing sustainability commitments, reinforcing its competitive positioning in green mobility.</w:t>
      </w:r>
    </w:p>
    <w:p w14:paraId="6E631FEA" w14:textId="7F688CC7" w:rsidR="00E95E5E" w:rsidRPr="000F7C87" w:rsidRDefault="000725F3" w:rsidP="000F7C87">
      <w:pPr>
        <w:pStyle w:val="Heading1"/>
        <w:spacing w:line="360" w:lineRule="auto"/>
        <w:jc w:val="both"/>
        <w:rPr>
          <w:rFonts w:ascii="Times New Roman" w:hAnsi="Times New Roman" w:cs="Times New Roman"/>
          <w:sz w:val="24"/>
          <w:szCs w:val="24"/>
        </w:rPr>
      </w:pPr>
      <w:bookmarkStart w:id="11" w:name="_Toc224332893"/>
      <w:r w:rsidRPr="000F7C87">
        <w:rPr>
          <w:rFonts w:ascii="Times New Roman" w:hAnsi="Times New Roman" w:cs="Times New Roman"/>
          <w:sz w:val="24"/>
          <w:szCs w:val="24"/>
        </w:rPr>
        <w:t xml:space="preserve">8. </w:t>
      </w:r>
      <w:r w:rsidR="00E95E5E" w:rsidRPr="000F7C87">
        <w:rPr>
          <w:rFonts w:ascii="Times New Roman" w:hAnsi="Times New Roman" w:cs="Times New Roman"/>
          <w:sz w:val="24"/>
          <w:szCs w:val="24"/>
        </w:rPr>
        <w:t>Culture as Barrier and Enabler — A Critical Assessment</w:t>
      </w:r>
      <w:bookmarkEnd w:id="11"/>
    </w:p>
    <w:p w14:paraId="6BCC3796"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A fundamental question in evaluating Toyota's organisational culture is whether it functions primarily as an enabler of performance or, in certain circumstances, as a structural barrier. The evidence suggests it operates as both, depending on the organisational context.</w:t>
      </w:r>
    </w:p>
    <w:p w14:paraId="5C6F4330" w14:textId="77777777" w:rsidR="005501D3" w:rsidRDefault="005501D3" w:rsidP="000F7C87">
      <w:pPr>
        <w:spacing w:line="360" w:lineRule="auto"/>
        <w:jc w:val="both"/>
        <w:rPr>
          <w:rFonts w:ascii="Times New Roman" w:hAnsi="Times New Roman" w:cs="Times New Roman"/>
          <w:b/>
          <w:bCs/>
        </w:rPr>
      </w:pPr>
    </w:p>
    <w:p w14:paraId="2385C4EB" w14:textId="77777777" w:rsidR="005501D3" w:rsidRDefault="005501D3" w:rsidP="000F7C87">
      <w:pPr>
        <w:spacing w:line="360" w:lineRule="auto"/>
        <w:jc w:val="both"/>
        <w:rPr>
          <w:rFonts w:ascii="Times New Roman" w:hAnsi="Times New Roman" w:cs="Times New Roman"/>
          <w:b/>
          <w:bCs/>
        </w:rPr>
      </w:pPr>
    </w:p>
    <w:p w14:paraId="147D5EC5" w14:textId="33717AEE"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b/>
          <w:bCs/>
        </w:rPr>
        <w:lastRenderedPageBreak/>
        <w:t>Culture as Enabler</w:t>
      </w:r>
    </w:p>
    <w:p w14:paraId="28A966FC"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Toyota's culture has demonstrably enabled sustained operational excellence. The Kaizen philosophy drives continuous efficiency gains, while strong employee involvement in problem-solving generates diverse perspectives and strengthens organisational learning (Denison, 1990). Cameron and Quinn's (2011) Competing Values Framework supports this view: Toyota's blend of clan and hierarchy cultures balances collaboration with operational discipline, enabling the company to maintain quality while adapting incrementally to market changes. Robbins and Judge (2017) argue that strong organisational cultures improve performance consistency — Toyota's global operational standardisation illustrates this principle effectively.</w:t>
      </w:r>
    </w:p>
    <w:p w14:paraId="05E0ACF7"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b/>
          <w:bCs/>
        </w:rPr>
        <w:t>Culture as Barrier</w:t>
      </w:r>
    </w:p>
    <w:p w14:paraId="175823EC" w14:textId="5C67E24F"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 xml:space="preserve">However, Toyota's culture has also functioned as a significant barrier. The 2009–2010 global recall crisis — involving over 8 million vehicles due to unintended acceleration defects — revealed a deeply troubling cultural paradox. Investigations suggested that employees were reluctant to escalate quality </w:t>
      </w:r>
      <w:r w:rsidRPr="005501D3">
        <w:rPr>
          <w:rFonts w:ascii="Times New Roman" w:hAnsi="Times New Roman" w:cs="Times New Roman"/>
        </w:rPr>
        <w:t>concerns to senior management, fearing this would conflict with the cultural norm of not disrupting production flow or causing embarrassment to the organisation (Liker, 2004). This reflects what Schein (2010) describes as a divergence between espoused values (quality and transparency) and basic underlying assumptions (conformity and hierarchy preservation) — a misalignment that can prove catastrophic in safety-critical industries.</w:t>
      </w:r>
      <w:r w:rsidR="003F0236" w:rsidRPr="005501D3">
        <w:rPr>
          <w:rFonts w:ascii="Times New Roman" w:hAnsi="Times New Roman" w:cs="Times New Roman"/>
        </w:rPr>
        <w:t xml:space="preserve"> Takeuchi, Osono and Shimizu (2008) identify this as one of Toyota's inherent contradictions — the same cultural forces that drive excellence can simultaneously suppress the transparency needed to prevent systemic failure.</w:t>
      </w:r>
    </w:p>
    <w:p w14:paraId="2B66E44F" w14:textId="06EE5199"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 xml:space="preserve">Furthermore, Toyota's consensus-based decision-making process (nemawashi) — while effective for incremental improvement — has been </w:t>
      </w:r>
      <w:r w:rsidR="000F7C87" w:rsidRPr="000F7C87">
        <w:rPr>
          <w:rFonts w:ascii="Times New Roman" w:hAnsi="Times New Roman" w:cs="Times New Roman"/>
        </w:rPr>
        <w:t>criticized</w:t>
      </w:r>
      <w:r w:rsidRPr="000F7C87">
        <w:rPr>
          <w:rFonts w:ascii="Times New Roman" w:hAnsi="Times New Roman" w:cs="Times New Roman"/>
        </w:rPr>
        <w:t xml:space="preserve"> for slowing strategic responses in fast-moving competitive environments. As Tesla and other electric vehicle manufacturers rapidly disrupted the market, Toyota's culturally embedded caution around radical change initially delayed its full commitment to battery electric vehicles (Mullins and Christy, 2016).</w:t>
      </w:r>
    </w:p>
    <w:p w14:paraId="7DC3B1B2" w14:textId="77777777" w:rsidR="005501D3" w:rsidRDefault="005501D3" w:rsidP="000F7C87">
      <w:pPr>
        <w:spacing w:line="360" w:lineRule="auto"/>
        <w:jc w:val="both"/>
        <w:rPr>
          <w:rFonts w:ascii="Times New Roman" w:hAnsi="Times New Roman" w:cs="Times New Roman"/>
          <w:b/>
          <w:bCs/>
        </w:rPr>
      </w:pPr>
    </w:p>
    <w:p w14:paraId="202E10F5" w14:textId="77777777" w:rsidR="005501D3" w:rsidRDefault="005501D3" w:rsidP="000F7C87">
      <w:pPr>
        <w:spacing w:line="360" w:lineRule="auto"/>
        <w:jc w:val="both"/>
        <w:rPr>
          <w:rFonts w:ascii="Times New Roman" w:hAnsi="Times New Roman" w:cs="Times New Roman"/>
          <w:b/>
          <w:bCs/>
        </w:rPr>
      </w:pPr>
    </w:p>
    <w:p w14:paraId="093661EF" w14:textId="77777777" w:rsidR="005501D3" w:rsidRDefault="005501D3" w:rsidP="000F7C87">
      <w:pPr>
        <w:spacing w:line="360" w:lineRule="auto"/>
        <w:jc w:val="both"/>
        <w:rPr>
          <w:rFonts w:ascii="Times New Roman" w:hAnsi="Times New Roman" w:cs="Times New Roman"/>
          <w:b/>
          <w:bCs/>
        </w:rPr>
      </w:pPr>
    </w:p>
    <w:p w14:paraId="255180CB" w14:textId="224D43FF"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b/>
          <w:bCs/>
        </w:rPr>
        <w:lastRenderedPageBreak/>
        <w:t>Conclusion on this dimension</w:t>
      </w:r>
    </w:p>
    <w:p w14:paraId="42C6BA45" w14:textId="3DFE11A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 xml:space="preserve">On balance, Toyota's organisational culture operates predominantly as an enabler of long-term </w:t>
      </w:r>
      <w:r w:rsidR="000F7C87" w:rsidRPr="000F7C87">
        <w:rPr>
          <w:rFonts w:ascii="Times New Roman" w:hAnsi="Times New Roman" w:cs="Times New Roman"/>
        </w:rPr>
        <w:t>performance but</w:t>
      </w:r>
      <w:r w:rsidRPr="000F7C87">
        <w:rPr>
          <w:rFonts w:ascii="Times New Roman" w:hAnsi="Times New Roman" w:cs="Times New Roman"/>
        </w:rPr>
        <w:t xml:space="preserve"> contains structural tendencies — particularly around conformity and consensus — that can become barriers during periods of rapid external disruption or when transparency is culturally discouraged. Addressing these tensions is essential for sustaining competitive advantage.</w:t>
      </w:r>
    </w:p>
    <w:p w14:paraId="169E501C" w14:textId="77777777" w:rsidR="00E95E5E" w:rsidRPr="000F7C87" w:rsidRDefault="000725F3" w:rsidP="000F7C87">
      <w:pPr>
        <w:pStyle w:val="Heading1"/>
        <w:spacing w:line="360" w:lineRule="auto"/>
        <w:jc w:val="both"/>
        <w:rPr>
          <w:rFonts w:ascii="Times New Roman" w:hAnsi="Times New Roman" w:cs="Times New Roman"/>
          <w:sz w:val="24"/>
          <w:szCs w:val="24"/>
        </w:rPr>
      </w:pPr>
      <w:bookmarkStart w:id="12" w:name="_Toc224332894"/>
      <w:r w:rsidRPr="000F7C87">
        <w:rPr>
          <w:rFonts w:ascii="Times New Roman" w:hAnsi="Times New Roman" w:cs="Times New Roman"/>
          <w:sz w:val="24"/>
          <w:szCs w:val="24"/>
        </w:rPr>
        <w:t xml:space="preserve">9. </w:t>
      </w:r>
      <w:r w:rsidR="00E95E5E" w:rsidRPr="000F7C87">
        <w:rPr>
          <w:rFonts w:ascii="Times New Roman" w:hAnsi="Times New Roman" w:cs="Times New Roman"/>
          <w:sz w:val="24"/>
          <w:szCs w:val="24"/>
        </w:rPr>
        <w:t>Impact of Organisational Culture on Performance</w:t>
      </w:r>
      <w:bookmarkEnd w:id="12"/>
    </w:p>
    <w:p w14:paraId="5273F353" w14:textId="643415F5"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Toyota's culture has been a primary driver of its competitive performance. Lean manufacturing, underpinned by Kaizen, has enabled the company to maintain industry-leading productivity and cost efficiency (Ohno, 1988). Employee involvement in decision-making generates continuous innovation at the operational level, while the organisation's quality-</w:t>
      </w:r>
      <w:r w:rsidR="005501D3" w:rsidRPr="000F7C87">
        <w:rPr>
          <w:rFonts w:ascii="Times New Roman" w:hAnsi="Times New Roman" w:cs="Times New Roman"/>
        </w:rPr>
        <w:t>centered</w:t>
      </w:r>
      <w:r w:rsidRPr="000F7C87">
        <w:rPr>
          <w:rFonts w:ascii="Times New Roman" w:hAnsi="Times New Roman" w:cs="Times New Roman"/>
        </w:rPr>
        <w:t xml:space="preserve"> culture has built a global reputation for vehicle reliability that directly strengthens customer loyalty and market share.</w:t>
      </w:r>
      <w:r w:rsidR="003F0236" w:rsidRPr="000F7C87">
        <w:rPr>
          <w:rFonts w:ascii="Times New Roman" w:hAnsi="Times New Roman" w:cs="Times New Roman"/>
        </w:rPr>
        <w:t xml:space="preserve"> Hogan and Coote (2014) confirm this relationship, arguing that strong organisational cultures which embed shared values into daily practice generate measurable improvements in innovation and long-term performance.</w:t>
      </w:r>
    </w:p>
    <w:p w14:paraId="454A96FC" w14:textId="77777777" w:rsidR="00E95E5E" w:rsidRPr="000F7C87" w:rsidRDefault="00E95E5E" w:rsidP="000F7C87">
      <w:pPr>
        <w:spacing w:line="360" w:lineRule="auto"/>
        <w:jc w:val="both"/>
        <w:rPr>
          <w:rFonts w:ascii="Times New Roman" w:hAnsi="Times New Roman" w:cs="Times New Roman"/>
        </w:rPr>
      </w:pPr>
      <w:r w:rsidRPr="000F7C87">
        <w:rPr>
          <w:rFonts w:ascii="Times New Roman" w:hAnsi="Times New Roman" w:cs="Times New Roman"/>
        </w:rPr>
        <w:t>However, as discussed in Section 8, cultural rigidity presents performance risks. The 2009–2010 recall crisis caused significant reputational damage and financial cost, demonstrating that cultural strength, when misaligned with transparency, can undermine the very performance it seeks to protect. Alvesson (2013) cautions that strong cultures carry the risk of cultural lock-in, where deeply embedded assumptions resist necessary adaptation. For Toyota, this tension between cultural stability and strategic flexibility represents its most significant ongoing performance challenge.</w:t>
      </w:r>
    </w:p>
    <w:p w14:paraId="04EB7BD7"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13" w:name="_Toc224332895"/>
      <w:r w:rsidRPr="000F7C87">
        <w:rPr>
          <w:rFonts w:ascii="Times New Roman" w:hAnsi="Times New Roman" w:cs="Times New Roman"/>
          <w:sz w:val="24"/>
          <w:szCs w:val="24"/>
        </w:rPr>
        <w:t>10. Recommendations</w:t>
      </w:r>
      <w:bookmarkEnd w:id="13"/>
    </w:p>
    <w:p w14:paraId="58FA8AFF"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Although Toyota’s organisational culture has contributed significantly to its success, there are several areas where improvements could be made.</w:t>
      </w:r>
    </w:p>
    <w:p w14:paraId="1EB332B4"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First, Toyota should continue strengthening its culture of innovation. While continuous improvement focuses on incremental changes, the organisation must also encourage more radical innovation in emerging areas such as electric vehicles and autonomous driving technologies.</w:t>
      </w:r>
    </w:p>
    <w:p w14:paraId="5BACE39A"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lastRenderedPageBreak/>
        <w:t>Second, Toyota should enhance cross-cultural management practices. As a global organisation, Toyota must ensure that employees across different regions understand and apply the company’s cultural values consistently.</w:t>
      </w:r>
    </w:p>
    <w:p w14:paraId="12A47E57"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Third, leadership development programmes should focus on developing managers who can balance operational efficiency with creativity and adaptability. Leaders play a crucial role in maintaining organisational culture and guiding employees through periods of change.</w:t>
      </w:r>
    </w:p>
    <w:p w14:paraId="5A122068" w14:textId="5A4096F6" w:rsidR="005501D3"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Finally, Toyota should continue integrating sustainability into its organisational culture. Environmental responsibility is becoming increasingly important within the automotive industry, and organisations that </w:t>
      </w:r>
      <w:r w:rsidR="000F7C87" w:rsidRPr="000F7C87">
        <w:rPr>
          <w:rFonts w:ascii="Times New Roman" w:hAnsi="Times New Roman" w:cs="Times New Roman"/>
        </w:rPr>
        <w:t>priorities</w:t>
      </w:r>
      <w:r w:rsidRPr="000F7C87">
        <w:rPr>
          <w:rFonts w:ascii="Times New Roman" w:hAnsi="Times New Roman" w:cs="Times New Roman"/>
        </w:rPr>
        <w:t xml:space="preserve"> sustainability will likely achieve long-term competitive advantages.</w:t>
      </w:r>
    </w:p>
    <w:p w14:paraId="7AEC3188" w14:textId="77777777" w:rsidR="005501D3" w:rsidRDefault="005501D3">
      <w:pPr>
        <w:rPr>
          <w:rFonts w:ascii="Times New Roman" w:hAnsi="Times New Roman" w:cs="Times New Roman"/>
        </w:rPr>
      </w:pPr>
      <w:r>
        <w:rPr>
          <w:rFonts w:ascii="Times New Roman" w:hAnsi="Times New Roman" w:cs="Times New Roman"/>
        </w:rPr>
        <w:br w:type="page"/>
      </w:r>
    </w:p>
    <w:p w14:paraId="047210AC" w14:textId="77777777" w:rsidR="000725F3" w:rsidRPr="000F7C87" w:rsidRDefault="000725F3" w:rsidP="000F7C87">
      <w:pPr>
        <w:pStyle w:val="Heading1"/>
        <w:spacing w:line="360" w:lineRule="auto"/>
        <w:jc w:val="both"/>
        <w:rPr>
          <w:rFonts w:ascii="Times New Roman" w:hAnsi="Times New Roman" w:cs="Times New Roman"/>
          <w:sz w:val="24"/>
          <w:szCs w:val="24"/>
        </w:rPr>
      </w:pPr>
      <w:bookmarkStart w:id="14" w:name="_Toc224332896"/>
      <w:r w:rsidRPr="000F7C87">
        <w:rPr>
          <w:rFonts w:ascii="Times New Roman" w:hAnsi="Times New Roman" w:cs="Times New Roman"/>
          <w:sz w:val="24"/>
          <w:szCs w:val="24"/>
        </w:rPr>
        <w:lastRenderedPageBreak/>
        <w:t>11. Conclusion</w:t>
      </w:r>
      <w:bookmarkEnd w:id="14"/>
    </w:p>
    <w:p w14:paraId="26F656A0"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Organisational culture plays a central role in shaping organisational structure, decision-making processes and overall performance. The case of </w:t>
      </w:r>
      <w:r w:rsidRPr="000F7C87">
        <w:rPr>
          <w:rFonts w:ascii="Times New Roman" w:hAnsi="Times New Roman" w:cs="Times New Roman"/>
          <w:b/>
          <w:bCs/>
        </w:rPr>
        <w:t>Toyota</w:t>
      </w:r>
      <w:r w:rsidRPr="000F7C87">
        <w:rPr>
          <w:rFonts w:ascii="Times New Roman" w:hAnsi="Times New Roman" w:cs="Times New Roman"/>
        </w:rPr>
        <w:t xml:space="preserve"> demonstrates how a strong organisational culture can support operational efficiency, employee engagement and long-term organisational success.</w:t>
      </w:r>
    </w:p>
    <w:p w14:paraId="5365FE2F"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Toyota’s culture is characterised by continuous improvement, teamwork and a strong commitment to quality. These cultural principles have helped the organisation develop innovative production systems and maintain high levels of operational performance.</w:t>
      </w:r>
    </w:p>
    <w:p w14:paraId="0AD5248C"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However, organisational culture must remain adaptable in order to respond to external environmental changes. As the automotive industry continues to evolve due to technological innovation and environmental challenges, Toyota must ensure that its culture supports both stability and flexibility.</w:t>
      </w:r>
    </w:p>
    <w:p w14:paraId="2DE7CFAC" w14:textId="40FDEC02" w:rsidR="000F7C87"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By strengthening innovation, promoting cross-cultural collaboration and maintaining its commitment to sustainability, Toyota can continue to develop an organisational culture that supports long-term organisational success.</w:t>
      </w:r>
    </w:p>
    <w:p w14:paraId="6853E6D6" w14:textId="77777777" w:rsidR="000F7C87" w:rsidRPr="000F7C87" w:rsidRDefault="000F7C87" w:rsidP="000F7C87">
      <w:pPr>
        <w:spacing w:line="360" w:lineRule="auto"/>
        <w:jc w:val="both"/>
        <w:rPr>
          <w:rFonts w:ascii="Times New Roman" w:hAnsi="Times New Roman" w:cs="Times New Roman"/>
        </w:rPr>
      </w:pPr>
      <w:r w:rsidRPr="000F7C87">
        <w:rPr>
          <w:rFonts w:ascii="Times New Roman" w:hAnsi="Times New Roman" w:cs="Times New Roman"/>
        </w:rPr>
        <w:br w:type="page"/>
      </w:r>
    </w:p>
    <w:p w14:paraId="546540EF" w14:textId="75CB7EF9" w:rsidR="000725F3" w:rsidRPr="000F7C87" w:rsidRDefault="000725F3" w:rsidP="000F7C87">
      <w:pPr>
        <w:pStyle w:val="Heading1"/>
        <w:spacing w:line="360" w:lineRule="auto"/>
        <w:jc w:val="both"/>
        <w:rPr>
          <w:rFonts w:ascii="Times New Roman" w:hAnsi="Times New Roman" w:cs="Times New Roman"/>
          <w:sz w:val="24"/>
          <w:szCs w:val="24"/>
        </w:rPr>
      </w:pPr>
      <w:bookmarkStart w:id="15" w:name="_Toc224332897"/>
      <w:r w:rsidRPr="000F7C87">
        <w:rPr>
          <w:rFonts w:ascii="Times New Roman" w:hAnsi="Times New Roman" w:cs="Times New Roman"/>
          <w:sz w:val="24"/>
          <w:szCs w:val="24"/>
        </w:rPr>
        <w:lastRenderedPageBreak/>
        <w:t>Reference List</w:t>
      </w:r>
      <w:bookmarkEnd w:id="15"/>
      <w:r w:rsidRPr="000F7C87">
        <w:rPr>
          <w:rFonts w:ascii="Times New Roman" w:hAnsi="Times New Roman" w:cs="Times New Roman"/>
          <w:sz w:val="24"/>
          <w:szCs w:val="24"/>
        </w:rPr>
        <w:t xml:space="preserve"> </w:t>
      </w:r>
    </w:p>
    <w:p w14:paraId="4B78FB5F"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Alvesson, M. (2013) </w:t>
      </w:r>
      <w:r w:rsidRPr="000F7C87">
        <w:rPr>
          <w:rFonts w:ascii="Times New Roman" w:hAnsi="Times New Roman" w:cs="Times New Roman"/>
          <w:i/>
          <w:iCs/>
        </w:rPr>
        <w:t>Understanding Organizational Culture</w:t>
      </w:r>
      <w:r w:rsidRPr="000F7C87">
        <w:rPr>
          <w:rFonts w:ascii="Times New Roman" w:hAnsi="Times New Roman" w:cs="Times New Roman"/>
        </w:rPr>
        <w:t>. London: Sage.</w:t>
      </w:r>
    </w:p>
    <w:p w14:paraId="7B505096"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Cameron, K. and Quinn, R. (2011) </w:t>
      </w:r>
      <w:r w:rsidRPr="000F7C87">
        <w:rPr>
          <w:rFonts w:ascii="Times New Roman" w:hAnsi="Times New Roman" w:cs="Times New Roman"/>
          <w:i/>
          <w:iCs/>
        </w:rPr>
        <w:t>Diagnosing and Changing Organizational Culture</w:t>
      </w:r>
      <w:r w:rsidRPr="000F7C87">
        <w:rPr>
          <w:rFonts w:ascii="Times New Roman" w:hAnsi="Times New Roman" w:cs="Times New Roman"/>
        </w:rPr>
        <w:t>. San Francisco: Jossey-Bass.</w:t>
      </w:r>
    </w:p>
    <w:p w14:paraId="08767E24"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Hofstede, G. (2011) ‘</w:t>
      </w:r>
      <w:proofErr w:type="spellStart"/>
      <w:r w:rsidRPr="000F7C87">
        <w:rPr>
          <w:rFonts w:ascii="Times New Roman" w:hAnsi="Times New Roman" w:cs="Times New Roman"/>
        </w:rPr>
        <w:t>Dimensionalizing</w:t>
      </w:r>
      <w:proofErr w:type="spellEnd"/>
      <w:r w:rsidRPr="000F7C87">
        <w:rPr>
          <w:rFonts w:ascii="Times New Roman" w:hAnsi="Times New Roman" w:cs="Times New Roman"/>
        </w:rPr>
        <w:t xml:space="preserve"> cultures: The Hofstede model in context’, </w:t>
      </w:r>
      <w:r w:rsidRPr="000F7C87">
        <w:rPr>
          <w:rFonts w:ascii="Times New Roman" w:hAnsi="Times New Roman" w:cs="Times New Roman"/>
          <w:i/>
          <w:iCs/>
        </w:rPr>
        <w:t>Online Readings in Psychology and Culture</w:t>
      </w:r>
      <w:r w:rsidRPr="000F7C87">
        <w:rPr>
          <w:rFonts w:ascii="Times New Roman" w:hAnsi="Times New Roman" w:cs="Times New Roman"/>
        </w:rPr>
        <w:t>, 2(1).</w:t>
      </w:r>
    </w:p>
    <w:p w14:paraId="79D7CAFC" w14:textId="638EDBFF" w:rsidR="003F0236" w:rsidRPr="000F7C87" w:rsidRDefault="003F0236" w:rsidP="000F7C87">
      <w:pPr>
        <w:spacing w:line="360" w:lineRule="auto"/>
        <w:jc w:val="both"/>
        <w:rPr>
          <w:rFonts w:ascii="Times New Roman" w:hAnsi="Times New Roman" w:cs="Times New Roman"/>
        </w:rPr>
      </w:pPr>
      <w:r w:rsidRPr="000F7C87">
        <w:rPr>
          <w:rFonts w:ascii="Times New Roman" w:hAnsi="Times New Roman" w:cs="Times New Roman"/>
        </w:rPr>
        <w:t xml:space="preserve">Hogan, S.J. and Coote, L.V. (2014) 'Organizational culture, innovation, and performance: A test of Schein's model', </w:t>
      </w:r>
      <w:r w:rsidRPr="000F7C87">
        <w:rPr>
          <w:rFonts w:ascii="Times New Roman" w:hAnsi="Times New Roman" w:cs="Times New Roman"/>
          <w:i/>
          <w:iCs/>
        </w:rPr>
        <w:t>Journal of Business Research</w:t>
      </w:r>
      <w:r w:rsidRPr="000F7C87">
        <w:rPr>
          <w:rFonts w:ascii="Times New Roman" w:hAnsi="Times New Roman" w:cs="Times New Roman"/>
        </w:rPr>
        <w:t>, 67(8), pp. 1609–1621.</w:t>
      </w:r>
    </w:p>
    <w:p w14:paraId="44D1E4C6"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Liker, J. (2004) </w:t>
      </w:r>
      <w:r w:rsidRPr="000F7C87">
        <w:rPr>
          <w:rFonts w:ascii="Times New Roman" w:hAnsi="Times New Roman" w:cs="Times New Roman"/>
          <w:i/>
          <w:iCs/>
        </w:rPr>
        <w:t>The Toyota Way: 14 Management Principles from the World’s Greatest Manufacturer</w:t>
      </w:r>
      <w:r w:rsidRPr="000F7C87">
        <w:rPr>
          <w:rFonts w:ascii="Times New Roman" w:hAnsi="Times New Roman" w:cs="Times New Roman"/>
        </w:rPr>
        <w:t>. New York: McGraw-Hill.</w:t>
      </w:r>
    </w:p>
    <w:p w14:paraId="43425486"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Martin, J. (2002) </w:t>
      </w:r>
      <w:r w:rsidRPr="000F7C87">
        <w:rPr>
          <w:rFonts w:ascii="Times New Roman" w:hAnsi="Times New Roman" w:cs="Times New Roman"/>
          <w:i/>
          <w:iCs/>
        </w:rPr>
        <w:t>Organizational Culture: Mapping the Terrain</w:t>
      </w:r>
      <w:r w:rsidRPr="000F7C87">
        <w:rPr>
          <w:rFonts w:ascii="Times New Roman" w:hAnsi="Times New Roman" w:cs="Times New Roman"/>
        </w:rPr>
        <w:t>. London: Sage.</w:t>
      </w:r>
    </w:p>
    <w:p w14:paraId="62B1754A"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Mullins, L. and Christy, G. (2016) </w:t>
      </w:r>
      <w:r w:rsidRPr="000F7C87">
        <w:rPr>
          <w:rFonts w:ascii="Times New Roman" w:hAnsi="Times New Roman" w:cs="Times New Roman"/>
          <w:i/>
          <w:iCs/>
        </w:rPr>
        <w:t>Management and Organisational Behaviour</w:t>
      </w:r>
      <w:r w:rsidRPr="000F7C87">
        <w:rPr>
          <w:rFonts w:ascii="Times New Roman" w:hAnsi="Times New Roman" w:cs="Times New Roman"/>
        </w:rPr>
        <w:t>. 11th ed. Harlow: Pearson.</w:t>
      </w:r>
    </w:p>
    <w:p w14:paraId="4CED8534"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Ohno, T. (1988) </w:t>
      </w:r>
      <w:r w:rsidRPr="000F7C87">
        <w:rPr>
          <w:rFonts w:ascii="Times New Roman" w:hAnsi="Times New Roman" w:cs="Times New Roman"/>
          <w:i/>
          <w:iCs/>
        </w:rPr>
        <w:t>Toyota Production System: Beyond Large-Scale Production</w:t>
      </w:r>
      <w:r w:rsidRPr="000F7C87">
        <w:rPr>
          <w:rFonts w:ascii="Times New Roman" w:hAnsi="Times New Roman" w:cs="Times New Roman"/>
        </w:rPr>
        <w:t>. Portland: Productivity Press.</w:t>
      </w:r>
    </w:p>
    <w:p w14:paraId="4F1BF641"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Robbins, S. and Judge, T. (2017) </w:t>
      </w:r>
      <w:r w:rsidRPr="000F7C87">
        <w:rPr>
          <w:rFonts w:ascii="Times New Roman" w:hAnsi="Times New Roman" w:cs="Times New Roman"/>
          <w:i/>
          <w:iCs/>
        </w:rPr>
        <w:t>Organizational Behaviour</w:t>
      </w:r>
      <w:r w:rsidRPr="000F7C87">
        <w:rPr>
          <w:rFonts w:ascii="Times New Roman" w:hAnsi="Times New Roman" w:cs="Times New Roman"/>
        </w:rPr>
        <w:t>. Harlow: Pearson.</w:t>
      </w:r>
    </w:p>
    <w:p w14:paraId="7EC2F7B2" w14:textId="77777777" w:rsidR="000725F3"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Schein, E. (2010) </w:t>
      </w:r>
      <w:r w:rsidRPr="000F7C87">
        <w:rPr>
          <w:rFonts w:ascii="Times New Roman" w:hAnsi="Times New Roman" w:cs="Times New Roman"/>
          <w:i/>
          <w:iCs/>
        </w:rPr>
        <w:t>Organizational Culture and Leadership</w:t>
      </w:r>
      <w:r w:rsidRPr="000F7C87">
        <w:rPr>
          <w:rFonts w:ascii="Times New Roman" w:hAnsi="Times New Roman" w:cs="Times New Roman"/>
        </w:rPr>
        <w:t>. San Francisco: Jossey-Bass.</w:t>
      </w:r>
    </w:p>
    <w:p w14:paraId="426B5011" w14:textId="05AEDB8A" w:rsidR="003F0236" w:rsidRPr="000F7C87" w:rsidRDefault="003F0236" w:rsidP="000F7C87">
      <w:pPr>
        <w:spacing w:line="360" w:lineRule="auto"/>
        <w:jc w:val="both"/>
        <w:rPr>
          <w:rFonts w:ascii="Times New Roman" w:hAnsi="Times New Roman" w:cs="Times New Roman"/>
        </w:rPr>
      </w:pPr>
      <w:r w:rsidRPr="000F7C87">
        <w:rPr>
          <w:rFonts w:ascii="Times New Roman" w:hAnsi="Times New Roman" w:cs="Times New Roman"/>
        </w:rPr>
        <w:t xml:space="preserve">Takeuchi, H., Osono, E. and Shimizu, N. (2008) 'The contradictions that drive Toyota's success', </w:t>
      </w:r>
      <w:r w:rsidRPr="000F7C87">
        <w:rPr>
          <w:rFonts w:ascii="Times New Roman" w:hAnsi="Times New Roman" w:cs="Times New Roman"/>
          <w:i/>
          <w:iCs/>
        </w:rPr>
        <w:t>Harvard Business Review</w:t>
      </w:r>
      <w:r w:rsidRPr="000F7C87">
        <w:rPr>
          <w:rFonts w:ascii="Times New Roman" w:hAnsi="Times New Roman" w:cs="Times New Roman"/>
        </w:rPr>
        <w:t>, 86(6), pp. 96–104.</w:t>
      </w:r>
    </w:p>
    <w:p w14:paraId="7B236C04" w14:textId="79D2AD6D" w:rsidR="00D97A78" w:rsidRPr="000F7C87" w:rsidRDefault="000725F3" w:rsidP="000F7C87">
      <w:pPr>
        <w:spacing w:line="360" w:lineRule="auto"/>
        <w:jc w:val="both"/>
        <w:rPr>
          <w:rFonts w:ascii="Times New Roman" w:hAnsi="Times New Roman" w:cs="Times New Roman"/>
        </w:rPr>
      </w:pPr>
      <w:r w:rsidRPr="000F7C87">
        <w:rPr>
          <w:rFonts w:ascii="Times New Roman" w:hAnsi="Times New Roman" w:cs="Times New Roman"/>
        </w:rPr>
        <w:t xml:space="preserve">Toyota Motor Corporation (2024) </w:t>
      </w:r>
      <w:r w:rsidRPr="000F7C87">
        <w:rPr>
          <w:rFonts w:ascii="Times New Roman" w:hAnsi="Times New Roman" w:cs="Times New Roman"/>
          <w:i/>
          <w:iCs/>
        </w:rPr>
        <w:t>Annual Report</w:t>
      </w:r>
      <w:r w:rsidRPr="000F7C87">
        <w:rPr>
          <w:rFonts w:ascii="Times New Roman" w:hAnsi="Times New Roman" w:cs="Times New Roman"/>
        </w:rPr>
        <w:t>. Toyota City: Toyota Motor Corporation.</w:t>
      </w:r>
    </w:p>
    <w:sectPr w:rsidR="00D97A78" w:rsidRPr="000F7C87" w:rsidSect="005501D3">
      <w:footerReference w:type="default" r:id="rId9"/>
      <w:pgSz w:w="12240" w:h="15840"/>
      <w:pgMar w:top="1440" w:right="1440" w:bottom="1267"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AD15F" w14:textId="77777777" w:rsidR="00A858D4" w:rsidRDefault="00A858D4" w:rsidP="005501D3">
      <w:pPr>
        <w:spacing w:after="0" w:line="240" w:lineRule="auto"/>
      </w:pPr>
      <w:r>
        <w:separator/>
      </w:r>
    </w:p>
  </w:endnote>
  <w:endnote w:type="continuationSeparator" w:id="0">
    <w:p w14:paraId="1F526D97" w14:textId="77777777" w:rsidR="00A858D4" w:rsidRDefault="00A858D4" w:rsidP="00550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1669294"/>
      <w:docPartObj>
        <w:docPartGallery w:val="Page Numbers (Bottom of Page)"/>
        <w:docPartUnique/>
      </w:docPartObj>
    </w:sdtPr>
    <w:sdtEndPr>
      <w:rPr>
        <w:noProof/>
      </w:rPr>
    </w:sdtEndPr>
    <w:sdtContent>
      <w:p w14:paraId="54846F71" w14:textId="50B5A9B2" w:rsidR="005501D3" w:rsidRDefault="00550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D7A4C" w14:textId="77777777" w:rsidR="005501D3" w:rsidRDefault="00550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7BC12" w14:textId="77777777" w:rsidR="00A858D4" w:rsidRDefault="00A858D4" w:rsidP="005501D3">
      <w:pPr>
        <w:spacing w:after="0" w:line="240" w:lineRule="auto"/>
      </w:pPr>
      <w:r>
        <w:separator/>
      </w:r>
    </w:p>
  </w:footnote>
  <w:footnote w:type="continuationSeparator" w:id="0">
    <w:p w14:paraId="68D73FF9" w14:textId="77777777" w:rsidR="00A858D4" w:rsidRDefault="00A858D4" w:rsidP="00550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56870"/>
    <w:multiLevelType w:val="multilevel"/>
    <w:tmpl w:val="B82E2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C754D1"/>
    <w:multiLevelType w:val="multilevel"/>
    <w:tmpl w:val="2CF417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0413B4"/>
    <w:multiLevelType w:val="multilevel"/>
    <w:tmpl w:val="2CFC2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CE5833"/>
    <w:multiLevelType w:val="multilevel"/>
    <w:tmpl w:val="BB6C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314C56"/>
    <w:multiLevelType w:val="multilevel"/>
    <w:tmpl w:val="6F3CAF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9A2D49"/>
    <w:multiLevelType w:val="multilevel"/>
    <w:tmpl w:val="0F7E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962F36"/>
    <w:multiLevelType w:val="multilevel"/>
    <w:tmpl w:val="A9D2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A6E3E"/>
    <w:multiLevelType w:val="hybridMultilevel"/>
    <w:tmpl w:val="4276FDAE"/>
    <w:lvl w:ilvl="0" w:tplc="FD94C648">
      <w:start w:val="1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9203B4"/>
    <w:multiLevelType w:val="multilevel"/>
    <w:tmpl w:val="A3D8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9B6455"/>
    <w:multiLevelType w:val="multilevel"/>
    <w:tmpl w:val="DD92E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1133370">
    <w:abstractNumId w:val="3"/>
  </w:num>
  <w:num w:numId="2" w16cid:durableId="1903590094">
    <w:abstractNumId w:val="2"/>
  </w:num>
  <w:num w:numId="3" w16cid:durableId="961348473">
    <w:abstractNumId w:val="4"/>
  </w:num>
  <w:num w:numId="4" w16cid:durableId="1018042532">
    <w:abstractNumId w:val="6"/>
  </w:num>
  <w:num w:numId="5" w16cid:durableId="1190217921">
    <w:abstractNumId w:val="1"/>
  </w:num>
  <w:num w:numId="6" w16cid:durableId="50273915">
    <w:abstractNumId w:val="5"/>
  </w:num>
  <w:num w:numId="7" w16cid:durableId="2059278013">
    <w:abstractNumId w:val="0"/>
  </w:num>
  <w:num w:numId="8" w16cid:durableId="443382178">
    <w:abstractNumId w:val="8"/>
  </w:num>
  <w:num w:numId="9" w16cid:durableId="1626160521">
    <w:abstractNumId w:val="9"/>
  </w:num>
  <w:num w:numId="10" w16cid:durableId="14645390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F2D"/>
    <w:rsid w:val="000725F3"/>
    <w:rsid w:val="000F7C87"/>
    <w:rsid w:val="00287FBF"/>
    <w:rsid w:val="003F0236"/>
    <w:rsid w:val="00453675"/>
    <w:rsid w:val="004D1FFB"/>
    <w:rsid w:val="004D5F62"/>
    <w:rsid w:val="005501D3"/>
    <w:rsid w:val="006D281D"/>
    <w:rsid w:val="00744A2D"/>
    <w:rsid w:val="00A858D4"/>
    <w:rsid w:val="00AB5266"/>
    <w:rsid w:val="00BF2F2D"/>
    <w:rsid w:val="00D97A78"/>
    <w:rsid w:val="00E95E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D1549"/>
  <w15:chartTrackingRefBased/>
  <w15:docId w15:val="{6E1E3F11-4379-49A2-A2A7-33536F8DD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F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2F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F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F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F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F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F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F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F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F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2F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F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F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F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F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F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F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F2D"/>
    <w:rPr>
      <w:rFonts w:eastAsiaTheme="majorEastAsia" w:cstheme="majorBidi"/>
      <w:color w:val="272727" w:themeColor="text1" w:themeTint="D8"/>
    </w:rPr>
  </w:style>
  <w:style w:type="paragraph" w:styleId="Title">
    <w:name w:val="Title"/>
    <w:basedOn w:val="Normal"/>
    <w:next w:val="Normal"/>
    <w:link w:val="TitleChar"/>
    <w:uiPriority w:val="10"/>
    <w:qFormat/>
    <w:rsid w:val="00BF2F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F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F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F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F2D"/>
    <w:pPr>
      <w:spacing w:before="160"/>
      <w:jc w:val="center"/>
    </w:pPr>
    <w:rPr>
      <w:i/>
      <w:iCs/>
      <w:color w:val="404040" w:themeColor="text1" w:themeTint="BF"/>
    </w:rPr>
  </w:style>
  <w:style w:type="character" w:customStyle="1" w:styleId="QuoteChar">
    <w:name w:val="Quote Char"/>
    <w:basedOn w:val="DefaultParagraphFont"/>
    <w:link w:val="Quote"/>
    <w:uiPriority w:val="29"/>
    <w:rsid w:val="00BF2F2D"/>
    <w:rPr>
      <w:i/>
      <w:iCs/>
      <w:color w:val="404040" w:themeColor="text1" w:themeTint="BF"/>
    </w:rPr>
  </w:style>
  <w:style w:type="paragraph" w:styleId="ListParagraph">
    <w:name w:val="List Paragraph"/>
    <w:basedOn w:val="Normal"/>
    <w:uiPriority w:val="34"/>
    <w:qFormat/>
    <w:rsid w:val="00BF2F2D"/>
    <w:pPr>
      <w:ind w:left="720"/>
      <w:contextualSpacing/>
    </w:pPr>
  </w:style>
  <w:style w:type="character" w:styleId="IntenseEmphasis">
    <w:name w:val="Intense Emphasis"/>
    <w:basedOn w:val="DefaultParagraphFont"/>
    <w:uiPriority w:val="21"/>
    <w:qFormat/>
    <w:rsid w:val="00BF2F2D"/>
    <w:rPr>
      <w:i/>
      <w:iCs/>
      <w:color w:val="0F4761" w:themeColor="accent1" w:themeShade="BF"/>
    </w:rPr>
  </w:style>
  <w:style w:type="paragraph" w:styleId="IntenseQuote">
    <w:name w:val="Intense Quote"/>
    <w:basedOn w:val="Normal"/>
    <w:next w:val="Normal"/>
    <w:link w:val="IntenseQuoteChar"/>
    <w:uiPriority w:val="30"/>
    <w:qFormat/>
    <w:rsid w:val="00BF2F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F2D"/>
    <w:rPr>
      <w:i/>
      <w:iCs/>
      <w:color w:val="0F4761" w:themeColor="accent1" w:themeShade="BF"/>
    </w:rPr>
  </w:style>
  <w:style w:type="character" w:styleId="IntenseReference">
    <w:name w:val="Intense Reference"/>
    <w:basedOn w:val="DefaultParagraphFont"/>
    <w:uiPriority w:val="32"/>
    <w:qFormat/>
    <w:rsid w:val="00BF2F2D"/>
    <w:rPr>
      <w:b/>
      <w:bCs/>
      <w:smallCaps/>
      <w:color w:val="0F4761" w:themeColor="accent1" w:themeShade="BF"/>
      <w:spacing w:val="5"/>
    </w:rPr>
  </w:style>
  <w:style w:type="paragraph" w:styleId="NoSpacing">
    <w:name w:val="No Spacing"/>
    <w:uiPriority w:val="1"/>
    <w:qFormat/>
    <w:rsid w:val="000F7C87"/>
    <w:pPr>
      <w:spacing w:after="0" w:line="240" w:lineRule="auto"/>
    </w:pPr>
  </w:style>
  <w:style w:type="paragraph" w:styleId="TOCHeading">
    <w:name w:val="TOC Heading"/>
    <w:basedOn w:val="Heading1"/>
    <w:next w:val="Normal"/>
    <w:uiPriority w:val="39"/>
    <w:unhideWhenUsed/>
    <w:qFormat/>
    <w:rsid w:val="005501D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501D3"/>
    <w:pPr>
      <w:spacing w:after="100"/>
    </w:pPr>
  </w:style>
  <w:style w:type="paragraph" w:styleId="TOC2">
    <w:name w:val="toc 2"/>
    <w:basedOn w:val="Normal"/>
    <w:next w:val="Normal"/>
    <w:autoRedefine/>
    <w:uiPriority w:val="39"/>
    <w:unhideWhenUsed/>
    <w:rsid w:val="005501D3"/>
    <w:pPr>
      <w:spacing w:after="100"/>
      <w:ind w:left="240"/>
    </w:pPr>
  </w:style>
  <w:style w:type="character" w:styleId="Hyperlink">
    <w:name w:val="Hyperlink"/>
    <w:basedOn w:val="DefaultParagraphFont"/>
    <w:uiPriority w:val="99"/>
    <w:unhideWhenUsed/>
    <w:rsid w:val="005501D3"/>
    <w:rPr>
      <w:color w:val="467886" w:themeColor="hyperlink"/>
      <w:u w:val="single"/>
    </w:rPr>
  </w:style>
  <w:style w:type="paragraph" w:styleId="Header">
    <w:name w:val="header"/>
    <w:basedOn w:val="Normal"/>
    <w:link w:val="HeaderChar"/>
    <w:uiPriority w:val="99"/>
    <w:unhideWhenUsed/>
    <w:rsid w:val="005501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1D3"/>
  </w:style>
  <w:style w:type="paragraph" w:styleId="Footer">
    <w:name w:val="footer"/>
    <w:basedOn w:val="Normal"/>
    <w:link w:val="FooterChar"/>
    <w:uiPriority w:val="99"/>
    <w:unhideWhenUsed/>
    <w:rsid w:val="005501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1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15</Pages>
  <Words>4054</Words>
  <Characters>23112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Popa (2332748)</dc:creator>
  <cp:keywords/>
  <dc:description/>
  <cp:lastModifiedBy>Alexandru Popa (2332748)</cp:lastModifiedBy>
  <cp:revision>3</cp:revision>
  <dcterms:created xsi:type="dcterms:W3CDTF">2026-03-11T21:51:00Z</dcterms:created>
  <dcterms:modified xsi:type="dcterms:W3CDTF">2026-03-13T22:25:00Z</dcterms:modified>
</cp:coreProperties>
</file>