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E810C" w14:textId="75508671" w:rsidR="001B3685" w:rsidRPr="00F00910" w:rsidRDefault="001B3685" w:rsidP="0033115A">
      <w:pPr>
        <w:jc w:val="center"/>
        <w:rPr>
          <w:sz w:val="22"/>
          <w:szCs w:val="22"/>
        </w:rPr>
      </w:pPr>
      <w:r w:rsidRPr="00F00910">
        <w:rPr>
          <w:noProof/>
        </w:rPr>
        <w:drawing>
          <wp:inline distT="0" distB="0" distL="0" distR="0" wp14:anchorId="4E524E31" wp14:editId="29E0766E">
            <wp:extent cx="5255503" cy="17430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55503" cy="1743075"/>
                    </a:xfrm>
                    <a:prstGeom prst="rect">
                      <a:avLst/>
                    </a:prstGeom>
                    <a:noFill/>
                    <a:ln>
                      <a:noFill/>
                    </a:ln>
                  </pic:spPr>
                </pic:pic>
              </a:graphicData>
            </a:graphic>
          </wp:inline>
        </w:drawing>
      </w:r>
    </w:p>
    <w:p w14:paraId="35FFD0FB" w14:textId="589A2790" w:rsidR="0033115A" w:rsidRDefault="00224357" w:rsidP="00FD62C7">
      <w:pPr>
        <w:widowControl w:val="0"/>
        <w:pBdr>
          <w:top w:val="nil"/>
          <w:left w:val="nil"/>
          <w:bottom w:val="nil"/>
          <w:right w:val="nil"/>
          <w:between w:val="nil"/>
        </w:pBdr>
        <w:spacing w:before="40" w:line="240" w:lineRule="auto"/>
        <w:rPr>
          <w:b/>
          <w:color w:val="000000"/>
          <w:sz w:val="56"/>
          <w:szCs w:val="56"/>
        </w:rPr>
      </w:pPr>
      <w:r w:rsidRPr="00224357">
        <w:rPr>
          <w:rFonts w:eastAsia="Arial"/>
          <w:b/>
          <w:color w:val="000000"/>
          <w:sz w:val="56"/>
          <w:szCs w:val="56"/>
        </w:rPr>
        <w:t xml:space="preserve">BSc Health and Social Care  </w:t>
      </w:r>
      <w:r w:rsidR="0033115A">
        <w:rPr>
          <w:rFonts w:eastAsia="Arial"/>
          <w:b/>
          <w:color w:val="000000"/>
          <w:sz w:val="56"/>
          <w:szCs w:val="56"/>
        </w:rPr>
        <w:t xml:space="preserve"> </w:t>
      </w:r>
    </w:p>
    <w:p w14:paraId="320106F3" w14:textId="66E2F5FC" w:rsidR="0033115A" w:rsidRDefault="0033115A" w:rsidP="00FD62C7">
      <w:pPr>
        <w:widowControl w:val="0"/>
        <w:pBdr>
          <w:top w:val="nil"/>
          <w:left w:val="nil"/>
          <w:bottom w:val="nil"/>
          <w:right w:val="nil"/>
          <w:between w:val="nil"/>
        </w:pBdr>
        <w:spacing w:before="520" w:line="240" w:lineRule="auto"/>
        <w:rPr>
          <w:b/>
          <w:i/>
          <w:color w:val="000000"/>
        </w:rPr>
      </w:pPr>
      <w:r>
        <w:rPr>
          <w:rFonts w:eastAsia="Arial"/>
          <w:b/>
          <w:i/>
          <w:color w:val="000000"/>
          <w:sz w:val="22"/>
          <w:szCs w:val="22"/>
        </w:rPr>
        <w:t xml:space="preserve">Student Name: </w:t>
      </w:r>
      <w:r w:rsidR="00435F45" w:rsidRPr="00435F45">
        <w:rPr>
          <w:rFonts w:eastAsia="Arial"/>
          <w:bCs/>
          <w:iCs/>
          <w:color w:val="000000"/>
          <w:sz w:val="22"/>
          <w:szCs w:val="22"/>
        </w:rPr>
        <w:t>Haniffa Bibi</w:t>
      </w:r>
    </w:p>
    <w:p w14:paraId="6C7462FA" w14:textId="426DBA62" w:rsidR="0033115A" w:rsidRPr="00435F45" w:rsidRDefault="0033115A" w:rsidP="00FD62C7">
      <w:pPr>
        <w:widowControl w:val="0"/>
        <w:pBdr>
          <w:top w:val="nil"/>
          <w:left w:val="nil"/>
          <w:bottom w:val="nil"/>
          <w:right w:val="nil"/>
          <w:between w:val="nil"/>
        </w:pBdr>
        <w:spacing w:before="520" w:line="240" w:lineRule="auto"/>
        <w:rPr>
          <w:bCs/>
          <w:iCs/>
          <w:color w:val="000000"/>
        </w:rPr>
      </w:pPr>
      <w:r>
        <w:rPr>
          <w:rFonts w:eastAsia="Arial"/>
          <w:b/>
          <w:i/>
          <w:color w:val="000000"/>
          <w:sz w:val="22"/>
          <w:szCs w:val="22"/>
        </w:rPr>
        <w:t xml:space="preserve">Student Number: </w:t>
      </w:r>
      <w:r w:rsidR="00435F45" w:rsidRPr="00435F45">
        <w:rPr>
          <w:rFonts w:eastAsia="Arial"/>
          <w:bCs/>
          <w:iCs/>
          <w:color w:val="000000"/>
          <w:sz w:val="22"/>
          <w:szCs w:val="22"/>
        </w:rPr>
        <w:t>2433268</w:t>
      </w:r>
    </w:p>
    <w:p w14:paraId="480614B2" w14:textId="30551BA9" w:rsidR="0033115A" w:rsidRDefault="0033115A" w:rsidP="00FD62C7">
      <w:pPr>
        <w:widowControl w:val="0"/>
        <w:pBdr>
          <w:top w:val="nil"/>
          <w:left w:val="nil"/>
          <w:bottom w:val="nil"/>
          <w:right w:val="nil"/>
          <w:between w:val="nil"/>
        </w:pBdr>
        <w:spacing w:before="520" w:line="240" w:lineRule="auto"/>
        <w:rPr>
          <w:i/>
          <w:color w:val="000000"/>
        </w:rPr>
      </w:pPr>
      <w:r>
        <w:rPr>
          <w:rFonts w:eastAsia="Arial"/>
          <w:b/>
          <w:i/>
          <w:color w:val="000000"/>
          <w:sz w:val="22"/>
          <w:szCs w:val="22"/>
        </w:rPr>
        <w:t xml:space="preserve">Course Name: </w:t>
      </w:r>
      <w:r w:rsidR="0032155E">
        <w:rPr>
          <w:rFonts w:eastAsia="Arial"/>
          <w:i/>
          <w:color w:val="000000"/>
          <w:sz w:val="22"/>
          <w:szCs w:val="22"/>
        </w:rPr>
        <w:t>BSc Health and Social Care</w:t>
      </w:r>
      <w:r>
        <w:rPr>
          <w:rFonts w:eastAsia="Arial"/>
          <w:i/>
          <w:color w:val="000000"/>
          <w:sz w:val="22"/>
          <w:szCs w:val="22"/>
        </w:rPr>
        <w:t xml:space="preserve">  </w:t>
      </w:r>
    </w:p>
    <w:p w14:paraId="7DAA55F7" w14:textId="6950C50C" w:rsidR="00782790" w:rsidRDefault="00782790" w:rsidP="00FD62C7">
      <w:pPr>
        <w:widowControl w:val="0"/>
        <w:pBdr>
          <w:top w:val="nil"/>
          <w:left w:val="nil"/>
          <w:bottom w:val="nil"/>
          <w:right w:val="nil"/>
          <w:between w:val="nil"/>
        </w:pBdr>
        <w:spacing w:before="520" w:line="240" w:lineRule="auto"/>
        <w:rPr>
          <w:rFonts w:eastAsia="Arial"/>
          <w:b/>
          <w:i/>
          <w:color w:val="000000"/>
          <w:sz w:val="22"/>
          <w:szCs w:val="22"/>
        </w:rPr>
      </w:pPr>
      <w:r>
        <w:rPr>
          <w:rFonts w:eastAsia="Arial"/>
          <w:b/>
          <w:i/>
          <w:color w:val="000000"/>
          <w:sz w:val="22"/>
          <w:szCs w:val="22"/>
        </w:rPr>
        <w:t xml:space="preserve">Module Name and Code: </w:t>
      </w:r>
      <w:r w:rsidRPr="00782790">
        <w:rPr>
          <w:rFonts w:eastAsia="Arial"/>
          <w:bCs/>
          <w:i/>
          <w:color w:val="000000"/>
          <w:sz w:val="22"/>
          <w:szCs w:val="22"/>
        </w:rPr>
        <w:t xml:space="preserve">Principle of Health and Social Care Practice BMHP5016 </w:t>
      </w:r>
    </w:p>
    <w:p w14:paraId="053360E6" w14:textId="449625FD" w:rsidR="00525F89" w:rsidRPr="00525F89" w:rsidRDefault="00525F89" w:rsidP="00FD62C7">
      <w:pPr>
        <w:widowControl w:val="0"/>
        <w:pBdr>
          <w:top w:val="nil"/>
          <w:left w:val="nil"/>
          <w:bottom w:val="nil"/>
          <w:right w:val="nil"/>
          <w:between w:val="nil"/>
        </w:pBdr>
        <w:spacing w:before="520" w:line="240" w:lineRule="auto"/>
        <w:rPr>
          <w:rFonts w:eastAsia="Arial"/>
          <w:bCs/>
          <w:i/>
          <w:color w:val="000000"/>
          <w:sz w:val="22"/>
          <w:szCs w:val="22"/>
        </w:rPr>
      </w:pPr>
      <w:r>
        <w:rPr>
          <w:rFonts w:eastAsia="Arial"/>
          <w:b/>
          <w:i/>
          <w:color w:val="000000"/>
          <w:sz w:val="22"/>
          <w:szCs w:val="22"/>
        </w:rPr>
        <w:t xml:space="preserve">Assignment title: </w:t>
      </w:r>
      <w:r>
        <w:rPr>
          <w:rFonts w:eastAsia="Arial"/>
          <w:bCs/>
          <w:i/>
          <w:color w:val="000000"/>
          <w:sz w:val="22"/>
          <w:szCs w:val="22"/>
        </w:rPr>
        <w:t>Component 1: Written Assignment (Reflective Report)</w:t>
      </w:r>
    </w:p>
    <w:p w14:paraId="2C54BE84" w14:textId="74C6AEF8" w:rsidR="0033115A" w:rsidRDefault="0033115A" w:rsidP="00FD62C7">
      <w:pPr>
        <w:widowControl w:val="0"/>
        <w:pBdr>
          <w:top w:val="nil"/>
          <w:left w:val="nil"/>
          <w:bottom w:val="nil"/>
          <w:right w:val="nil"/>
          <w:between w:val="nil"/>
        </w:pBdr>
        <w:spacing w:before="520" w:line="240" w:lineRule="auto"/>
        <w:rPr>
          <w:i/>
          <w:color w:val="000000"/>
        </w:rPr>
      </w:pPr>
      <w:r>
        <w:rPr>
          <w:rFonts w:eastAsia="Arial"/>
          <w:b/>
          <w:i/>
          <w:color w:val="000000"/>
          <w:sz w:val="22"/>
          <w:szCs w:val="22"/>
        </w:rPr>
        <w:t xml:space="preserve">Lecturer Name: </w:t>
      </w:r>
      <w:r w:rsidR="00044B5F">
        <w:rPr>
          <w:rFonts w:eastAsia="Arial"/>
          <w:i/>
          <w:color w:val="000000"/>
          <w:sz w:val="22"/>
          <w:szCs w:val="22"/>
        </w:rPr>
        <w:t>Azida Zainol</w:t>
      </w:r>
      <w:r>
        <w:rPr>
          <w:rFonts w:eastAsia="Arial"/>
          <w:i/>
          <w:color w:val="000000"/>
          <w:sz w:val="22"/>
          <w:szCs w:val="22"/>
        </w:rPr>
        <w:t xml:space="preserve"> </w:t>
      </w:r>
    </w:p>
    <w:p w14:paraId="4A1D9D3A" w14:textId="4287B557" w:rsidR="0033115A" w:rsidRPr="00E278E0" w:rsidRDefault="0033115A" w:rsidP="00FD62C7">
      <w:pPr>
        <w:widowControl w:val="0"/>
        <w:pBdr>
          <w:top w:val="nil"/>
          <w:left w:val="nil"/>
          <w:bottom w:val="nil"/>
          <w:right w:val="nil"/>
          <w:between w:val="nil"/>
        </w:pBdr>
        <w:spacing w:before="520" w:line="240" w:lineRule="auto"/>
        <w:rPr>
          <w:i/>
          <w:color w:val="000000"/>
        </w:rPr>
      </w:pPr>
      <w:r>
        <w:rPr>
          <w:rFonts w:eastAsia="Arial"/>
          <w:b/>
          <w:i/>
          <w:color w:val="000000"/>
          <w:sz w:val="22"/>
          <w:szCs w:val="22"/>
        </w:rPr>
        <w:t>Term</w:t>
      </w:r>
      <w:r>
        <w:rPr>
          <w:rFonts w:eastAsia="Arial"/>
          <w:i/>
          <w:color w:val="000000"/>
          <w:sz w:val="22"/>
          <w:szCs w:val="22"/>
        </w:rPr>
        <w:t xml:space="preserve">: </w:t>
      </w:r>
      <w:r w:rsidR="00AD0115" w:rsidRPr="00E278E0">
        <w:rPr>
          <w:rFonts w:eastAsia="Arial"/>
          <w:i/>
          <w:color w:val="000000"/>
          <w:sz w:val="22"/>
          <w:szCs w:val="22"/>
        </w:rPr>
        <w:t>August</w:t>
      </w:r>
      <w:r w:rsidRPr="00E278E0">
        <w:rPr>
          <w:rFonts w:eastAsia="Arial"/>
          <w:i/>
          <w:color w:val="000000"/>
          <w:sz w:val="22"/>
          <w:szCs w:val="22"/>
        </w:rPr>
        <w:t xml:space="preserve"> 202</w:t>
      </w:r>
      <w:r w:rsidR="00AD0115" w:rsidRPr="00E278E0">
        <w:rPr>
          <w:rFonts w:eastAsia="Arial"/>
          <w:i/>
          <w:color w:val="000000"/>
          <w:sz w:val="22"/>
          <w:szCs w:val="22"/>
        </w:rPr>
        <w:t>6</w:t>
      </w:r>
      <w:r w:rsidRPr="00E278E0">
        <w:rPr>
          <w:rFonts w:eastAsia="Arial"/>
          <w:i/>
          <w:color w:val="000000"/>
          <w:sz w:val="22"/>
          <w:szCs w:val="22"/>
        </w:rPr>
        <w:t xml:space="preserve"> </w:t>
      </w:r>
    </w:p>
    <w:p w14:paraId="6D259AA7" w14:textId="7DD24DFB" w:rsidR="0033115A" w:rsidRDefault="0033115A" w:rsidP="00FD62C7">
      <w:pPr>
        <w:widowControl w:val="0"/>
        <w:pBdr>
          <w:top w:val="nil"/>
          <w:left w:val="nil"/>
          <w:bottom w:val="nil"/>
          <w:right w:val="nil"/>
          <w:between w:val="nil"/>
        </w:pBdr>
        <w:spacing w:before="520" w:line="240" w:lineRule="auto"/>
        <w:rPr>
          <w:b/>
          <w:i/>
          <w:color w:val="000000"/>
        </w:rPr>
      </w:pPr>
      <w:r>
        <w:rPr>
          <w:rFonts w:eastAsia="Arial"/>
          <w:b/>
          <w:i/>
          <w:color w:val="000000"/>
          <w:sz w:val="22"/>
          <w:szCs w:val="22"/>
        </w:rPr>
        <w:t xml:space="preserve">Word count: </w:t>
      </w:r>
      <w:r w:rsidRPr="00E278E0">
        <w:rPr>
          <w:rFonts w:eastAsia="Arial"/>
          <w:bCs/>
          <w:i/>
          <w:color w:val="000000"/>
          <w:sz w:val="22"/>
          <w:szCs w:val="22"/>
        </w:rPr>
        <w:t>20</w:t>
      </w:r>
      <w:r w:rsidR="0047083B" w:rsidRPr="00E278E0">
        <w:rPr>
          <w:rFonts w:eastAsia="Arial"/>
          <w:bCs/>
          <w:i/>
          <w:color w:val="000000"/>
          <w:sz w:val="22"/>
          <w:szCs w:val="22"/>
        </w:rPr>
        <w:t>16</w:t>
      </w:r>
    </w:p>
    <w:p w14:paraId="746DE9EE" w14:textId="12F4A058" w:rsidR="0033115A" w:rsidRPr="00E278E0" w:rsidRDefault="0033115A" w:rsidP="00FD62C7">
      <w:pPr>
        <w:widowControl w:val="0"/>
        <w:pBdr>
          <w:top w:val="nil"/>
          <w:left w:val="nil"/>
          <w:bottom w:val="nil"/>
          <w:right w:val="nil"/>
          <w:between w:val="nil"/>
        </w:pBdr>
        <w:spacing w:before="520" w:line="240" w:lineRule="auto"/>
        <w:rPr>
          <w:bCs/>
          <w:i/>
          <w:color w:val="000000"/>
        </w:rPr>
      </w:pPr>
      <w:r>
        <w:rPr>
          <w:rFonts w:eastAsia="Arial"/>
          <w:b/>
          <w:i/>
          <w:color w:val="000000"/>
          <w:sz w:val="22"/>
          <w:szCs w:val="22"/>
        </w:rPr>
        <w:t>Submission deadline:</w:t>
      </w:r>
      <w:r w:rsidR="00E278E0">
        <w:rPr>
          <w:rFonts w:eastAsia="Arial"/>
          <w:b/>
          <w:i/>
          <w:color w:val="000000"/>
          <w:sz w:val="22"/>
          <w:szCs w:val="22"/>
        </w:rPr>
        <w:t xml:space="preserve"> </w:t>
      </w:r>
      <w:r w:rsidR="00E278E0">
        <w:rPr>
          <w:rFonts w:eastAsia="Arial"/>
          <w:bCs/>
          <w:i/>
          <w:color w:val="000000"/>
          <w:sz w:val="22"/>
          <w:szCs w:val="22"/>
        </w:rPr>
        <w:t>5</w:t>
      </w:r>
      <w:r w:rsidR="00E278E0" w:rsidRPr="00E278E0">
        <w:rPr>
          <w:rFonts w:eastAsia="Arial"/>
          <w:bCs/>
          <w:i/>
          <w:color w:val="000000"/>
          <w:sz w:val="22"/>
          <w:szCs w:val="22"/>
          <w:vertAlign w:val="superscript"/>
        </w:rPr>
        <w:t>th</w:t>
      </w:r>
      <w:r w:rsidR="00E278E0">
        <w:rPr>
          <w:rFonts w:eastAsia="Arial"/>
          <w:bCs/>
          <w:i/>
          <w:color w:val="000000"/>
          <w:sz w:val="22"/>
          <w:szCs w:val="22"/>
        </w:rPr>
        <w:t xml:space="preserve"> July 2026</w:t>
      </w:r>
    </w:p>
    <w:p w14:paraId="53482E80" w14:textId="05F3B957" w:rsidR="002D5C5A" w:rsidRDefault="002D5C5A" w:rsidP="0033115A"/>
    <w:p w14:paraId="132CBD4B" w14:textId="148A9105" w:rsidR="002D5C5A" w:rsidRPr="0049792C" w:rsidRDefault="002D5C5A" w:rsidP="0033115A"/>
    <w:p w14:paraId="1A8B6FB7" w14:textId="77777777" w:rsidR="002D5C5A" w:rsidRDefault="002D5C5A" w:rsidP="0033115A"/>
    <w:p w14:paraId="0AE95658" w14:textId="29A4B562" w:rsidR="002D5C5A" w:rsidRPr="001B3685" w:rsidRDefault="002D5C5A" w:rsidP="0033115A">
      <w:pPr>
        <w:rPr>
          <w:sz w:val="32"/>
          <w:szCs w:val="32"/>
        </w:rPr>
      </w:pPr>
      <w:r>
        <w:br w:type="page"/>
      </w:r>
    </w:p>
    <w:p w14:paraId="319DCF76" w14:textId="77777777" w:rsidR="00525F89" w:rsidRPr="00525F89" w:rsidRDefault="00525F89" w:rsidP="00525F89">
      <w:pPr>
        <w:pStyle w:val="TOCHeading"/>
        <w:spacing w:after="240" w:line="360" w:lineRule="auto"/>
        <w:jc w:val="center"/>
        <w:rPr>
          <w:rFonts w:ascii="Arial" w:hAnsi="Arial" w:cs="Arial"/>
          <w:b/>
          <w:bCs/>
          <w:color w:val="262626" w:themeColor="text1" w:themeTint="D9"/>
          <w:sz w:val="22"/>
          <w:szCs w:val="22"/>
        </w:rPr>
      </w:pPr>
      <w:bookmarkStart w:id="0" w:name="_Hlk233981499"/>
      <w:r w:rsidRPr="00525F89">
        <w:rPr>
          <w:rFonts w:ascii="Arial" w:hAnsi="Arial" w:cs="Arial"/>
          <w:b/>
          <w:bCs/>
          <w:color w:val="262626" w:themeColor="text1" w:themeTint="D9"/>
          <w:sz w:val="22"/>
          <w:szCs w:val="22"/>
        </w:rPr>
        <w:lastRenderedPageBreak/>
        <w:t>Table of Contents</w:t>
      </w:r>
    </w:p>
    <w:p w14:paraId="0DB54B10" w14:textId="644BF1A4" w:rsidR="00525F89" w:rsidRDefault="00525F89">
      <w:pPr>
        <w:pStyle w:val="TableofFigures"/>
        <w:tabs>
          <w:tab w:val="right" w:leader="dot" w:pos="9016"/>
        </w:tabs>
        <w:rPr>
          <w:rFonts w:asciiTheme="minorHAnsi" w:eastAsiaTheme="minorEastAsia" w:hAnsiTheme="minorHAnsi" w:cstheme="minorBidi"/>
          <w:noProof/>
          <w:color w:val="auto"/>
          <w:szCs w:val="22"/>
        </w:rPr>
      </w:pPr>
      <w:r>
        <w:fldChar w:fldCharType="begin"/>
      </w:r>
      <w:r>
        <w:instrText xml:space="preserve"> TOC \h \z \t "Heading 1" \c </w:instrText>
      </w:r>
      <w:r>
        <w:fldChar w:fldCharType="separate"/>
      </w:r>
      <w:hyperlink w:anchor="_Toc233988467" w:history="1">
        <w:r w:rsidRPr="00C82E36">
          <w:rPr>
            <w:rStyle w:val="Hyperlink"/>
            <w:noProof/>
          </w:rPr>
          <w:t>Introduction</w:t>
        </w:r>
        <w:r>
          <w:rPr>
            <w:noProof/>
            <w:webHidden/>
          </w:rPr>
          <w:tab/>
        </w:r>
        <w:r>
          <w:rPr>
            <w:noProof/>
            <w:webHidden/>
          </w:rPr>
          <w:fldChar w:fldCharType="begin"/>
        </w:r>
        <w:r>
          <w:rPr>
            <w:noProof/>
            <w:webHidden/>
          </w:rPr>
          <w:instrText xml:space="preserve"> PAGEREF _Toc233988467 \h </w:instrText>
        </w:r>
        <w:r>
          <w:rPr>
            <w:noProof/>
            <w:webHidden/>
          </w:rPr>
        </w:r>
        <w:r>
          <w:rPr>
            <w:noProof/>
            <w:webHidden/>
          </w:rPr>
          <w:fldChar w:fldCharType="separate"/>
        </w:r>
        <w:r w:rsidR="00B540C7">
          <w:rPr>
            <w:noProof/>
            <w:webHidden/>
          </w:rPr>
          <w:t>2</w:t>
        </w:r>
        <w:r>
          <w:rPr>
            <w:noProof/>
            <w:webHidden/>
          </w:rPr>
          <w:fldChar w:fldCharType="end"/>
        </w:r>
      </w:hyperlink>
    </w:p>
    <w:p w14:paraId="7F0D61E0" w14:textId="2A365595" w:rsidR="00525F89" w:rsidRDefault="00525F89">
      <w:pPr>
        <w:pStyle w:val="TableofFigures"/>
        <w:tabs>
          <w:tab w:val="right" w:leader="dot" w:pos="9016"/>
        </w:tabs>
        <w:rPr>
          <w:rFonts w:asciiTheme="minorHAnsi" w:eastAsiaTheme="minorEastAsia" w:hAnsiTheme="minorHAnsi" w:cstheme="minorBidi"/>
          <w:noProof/>
          <w:color w:val="auto"/>
          <w:szCs w:val="22"/>
        </w:rPr>
      </w:pPr>
      <w:hyperlink w:anchor="_Toc233988468" w:history="1">
        <w:r w:rsidRPr="00C82E36">
          <w:rPr>
            <w:rStyle w:val="Hyperlink"/>
            <w:noProof/>
          </w:rPr>
          <w:t>Task 1: Reflection on importance of principles</w:t>
        </w:r>
        <w:r>
          <w:rPr>
            <w:noProof/>
            <w:webHidden/>
          </w:rPr>
          <w:tab/>
        </w:r>
        <w:r>
          <w:rPr>
            <w:noProof/>
            <w:webHidden/>
          </w:rPr>
          <w:fldChar w:fldCharType="begin"/>
        </w:r>
        <w:r>
          <w:rPr>
            <w:noProof/>
            <w:webHidden/>
          </w:rPr>
          <w:instrText xml:space="preserve"> PAGEREF _Toc233988468 \h </w:instrText>
        </w:r>
        <w:r>
          <w:rPr>
            <w:noProof/>
            <w:webHidden/>
          </w:rPr>
        </w:r>
        <w:r>
          <w:rPr>
            <w:noProof/>
            <w:webHidden/>
          </w:rPr>
          <w:fldChar w:fldCharType="separate"/>
        </w:r>
        <w:r w:rsidR="00B540C7">
          <w:rPr>
            <w:noProof/>
            <w:webHidden/>
          </w:rPr>
          <w:t>2</w:t>
        </w:r>
        <w:r>
          <w:rPr>
            <w:noProof/>
            <w:webHidden/>
          </w:rPr>
          <w:fldChar w:fldCharType="end"/>
        </w:r>
      </w:hyperlink>
    </w:p>
    <w:p w14:paraId="3F70D000" w14:textId="583CDDDD" w:rsidR="00525F89" w:rsidRDefault="00525F89">
      <w:pPr>
        <w:pStyle w:val="TableofFigures"/>
        <w:tabs>
          <w:tab w:val="right" w:leader="dot" w:pos="9016"/>
        </w:tabs>
        <w:rPr>
          <w:rFonts w:asciiTheme="minorHAnsi" w:eastAsiaTheme="minorEastAsia" w:hAnsiTheme="minorHAnsi" w:cstheme="minorBidi"/>
          <w:noProof/>
          <w:color w:val="auto"/>
          <w:szCs w:val="22"/>
        </w:rPr>
      </w:pPr>
      <w:hyperlink w:anchor="_Toc233988469" w:history="1">
        <w:r w:rsidRPr="00C82E36">
          <w:rPr>
            <w:rStyle w:val="Hyperlink"/>
            <w:noProof/>
          </w:rPr>
          <w:t>Task 2: Practical example in practice</w:t>
        </w:r>
        <w:r>
          <w:rPr>
            <w:noProof/>
            <w:webHidden/>
          </w:rPr>
          <w:tab/>
        </w:r>
        <w:r>
          <w:rPr>
            <w:noProof/>
            <w:webHidden/>
          </w:rPr>
          <w:fldChar w:fldCharType="begin"/>
        </w:r>
        <w:r>
          <w:rPr>
            <w:noProof/>
            <w:webHidden/>
          </w:rPr>
          <w:instrText xml:space="preserve"> PAGEREF _Toc233988469 \h </w:instrText>
        </w:r>
        <w:r>
          <w:rPr>
            <w:noProof/>
            <w:webHidden/>
          </w:rPr>
        </w:r>
        <w:r>
          <w:rPr>
            <w:noProof/>
            <w:webHidden/>
          </w:rPr>
          <w:fldChar w:fldCharType="separate"/>
        </w:r>
        <w:r w:rsidR="00B540C7">
          <w:rPr>
            <w:noProof/>
            <w:webHidden/>
          </w:rPr>
          <w:t>3</w:t>
        </w:r>
        <w:r>
          <w:rPr>
            <w:noProof/>
            <w:webHidden/>
          </w:rPr>
          <w:fldChar w:fldCharType="end"/>
        </w:r>
      </w:hyperlink>
    </w:p>
    <w:p w14:paraId="65E87321" w14:textId="6B167CC3" w:rsidR="00525F89" w:rsidRDefault="00525F89">
      <w:pPr>
        <w:pStyle w:val="TableofFigures"/>
        <w:tabs>
          <w:tab w:val="right" w:leader="dot" w:pos="9016"/>
        </w:tabs>
        <w:rPr>
          <w:rFonts w:asciiTheme="minorHAnsi" w:eastAsiaTheme="minorEastAsia" w:hAnsiTheme="minorHAnsi" w:cstheme="minorBidi"/>
          <w:noProof/>
          <w:color w:val="auto"/>
          <w:szCs w:val="22"/>
        </w:rPr>
      </w:pPr>
      <w:hyperlink w:anchor="_Toc233988470" w:history="1">
        <w:r w:rsidRPr="00C82E36">
          <w:rPr>
            <w:rStyle w:val="Hyperlink"/>
            <w:noProof/>
          </w:rPr>
          <w:t>Task 3: Self-reflection</w:t>
        </w:r>
        <w:r>
          <w:rPr>
            <w:noProof/>
            <w:webHidden/>
          </w:rPr>
          <w:tab/>
        </w:r>
        <w:r>
          <w:rPr>
            <w:noProof/>
            <w:webHidden/>
          </w:rPr>
          <w:fldChar w:fldCharType="begin"/>
        </w:r>
        <w:r>
          <w:rPr>
            <w:noProof/>
            <w:webHidden/>
          </w:rPr>
          <w:instrText xml:space="preserve"> PAGEREF _Toc233988470 \h </w:instrText>
        </w:r>
        <w:r>
          <w:rPr>
            <w:noProof/>
            <w:webHidden/>
          </w:rPr>
        </w:r>
        <w:r>
          <w:rPr>
            <w:noProof/>
            <w:webHidden/>
          </w:rPr>
          <w:fldChar w:fldCharType="separate"/>
        </w:r>
        <w:r w:rsidR="00B540C7">
          <w:rPr>
            <w:noProof/>
            <w:webHidden/>
          </w:rPr>
          <w:t>4</w:t>
        </w:r>
        <w:r>
          <w:rPr>
            <w:noProof/>
            <w:webHidden/>
          </w:rPr>
          <w:fldChar w:fldCharType="end"/>
        </w:r>
      </w:hyperlink>
    </w:p>
    <w:p w14:paraId="21959EBE" w14:textId="6E7C1AD9" w:rsidR="00525F89" w:rsidRDefault="00525F89">
      <w:pPr>
        <w:pStyle w:val="TableofFigures"/>
        <w:tabs>
          <w:tab w:val="right" w:leader="dot" w:pos="9016"/>
        </w:tabs>
        <w:rPr>
          <w:rFonts w:asciiTheme="minorHAnsi" w:eastAsiaTheme="minorEastAsia" w:hAnsiTheme="minorHAnsi" w:cstheme="minorBidi"/>
          <w:noProof/>
          <w:color w:val="auto"/>
          <w:szCs w:val="22"/>
        </w:rPr>
      </w:pPr>
      <w:hyperlink w:anchor="_Toc233988471" w:history="1">
        <w:r w:rsidRPr="00C82E36">
          <w:rPr>
            <w:rStyle w:val="Hyperlink"/>
            <w:noProof/>
          </w:rPr>
          <w:t>Conclusion</w:t>
        </w:r>
        <w:r>
          <w:rPr>
            <w:noProof/>
            <w:webHidden/>
          </w:rPr>
          <w:tab/>
        </w:r>
        <w:r>
          <w:rPr>
            <w:noProof/>
            <w:webHidden/>
          </w:rPr>
          <w:fldChar w:fldCharType="begin"/>
        </w:r>
        <w:r>
          <w:rPr>
            <w:noProof/>
            <w:webHidden/>
          </w:rPr>
          <w:instrText xml:space="preserve"> PAGEREF _Toc233988471 \h </w:instrText>
        </w:r>
        <w:r>
          <w:rPr>
            <w:noProof/>
            <w:webHidden/>
          </w:rPr>
        </w:r>
        <w:r>
          <w:rPr>
            <w:noProof/>
            <w:webHidden/>
          </w:rPr>
          <w:fldChar w:fldCharType="separate"/>
        </w:r>
        <w:r w:rsidR="00B540C7">
          <w:rPr>
            <w:noProof/>
            <w:webHidden/>
          </w:rPr>
          <w:t>6</w:t>
        </w:r>
        <w:r>
          <w:rPr>
            <w:noProof/>
            <w:webHidden/>
          </w:rPr>
          <w:fldChar w:fldCharType="end"/>
        </w:r>
      </w:hyperlink>
    </w:p>
    <w:p w14:paraId="03F7AC21" w14:textId="7C6BBA77" w:rsidR="00525F89" w:rsidRDefault="00525F89">
      <w:pPr>
        <w:pStyle w:val="TableofFigures"/>
        <w:tabs>
          <w:tab w:val="right" w:leader="dot" w:pos="9016"/>
        </w:tabs>
        <w:rPr>
          <w:rFonts w:asciiTheme="minorHAnsi" w:eastAsiaTheme="minorEastAsia" w:hAnsiTheme="minorHAnsi" w:cstheme="minorBidi"/>
          <w:noProof/>
          <w:color w:val="auto"/>
          <w:szCs w:val="22"/>
        </w:rPr>
      </w:pPr>
      <w:hyperlink w:anchor="_Toc233988472" w:history="1">
        <w:r w:rsidRPr="00C82E36">
          <w:rPr>
            <w:rStyle w:val="Hyperlink"/>
            <w:noProof/>
          </w:rPr>
          <w:t>References</w:t>
        </w:r>
        <w:r>
          <w:rPr>
            <w:noProof/>
            <w:webHidden/>
          </w:rPr>
          <w:tab/>
        </w:r>
        <w:r>
          <w:rPr>
            <w:noProof/>
            <w:webHidden/>
          </w:rPr>
          <w:fldChar w:fldCharType="begin"/>
        </w:r>
        <w:r>
          <w:rPr>
            <w:noProof/>
            <w:webHidden/>
          </w:rPr>
          <w:instrText xml:space="preserve"> PAGEREF _Toc233988472 \h </w:instrText>
        </w:r>
        <w:r>
          <w:rPr>
            <w:noProof/>
            <w:webHidden/>
          </w:rPr>
        </w:r>
        <w:r>
          <w:rPr>
            <w:noProof/>
            <w:webHidden/>
          </w:rPr>
          <w:fldChar w:fldCharType="separate"/>
        </w:r>
        <w:r w:rsidR="00B540C7">
          <w:rPr>
            <w:noProof/>
            <w:webHidden/>
          </w:rPr>
          <w:t>7</w:t>
        </w:r>
        <w:r>
          <w:rPr>
            <w:noProof/>
            <w:webHidden/>
          </w:rPr>
          <w:fldChar w:fldCharType="end"/>
        </w:r>
      </w:hyperlink>
    </w:p>
    <w:p w14:paraId="65B509A8" w14:textId="4F931DF1" w:rsidR="002D5C5A" w:rsidRPr="0012634D" w:rsidRDefault="00525F89" w:rsidP="0033115A">
      <w:r>
        <w:fldChar w:fldCharType="end"/>
      </w:r>
      <w:r w:rsidR="002D5C5A" w:rsidRPr="0012634D">
        <w:br w:type="page"/>
      </w:r>
    </w:p>
    <w:p w14:paraId="21AFE1C3" w14:textId="77777777" w:rsidR="0033115A" w:rsidRPr="00044B5F" w:rsidRDefault="0033115A" w:rsidP="00044B5F">
      <w:pPr>
        <w:pStyle w:val="Heading1"/>
      </w:pPr>
      <w:bookmarkStart w:id="1" w:name="_Toc233988467"/>
      <w:bookmarkStart w:id="2" w:name="_Hlk232693832"/>
      <w:r w:rsidRPr="00044B5F">
        <w:lastRenderedPageBreak/>
        <w:t>Introduction</w:t>
      </w:r>
      <w:bookmarkEnd w:id="1"/>
    </w:p>
    <w:p w14:paraId="7374ACD6" w14:textId="64F1AE49" w:rsidR="0033115A" w:rsidRPr="00044B5F" w:rsidRDefault="0033115A" w:rsidP="0033115A">
      <w:pPr>
        <w:rPr>
          <w:sz w:val="22"/>
          <w:szCs w:val="22"/>
        </w:rPr>
      </w:pPr>
      <w:r w:rsidRPr="00044B5F">
        <w:rPr>
          <w:sz w:val="22"/>
          <w:szCs w:val="22"/>
        </w:rPr>
        <w:t>The United Kingdom, as a well-developed country, has been promoting safe and effective care for individuals using certain social and healthcare practices. The concept of patient-centric and ethical health and wellness care has been a crucial principle of the UK's National Health Service (NHS). The significant implications of such principles help empower collaboration in service delivery and engage social responsibility in health services. In this report, the aim is to identify the importance of principles in health and social care following a real case study of Joan as published in NHS England. It is expected to explore the patient-specific care and ethical responsibility undertaken by the health and social care workers to ensure profound changes in Joan’s life in partnership with relevant institutions. The critical analysis of three principles and their challenges in Joan’s case using evidence from policies or guidelines from the Health and Care Act 2022 and Person-Centred Care Framework contains significant contributions to understanding the importance of health and care principles at individual and group level. </w:t>
      </w:r>
    </w:p>
    <w:p w14:paraId="5E177405" w14:textId="77777777" w:rsidR="0033115A" w:rsidRPr="00044B5F" w:rsidRDefault="0033115A" w:rsidP="00044B5F">
      <w:pPr>
        <w:pStyle w:val="Heading1"/>
      </w:pPr>
      <w:bookmarkStart w:id="3" w:name="_Toc233988468"/>
      <w:r w:rsidRPr="00044B5F">
        <w:t>Task 1: Reflection on importance of principles</w:t>
      </w:r>
      <w:bookmarkEnd w:id="3"/>
    </w:p>
    <w:p w14:paraId="44CABB68" w14:textId="7AB68569" w:rsidR="0033115A" w:rsidRPr="00044B5F" w:rsidRDefault="0033115A" w:rsidP="0033115A">
      <w:pPr>
        <w:rPr>
          <w:sz w:val="22"/>
          <w:szCs w:val="22"/>
        </w:rPr>
      </w:pPr>
      <w:r w:rsidRPr="00044B5F">
        <w:rPr>
          <w:sz w:val="22"/>
          <w:szCs w:val="22"/>
        </w:rPr>
        <w:t>A crucial part of high-quality care is ensuring people have equal partners in planning their care and taking informed decisions related to it. Based on NICE’s (National Institute for Health and Care Excellence) principles, guidance to meet population needs is identifying care with high quality, good value and best results for people using health and social care services within budget (NICE, n.d.). Similarly, person-centric care is identified as an approach used for active involvement of individuals in decision-making. This is related to the NICE’s value in providing good value and equal partners in planning care and informed decision-making in health care services. For instance, using personalised services as per person-centred requirements and individual needs indicates person-centric care decisions in health and social care services (Riley and Jones, 2022). As a fundamental principle, the person-centred aspect helps satisfy patients and enable motivation in open communication regarding health and social care needs. The advantage lies in the better involvement of individuals in treatment plans by sharing their preferences. Yet, person-centric principal utilisation is challenging due to the complex and time-consuming process that often hinders daily operations in highly busy healthcare settings. </w:t>
      </w:r>
    </w:p>
    <w:p w14:paraId="30846B96" w14:textId="27F89257" w:rsidR="0033115A" w:rsidRPr="00044B5F" w:rsidRDefault="0033115A" w:rsidP="0033115A">
      <w:pPr>
        <w:rPr>
          <w:sz w:val="22"/>
          <w:szCs w:val="22"/>
        </w:rPr>
      </w:pPr>
      <w:r w:rsidRPr="00044B5F">
        <w:rPr>
          <w:sz w:val="22"/>
          <w:szCs w:val="22"/>
        </w:rPr>
        <w:t xml:space="preserve">The second principle involves partnership for collaboration in healthcare activities between care practitioners, medical professions, service users and their families. According to Kern </w:t>
      </w:r>
      <w:r w:rsidRPr="00044B5F">
        <w:rPr>
          <w:i/>
          <w:iCs/>
          <w:sz w:val="22"/>
          <w:szCs w:val="22"/>
        </w:rPr>
        <w:t xml:space="preserve">et al. </w:t>
      </w:r>
      <w:r w:rsidRPr="00044B5F">
        <w:rPr>
          <w:sz w:val="22"/>
          <w:szCs w:val="22"/>
        </w:rPr>
        <w:t xml:space="preserve">(2024), effective partnership helps provide a relevant and coordinated care plan instead of fragmented services. Based on the practices and guidelines of NICE advisory committees use their own discretion during guidance and standards development to ensure equal partnership </w:t>
      </w:r>
      <w:r w:rsidRPr="00044B5F">
        <w:rPr>
          <w:sz w:val="22"/>
          <w:szCs w:val="22"/>
        </w:rPr>
        <w:lastRenderedPageBreak/>
        <w:t>impact on planning care and decision-making becomes relevant (NICE, n.d.). This provides benefits of better coordination among departments, but holds disadvantages of unrealistic demand growth from individual caretaking persons. It increases complications and conflict between partners or departments working as a team for a particular case. Eventually, shared knowledge and expertise in health and social care become obsolete if unrealistic targets and demands are put on the partnered teams. </w:t>
      </w:r>
    </w:p>
    <w:p w14:paraId="6320150F" w14:textId="2639B21B" w:rsidR="0033115A" w:rsidRPr="00044B5F" w:rsidRDefault="0033115A" w:rsidP="0033115A">
      <w:pPr>
        <w:rPr>
          <w:sz w:val="22"/>
          <w:szCs w:val="22"/>
        </w:rPr>
      </w:pPr>
      <w:r w:rsidRPr="00044B5F">
        <w:rPr>
          <w:sz w:val="22"/>
          <w:szCs w:val="22"/>
        </w:rPr>
        <w:t xml:space="preserve">Ethics as the third principle in health and social care services reflects morale in guiding professionals in authentic and legal decisions for patients or users of the service. Ethical practices in social and health practices have been an integral part of professional values to refrain from autonomy and non-maleficence issues (Kaczmarek </w:t>
      </w:r>
      <w:r w:rsidRPr="00044B5F">
        <w:rPr>
          <w:i/>
          <w:iCs/>
          <w:sz w:val="22"/>
          <w:szCs w:val="22"/>
        </w:rPr>
        <w:t xml:space="preserve">et al., </w:t>
      </w:r>
      <w:r w:rsidRPr="00044B5F">
        <w:rPr>
          <w:sz w:val="22"/>
          <w:szCs w:val="22"/>
        </w:rPr>
        <w:t>2025). Based on the health and care environment, ethical decisions in individual treatment help reduce discrimination and biased treatments. In addition, the advantages of ethical principles in this service ensure higher trust and professional conduct between professionals giving treatment and individuals receiving treatment. An example of an ethical decision includes HCPC’s response to the Department of Health and Social Care’s (DHSC) consultation to reform the General Medical Council (GMC) legislative framework in July 2026 (HCPC, 2026). The objective was to align the overarching objectives of regulatory reform and shared concerns with PSA evidence in fitness-to-practise grounds for action, which relates to the Health and Care Act of 2022 (Legislation, 2022). Although reforms with regulatory councils often involve critical decisions and high resource contribution, the significance lies in their aim to retain psychological and social esteem. This can be related to Maslow’s Hierarchy of Needs Theory that reflects individual needs staged from physiological, safety, social, self-esteem, and self-actualisation requirements (Calicchio, 2023).       </w:t>
      </w:r>
    </w:p>
    <w:p w14:paraId="60D4C9CC" w14:textId="264F9802" w:rsidR="0033115A" w:rsidRPr="00A0615F" w:rsidRDefault="0033115A" w:rsidP="00A0615F">
      <w:pPr>
        <w:pStyle w:val="Heading1"/>
      </w:pPr>
      <w:bookmarkStart w:id="4" w:name="_Toc233988469"/>
      <w:r w:rsidRPr="00044B5F">
        <w:t>Task 2: Practical example in practice</w:t>
      </w:r>
      <w:bookmarkEnd w:id="4"/>
    </w:p>
    <w:p w14:paraId="5E4E7FC8" w14:textId="6D9B95F2" w:rsidR="0033115A" w:rsidRPr="00044B5F" w:rsidRDefault="0033115A" w:rsidP="0033115A">
      <w:pPr>
        <w:rPr>
          <w:sz w:val="22"/>
          <w:szCs w:val="22"/>
        </w:rPr>
      </w:pPr>
      <w:r w:rsidRPr="00044B5F">
        <w:rPr>
          <w:sz w:val="22"/>
          <w:szCs w:val="22"/>
        </w:rPr>
        <w:t xml:space="preserve">Joan’s case as publicly presented by NHS England reflects the importance and advantages of person-centric, partnership-based ethical practices in health and social care services. Based on the observation of all three principles in Joan’s story, it is visible that the patient was suffering from different health issues that created several hurdles to her freedom and quality of life. Compared to traditional norms of focusing on clinical intervention, Joan’s professional caregiver focused on collaborative initiative. The collaboration with both professionals and Joan herself was to understand crucial factors in her development that can reflect her objectives and preferences for health care services (NHS England, 2026). In the case of Joan, person-centric care reflected her wishes and preferences in treatment instead of traditional medical support. The professionals involved Joan in open communication to understand her situation and future desires to make sure the care plan was personalised to such desires. For </w:t>
      </w:r>
      <w:r w:rsidRPr="00044B5F">
        <w:rPr>
          <w:sz w:val="22"/>
          <w:szCs w:val="22"/>
        </w:rPr>
        <w:lastRenderedPageBreak/>
        <w:t xml:space="preserve">instance, her therapist asked her to take part in the Patient Activation Measurement (PAM survey to identify how an individual </w:t>
      </w:r>
      <w:r w:rsidR="00E37E12" w:rsidRPr="00044B5F">
        <w:rPr>
          <w:sz w:val="22"/>
          <w:szCs w:val="22"/>
        </w:rPr>
        <w:t>can</w:t>
      </w:r>
      <w:r w:rsidRPr="00044B5F">
        <w:rPr>
          <w:sz w:val="22"/>
          <w:szCs w:val="22"/>
        </w:rPr>
        <w:t xml:space="preserve"> manage their own health and wellbeing (NHS England, 2026). PAM results were very low at one, indicating difficulties in following the suggested treatment, and it can be complicated to treat Joan in achieving her goals.</w:t>
      </w:r>
    </w:p>
    <w:p w14:paraId="04891259" w14:textId="7FD25702" w:rsidR="0033115A" w:rsidRPr="00044B5F" w:rsidRDefault="0033115A" w:rsidP="0033115A">
      <w:pPr>
        <w:rPr>
          <w:sz w:val="22"/>
          <w:szCs w:val="22"/>
        </w:rPr>
      </w:pPr>
      <w:r w:rsidRPr="00044B5F">
        <w:rPr>
          <w:sz w:val="22"/>
          <w:szCs w:val="22"/>
        </w:rPr>
        <w:t>Partnering with professionals like social care providers, community support services and family using agency communication helped the practitioners in improving the activation level of Joan’s treatment. Based on the Health and Care Act 2022, motivation to integrate the care system and improve service coordination is expected to reduce fragmentation in care services (Legislation, 2022). Eventually, with a partnership between Joan and a member of the therapy team, an action plan was developed with her GP to sort out the management of Crohn’s.  Considering the improvement in quality of life by 40% in seven months, personalised and partnered collaboration between teams helped improve Joan’s COPD issue (NHS England, 2026). </w:t>
      </w:r>
    </w:p>
    <w:p w14:paraId="19918905" w14:textId="4CF0B654" w:rsidR="0033115A" w:rsidRPr="00044B5F" w:rsidRDefault="0033115A" w:rsidP="0033115A">
      <w:pPr>
        <w:rPr>
          <w:sz w:val="22"/>
          <w:szCs w:val="22"/>
        </w:rPr>
      </w:pPr>
      <w:r w:rsidRPr="00044B5F">
        <w:rPr>
          <w:sz w:val="22"/>
          <w:szCs w:val="22"/>
        </w:rPr>
        <w:t>Considering the NICE’s principles, preparing guidance and standards to reflect priorities for health and care is visible in Joan’s case from the PAM survey and the therapy team’s collaboration with Joan’s GP and herself for personalising priorities. Besides, the ethical principles are highly aligned with this case as Joan’s therapist relied on the PAM survey and GP’s help to sort out the Crohn’s management issues. However, too much reliance on a pre-developed survey model was ineffective in handling long-term Crohn’s disease, as Joan’s activation level for self-care was very low at level one. Yet, with the help of a person-centred approach, together the therapy team and Joan’s GP arranged pulmonary rehabilitation in a community setting, leading to 40% overall improvement in her situation. This reflects the significant consideration and follow-up of the Person-centred Care Framework</w:t>
      </w:r>
      <w:r w:rsidR="00E37E12" w:rsidRPr="00044B5F">
        <w:rPr>
          <w:sz w:val="22"/>
          <w:szCs w:val="22"/>
        </w:rPr>
        <w:t>, which focuses on the needs of individuals rather than</w:t>
      </w:r>
      <w:r w:rsidRPr="00044B5F">
        <w:rPr>
          <w:sz w:val="22"/>
          <w:szCs w:val="22"/>
        </w:rPr>
        <w:t xml:space="preserve"> traditional clinical guidelines for treatment planning (NHS England, n.d.).</w:t>
      </w:r>
    </w:p>
    <w:p w14:paraId="7F42507E" w14:textId="77777777" w:rsidR="0033115A" w:rsidRPr="00044B5F" w:rsidRDefault="0033115A" w:rsidP="00044B5F">
      <w:pPr>
        <w:pStyle w:val="Heading1"/>
      </w:pPr>
      <w:bookmarkStart w:id="5" w:name="_Toc233988470"/>
      <w:r w:rsidRPr="00044B5F">
        <w:t>Task 3: Self-reflection</w:t>
      </w:r>
      <w:bookmarkEnd w:id="5"/>
    </w:p>
    <w:p w14:paraId="58F154D0" w14:textId="17CA329C" w:rsidR="00E37E12" w:rsidRPr="00044B5F" w:rsidRDefault="00E37E12" w:rsidP="00E37E12">
      <w:pPr>
        <w:rPr>
          <w:sz w:val="22"/>
          <w:szCs w:val="22"/>
        </w:rPr>
      </w:pPr>
      <w:r w:rsidRPr="00044B5F">
        <w:rPr>
          <w:sz w:val="22"/>
          <w:szCs w:val="22"/>
        </w:rPr>
        <w:t>Based on the ERA reflective model developed by Melanie Jasper in 2013, analysing past situations, understanding reactions and developing practical strategies for growth is effective (</w:t>
      </w:r>
      <w:proofErr w:type="spellStart"/>
      <w:r w:rsidRPr="00044B5F">
        <w:rPr>
          <w:sz w:val="22"/>
          <w:szCs w:val="22"/>
        </w:rPr>
        <w:t>Saragih</w:t>
      </w:r>
      <w:proofErr w:type="spellEnd"/>
      <w:r w:rsidRPr="00044B5F">
        <w:rPr>
          <w:sz w:val="22"/>
          <w:szCs w:val="22"/>
        </w:rPr>
        <w:t>, 2023). In this self-reflection focusing on personal work experience and influence from the Principles of Health and Social Care Practice module, I have considered the ERA reflective model to share my initiatives in using health and social principles to complete the two tasks above. Besides, identifying strengths and areas for improvement through self-reflection with real examples using ERA reflection helps me share my experience and reactions, informing future action plans for improvement. </w:t>
      </w:r>
    </w:p>
    <w:p w14:paraId="3D4F8581" w14:textId="2047A089" w:rsidR="00E37E12" w:rsidRPr="00044B5F" w:rsidRDefault="00E37E12" w:rsidP="00E37E12">
      <w:pPr>
        <w:rPr>
          <w:sz w:val="22"/>
          <w:szCs w:val="22"/>
        </w:rPr>
      </w:pPr>
      <w:r w:rsidRPr="00044B5F">
        <w:rPr>
          <w:b/>
          <w:bCs/>
          <w:i/>
          <w:iCs/>
          <w:sz w:val="22"/>
          <w:szCs w:val="22"/>
        </w:rPr>
        <w:lastRenderedPageBreak/>
        <w:t>Experience:</w:t>
      </w:r>
      <w:r w:rsidRPr="00044B5F">
        <w:rPr>
          <w:sz w:val="22"/>
          <w:szCs w:val="22"/>
        </w:rPr>
        <w:t xml:space="preserve"> My experience in the social and health care segment as a practising individual contains significant transformation in knowledge and understanding of health and social care practices. During the preparation of my social care activities, I had limited knowledge of real-life case studies related to health and care services. In the initial stages of preparing myself as a social caregiver, it was not easy as core healthcare practices, principles of NICE, HCPC and Person-centred care framework were new to me. For instance, during my first attempt as a social care provider to an asthma patient, the need to follow all healthcare guidelines was a bit complex as my proactive and critical decision-making skills had limitations, which made me confused during the selection process. Such nuances and weaknesses in the work environment are also personally impactful, which I realised during the caregiving process for the asthma patient. However, my soft skills in communication and engagement with peers are at a higher level, which helps me to get expert information from anywhere and at any time. I was involved with my peers and supervisors related to this job to observe their ways and key factors in choosing guidelines for practice. It helped me to learn new things related to data-centric source selection and critical analysis, which holds significant importance in academics. </w:t>
      </w:r>
    </w:p>
    <w:p w14:paraId="2EC18CD1" w14:textId="5D9AA82D" w:rsidR="00E37E12" w:rsidRPr="00044B5F" w:rsidRDefault="00E37E12" w:rsidP="00E37E12">
      <w:pPr>
        <w:rPr>
          <w:sz w:val="22"/>
          <w:szCs w:val="22"/>
        </w:rPr>
      </w:pPr>
      <w:r w:rsidRPr="00044B5F">
        <w:rPr>
          <w:b/>
          <w:bCs/>
          <w:i/>
          <w:iCs/>
          <w:sz w:val="22"/>
          <w:szCs w:val="22"/>
        </w:rPr>
        <w:t>Reflection:</w:t>
      </w:r>
      <w:r w:rsidRPr="00044B5F">
        <w:rPr>
          <w:sz w:val="22"/>
          <w:szCs w:val="22"/>
        </w:rPr>
        <w:t xml:space="preserve"> During the caregiving process and using relevant frameworks and methods of health and social care services, I felt the need to focus more on authentic institutions or regulatory bodies. As required, I mainly focused on two regulatory bodies, NICE and HCPC, to identify the importance and relevance to my existing case of asthma patients. Both NICE and HCPC are crucial in providing principal guidelines to health and social care services (NICE, n.d.; HCPC, 2026). However, selecting relevant policies and guidelines from the Health and Care Act 2022, the Care Act of 2014, NICE and the Person-centred Care Framework was not easy, as their significance in line with relevant theories like Maslow and Bronfenbrenner was difficult. It was at this point that I reflected on my inability to effectively understand and critically analyse the situation of my patient within a timeline to prepare a transparent and reliable recovery plan for her. Based on this weakness, I chose a strict time management plan and focused on authentic data collection before starting the plan of recovery for the patient. It helped me to complete a suitable plan and act on it within time, but the data and reference collection were not highly correlated with patients, as individual-level care differs from each other in health and social care.  </w:t>
      </w:r>
    </w:p>
    <w:p w14:paraId="4C6E9326" w14:textId="05B821C0" w:rsidR="00E37E12" w:rsidRPr="00044B5F" w:rsidRDefault="00E37E12" w:rsidP="0047083B">
      <w:pPr>
        <w:rPr>
          <w:sz w:val="22"/>
          <w:szCs w:val="22"/>
        </w:rPr>
      </w:pPr>
      <w:r w:rsidRPr="00044B5F">
        <w:rPr>
          <w:sz w:val="22"/>
          <w:szCs w:val="22"/>
        </w:rPr>
        <w:t>Action: Based on the ERA reflective model, it is necessary to use the insights gained from a situation and reflection to develop actionable steps for future growth or improvement (</w:t>
      </w:r>
      <w:proofErr w:type="spellStart"/>
      <w:r w:rsidRPr="00044B5F">
        <w:rPr>
          <w:sz w:val="22"/>
          <w:szCs w:val="22"/>
        </w:rPr>
        <w:t>Saragih</w:t>
      </w:r>
      <w:proofErr w:type="spellEnd"/>
      <w:r w:rsidRPr="00044B5F">
        <w:rPr>
          <w:sz w:val="22"/>
          <w:szCs w:val="22"/>
        </w:rPr>
        <w:t xml:space="preserve">, 2023). Based on my existing weakness in critical thinking and proactive decision-making in selecting relevant guidelines for the real-life caregiving process, I plan to focus on theoretical knowledge improvement. Using a professional development plan (PDP), I intend to segregate </w:t>
      </w:r>
      <w:r w:rsidRPr="00044B5F">
        <w:rPr>
          <w:sz w:val="22"/>
          <w:szCs w:val="22"/>
        </w:rPr>
        <w:lastRenderedPageBreak/>
        <w:t>my objective, key performance indicators, measures and timeline to learn critical analysis. For instance, I plan to take part in more academic courses that involve assessment and thesis creation that directly link to different health and social care cases for my future professional growth. Despite my lack of critical analysis, taking part in such activities will help me uncover potential and address existing weaknesses in proactive and reliable decision-making in data collection and analysis. </w:t>
      </w:r>
      <w:r w:rsidR="0033115A" w:rsidRPr="00044B5F">
        <w:rPr>
          <w:sz w:val="22"/>
          <w:szCs w:val="22"/>
        </w:rPr>
        <w:t> </w:t>
      </w:r>
    </w:p>
    <w:p w14:paraId="794DE16B" w14:textId="46808B58" w:rsidR="0033115A" w:rsidRPr="00044B5F" w:rsidRDefault="0033115A" w:rsidP="00044B5F">
      <w:pPr>
        <w:pStyle w:val="Heading1"/>
      </w:pPr>
      <w:bookmarkStart w:id="6" w:name="_Toc233988471"/>
      <w:r w:rsidRPr="00044B5F">
        <w:t>Conclusion</w:t>
      </w:r>
      <w:bookmarkEnd w:id="6"/>
    </w:p>
    <w:p w14:paraId="598B7A93" w14:textId="272E93AC" w:rsidR="002D5C5A" w:rsidRPr="0033115A" w:rsidRDefault="0033115A" w:rsidP="0033115A">
      <w:r w:rsidRPr="00044B5F">
        <w:rPr>
          <w:sz w:val="22"/>
          <w:szCs w:val="22"/>
        </w:rPr>
        <w:t>In conclusion, it is visible that the three principles of person-centred, partnership approach and ethical practices in health and social care services are crucial. These principles are followed by all relevant regulations and legal entities like NICE and HCPC to provide authentic and error-free health and social care services to individuals. For instance, the advantages of ethical principles in this service ensure higher trust and professional conduct between professionals giving treatment and individuals receiving treatment. Based on the real-life case study analysis of Joan in task 2, it is visible that these three principles highly support health and social care services in achieving shared objectives of improvement. This indicates the person-centred approach and partnership to provide professional care to patients or service users compared to traditional clinical guidelines. On the other hand, the principles have compliance with frameworks and acts like the Health and Care Act 2022 and theories of Maslow’s Hierarchy of Needs. </w:t>
      </w:r>
    </w:p>
    <w:bookmarkEnd w:id="0"/>
    <w:bookmarkEnd w:id="2"/>
    <w:p w14:paraId="56EA4659" w14:textId="77777777" w:rsidR="002D5C5A" w:rsidRPr="0012634D" w:rsidRDefault="002D5C5A" w:rsidP="0033115A">
      <w:r w:rsidRPr="0012634D">
        <w:br w:type="page"/>
      </w:r>
    </w:p>
    <w:p w14:paraId="7499A237" w14:textId="77777777" w:rsidR="002D5C5A" w:rsidRPr="0012634D" w:rsidRDefault="002D5C5A" w:rsidP="00044B5F">
      <w:pPr>
        <w:pStyle w:val="Heading1"/>
      </w:pPr>
      <w:bookmarkStart w:id="7" w:name="_Toc233988472"/>
      <w:r w:rsidRPr="0012634D">
        <w:lastRenderedPageBreak/>
        <w:t>References</w:t>
      </w:r>
      <w:bookmarkEnd w:id="7"/>
    </w:p>
    <w:p w14:paraId="2722C08A" w14:textId="77777777" w:rsidR="0033115A" w:rsidRPr="00420C5D" w:rsidRDefault="0033115A" w:rsidP="0033115A">
      <w:pPr>
        <w:rPr>
          <w:sz w:val="22"/>
          <w:szCs w:val="22"/>
        </w:rPr>
      </w:pPr>
      <w:r w:rsidRPr="00420C5D">
        <w:rPr>
          <w:sz w:val="22"/>
          <w:szCs w:val="22"/>
        </w:rPr>
        <w:t xml:space="preserve">Calicchio, S. (2023) </w:t>
      </w:r>
      <w:r w:rsidRPr="00420C5D">
        <w:rPr>
          <w:i/>
          <w:iCs/>
          <w:sz w:val="22"/>
          <w:szCs w:val="22"/>
        </w:rPr>
        <w:t>Abraham Maslow, from the hierarchy of needs to self-fulfilment: A journey in humanistic psychology through the hierarchy of needs, motivation and achieving full human potential</w:t>
      </w:r>
      <w:r w:rsidRPr="00420C5D">
        <w:rPr>
          <w:sz w:val="22"/>
          <w:szCs w:val="22"/>
        </w:rPr>
        <w:t xml:space="preserve">. Stefano Calicchio. Available at: </w:t>
      </w:r>
      <w:hyperlink r:id="rId8" w:history="1">
        <w:r w:rsidRPr="00420C5D">
          <w:rPr>
            <w:rStyle w:val="Hyperlink"/>
            <w:sz w:val="22"/>
            <w:szCs w:val="22"/>
          </w:rPr>
          <w:t>https://books.google.com/books?hl=en&amp;lr=&amp;id=Oa_pEAAAQBAJ&amp;oi=fnd&amp;pg=PT5&amp;dq=Maslow%E2%80%99s+Hierarchy+of+Needs+Theory+book&amp;ots=aoP6XkrIFX&amp;sig=cVv4AVDyHQ_IE5ZM_me4_R6tteI</w:t>
        </w:r>
      </w:hyperlink>
      <w:r w:rsidRPr="00420C5D">
        <w:rPr>
          <w:sz w:val="22"/>
          <w:szCs w:val="22"/>
        </w:rPr>
        <w:t xml:space="preserve"> (Accessed: 27 June 2026).</w:t>
      </w:r>
    </w:p>
    <w:p w14:paraId="7B414798" w14:textId="77777777" w:rsidR="0033115A" w:rsidRPr="00420C5D" w:rsidRDefault="0033115A" w:rsidP="0033115A">
      <w:pPr>
        <w:rPr>
          <w:sz w:val="22"/>
          <w:szCs w:val="22"/>
        </w:rPr>
      </w:pPr>
      <w:r w:rsidRPr="00420C5D">
        <w:rPr>
          <w:sz w:val="22"/>
          <w:szCs w:val="22"/>
        </w:rPr>
        <w:t xml:space="preserve">HCPC (2026) </w:t>
      </w:r>
      <w:r w:rsidRPr="00420C5D">
        <w:rPr>
          <w:i/>
          <w:iCs/>
          <w:sz w:val="22"/>
          <w:szCs w:val="22"/>
        </w:rPr>
        <w:t>HCPC response to the consultation on reforming the General Medical Council legislative framework</w:t>
      </w:r>
      <w:r w:rsidRPr="00420C5D">
        <w:rPr>
          <w:sz w:val="22"/>
          <w:szCs w:val="22"/>
        </w:rPr>
        <w:t xml:space="preserve">. Available at: </w:t>
      </w:r>
      <w:hyperlink r:id="rId9" w:history="1">
        <w:r w:rsidRPr="00420C5D">
          <w:rPr>
            <w:rStyle w:val="Hyperlink"/>
            <w:sz w:val="22"/>
            <w:szCs w:val="22"/>
          </w:rPr>
          <w:t>https://www.hcpc-uk.org/news-and-events/news/2026/hcpc-response-to-the-consultation-on-reforming-the-general-medical-council-legislative-framework/</w:t>
        </w:r>
      </w:hyperlink>
      <w:r w:rsidRPr="00420C5D">
        <w:rPr>
          <w:sz w:val="22"/>
          <w:szCs w:val="22"/>
        </w:rPr>
        <w:t xml:space="preserve"> (Accessed: 22 June 2026).</w:t>
      </w:r>
    </w:p>
    <w:p w14:paraId="12648DC7" w14:textId="77777777" w:rsidR="0033115A" w:rsidRPr="00420C5D" w:rsidRDefault="0033115A" w:rsidP="0033115A">
      <w:pPr>
        <w:rPr>
          <w:sz w:val="22"/>
          <w:szCs w:val="22"/>
        </w:rPr>
      </w:pPr>
      <w:r w:rsidRPr="00420C5D">
        <w:rPr>
          <w:sz w:val="22"/>
          <w:szCs w:val="22"/>
        </w:rPr>
        <w:t xml:space="preserve">Kaczmarek, A., </w:t>
      </w:r>
      <w:proofErr w:type="spellStart"/>
      <w:r w:rsidRPr="00420C5D">
        <w:rPr>
          <w:sz w:val="22"/>
          <w:szCs w:val="22"/>
        </w:rPr>
        <w:t>Żok</w:t>
      </w:r>
      <w:proofErr w:type="spellEnd"/>
      <w:r w:rsidRPr="00420C5D">
        <w:rPr>
          <w:sz w:val="22"/>
          <w:szCs w:val="22"/>
        </w:rPr>
        <w:t>, A. and Baum, E. (2025) ‘Ethical principles across countries: does ‘</w:t>
      </w:r>
      <w:proofErr w:type="spellStart"/>
      <w:r w:rsidRPr="00420C5D">
        <w:rPr>
          <w:sz w:val="22"/>
          <w:szCs w:val="22"/>
        </w:rPr>
        <w:t>ethical’mean</w:t>
      </w:r>
      <w:proofErr w:type="spellEnd"/>
      <w:r w:rsidRPr="00420C5D">
        <w:rPr>
          <w:sz w:val="22"/>
          <w:szCs w:val="22"/>
        </w:rPr>
        <w:t xml:space="preserve"> the same everywhere?’, </w:t>
      </w:r>
      <w:r w:rsidRPr="00420C5D">
        <w:rPr>
          <w:i/>
          <w:iCs/>
          <w:sz w:val="22"/>
          <w:szCs w:val="22"/>
        </w:rPr>
        <w:t>Frontiers in Public Health</w:t>
      </w:r>
      <w:r w:rsidRPr="00420C5D">
        <w:rPr>
          <w:sz w:val="22"/>
          <w:szCs w:val="22"/>
        </w:rPr>
        <w:t xml:space="preserve">, </w:t>
      </w:r>
      <w:r w:rsidRPr="00420C5D">
        <w:rPr>
          <w:i/>
          <w:iCs/>
          <w:sz w:val="22"/>
          <w:szCs w:val="22"/>
        </w:rPr>
        <w:t>13</w:t>
      </w:r>
      <w:r w:rsidRPr="00420C5D">
        <w:rPr>
          <w:sz w:val="22"/>
          <w:szCs w:val="22"/>
        </w:rPr>
        <w:t>, p.1579778. </w:t>
      </w:r>
    </w:p>
    <w:p w14:paraId="369FD300" w14:textId="77777777" w:rsidR="0033115A" w:rsidRPr="00420C5D" w:rsidRDefault="0033115A" w:rsidP="0033115A">
      <w:pPr>
        <w:rPr>
          <w:sz w:val="22"/>
          <w:szCs w:val="22"/>
        </w:rPr>
      </w:pPr>
      <w:r w:rsidRPr="00420C5D">
        <w:rPr>
          <w:sz w:val="22"/>
          <w:szCs w:val="22"/>
        </w:rPr>
        <w:t xml:space="preserve">Kern, L.M., Bynum, J.P. and Pincus, H.A. (2024) ‘Care fragmentation, care continuity, and care coordination—how they differ and why </w:t>
      </w:r>
      <w:proofErr w:type="gramStart"/>
      <w:r w:rsidRPr="00420C5D">
        <w:rPr>
          <w:sz w:val="22"/>
          <w:szCs w:val="22"/>
        </w:rPr>
        <w:t>it</w:t>
      </w:r>
      <w:proofErr w:type="gramEnd"/>
      <w:r w:rsidRPr="00420C5D">
        <w:rPr>
          <w:sz w:val="22"/>
          <w:szCs w:val="22"/>
        </w:rPr>
        <w:t xml:space="preserve"> matters’, </w:t>
      </w:r>
      <w:r w:rsidRPr="00420C5D">
        <w:rPr>
          <w:i/>
          <w:iCs/>
          <w:sz w:val="22"/>
          <w:szCs w:val="22"/>
        </w:rPr>
        <w:t>JAMA internal medicine</w:t>
      </w:r>
      <w:r w:rsidRPr="00420C5D">
        <w:rPr>
          <w:sz w:val="22"/>
          <w:szCs w:val="22"/>
        </w:rPr>
        <w:t>, 184(3), pp.236-237.</w:t>
      </w:r>
    </w:p>
    <w:p w14:paraId="2C6E7A52" w14:textId="77777777" w:rsidR="0033115A" w:rsidRPr="00420C5D" w:rsidRDefault="0033115A" w:rsidP="0033115A">
      <w:pPr>
        <w:rPr>
          <w:sz w:val="22"/>
          <w:szCs w:val="22"/>
        </w:rPr>
      </w:pPr>
      <w:r w:rsidRPr="00420C5D">
        <w:rPr>
          <w:sz w:val="22"/>
          <w:szCs w:val="22"/>
        </w:rPr>
        <w:t xml:space="preserve">Legislation (2022) </w:t>
      </w:r>
      <w:r w:rsidRPr="00420C5D">
        <w:rPr>
          <w:i/>
          <w:iCs/>
          <w:sz w:val="22"/>
          <w:szCs w:val="22"/>
        </w:rPr>
        <w:t>Health and Care Act 2022</w:t>
      </w:r>
      <w:r w:rsidRPr="00420C5D">
        <w:rPr>
          <w:sz w:val="22"/>
          <w:szCs w:val="22"/>
        </w:rPr>
        <w:t>. Available at:</w:t>
      </w:r>
      <w:hyperlink r:id="rId10" w:history="1">
        <w:r w:rsidRPr="00420C5D">
          <w:rPr>
            <w:rStyle w:val="Hyperlink"/>
            <w:sz w:val="22"/>
            <w:szCs w:val="22"/>
          </w:rPr>
          <w:t xml:space="preserve"> https://www.legislation.gov.uk/ukpga/2022/31/contents</w:t>
        </w:r>
      </w:hyperlink>
      <w:r w:rsidRPr="00420C5D">
        <w:rPr>
          <w:sz w:val="22"/>
          <w:szCs w:val="22"/>
        </w:rPr>
        <w:t xml:space="preserve"> (Accessed: 26 June 2026).</w:t>
      </w:r>
    </w:p>
    <w:p w14:paraId="25577508" w14:textId="77777777" w:rsidR="0033115A" w:rsidRPr="00420C5D" w:rsidRDefault="0033115A" w:rsidP="0033115A">
      <w:pPr>
        <w:rPr>
          <w:sz w:val="22"/>
          <w:szCs w:val="22"/>
        </w:rPr>
      </w:pPr>
      <w:r w:rsidRPr="00420C5D">
        <w:rPr>
          <w:sz w:val="22"/>
          <w:szCs w:val="22"/>
        </w:rPr>
        <w:t xml:space="preserve">NHS England (2026) </w:t>
      </w:r>
      <w:r w:rsidRPr="00420C5D">
        <w:rPr>
          <w:i/>
          <w:iCs/>
          <w:sz w:val="22"/>
          <w:szCs w:val="22"/>
        </w:rPr>
        <w:t>Joan’s Story</w:t>
      </w:r>
      <w:r w:rsidRPr="00420C5D">
        <w:rPr>
          <w:sz w:val="22"/>
          <w:szCs w:val="22"/>
        </w:rPr>
        <w:t xml:space="preserve">. Available at: </w:t>
      </w:r>
      <w:hyperlink r:id="rId11" w:history="1">
        <w:r w:rsidRPr="00420C5D">
          <w:rPr>
            <w:rStyle w:val="Hyperlink"/>
            <w:sz w:val="22"/>
            <w:szCs w:val="22"/>
          </w:rPr>
          <w:t>https://www.england.nhs.uk/personalisedcare/comprehensive-model/case-studies/joans-story/</w:t>
        </w:r>
      </w:hyperlink>
      <w:r w:rsidRPr="00420C5D">
        <w:rPr>
          <w:sz w:val="22"/>
          <w:szCs w:val="22"/>
        </w:rPr>
        <w:t xml:space="preserve"> (Accessed: 15 June 2026).</w:t>
      </w:r>
    </w:p>
    <w:p w14:paraId="27317432" w14:textId="77777777" w:rsidR="0033115A" w:rsidRPr="00420C5D" w:rsidRDefault="0033115A" w:rsidP="0033115A">
      <w:pPr>
        <w:rPr>
          <w:sz w:val="22"/>
          <w:szCs w:val="22"/>
        </w:rPr>
      </w:pPr>
      <w:r w:rsidRPr="00420C5D">
        <w:rPr>
          <w:sz w:val="22"/>
          <w:szCs w:val="22"/>
        </w:rPr>
        <w:t xml:space="preserve">NHS England (n.d.) </w:t>
      </w:r>
      <w:r w:rsidRPr="00420C5D">
        <w:rPr>
          <w:i/>
          <w:iCs/>
          <w:sz w:val="22"/>
          <w:szCs w:val="22"/>
        </w:rPr>
        <w:t>Person-centred Care</w:t>
      </w:r>
      <w:r w:rsidRPr="00420C5D">
        <w:rPr>
          <w:sz w:val="22"/>
          <w:szCs w:val="22"/>
        </w:rPr>
        <w:t xml:space="preserve">. Available at: </w:t>
      </w:r>
      <w:hyperlink r:id="rId12" w:history="1">
        <w:r w:rsidRPr="00420C5D">
          <w:rPr>
            <w:rStyle w:val="Hyperlink"/>
            <w:sz w:val="22"/>
            <w:szCs w:val="22"/>
          </w:rPr>
          <w:t>https://www.hee.nhs.uk/our-work/person-centred-care</w:t>
        </w:r>
      </w:hyperlink>
      <w:r w:rsidRPr="00420C5D">
        <w:rPr>
          <w:sz w:val="22"/>
          <w:szCs w:val="22"/>
        </w:rPr>
        <w:t xml:space="preserve"> (Accessed: 22 June 2026).</w:t>
      </w:r>
    </w:p>
    <w:p w14:paraId="2F437629" w14:textId="77777777" w:rsidR="0033115A" w:rsidRPr="00420C5D" w:rsidRDefault="0033115A" w:rsidP="0033115A">
      <w:pPr>
        <w:rPr>
          <w:sz w:val="22"/>
          <w:szCs w:val="22"/>
        </w:rPr>
      </w:pPr>
      <w:r w:rsidRPr="00420C5D">
        <w:rPr>
          <w:sz w:val="22"/>
          <w:szCs w:val="22"/>
        </w:rPr>
        <w:t xml:space="preserve">NICE (n.d.) </w:t>
      </w:r>
      <w:r w:rsidRPr="00420C5D">
        <w:rPr>
          <w:i/>
          <w:iCs/>
          <w:sz w:val="22"/>
          <w:szCs w:val="22"/>
        </w:rPr>
        <w:t xml:space="preserve">Our Principles. </w:t>
      </w:r>
      <w:r w:rsidRPr="00420C5D">
        <w:rPr>
          <w:sz w:val="22"/>
          <w:szCs w:val="22"/>
        </w:rPr>
        <w:t xml:space="preserve">Available at: </w:t>
      </w:r>
      <w:hyperlink r:id="rId13" w:history="1">
        <w:r w:rsidRPr="00420C5D">
          <w:rPr>
            <w:rStyle w:val="Hyperlink"/>
            <w:sz w:val="22"/>
            <w:szCs w:val="22"/>
          </w:rPr>
          <w:t>https://www.nice.org.uk/about-us/our-principles</w:t>
        </w:r>
      </w:hyperlink>
      <w:r w:rsidRPr="00420C5D">
        <w:rPr>
          <w:sz w:val="22"/>
          <w:szCs w:val="22"/>
        </w:rPr>
        <w:t xml:space="preserve"> (Accessed: 20 June 2026).</w:t>
      </w:r>
    </w:p>
    <w:p w14:paraId="4A18CE1F" w14:textId="77777777" w:rsidR="0033115A" w:rsidRPr="00420C5D" w:rsidRDefault="0033115A" w:rsidP="0033115A">
      <w:pPr>
        <w:rPr>
          <w:sz w:val="22"/>
          <w:szCs w:val="22"/>
        </w:rPr>
      </w:pPr>
      <w:r w:rsidRPr="00420C5D">
        <w:rPr>
          <w:sz w:val="22"/>
          <w:szCs w:val="22"/>
        </w:rPr>
        <w:t>Riley, E. and Jones, J.L. (2022) ‘Person-</w:t>
      </w:r>
      <w:proofErr w:type="spellStart"/>
      <w:r w:rsidRPr="00420C5D">
        <w:rPr>
          <w:sz w:val="22"/>
          <w:szCs w:val="22"/>
        </w:rPr>
        <w:t>Centered</w:t>
      </w:r>
      <w:proofErr w:type="spellEnd"/>
      <w:r w:rsidRPr="00420C5D">
        <w:rPr>
          <w:sz w:val="22"/>
          <w:szCs w:val="22"/>
        </w:rPr>
        <w:t xml:space="preserve"> Care’, </w:t>
      </w:r>
      <w:r w:rsidRPr="00420C5D">
        <w:rPr>
          <w:i/>
          <w:iCs/>
          <w:sz w:val="22"/>
          <w:szCs w:val="22"/>
        </w:rPr>
        <w:t>Quality and Safety Education for Nurses: Core Competencies for Nursing Leadership and Care Management</w:t>
      </w:r>
      <w:r w:rsidRPr="00420C5D">
        <w:rPr>
          <w:sz w:val="22"/>
          <w:szCs w:val="22"/>
        </w:rPr>
        <w:t>, 177.</w:t>
      </w:r>
    </w:p>
    <w:p w14:paraId="34A86330" w14:textId="77777777" w:rsidR="0033115A" w:rsidRPr="00420C5D" w:rsidRDefault="0033115A" w:rsidP="0033115A">
      <w:pPr>
        <w:rPr>
          <w:sz w:val="22"/>
          <w:szCs w:val="22"/>
        </w:rPr>
      </w:pPr>
      <w:proofErr w:type="spellStart"/>
      <w:r w:rsidRPr="00420C5D">
        <w:rPr>
          <w:sz w:val="22"/>
          <w:szCs w:val="22"/>
        </w:rPr>
        <w:t>Saragih</w:t>
      </w:r>
      <w:proofErr w:type="spellEnd"/>
      <w:r w:rsidRPr="00420C5D">
        <w:rPr>
          <w:sz w:val="22"/>
          <w:szCs w:val="22"/>
        </w:rPr>
        <w:t xml:space="preserve">, D.Y. (2023) ‘A </w:t>
      </w:r>
      <w:proofErr w:type="spellStart"/>
      <w:r w:rsidRPr="00420C5D">
        <w:rPr>
          <w:sz w:val="22"/>
          <w:szCs w:val="22"/>
        </w:rPr>
        <w:t>Teacher’S</w:t>
      </w:r>
      <w:proofErr w:type="spellEnd"/>
      <w:r w:rsidRPr="00420C5D">
        <w:rPr>
          <w:sz w:val="22"/>
          <w:szCs w:val="22"/>
        </w:rPr>
        <w:t xml:space="preserve"> Reflection on Introducing a Reflective Practice in the Pro-Skills Class’, </w:t>
      </w:r>
      <w:proofErr w:type="spellStart"/>
      <w:r w:rsidRPr="00420C5D">
        <w:rPr>
          <w:i/>
          <w:iCs/>
          <w:sz w:val="22"/>
          <w:szCs w:val="22"/>
        </w:rPr>
        <w:t>Prosiding</w:t>
      </w:r>
      <w:proofErr w:type="spellEnd"/>
      <w:r w:rsidRPr="00420C5D">
        <w:rPr>
          <w:i/>
          <w:iCs/>
          <w:sz w:val="22"/>
          <w:szCs w:val="22"/>
        </w:rPr>
        <w:t xml:space="preserve"> </w:t>
      </w:r>
      <w:proofErr w:type="spellStart"/>
      <w:r w:rsidRPr="00420C5D">
        <w:rPr>
          <w:i/>
          <w:iCs/>
          <w:sz w:val="22"/>
          <w:szCs w:val="22"/>
        </w:rPr>
        <w:t>Konferensi</w:t>
      </w:r>
      <w:proofErr w:type="spellEnd"/>
      <w:r w:rsidRPr="00420C5D">
        <w:rPr>
          <w:i/>
          <w:iCs/>
          <w:sz w:val="22"/>
          <w:szCs w:val="22"/>
        </w:rPr>
        <w:t xml:space="preserve"> </w:t>
      </w:r>
      <w:proofErr w:type="spellStart"/>
      <w:r w:rsidRPr="00420C5D">
        <w:rPr>
          <w:i/>
          <w:iCs/>
          <w:sz w:val="22"/>
          <w:szCs w:val="22"/>
        </w:rPr>
        <w:t>Linguistik</w:t>
      </w:r>
      <w:proofErr w:type="spellEnd"/>
      <w:r w:rsidRPr="00420C5D">
        <w:rPr>
          <w:i/>
          <w:iCs/>
          <w:sz w:val="22"/>
          <w:szCs w:val="22"/>
        </w:rPr>
        <w:t xml:space="preserve"> </w:t>
      </w:r>
      <w:proofErr w:type="spellStart"/>
      <w:r w:rsidRPr="00420C5D">
        <w:rPr>
          <w:i/>
          <w:iCs/>
          <w:sz w:val="22"/>
          <w:szCs w:val="22"/>
        </w:rPr>
        <w:t>Tahunan</w:t>
      </w:r>
      <w:proofErr w:type="spellEnd"/>
      <w:r w:rsidRPr="00420C5D">
        <w:rPr>
          <w:i/>
          <w:iCs/>
          <w:sz w:val="22"/>
          <w:szCs w:val="22"/>
        </w:rPr>
        <w:t xml:space="preserve"> Atma Jaya (KOLITA)</w:t>
      </w:r>
      <w:r w:rsidRPr="00420C5D">
        <w:rPr>
          <w:sz w:val="22"/>
          <w:szCs w:val="22"/>
        </w:rPr>
        <w:t xml:space="preserve">, </w:t>
      </w:r>
      <w:r w:rsidRPr="00420C5D">
        <w:rPr>
          <w:i/>
          <w:iCs/>
          <w:sz w:val="22"/>
          <w:szCs w:val="22"/>
        </w:rPr>
        <w:t>21</w:t>
      </w:r>
      <w:r w:rsidRPr="00420C5D">
        <w:rPr>
          <w:sz w:val="22"/>
          <w:szCs w:val="22"/>
        </w:rPr>
        <w:t>(21), pp.62-72. </w:t>
      </w:r>
    </w:p>
    <w:sectPr w:rsidR="0033115A" w:rsidRPr="00420C5D" w:rsidSect="008B783E">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E5E73" w14:textId="77777777" w:rsidR="006D0CDD" w:rsidRDefault="006D0CDD" w:rsidP="0033115A">
      <w:r>
        <w:separator/>
      </w:r>
    </w:p>
  </w:endnote>
  <w:endnote w:type="continuationSeparator" w:id="0">
    <w:p w14:paraId="3C55C4B0" w14:textId="77777777" w:rsidR="006D0CDD" w:rsidRDefault="006D0CDD" w:rsidP="003311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2"/>
        <w:szCs w:val="22"/>
      </w:rPr>
      <w:id w:val="806738056"/>
      <w:docPartObj>
        <w:docPartGallery w:val="Page Numbers (Bottom of Page)"/>
        <w:docPartUnique/>
      </w:docPartObj>
    </w:sdtPr>
    <w:sdtEndPr>
      <w:rPr>
        <w:noProof/>
      </w:rPr>
    </w:sdtEndPr>
    <w:sdtContent>
      <w:p w14:paraId="42BD95DC" w14:textId="7D212190" w:rsidR="004D61D1" w:rsidRPr="00044B5F" w:rsidRDefault="002D5C5A" w:rsidP="00044B5F">
        <w:pPr>
          <w:pStyle w:val="Footer"/>
          <w:jc w:val="right"/>
          <w:rPr>
            <w:sz w:val="22"/>
            <w:szCs w:val="22"/>
          </w:rPr>
        </w:pPr>
        <w:r w:rsidRPr="00044B5F">
          <w:rPr>
            <w:sz w:val="22"/>
            <w:szCs w:val="22"/>
          </w:rPr>
          <w:fldChar w:fldCharType="begin"/>
        </w:r>
        <w:r w:rsidRPr="00044B5F">
          <w:rPr>
            <w:sz w:val="22"/>
            <w:szCs w:val="22"/>
          </w:rPr>
          <w:instrText xml:space="preserve"> PAGE   \* MERGEFORMAT </w:instrText>
        </w:r>
        <w:r w:rsidRPr="00044B5F">
          <w:rPr>
            <w:sz w:val="22"/>
            <w:szCs w:val="22"/>
          </w:rPr>
          <w:fldChar w:fldCharType="separate"/>
        </w:r>
        <w:r w:rsidRPr="00044B5F">
          <w:rPr>
            <w:noProof/>
            <w:sz w:val="22"/>
            <w:szCs w:val="22"/>
          </w:rPr>
          <w:t>2</w:t>
        </w:r>
        <w:r w:rsidRPr="00044B5F">
          <w:rPr>
            <w:noProof/>
            <w:sz w:val="22"/>
            <w:szCs w:val="22"/>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D4FBDF" w14:textId="77777777" w:rsidR="006D0CDD" w:rsidRDefault="006D0CDD" w:rsidP="0033115A">
      <w:r>
        <w:separator/>
      </w:r>
    </w:p>
  </w:footnote>
  <w:footnote w:type="continuationSeparator" w:id="0">
    <w:p w14:paraId="2F0D0CDD" w14:textId="77777777" w:rsidR="006D0CDD" w:rsidRDefault="006D0CDD" w:rsidP="0033115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4D2"/>
    <w:rsid w:val="00044B5F"/>
    <w:rsid w:val="0008745D"/>
    <w:rsid w:val="000B7A60"/>
    <w:rsid w:val="0010791A"/>
    <w:rsid w:val="0012634D"/>
    <w:rsid w:val="00131EAA"/>
    <w:rsid w:val="00151C1E"/>
    <w:rsid w:val="00162E35"/>
    <w:rsid w:val="001B3685"/>
    <w:rsid w:val="001F754B"/>
    <w:rsid w:val="00224357"/>
    <w:rsid w:val="00251E81"/>
    <w:rsid w:val="002B10E6"/>
    <w:rsid w:val="002D5C5A"/>
    <w:rsid w:val="003036B7"/>
    <w:rsid w:val="0032155E"/>
    <w:rsid w:val="0033115A"/>
    <w:rsid w:val="003A54F5"/>
    <w:rsid w:val="003C4B0E"/>
    <w:rsid w:val="003E644A"/>
    <w:rsid w:val="003F16BC"/>
    <w:rsid w:val="00410822"/>
    <w:rsid w:val="00420098"/>
    <w:rsid w:val="00420C5D"/>
    <w:rsid w:val="00435F45"/>
    <w:rsid w:val="0047083B"/>
    <w:rsid w:val="00496E9F"/>
    <w:rsid w:val="004C646A"/>
    <w:rsid w:val="004D61D1"/>
    <w:rsid w:val="004F615E"/>
    <w:rsid w:val="00525F89"/>
    <w:rsid w:val="005506F0"/>
    <w:rsid w:val="005E4CC3"/>
    <w:rsid w:val="00642D73"/>
    <w:rsid w:val="006D0CDD"/>
    <w:rsid w:val="00782790"/>
    <w:rsid w:val="007C6041"/>
    <w:rsid w:val="007C6D1F"/>
    <w:rsid w:val="008248B7"/>
    <w:rsid w:val="008575FA"/>
    <w:rsid w:val="00866B38"/>
    <w:rsid w:val="00891191"/>
    <w:rsid w:val="008B783E"/>
    <w:rsid w:val="008F3CBD"/>
    <w:rsid w:val="00905680"/>
    <w:rsid w:val="00911A7E"/>
    <w:rsid w:val="00973244"/>
    <w:rsid w:val="00A0615F"/>
    <w:rsid w:val="00A22307"/>
    <w:rsid w:val="00A464D2"/>
    <w:rsid w:val="00A67B08"/>
    <w:rsid w:val="00AD0115"/>
    <w:rsid w:val="00AF4D18"/>
    <w:rsid w:val="00B020FB"/>
    <w:rsid w:val="00B146F4"/>
    <w:rsid w:val="00B226FB"/>
    <w:rsid w:val="00B540C7"/>
    <w:rsid w:val="00B715C4"/>
    <w:rsid w:val="00B924D5"/>
    <w:rsid w:val="00C114E3"/>
    <w:rsid w:val="00C36405"/>
    <w:rsid w:val="00C83A22"/>
    <w:rsid w:val="00CA2EAF"/>
    <w:rsid w:val="00CD15D4"/>
    <w:rsid w:val="00CF58AB"/>
    <w:rsid w:val="00DA34AD"/>
    <w:rsid w:val="00DA5B75"/>
    <w:rsid w:val="00DB6B28"/>
    <w:rsid w:val="00DC56F0"/>
    <w:rsid w:val="00DF7654"/>
    <w:rsid w:val="00E278E0"/>
    <w:rsid w:val="00E323E5"/>
    <w:rsid w:val="00E37E12"/>
    <w:rsid w:val="00E54066"/>
    <w:rsid w:val="00EF0456"/>
    <w:rsid w:val="00F00910"/>
    <w:rsid w:val="00F33EB0"/>
    <w:rsid w:val="00F5175C"/>
    <w:rsid w:val="00FD62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2BF6B9"/>
  <w15:chartTrackingRefBased/>
  <w15:docId w15:val="{1F718FBD-EA4D-45B9-B627-D309AD745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15A"/>
    <w:pPr>
      <w:spacing w:after="160" w:line="360" w:lineRule="auto"/>
      <w:jc w:val="both"/>
    </w:pPr>
    <w:rPr>
      <w:rFonts w:ascii="Arial" w:eastAsia="Times New Roman" w:hAnsi="Arial" w:cs="Arial"/>
      <w:sz w:val="24"/>
      <w:szCs w:val="24"/>
      <w:lang w:eastAsia="en-IN"/>
    </w:rPr>
  </w:style>
  <w:style w:type="paragraph" w:styleId="Heading1">
    <w:name w:val="heading 1"/>
    <w:basedOn w:val="Normal"/>
    <w:next w:val="Normal"/>
    <w:link w:val="Heading1Char"/>
    <w:uiPriority w:val="9"/>
    <w:qFormat/>
    <w:rsid w:val="00044B5F"/>
    <w:pPr>
      <w:outlineLvl w:val="0"/>
    </w:pPr>
    <w:rPr>
      <w:b/>
      <w:bCs/>
      <w:sz w:val="22"/>
      <w:szCs w:val="22"/>
    </w:rPr>
  </w:style>
  <w:style w:type="paragraph" w:styleId="Heading2">
    <w:name w:val="heading 2"/>
    <w:basedOn w:val="Normal"/>
    <w:next w:val="Normal"/>
    <w:link w:val="Heading2Char"/>
    <w:uiPriority w:val="9"/>
    <w:unhideWhenUsed/>
    <w:qFormat/>
    <w:rsid w:val="004D61D1"/>
    <w:pPr>
      <w:outlineLvl w:val="1"/>
    </w:pPr>
    <w:rPr>
      <w:b/>
      <w:bCs/>
    </w:rPr>
  </w:style>
  <w:style w:type="paragraph" w:styleId="Heading3">
    <w:name w:val="heading 3"/>
    <w:basedOn w:val="Normal"/>
    <w:next w:val="Normal"/>
    <w:link w:val="Heading3Char"/>
    <w:uiPriority w:val="9"/>
    <w:semiHidden/>
    <w:unhideWhenUsed/>
    <w:qFormat/>
    <w:rsid w:val="0012634D"/>
    <w:pPr>
      <w:keepNext/>
      <w:keepLines/>
      <w:spacing w:before="40" w:after="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64D2"/>
    <w:pPr>
      <w:ind w:left="720"/>
      <w:contextualSpacing/>
    </w:pPr>
  </w:style>
  <w:style w:type="character" w:customStyle="1" w:styleId="Heading1Char">
    <w:name w:val="Heading 1 Char"/>
    <w:basedOn w:val="DefaultParagraphFont"/>
    <w:link w:val="Heading1"/>
    <w:uiPriority w:val="9"/>
    <w:rsid w:val="00044B5F"/>
    <w:rPr>
      <w:rFonts w:ascii="Arial" w:eastAsia="Times New Roman" w:hAnsi="Arial" w:cs="Arial"/>
      <w:b/>
      <w:bCs/>
      <w:lang w:eastAsia="en-IN"/>
    </w:rPr>
  </w:style>
  <w:style w:type="character" w:customStyle="1" w:styleId="Heading2Char">
    <w:name w:val="Heading 2 Char"/>
    <w:basedOn w:val="DefaultParagraphFont"/>
    <w:link w:val="Heading2"/>
    <w:uiPriority w:val="9"/>
    <w:rsid w:val="004D61D1"/>
    <w:rPr>
      <w:rFonts w:ascii="Times New Roman" w:eastAsia="Times New Roman" w:hAnsi="Times New Roman" w:cs="Times New Roman"/>
      <w:b/>
      <w:bCs/>
      <w:sz w:val="24"/>
      <w:szCs w:val="24"/>
      <w:lang w:val="en-GB" w:eastAsia="ko-KR"/>
    </w:rPr>
  </w:style>
  <w:style w:type="table" w:styleId="GridTable2-Accent4">
    <w:name w:val="Grid Table 2 Accent 4"/>
    <w:basedOn w:val="TableNormal"/>
    <w:uiPriority w:val="47"/>
    <w:rsid w:val="00151C1E"/>
    <w:pPr>
      <w:spacing w:after="0"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2-Accent5">
    <w:name w:val="Grid Table 2 Accent 5"/>
    <w:basedOn w:val="TableNormal"/>
    <w:uiPriority w:val="47"/>
    <w:rsid w:val="00151C1E"/>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2-Accent6">
    <w:name w:val="Grid Table 2 Accent 6"/>
    <w:basedOn w:val="TableNormal"/>
    <w:uiPriority w:val="47"/>
    <w:rsid w:val="00151C1E"/>
    <w:pPr>
      <w:spacing w:after="0"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Heading">
    <w:name w:val="TOC Heading"/>
    <w:basedOn w:val="Heading1"/>
    <w:next w:val="Normal"/>
    <w:uiPriority w:val="39"/>
    <w:unhideWhenUsed/>
    <w:qFormat/>
    <w:rsid w:val="004D61D1"/>
    <w:pPr>
      <w:keepNext/>
      <w:keepLines/>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8745D"/>
    <w:pPr>
      <w:spacing w:after="0"/>
    </w:pPr>
    <w:rPr>
      <w:color w:val="000000" w:themeColor="text1"/>
    </w:rPr>
  </w:style>
  <w:style w:type="paragraph" w:styleId="TOC2">
    <w:name w:val="toc 2"/>
    <w:basedOn w:val="Normal"/>
    <w:next w:val="Normal"/>
    <w:autoRedefine/>
    <w:uiPriority w:val="39"/>
    <w:unhideWhenUsed/>
    <w:rsid w:val="0008745D"/>
    <w:pPr>
      <w:spacing w:after="0"/>
      <w:ind w:left="240"/>
    </w:pPr>
    <w:rPr>
      <w:color w:val="000000" w:themeColor="text1"/>
    </w:rPr>
  </w:style>
  <w:style w:type="character" w:styleId="Hyperlink">
    <w:name w:val="Hyperlink"/>
    <w:basedOn w:val="DefaultParagraphFont"/>
    <w:uiPriority w:val="99"/>
    <w:unhideWhenUsed/>
    <w:rsid w:val="004D61D1"/>
    <w:rPr>
      <w:color w:val="0000FF" w:themeColor="hyperlink"/>
      <w:u w:val="single"/>
    </w:rPr>
  </w:style>
  <w:style w:type="paragraph" w:styleId="Header">
    <w:name w:val="header"/>
    <w:basedOn w:val="Normal"/>
    <w:link w:val="HeaderChar"/>
    <w:uiPriority w:val="99"/>
    <w:unhideWhenUsed/>
    <w:rsid w:val="004D61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1D1"/>
    <w:rPr>
      <w:rFonts w:ascii="Times New Roman" w:eastAsia="Times New Roman" w:hAnsi="Times New Roman" w:cs="Times New Roman"/>
      <w:sz w:val="24"/>
      <w:szCs w:val="24"/>
      <w:lang w:val="en-GB" w:eastAsia="ko-KR"/>
    </w:rPr>
  </w:style>
  <w:style w:type="paragraph" w:styleId="Footer">
    <w:name w:val="footer"/>
    <w:basedOn w:val="Normal"/>
    <w:link w:val="FooterChar"/>
    <w:uiPriority w:val="99"/>
    <w:unhideWhenUsed/>
    <w:rsid w:val="004D6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1D1"/>
    <w:rPr>
      <w:rFonts w:ascii="Times New Roman" w:eastAsia="Times New Roman" w:hAnsi="Times New Roman" w:cs="Times New Roman"/>
      <w:sz w:val="24"/>
      <w:szCs w:val="24"/>
      <w:lang w:val="en-GB" w:eastAsia="ko-KR"/>
    </w:rPr>
  </w:style>
  <w:style w:type="table" w:styleId="TableGrid">
    <w:name w:val="Table Grid"/>
    <w:basedOn w:val="TableNormal"/>
    <w:uiPriority w:val="59"/>
    <w:rsid w:val="00E323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323E5"/>
    <w:rPr>
      <w:color w:val="605E5C"/>
      <w:shd w:val="clear" w:color="auto" w:fill="E1DFDD"/>
    </w:rPr>
  </w:style>
  <w:style w:type="paragraph" w:styleId="TOC3">
    <w:name w:val="toc 3"/>
    <w:basedOn w:val="Normal"/>
    <w:next w:val="Normal"/>
    <w:autoRedefine/>
    <w:uiPriority w:val="39"/>
    <w:semiHidden/>
    <w:unhideWhenUsed/>
    <w:rsid w:val="0008745D"/>
    <w:pPr>
      <w:spacing w:after="0"/>
      <w:ind w:left="480"/>
    </w:pPr>
    <w:rPr>
      <w:color w:val="000000" w:themeColor="text1"/>
    </w:rPr>
  </w:style>
  <w:style w:type="paragraph" w:styleId="NormalWeb">
    <w:name w:val="Normal (Web)"/>
    <w:basedOn w:val="Normal"/>
    <w:uiPriority w:val="99"/>
    <w:semiHidden/>
    <w:unhideWhenUsed/>
    <w:rsid w:val="002D5C5A"/>
    <w:pPr>
      <w:spacing w:before="100" w:beforeAutospacing="1" w:after="100" w:afterAutospacing="1" w:line="240" w:lineRule="auto"/>
      <w:jc w:val="left"/>
    </w:pPr>
  </w:style>
  <w:style w:type="character" w:customStyle="1" w:styleId="Heading3Char">
    <w:name w:val="Heading 3 Char"/>
    <w:basedOn w:val="DefaultParagraphFont"/>
    <w:link w:val="Heading3"/>
    <w:uiPriority w:val="9"/>
    <w:semiHidden/>
    <w:rsid w:val="0012634D"/>
    <w:rPr>
      <w:rFonts w:asciiTheme="majorHAnsi" w:eastAsiaTheme="majorEastAsia" w:hAnsiTheme="majorHAnsi" w:cstheme="majorBidi"/>
      <w:color w:val="243F60" w:themeColor="accent1" w:themeShade="7F"/>
      <w:sz w:val="24"/>
      <w:szCs w:val="24"/>
      <w:lang w:val="en-GB" w:eastAsia="ko-KR"/>
    </w:rPr>
  </w:style>
  <w:style w:type="paragraph" w:styleId="TableofFigures">
    <w:name w:val="table of figures"/>
    <w:basedOn w:val="Normal"/>
    <w:next w:val="Normal"/>
    <w:uiPriority w:val="99"/>
    <w:unhideWhenUsed/>
    <w:rsid w:val="00525F89"/>
    <w:pPr>
      <w:spacing w:after="0"/>
    </w:pPr>
    <w:rPr>
      <w:color w:val="000000" w:themeColor="text1"/>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877262">
      <w:bodyDiv w:val="1"/>
      <w:marLeft w:val="0"/>
      <w:marRight w:val="0"/>
      <w:marTop w:val="0"/>
      <w:marBottom w:val="0"/>
      <w:divBdr>
        <w:top w:val="none" w:sz="0" w:space="0" w:color="auto"/>
        <w:left w:val="none" w:sz="0" w:space="0" w:color="auto"/>
        <w:bottom w:val="none" w:sz="0" w:space="0" w:color="auto"/>
        <w:right w:val="none" w:sz="0" w:space="0" w:color="auto"/>
      </w:divBdr>
    </w:div>
    <w:div w:id="770393896">
      <w:bodyDiv w:val="1"/>
      <w:marLeft w:val="0"/>
      <w:marRight w:val="0"/>
      <w:marTop w:val="0"/>
      <w:marBottom w:val="0"/>
      <w:divBdr>
        <w:top w:val="none" w:sz="0" w:space="0" w:color="auto"/>
        <w:left w:val="none" w:sz="0" w:space="0" w:color="auto"/>
        <w:bottom w:val="none" w:sz="0" w:space="0" w:color="auto"/>
        <w:right w:val="none" w:sz="0" w:space="0" w:color="auto"/>
      </w:divBdr>
    </w:div>
    <w:div w:id="782113064">
      <w:bodyDiv w:val="1"/>
      <w:marLeft w:val="0"/>
      <w:marRight w:val="0"/>
      <w:marTop w:val="0"/>
      <w:marBottom w:val="0"/>
      <w:divBdr>
        <w:top w:val="none" w:sz="0" w:space="0" w:color="auto"/>
        <w:left w:val="none" w:sz="0" w:space="0" w:color="auto"/>
        <w:bottom w:val="none" w:sz="0" w:space="0" w:color="auto"/>
        <w:right w:val="none" w:sz="0" w:space="0" w:color="auto"/>
      </w:divBdr>
    </w:div>
    <w:div w:id="900024727">
      <w:bodyDiv w:val="1"/>
      <w:marLeft w:val="0"/>
      <w:marRight w:val="0"/>
      <w:marTop w:val="0"/>
      <w:marBottom w:val="0"/>
      <w:divBdr>
        <w:top w:val="none" w:sz="0" w:space="0" w:color="auto"/>
        <w:left w:val="none" w:sz="0" w:space="0" w:color="auto"/>
        <w:bottom w:val="none" w:sz="0" w:space="0" w:color="auto"/>
        <w:right w:val="none" w:sz="0" w:space="0" w:color="auto"/>
      </w:divBdr>
    </w:div>
    <w:div w:id="931165813">
      <w:bodyDiv w:val="1"/>
      <w:marLeft w:val="0"/>
      <w:marRight w:val="0"/>
      <w:marTop w:val="0"/>
      <w:marBottom w:val="0"/>
      <w:divBdr>
        <w:top w:val="none" w:sz="0" w:space="0" w:color="auto"/>
        <w:left w:val="none" w:sz="0" w:space="0" w:color="auto"/>
        <w:bottom w:val="none" w:sz="0" w:space="0" w:color="auto"/>
        <w:right w:val="none" w:sz="0" w:space="0" w:color="auto"/>
      </w:divBdr>
    </w:div>
    <w:div w:id="972751009">
      <w:bodyDiv w:val="1"/>
      <w:marLeft w:val="0"/>
      <w:marRight w:val="0"/>
      <w:marTop w:val="0"/>
      <w:marBottom w:val="0"/>
      <w:divBdr>
        <w:top w:val="none" w:sz="0" w:space="0" w:color="auto"/>
        <w:left w:val="none" w:sz="0" w:space="0" w:color="auto"/>
        <w:bottom w:val="none" w:sz="0" w:space="0" w:color="auto"/>
        <w:right w:val="none" w:sz="0" w:space="0" w:color="auto"/>
      </w:divBdr>
    </w:div>
    <w:div w:id="1095057297">
      <w:bodyDiv w:val="1"/>
      <w:marLeft w:val="0"/>
      <w:marRight w:val="0"/>
      <w:marTop w:val="0"/>
      <w:marBottom w:val="0"/>
      <w:divBdr>
        <w:top w:val="none" w:sz="0" w:space="0" w:color="auto"/>
        <w:left w:val="none" w:sz="0" w:space="0" w:color="auto"/>
        <w:bottom w:val="none" w:sz="0" w:space="0" w:color="auto"/>
        <w:right w:val="none" w:sz="0" w:space="0" w:color="auto"/>
      </w:divBdr>
    </w:div>
    <w:div w:id="1102071779">
      <w:bodyDiv w:val="1"/>
      <w:marLeft w:val="0"/>
      <w:marRight w:val="0"/>
      <w:marTop w:val="0"/>
      <w:marBottom w:val="0"/>
      <w:divBdr>
        <w:top w:val="none" w:sz="0" w:space="0" w:color="auto"/>
        <w:left w:val="none" w:sz="0" w:space="0" w:color="auto"/>
        <w:bottom w:val="none" w:sz="0" w:space="0" w:color="auto"/>
        <w:right w:val="none" w:sz="0" w:space="0" w:color="auto"/>
      </w:divBdr>
    </w:div>
    <w:div w:id="1304846710">
      <w:bodyDiv w:val="1"/>
      <w:marLeft w:val="0"/>
      <w:marRight w:val="0"/>
      <w:marTop w:val="0"/>
      <w:marBottom w:val="0"/>
      <w:divBdr>
        <w:top w:val="none" w:sz="0" w:space="0" w:color="auto"/>
        <w:left w:val="none" w:sz="0" w:space="0" w:color="auto"/>
        <w:bottom w:val="none" w:sz="0" w:space="0" w:color="auto"/>
        <w:right w:val="none" w:sz="0" w:space="0" w:color="auto"/>
      </w:divBdr>
    </w:div>
    <w:div w:id="1466967102">
      <w:bodyDiv w:val="1"/>
      <w:marLeft w:val="0"/>
      <w:marRight w:val="0"/>
      <w:marTop w:val="0"/>
      <w:marBottom w:val="0"/>
      <w:divBdr>
        <w:top w:val="none" w:sz="0" w:space="0" w:color="auto"/>
        <w:left w:val="none" w:sz="0" w:space="0" w:color="auto"/>
        <w:bottom w:val="none" w:sz="0" w:space="0" w:color="auto"/>
        <w:right w:val="none" w:sz="0" w:space="0" w:color="auto"/>
      </w:divBdr>
    </w:div>
    <w:div w:id="1512455173">
      <w:bodyDiv w:val="1"/>
      <w:marLeft w:val="0"/>
      <w:marRight w:val="0"/>
      <w:marTop w:val="0"/>
      <w:marBottom w:val="0"/>
      <w:divBdr>
        <w:top w:val="none" w:sz="0" w:space="0" w:color="auto"/>
        <w:left w:val="none" w:sz="0" w:space="0" w:color="auto"/>
        <w:bottom w:val="none" w:sz="0" w:space="0" w:color="auto"/>
        <w:right w:val="none" w:sz="0" w:space="0" w:color="auto"/>
      </w:divBdr>
    </w:div>
    <w:div w:id="1549800019">
      <w:bodyDiv w:val="1"/>
      <w:marLeft w:val="0"/>
      <w:marRight w:val="0"/>
      <w:marTop w:val="0"/>
      <w:marBottom w:val="0"/>
      <w:divBdr>
        <w:top w:val="none" w:sz="0" w:space="0" w:color="auto"/>
        <w:left w:val="none" w:sz="0" w:space="0" w:color="auto"/>
        <w:bottom w:val="none" w:sz="0" w:space="0" w:color="auto"/>
        <w:right w:val="none" w:sz="0" w:space="0" w:color="auto"/>
      </w:divBdr>
    </w:div>
    <w:div w:id="1671981974">
      <w:bodyDiv w:val="1"/>
      <w:marLeft w:val="0"/>
      <w:marRight w:val="0"/>
      <w:marTop w:val="0"/>
      <w:marBottom w:val="0"/>
      <w:divBdr>
        <w:top w:val="none" w:sz="0" w:space="0" w:color="auto"/>
        <w:left w:val="none" w:sz="0" w:space="0" w:color="auto"/>
        <w:bottom w:val="none" w:sz="0" w:space="0" w:color="auto"/>
        <w:right w:val="none" w:sz="0" w:space="0" w:color="auto"/>
      </w:divBdr>
    </w:div>
    <w:div w:id="2080899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Oa_pEAAAQBAJ&amp;oi=fnd&amp;pg=PT5&amp;dq=Maslow%E2%80%99s+Hierarchy+of+Needs+Theory+book&amp;ots=aoP6XkrIFX&amp;sig=cVv4AVDyHQ_IE5ZM_me4_R6tteI" TargetMode="External"/><Relationship Id="rId13" Type="http://schemas.openxmlformats.org/officeDocument/2006/relationships/hyperlink" Target="https://www.nice.org.uk/about-us/our-principl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ee.nhs.uk/our-work/person-centred-ca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personalisedcare/comprehensive-model/case-studies/joans-stor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egislation.gov.uk/ukpga/2022/31/contents" TargetMode="External"/><Relationship Id="rId4" Type="http://schemas.openxmlformats.org/officeDocument/2006/relationships/webSettings" Target="webSettings.xml"/><Relationship Id="rId9" Type="http://schemas.openxmlformats.org/officeDocument/2006/relationships/hyperlink" Target="https://www.hcpc-uk.org/news-and-events/news/2026/hcpc-response-to-the-consultation-on-reforming-the-general-medical-council-legislative-framewor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6865A0-81D7-4677-8A6D-D1B56D8B8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2570</Words>
  <Characters>14652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Haniffa Bibi</cp:lastModifiedBy>
  <cp:revision>3</cp:revision>
  <dcterms:created xsi:type="dcterms:W3CDTF">2026-07-04T14:52:00Z</dcterms:created>
  <dcterms:modified xsi:type="dcterms:W3CDTF">2026-07-04T14:53:00Z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c8d4f470-92a7-4426-9105-ab1147444cb2</vt:lpwstr>
  </property>
</Properties>
</file>