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spacing w:line="36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Pr>
        <w:drawing>
          <wp:anchor distT="152400" distB="152400" distL="152400" distR="152400" simplePos="0" relativeHeight="251659264" behindDoc="0" locked="0" layoutInCell="1" allowOverlap="1">
            <wp:simplePos x="0" y="0"/>
            <wp:positionH relativeFrom="margin">
              <wp:posOffset>-444526</wp:posOffset>
            </wp:positionH>
            <wp:positionV relativeFrom="page">
              <wp:posOffset>801280</wp:posOffset>
            </wp:positionV>
            <wp:extent cx="6996409" cy="8825016"/>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creen Shot 2019-01-07 at 23.02.52.png"/>
                    <pic:cNvPicPr>
                      <a:picLocks noChangeAspect="1"/>
                    </pic:cNvPicPr>
                  </pic:nvPicPr>
                  <pic:blipFill>
                    <a:blip r:embed="rId4">
                      <a:extLst/>
                    </a:blip>
                    <a:stretch>
                      <a:fillRect/>
                    </a:stretch>
                  </pic:blipFill>
                  <pic:spPr>
                    <a:xfrm>
                      <a:off x="0" y="0"/>
                      <a:ext cx="6996409" cy="8825016"/>
                    </a:xfrm>
                    <a:prstGeom prst="rect">
                      <a:avLst/>
                    </a:prstGeom>
                    <a:ln w="12700" cap="flat">
                      <a:noFill/>
                      <a:miter lim="400000"/>
                    </a:ln>
                    <a:effectLst/>
                  </pic:spPr>
                </pic:pic>
              </a:graphicData>
            </a:graphic>
          </wp:anchor>
        </w:drawing>
      </w:r>
      <w:r>
        <w:rPr>
          <w:rFonts w:ascii="Times New Roman" w:cs="Times New Roman" w:hAnsi="Times New Roman" w:eastAsia="Times New Roman"/>
          <w:sz w:val="24"/>
          <w:szCs w:val="24"/>
        </w:rPr>
        <mc:AlternateContent>
          <mc:Choice Requires="wps">
            <w:drawing>
              <wp:anchor distT="152400" distB="152400" distL="152400" distR="152400" simplePos="0" relativeHeight="251660288" behindDoc="0" locked="0" layoutInCell="1" allowOverlap="1">
                <wp:simplePos x="0" y="0"/>
                <wp:positionH relativeFrom="margin">
                  <wp:posOffset>1323938</wp:posOffset>
                </wp:positionH>
                <wp:positionV relativeFrom="line">
                  <wp:posOffset>1845399</wp:posOffset>
                </wp:positionV>
                <wp:extent cx="5065118" cy="1936671"/>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microsoft.com/office/word/2010/wordprocessingShape">
                    <wps:wsp>
                      <wps:cNvSpPr txBox="1"/>
                      <wps:spPr>
                        <a:xfrm>
                          <a:off x="0" y="0"/>
                          <a:ext cx="5065118" cy="1936671"/>
                        </a:xfrm>
                        <a:prstGeom prst="rect">
                          <a:avLst/>
                        </a:prstGeom>
                        <a:noFill/>
                        <a:ln w="12700" cap="flat">
                          <a:noFill/>
                          <a:miter lim="400000"/>
                        </a:ln>
                        <a:effectLst/>
                      </wps:spPr>
                      <wps:txbx>
                        <w:txbxContent>
                          <w:p>
                            <w:pPr>
                              <w:pStyle w:val="Body"/>
                            </w:pPr>
                            <w:r>
                              <w:rPr>
                                <w:rFonts w:ascii="Arial" w:hAnsi="Arial"/>
                                <w:b w:val="1"/>
                                <w:bCs w:val="1"/>
                                <w:sz w:val="26"/>
                                <w:szCs w:val="26"/>
                                <w:rtl w:val="0"/>
                                <w:lang w:val="en-US"/>
                              </w:rPr>
                              <w:t>Joseff Edwards                                                 1501341</w:t>
                            </w:r>
                          </w:p>
                        </w:txbxContent>
                      </wps:txbx>
                      <wps:bodyPr wrap="square" lIns="50800" tIns="50800" rIns="50800" bIns="50800" numCol="1" anchor="t">
                        <a:noAutofit/>
                      </wps:bodyPr>
                    </wps:wsp>
                  </a:graphicData>
                </a:graphic>
              </wp:anchor>
            </w:drawing>
          </mc:Choice>
          <mc:Fallback>
            <w:pict>
              <v:shape id="_x0000_s1026" type="#_x0000_t202" style="visibility:visible;position:absolute;margin-left:104.2pt;margin-top:145.3pt;width:398.8pt;height:152.5pt;z-index:251660288;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rFonts w:ascii="Arial" w:hAnsi="Arial"/>
                          <w:b w:val="1"/>
                          <w:bCs w:val="1"/>
                          <w:sz w:val="26"/>
                          <w:szCs w:val="26"/>
                          <w:rtl w:val="0"/>
                          <w:lang w:val="en-US"/>
                        </w:rPr>
                        <w:t>Joseff Edwards                                                 1501341</w:t>
                      </w:r>
                    </w:p>
                  </w:txbxContent>
                </v:textbox>
                <w10:wrap type="through" side="bothSides" anchorx="margin"/>
              </v:shape>
            </w:pict>
          </mc:Fallback>
        </mc:AlternateConten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In this assignment it will be discussed whether or not a programme similar to the Basque model would be effective if it were implemented through-out the English-medium sector in Wales.There will also be an in depth analysis looking in to any changes that would be needed if the Basque model was to be adopted in Wales. To do this there will be comparison between both the Welsh education programs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Basque language is an all encompassing ethos derived from the Basque Government in order to promote the use of the language through the schools. According to Hapwood et al. (2018), the schools have been categorised in to three different models. Model A is where all instructions are given in Spanish and Basque is taught for three hours a week, Model B is where the children receive instruction in Basque as a subject and 30-40% of the curriculum is taught through the medium of Basque, Model D is where all instruction is taught through the medium of Basque with Spanish as a compulsory subject. In the document it also states that the A-model schools are becoming less popular due to the fact that parents and pupils are choosing B- and D-model schools where Basque is becoming more prominent.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When comparing the education system in Wales to a system such as the Basque model it is clear to see that there are similarities but also distinctive differences. One observation made is that Wales follows a similar arrangement to that of Model-A in the Basque model. At this time in Wales, in English-medium schools,  Welsh as a subject is a legal requirement up until the age of 16. As it is only a subject, this coincides with the idea of Model-A which in Wales would mean all instruction is given in English. By only giving this amount of time to a subject it means that there is not enough time spent on the language for the children to understand what they have learnt, there in not enough consistency. </w:t>
      </w:r>
      <w:r>
        <w:rPr>
          <w:rFonts w:ascii="Times New Roman" w:hAnsi="Times New Roman"/>
          <w:sz w:val="24"/>
          <w:szCs w:val="24"/>
          <w:rtl w:val="0"/>
          <w:lang w:val="de-DE"/>
        </w:rPr>
        <w:t>Hermann Ebbinghaus (1885)</w:t>
      </w:r>
      <w:r>
        <w:rPr>
          <w:rFonts w:ascii="Times New Roman" w:hAnsi="Times New Roman"/>
          <w:sz w:val="24"/>
          <w:szCs w:val="24"/>
          <w:rtl w:val="0"/>
          <w:lang w:val="en-US"/>
        </w:rPr>
        <w:t xml:space="preserve">, carried out a number of experiments on the human mind and found that the retention of information improves through increased repetition. This shows that limiting children to only a few hours of Welsh a week is not beneficial to their learning.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Even though schools are an essential part of learning the Welsh language there also needs to be more of an input from parents outside of school. If parents attempt to interact with children through the medium of  Welsh this would mean that there would not be as much of a gap in the learning. According to the Welsh Government (2017), they tell us that in the 2001 census only 20.8 per cent of the population of Wales  was able to speak Welsh. Even though this was an increase from a census in 1991, 18.7 per cent, it is still an extremely low percentage. To tackle this problem the Welsh Government have put in place different strategies that will help increase the percentage of Welsh speakers. One of which is an initiative named Twf, implemented by the Welsh Language Board. This aims to encourage Welsh speaking parents to speak Welsh to their children at home and outside of school. Families get the opportunity to meet with officers that can help with different ways in which the parents can introduce Welsh in to the home setting.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The Basque Government have been relatively successful at increasing the amount of people speaking Basque, with a percentage of 33.9% of the Basque population speaking Basque. One way in which they have done this is by providing job opportunities which require a certain level of Basque to be spoken. This encourages more people to want to learn the language because it means it can have a positive effect on their lives when they are older. There is no such programme similar to this in Wales which leads some people to believe that pupils do not have the desire to want to learn the language. From experience, pupils find the language useless because there is no real purpose to learning it. By introducing more job opportunities that require a certain level of Welsh it can mean that there would be more of a focus for children wanting to learn Welsh. Even though there are jobs out there that require some Welsh they are very limited. For this to take place the Government need to take action in providing these types of jobs where people need to be able to speak the language.</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According to Hapwood et al (2018), in recent years there has been a large decline in the number of parents choosing Model-A schools. Instead there has been an increase in the number of children being sent to Model-B schools and especially Model-D schools. Furthermore, these statistics mean that there is a much larger language transfer for the pupils which in turn increases the percentage of the population speaking Basque. In Wales there is no equivalent to Model-B in the Basque Country. As the report states, the decline of Model-A schools is increasing and the equivalent to that in Wales in an English-medium school. If the Welsh Government were to introduce a school equivalent to a Model-B school this there would be a higher chance of parents sending their children to there thus increasing the percentage of Welsh speakers around the country.</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When it comes to teaching the language, the competence of a teacher in the Basque language is crucial for positive learning to take place. A similarity between the Basque Country and Wales is that both Governments have implemented courses to help teachers better understand and teach the language. In the report, Hapwood (2018), stated that the Basque Government had created intensive language courses for practicing teachers which could range from full-time to part-time coursers. Although, these lengthy courses have since been abolished and instead teachers are able to attend three to four-week Basque Refresher courses. Currently there is great push in sabbatical courses within Wales which are funded by the Welsh Government. According to Welsh Government (2016), the course aims to </w:t>
      </w:r>
      <w:r>
        <w:rPr>
          <w:rFonts w:ascii="Times New Roman" w:hAnsi="Times New Roman"/>
          <w:sz w:val="24"/>
          <w:szCs w:val="24"/>
          <w:rtl w:val="0"/>
          <w:lang w:val="it-IT"/>
        </w:rPr>
        <w:t>improve</w:t>
      </w:r>
      <w:r>
        <w:rPr>
          <w:rFonts w:ascii="Times New Roman" w:hAnsi="Times New Roman"/>
          <w:sz w:val="24"/>
          <w:szCs w:val="24"/>
          <w:rtl w:val="0"/>
          <w:lang w:val="en-US"/>
        </w:rPr>
        <w:t xml:space="preserve"> a</w:t>
      </w:r>
      <w:r>
        <w:rPr>
          <w:rFonts w:ascii="Times New Roman" w:hAnsi="Times New Roman"/>
          <w:sz w:val="24"/>
          <w:szCs w:val="24"/>
          <w:rtl w:val="0"/>
        </w:rPr>
        <w:t xml:space="preserve"> </w:t>
      </w:r>
      <w:r>
        <w:rPr>
          <w:rFonts w:ascii="Times New Roman" w:hAnsi="Times New Roman"/>
          <w:sz w:val="24"/>
          <w:szCs w:val="24"/>
          <w:rtl w:val="0"/>
          <w:lang w:val="en-US"/>
        </w:rPr>
        <w:t>teacher</w:t>
      </w:r>
      <w:r>
        <w:rPr>
          <w:rFonts w:ascii="Times New Roman" w:hAnsi="Times New Roman" w:hint="default"/>
          <w:sz w:val="24"/>
          <w:szCs w:val="24"/>
          <w:rtl w:val="0"/>
          <w:lang w:val="en-US"/>
        </w:rPr>
        <w:t>’</w:t>
      </w:r>
      <w:r>
        <w:rPr>
          <w:rFonts w:ascii="Times New Roman" w:hAnsi="Times New Roman"/>
          <w:sz w:val="24"/>
          <w:szCs w:val="24"/>
          <w:rtl w:val="0"/>
          <w:lang w:val="en-US"/>
        </w:rPr>
        <w:t>s</w:t>
      </w:r>
      <w:r>
        <w:rPr>
          <w:rFonts w:ascii="Times New Roman" w:hAnsi="Times New Roman"/>
          <w:sz w:val="24"/>
          <w:szCs w:val="24"/>
          <w:rtl w:val="0"/>
          <w:lang w:val="en-US"/>
        </w:rPr>
        <w:t xml:space="preserve"> Welsh-language skill</w:t>
      </w:r>
      <w:r>
        <w:rPr>
          <w:rFonts w:ascii="Times New Roman" w:hAnsi="Times New Roman"/>
          <w:sz w:val="24"/>
          <w:szCs w:val="24"/>
          <w:rtl w:val="0"/>
          <w:lang w:val="en-US"/>
        </w:rPr>
        <w:t xml:space="preserve">s, </w:t>
      </w:r>
      <w:r>
        <w:rPr>
          <w:rFonts w:ascii="Times New Roman" w:hAnsi="Times New Roman"/>
          <w:sz w:val="24"/>
          <w:szCs w:val="24"/>
          <w:rtl w:val="0"/>
          <w:lang w:val="en-US"/>
        </w:rPr>
        <w:t>acquire knowledge of terminology specific to their subject are</w:t>
      </w:r>
      <w:r>
        <w:rPr>
          <w:rFonts w:ascii="Times New Roman" w:hAnsi="Times New Roman"/>
          <w:sz w:val="24"/>
          <w:szCs w:val="24"/>
          <w:rtl w:val="0"/>
          <w:lang w:val="en-US"/>
        </w:rPr>
        <w:t xml:space="preserve">a and </w:t>
      </w:r>
      <w:r>
        <w:rPr>
          <w:rFonts w:ascii="Times New Roman" w:hAnsi="Times New Roman"/>
          <w:sz w:val="24"/>
          <w:szCs w:val="24"/>
          <w:rtl w:val="0"/>
          <w:lang w:val="en-US"/>
        </w:rPr>
        <w:t>gain awareness and confidence in using Welsh-medium and bilingual methodologies.</w:t>
      </w:r>
      <w:r>
        <w:rPr>
          <w:rFonts w:ascii="Times New Roman" w:hAnsi="Times New Roman"/>
          <w:sz w:val="24"/>
          <w:szCs w:val="24"/>
          <w:rtl w:val="0"/>
          <w:lang w:val="en-US"/>
        </w:rPr>
        <w:t xml:space="preserve"> These course do not only benefit the teacher who was on this course directly but it can also mean that the teacher that was on the course can now use their knowledge of Welsh and bring it back to their school. By doing this it means that it cuts costs for the Government but also helps any school that is in need of a more Welsh ethos.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Another similarity in both the Basque Country and Wales is that both are going to have a new curriculum in 2020. One of the main focuses of the new Basque curriculum, </w:t>
      </w:r>
      <w:r>
        <w:rPr>
          <w:rFonts w:ascii="Times New Roman" w:hAnsi="Times New Roman"/>
          <w:sz w:val="24"/>
          <w:szCs w:val="24"/>
          <w:rtl w:val="0"/>
        </w:rPr>
        <w:t>Heziberri 2020,</w:t>
      </w:r>
      <w:r>
        <w:rPr>
          <w:rFonts w:ascii="Times New Roman" w:hAnsi="Times New Roman"/>
          <w:sz w:val="24"/>
          <w:szCs w:val="24"/>
          <w:rtl w:val="0"/>
          <w:lang w:val="en-US"/>
        </w:rPr>
        <w:t xml:space="preserve"> is to establish an adequate level of the Basque language for all pupils before they leave formal education.   In 2020 there will also be big change in the curriculum in Wales. Donaldson (2015) proposes that the Welsh education system needs to concentrate more on strengthening the Welsh language through the whole of the curriculum. The report focuses on the young people and children</w:t>
      </w:r>
      <w:r>
        <w:rPr>
          <w:rFonts w:ascii="Times New Roman" w:hAnsi="Times New Roman" w:hint="default"/>
          <w:sz w:val="24"/>
          <w:szCs w:val="24"/>
          <w:rtl w:val="0"/>
          <w:lang w:val="en-US"/>
        </w:rPr>
        <w:t>’</w:t>
      </w:r>
      <w:r>
        <w:rPr>
          <w:rFonts w:ascii="Times New Roman" w:hAnsi="Times New Roman"/>
          <w:sz w:val="24"/>
          <w:szCs w:val="24"/>
          <w:rtl w:val="0"/>
          <w:lang w:val="en-US"/>
        </w:rPr>
        <w:t>s ability to speak Welsh outside the classroom in everyday settings. Leading on from a point made earlier, the report also states that there needs to be a larger emphasis on the use the Welsh language will have in the work place. Donaldson (2015) also suggests that the qualification for Welsh language at sixteen should be more based on listening and speaking Welsh in the workplace.</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To conclude, introducing a strategy such as the Basque Model in to Wales would be possible but it there would need to be changes. Through research and observation there is a greater demand for schools to teach children about Welsh identity and to be proud of who they are. To do this the Welsh Government (2016) aim to increase the amount of activities for the younger generation to increase their awareness of the value of the language. If the Basque model were to be implemented in to the Welsh educational system it is also apparent that there will need to be an additional type of school. The idea of a school that teaches 30-40% of its curriculum in Welsh seems like a very positive prospect. The children need to be immersed within the language to allow knowledge and understanding to improve.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As a recommendation, there needs to be a larger emphasis on Welsh outside of school and in the home. In an age where technology plays a great part in everyones lives the government need to take action in promoting the language around social media and television. Welsh Government (2017) believes the Welsh language needs to be embedded in digital technology to allow the Welsh language to be accessible in all digital contexts.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The next recommendation would be for the Welsh Government to increase job opportunities in Wales to those with high qualification in Welsh. These jobs would need to be similar to the ones the Basque Government have created which have a demand for high quality Basque language qualifications. This would lead to pupils in understanding that there would be a value behind learning the language. It adds an extrinsic motivation for the children to want to achieve higher and therefor increases the amount of the population of Welsh speakers.</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u w:val="single"/>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color w:val="b41700"/>
          <w:sz w:val="24"/>
          <w:szCs w:val="24"/>
        </w:rPr>
      </w:pPr>
    </w:p>
    <w:p>
      <w:pPr>
        <w:pStyle w:val="Body"/>
        <w:rPr>
          <w:rFonts w:ascii="Times New Roman" w:cs="Times New Roman" w:hAnsi="Times New Roman" w:eastAsia="Times New Roman"/>
          <w:color w:val="b41700"/>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u w:val="single"/>
        </w:rPr>
      </w:pPr>
    </w:p>
    <w:p>
      <w:pPr>
        <w:pStyle w:val="Body"/>
        <w:rPr>
          <w:rFonts w:ascii="Times New Roman" w:cs="Times New Roman" w:hAnsi="Times New Roman" w:eastAsia="Times New Roman"/>
          <w:sz w:val="24"/>
          <w:szCs w:val="24"/>
          <w:u w:val="single"/>
        </w:rPr>
      </w:pPr>
    </w:p>
    <w:p>
      <w:pPr>
        <w:pStyle w:val="Body"/>
        <w:rPr>
          <w:rFonts w:ascii="Times New Roman" w:cs="Times New Roman" w:hAnsi="Times New Roman" w:eastAsia="Times New Roman"/>
          <w:sz w:val="24"/>
          <w:szCs w:val="24"/>
          <w:u w:val="single"/>
        </w:rPr>
      </w:pPr>
    </w:p>
    <w:p>
      <w:pPr>
        <w:pStyle w:val="Body"/>
        <w:rPr>
          <w:rFonts w:ascii="Times New Roman" w:cs="Times New Roman" w:hAnsi="Times New Roman" w:eastAsia="Times New Roman"/>
          <w:sz w:val="24"/>
          <w:szCs w:val="24"/>
          <w:u w:val="single"/>
        </w:rPr>
      </w:pPr>
    </w:p>
    <w:p>
      <w:pPr>
        <w:pStyle w:val="Body"/>
        <w:rPr>
          <w:rFonts w:ascii="Times New Roman" w:cs="Times New Roman" w:hAnsi="Times New Roman" w:eastAsia="Times New Roman"/>
          <w:sz w:val="24"/>
          <w:szCs w:val="24"/>
          <w:u w:val="single"/>
        </w:rPr>
      </w:pPr>
    </w:p>
    <w:p>
      <w:pPr>
        <w:pStyle w:val="Body"/>
        <w:rPr>
          <w:rFonts w:ascii="Times New Roman" w:cs="Times New Roman" w:hAnsi="Times New Roman" w:eastAsia="Times New Roman"/>
          <w:sz w:val="24"/>
          <w:szCs w:val="24"/>
          <w:u w:val="single"/>
        </w:rPr>
      </w:pPr>
    </w:p>
    <w:p>
      <w:pPr>
        <w:pStyle w:val="Body"/>
        <w:rPr>
          <w:rFonts w:ascii="Times New Roman" w:cs="Times New Roman" w:hAnsi="Times New Roman" w:eastAsia="Times New Roman"/>
          <w:sz w:val="24"/>
          <w:szCs w:val="24"/>
          <w:u w:val="single"/>
        </w:rPr>
      </w:pPr>
      <w:r>
        <w:rPr>
          <w:rFonts w:ascii="Times New Roman" w:cs="Times New Roman" w:hAnsi="Times New Roman" w:eastAsia="Times New Roman"/>
          <w:sz w:val="24"/>
          <w:szCs w:val="24"/>
          <w:u w:val="single"/>
          <w:vertAlign w:val="superscript"/>
        </w:rPr>
        <w:footnoteReference w:id="1"/>
      </w:r>
      <w:r>
        <w:rPr>
          <w:rFonts w:ascii="Times New Roman" w:hAnsi="Times New Roman"/>
          <w:sz w:val="24"/>
          <w:szCs w:val="24"/>
          <w:u w:val="single"/>
          <w:rtl w:val="0"/>
          <w:lang w:val="en-US"/>
        </w:rPr>
        <w:t>Reference List</w:t>
      </w:r>
    </w:p>
    <w:p>
      <w:pPr>
        <w:pStyle w:val="Body"/>
        <w:rPr>
          <w:rFonts w:ascii="Times New Roman" w:cs="Times New Roman" w:hAnsi="Times New Roman" w:eastAsia="Times New Roman"/>
          <w:sz w:val="24"/>
          <w:szCs w:val="24"/>
          <w:u w:val="single"/>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Donaldson, G. (2015) </w:t>
      </w:r>
      <w:r>
        <w:rPr>
          <w:rFonts w:ascii="Times New Roman" w:hAnsi="Times New Roman"/>
          <w:i w:val="1"/>
          <w:iCs w:val="1"/>
          <w:sz w:val="24"/>
          <w:szCs w:val="24"/>
          <w:rtl w:val="0"/>
          <w:lang w:val="en-US"/>
        </w:rPr>
        <w:t>Successful Futures</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"https://gov.wales/docs/dcells/publications/150225-successful-futures-en.pdf"</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https://gov.wales/docs/dcells/publications/150225-successful-futures-en.pdf</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2nd January 2019).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i w:val="1"/>
          <w:iCs w:val="1"/>
          <w:sz w:val="24"/>
          <w:szCs w:val="24"/>
        </w:rPr>
      </w:pPr>
      <w:r>
        <w:rPr>
          <w:rFonts w:ascii="Times New Roman" w:hAnsi="Times New Roman"/>
          <w:sz w:val="24"/>
          <w:szCs w:val="24"/>
          <w:rtl w:val="0"/>
          <w:lang w:val="en-US"/>
        </w:rPr>
        <w:t xml:space="preserve">Hapwood et al. (2018) </w:t>
      </w:r>
      <w:r>
        <w:rPr>
          <w:rFonts w:ascii="Times New Roman" w:hAnsi="Times New Roman"/>
          <w:sz w:val="24"/>
          <w:szCs w:val="24"/>
          <w:rtl w:val="0"/>
        </w:rPr>
        <w:t xml:space="preserve"> </w:t>
      </w:r>
      <w:r>
        <w:rPr>
          <w:rFonts w:ascii="Times New Roman" w:hAnsi="Times New Roman"/>
          <w:i w:val="1"/>
          <w:iCs w:val="1"/>
          <w:sz w:val="24"/>
          <w:szCs w:val="24"/>
          <w:rtl w:val="0"/>
          <w:lang w:val="en-US"/>
        </w:rPr>
        <w:t>An overview of the assessment of language proficiency in a sample of bilingual jurisdictions</w:t>
      </w:r>
      <w:r>
        <w:rPr>
          <w:rFonts w:ascii="Times New Roman" w:hAnsi="Times New Roman"/>
          <w:i w:val="1"/>
          <w:iCs w:val="1"/>
          <w:sz w:val="24"/>
          <w:szCs w:val="24"/>
          <w:rtl w:val="0"/>
          <w:lang w:val="en-US"/>
        </w:rPr>
        <w:t xml:space="preserve">. </w:t>
      </w:r>
    </w:p>
    <w:p>
      <w:pPr>
        <w:pStyle w:val="Body"/>
        <w:rPr>
          <w:rFonts w:ascii="Times New Roman" w:cs="Times New Roman" w:hAnsi="Times New Roman" w:eastAsia="Times New Roman"/>
          <w:i w:val="1"/>
          <w:iCs w:val="1"/>
          <w:sz w:val="24"/>
          <w:szCs w:val="24"/>
        </w:rPr>
      </w:pPr>
    </w:p>
    <w:p>
      <w:pPr>
        <w:pStyle w:val="Body"/>
        <w:rPr>
          <w:rFonts w:ascii="Times New Roman" w:cs="Times New Roman" w:hAnsi="Times New Roman" w:eastAsia="Times New Roman"/>
          <w:i w:val="1"/>
          <w:iCs w:val="1"/>
          <w:sz w:val="24"/>
          <w:szCs w:val="24"/>
        </w:rPr>
      </w:pPr>
      <w:r>
        <w:rPr>
          <w:rFonts w:ascii="Times New Roman" w:hAnsi="Times New Roman"/>
          <w:sz w:val="24"/>
          <w:szCs w:val="24"/>
          <w:rtl w:val="0"/>
          <w:lang w:val="de-DE"/>
        </w:rPr>
        <w:t>Hermann Ebbinghaus (1885)</w:t>
      </w:r>
      <w:r>
        <w:rPr>
          <w:rFonts w:ascii="Times New Roman" w:hAnsi="Times New Roman"/>
          <w:i w:val="1"/>
          <w:iCs w:val="1"/>
          <w:sz w:val="24"/>
          <w:szCs w:val="24"/>
          <w:rtl w:val="0"/>
          <w:lang w:val="en-US"/>
        </w:rPr>
        <w:t xml:space="preserve"> Memory: A Contribution to Experimental Psychology</w:t>
      </w:r>
      <w:r>
        <w:rPr>
          <w:rFonts w:ascii="Times New Roman" w:hAnsi="Times New Roman"/>
          <w:i w:val="1"/>
          <w:iCs w:val="1"/>
          <w:sz w:val="24"/>
          <w:szCs w:val="24"/>
          <w:rtl w:val="0"/>
          <w:lang w:val="en-US"/>
        </w:rPr>
        <w:t>.</w:t>
      </w:r>
    </w:p>
    <w:p>
      <w:pPr>
        <w:pStyle w:val="Body"/>
        <w:rPr>
          <w:rFonts w:ascii="Times New Roman" w:cs="Times New Roman" w:hAnsi="Times New Roman" w:eastAsia="Times New Roman"/>
          <w:i w:val="1"/>
          <w:iCs w:val="1"/>
          <w:sz w:val="24"/>
          <w:szCs w:val="24"/>
        </w:rPr>
      </w:pPr>
    </w:p>
    <w:p>
      <w:pPr>
        <w:pStyle w:val="Body"/>
        <w:rPr>
          <w:rFonts w:ascii="Times New Roman" w:cs="Times New Roman" w:hAnsi="Times New Roman" w:eastAsia="Times New Roman"/>
          <w:i w:val="1"/>
          <w:iCs w:val="1"/>
          <w:sz w:val="24"/>
          <w:szCs w:val="24"/>
        </w:rPr>
      </w:pPr>
      <w:r>
        <w:rPr>
          <w:rFonts w:ascii="Times New Roman" w:hAnsi="Times New Roman"/>
          <w:sz w:val="24"/>
          <w:szCs w:val="24"/>
          <w:rtl w:val="0"/>
          <w:lang w:val="en-US"/>
        </w:rPr>
        <w:t xml:space="preserve">Welsh Government (2017) </w:t>
      </w:r>
      <w:r>
        <w:rPr>
          <w:rFonts w:ascii="Times New Roman" w:hAnsi="Times New Roman"/>
          <w:i w:val="1"/>
          <w:iCs w:val="1"/>
          <w:sz w:val="24"/>
          <w:szCs w:val="24"/>
          <w:rtl w:val="0"/>
          <w:lang w:val="en-US"/>
        </w:rPr>
        <w:t xml:space="preserve">Cymreag 2050: A Million Welsh Speakers. </w:t>
      </w:r>
    </w:p>
    <w:p>
      <w:pPr>
        <w:pStyle w:val="Body"/>
        <w:rPr>
          <w:rFonts w:ascii="Times New Roman" w:cs="Times New Roman" w:hAnsi="Times New Roman" w:eastAsia="Times New Roman"/>
          <w:i w:val="1"/>
          <w:iCs w:val="1"/>
          <w:sz w:val="24"/>
          <w:szCs w:val="24"/>
        </w:rPr>
      </w:pPr>
    </w:p>
    <w:p>
      <w:pPr>
        <w:pStyle w:val="Body"/>
      </w:pPr>
      <w:r>
        <w:rPr>
          <w:rFonts w:ascii="Times New Roman" w:hAnsi="Times New Roman"/>
          <w:sz w:val="24"/>
          <w:szCs w:val="24"/>
          <w:rtl w:val="0"/>
          <w:lang w:val="en-US"/>
        </w:rPr>
        <w:t>Welsh Government (2016)</w:t>
      </w:r>
      <w:r>
        <w:rPr>
          <w:rFonts w:ascii="Times New Roman" w:hAnsi="Times New Roman"/>
          <w:i w:val="1"/>
          <w:iCs w:val="1"/>
          <w:sz w:val="24"/>
          <w:szCs w:val="24"/>
          <w:rtl w:val="0"/>
          <w:lang w:val="en-US"/>
        </w:rPr>
        <w:t xml:space="preserve"> </w:t>
      </w:r>
      <w:r>
        <w:rPr>
          <w:rFonts w:ascii="Times New Roman" w:hAnsi="Times New Roman"/>
          <w:i w:val="1"/>
          <w:iCs w:val="1"/>
          <w:sz w:val="24"/>
          <w:szCs w:val="24"/>
          <w:rtl w:val="0"/>
          <w:lang w:val="en-US"/>
        </w:rPr>
        <w:t xml:space="preserve">Welsh </w:t>
      </w:r>
      <w:r>
        <w:rPr>
          <w:rFonts w:ascii="Times New Roman" w:hAnsi="Times New Roman"/>
          <w:i w:val="1"/>
          <w:iCs w:val="1"/>
          <w:sz w:val="24"/>
          <w:szCs w:val="24"/>
          <w:rtl w:val="0"/>
          <w:lang w:val="en-US"/>
        </w:rPr>
        <w:t>L</w:t>
      </w:r>
      <w:r>
        <w:rPr>
          <w:rFonts w:ascii="Times New Roman" w:hAnsi="Times New Roman"/>
          <w:i w:val="1"/>
          <w:iCs w:val="1"/>
          <w:sz w:val="24"/>
          <w:szCs w:val="24"/>
          <w:rtl w:val="0"/>
          <w:lang w:val="en-US"/>
        </w:rPr>
        <w:t xml:space="preserve">anguage </w:t>
      </w:r>
      <w:r>
        <w:rPr>
          <w:rFonts w:ascii="Times New Roman" w:hAnsi="Times New Roman"/>
          <w:i w:val="1"/>
          <w:iCs w:val="1"/>
          <w:sz w:val="24"/>
          <w:szCs w:val="24"/>
          <w:rtl w:val="0"/>
          <w:lang w:val="en-US"/>
        </w:rPr>
        <w:t>P</w:t>
      </w:r>
      <w:r>
        <w:rPr>
          <w:rFonts w:ascii="Times New Roman" w:hAnsi="Times New Roman"/>
          <w:i w:val="1"/>
          <w:iCs w:val="1"/>
          <w:sz w:val="24"/>
          <w:szCs w:val="24"/>
          <w:rtl w:val="0"/>
          <w:lang w:val="es-ES_tradnl"/>
        </w:rPr>
        <w:t xml:space="preserve">ractitioner </w:t>
      </w:r>
      <w:r>
        <w:rPr>
          <w:rFonts w:ascii="Times New Roman" w:hAnsi="Times New Roman"/>
          <w:i w:val="1"/>
          <w:iCs w:val="1"/>
          <w:sz w:val="24"/>
          <w:szCs w:val="24"/>
          <w:rtl w:val="0"/>
          <w:lang w:val="en-US"/>
        </w:rPr>
        <w:t>T</w:t>
      </w:r>
      <w:r>
        <w:rPr>
          <w:rFonts w:ascii="Times New Roman" w:hAnsi="Times New Roman"/>
          <w:i w:val="1"/>
          <w:iCs w:val="1"/>
          <w:sz w:val="24"/>
          <w:szCs w:val="24"/>
          <w:rtl w:val="0"/>
          <w:lang w:val="en-US"/>
        </w:rPr>
        <w:t>raining</w:t>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 xml:space="preserve">Available at: </w:t>
      </w:r>
      <w:r>
        <w:rPr>
          <w:rStyle w:val="Link"/>
          <w:rFonts w:ascii="Times New Roman" w:cs="Times New Roman" w:hAnsi="Times New Roman" w:eastAsia="Times New Roman"/>
          <w:sz w:val="24"/>
          <w:szCs w:val="24"/>
        </w:rPr>
        <w:fldChar w:fldCharType="begin" w:fldLock="0"/>
      </w:r>
      <w:r>
        <w:rPr>
          <w:rStyle w:val="Link"/>
          <w:rFonts w:ascii="Times New Roman" w:cs="Times New Roman" w:hAnsi="Times New Roman" w:eastAsia="Times New Roman"/>
          <w:sz w:val="24"/>
          <w:szCs w:val="24"/>
        </w:rPr>
        <w:instrText xml:space="preserve"> HYPERLINK "http://learning.gov.wales/resources/collections/welsh-lang-practitioner-training?lang=en"</w:instrText>
      </w:r>
      <w:r>
        <w:rPr>
          <w:rStyle w:val="Link"/>
          <w:rFonts w:ascii="Times New Roman" w:cs="Times New Roman" w:hAnsi="Times New Roman" w:eastAsia="Times New Roman"/>
          <w:sz w:val="24"/>
          <w:szCs w:val="24"/>
        </w:rPr>
        <w:fldChar w:fldCharType="separate" w:fldLock="0"/>
      </w:r>
      <w:r>
        <w:rPr>
          <w:rStyle w:val="Link"/>
          <w:rFonts w:ascii="Times New Roman" w:hAnsi="Times New Roman"/>
          <w:sz w:val="24"/>
          <w:szCs w:val="24"/>
          <w:rtl w:val="0"/>
          <w:lang w:val="en-US"/>
        </w:rPr>
        <w:t>http://learning.gov.wales/resources/collections/welsh-lang-practitioner-training?lang=en</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2nd January 2019). </w:t>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r>
    <w:r>
      <w:rPr/>
      <w:fldChar w:fldCharType="begin" w:fldLock="0"/>
    </w:r>
    <w:r>
      <w:instrText xml:space="preserve"> PAGE </w:instrText>
    </w:r>
    <w:r>
      <w:rPr/>
      <w:fldChar w:fldCharType="separate" w:fldLock="0"/>
    </w:r>
    <w:r>
      <w:t>6</w:t>
    </w:r>
    <w:r>
      <w:rPr/>
      <w:fldChar w:fldCharType="end" w:fldLock="0"/>
    </w:r>
    <w:r>
      <w:tab/>
    </w:r>
    <w:r>
      <w:rPr>
        <w:rtl w:val="0"/>
        <w:lang w:val="en-US"/>
      </w:rPr>
      <w:t>Word Count - 1592</w:t>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tl w:val="0"/>
        <w:lang w:val="en-US"/>
      </w:rPr>
      <w:t>1501341</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character" w:styleId="Link">
    <w:name w:val="Link"/>
    <w:rPr>
      <w:u w:val="single"/>
    </w:rPr>
  </w:style>
  <w:style w:type="character" w:styleId="Hyperlink.0">
    <w:name w:val="Hyperlink.0"/>
    <w:basedOn w:val="Link"/>
    <w:next w:val="Hyperlink.0"/>
    <w:rPr>
      <w:u w:val="non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footnotes" Target="footnotes.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