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C4FA3" w14:textId="77777777" w:rsidR="00B31879" w:rsidRPr="00B31879" w:rsidRDefault="00B31879" w:rsidP="00526383">
      <w:pPr>
        <w:pStyle w:val="Heading1"/>
        <w:rPr>
          <w:sz w:val="32"/>
          <w:szCs w:val="32"/>
        </w:rPr>
      </w:pPr>
      <w:r w:rsidRPr="00675A39">
        <w:rPr>
          <w:b w:val="0"/>
          <w:bCs w:val="0"/>
          <w:sz w:val="32"/>
          <w:szCs w:val="32"/>
        </w:rPr>
        <w:t>Student Name</w:t>
      </w:r>
      <w:r w:rsidRPr="00B31879">
        <w:rPr>
          <w:sz w:val="32"/>
          <w:szCs w:val="32"/>
        </w:rPr>
        <w:t xml:space="preserve"> : Rotimi Amos</w:t>
      </w:r>
    </w:p>
    <w:p w14:paraId="7477C794" w14:textId="1C7C86D3" w:rsidR="00B31879" w:rsidRPr="00B31879" w:rsidRDefault="00B31879" w:rsidP="00526383">
      <w:pPr>
        <w:pStyle w:val="Heading1"/>
        <w:rPr>
          <w:sz w:val="32"/>
          <w:szCs w:val="32"/>
        </w:rPr>
      </w:pPr>
      <w:r w:rsidRPr="00675A39">
        <w:rPr>
          <w:b w:val="0"/>
          <w:bCs w:val="0"/>
          <w:sz w:val="32"/>
          <w:szCs w:val="32"/>
        </w:rPr>
        <w:t>Student ID No</w:t>
      </w:r>
      <w:r w:rsidRPr="00B31879">
        <w:rPr>
          <w:sz w:val="32"/>
          <w:szCs w:val="32"/>
        </w:rPr>
        <w:t xml:space="preserve"> : 2005234</w:t>
      </w:r>
    </w:p>
    <w:p w14:paraId="55E539D5" w14:textId="1BEF1CAF" w:rsidR="00B31879" w:rsidRPr="00B31879" w:rsidRDefault="00B31879" w:rsidP="00526383">
      <w:pPr>
        <w:pStyle w:val="Heading1"/>
        <w:rPr>
          <w:sz w:val="32"/>
          <w:szCs w:val="32"/>
        </w:rPr>
      </w:pPr>
      <w:r w:rsidRPr="00675A39">
        <w:rPr>
          <w:b w:val="0"/>
          <w:bCs w:val="0"/>
          <w:sz w:val="32"/>
          <w:szCs w:val="32"/>
        </w:rPr>
        <w:t>Lecturer’s Name</w:t>
      </w:r>
      <w:r w:rsidRPr="00B31879">
        <w:rPr>
          <w:sz w:val="32"/>
          <w:szCs w:val="32"/>
        </w:rPr>
        <w:t xml:space="preserve"> : Jonathan Wyatt</w:t>
      </w:r>
    </w:p>
    <w:p w14:paraId="1BC0E2C4" w14:textId="21676FEB" w:rsidR="00B31879" w:rsidRPr="00B31879" w:rsidRDefault="00B31879" w:rsidP="00526383">
      <w:pPr>
        <w:pStyle w:val="Heading1"/>
        <w:rPr>
          <w:sz w:val="32"/>
          <w:szCs w:val="32"/>
        </w:rPr>
      </w:pPr>
      <w:r w:rsidRPr="00B31879">
        <w:rPr>
          <w:sz w:val="32"/>
          <w:szCs w:val="32"/>
        </w:rPr>
        <w:t>BMHP6021 : HEALTH, WELLBEING AND SUSTAINABLE DEVELOPMENT.</w:t>
      </w:r>
    </w:p>
    <w:p w14:paraId="14E38BA6" w14:textId="77777777" w:rsidR="00B31879" w:rsidRDefault="00B31879" w:rsidP="00526383">
      <w:pPr>
        <w:pStyle w:val="Heading1"/>
        <w:rPr>
          <w:sz w:val="32"/>
          <w:szCs w:val="32"/>
        </w:rPr>
      </w:pPr>
    </w:p>
    <w:p w14:paraId="25AAEBAA" w14:textId="77777777" w:rsidR="00B31879" w:rsidRDefault="00B31879" w:rsidP="00526383">
      <w:pPr>
        <w:pStyle w:val="Heading1"/>
        <w:rPr>
          <w:sz w:val="32"/>
          <w:szCs w:val="32"/>
        </w:rPr>
      </w:pPr>
    </w:p>
    <w:p w14:paraId="472626C0" w14:textId="77777777" w:rsidR="00675A39" w:rsidRDefault="001C26AD" w:rsidP="00526383">
      <w:pPr>
        <w:pStyle w:val="Heading1"/>
        <w:rPr>
          <w:sz w:val="32"/>
          <w:szCs w:val="32"/>
        </w:rPr>
      </w:pPr>
      <w:r w:rsidRPr="00675A39">
        <w:rPr>
          <w:sz w:val="32"/>
          <w:szCs w:val="32"/>
          <w:u w:val="single"/>
        </w:rPr>
        <w:t>Title:</w:t>
      </w:r>
      <w:r w:rsidRPr="00B31879">
        <w:rPr>
          <w:sz w:val="32"/>
          <w:szCs w:val="32"/>
        </w:rPr>
        <w:t xml:space="preserve"> </w:t>
      </w:r>
      <w:r w:rsidRPr="00B31879">
        <w:rPr>
          <w:b w:val="0"/>
          <w:bCs w:val="0"/>
          <w:sz w:val="32"/>
          <w:szCs w:val="32"/>
        </w:rPr>
        <w:t>Safeguarding Wellbeing: Navigating Challenges and Opportunities in W</w:t>
      </w:r>
      <w:r w:rsidR="00675A39">
        <w:rPr>
          <w:b w:val="0"/>
          <w:bCs w:val="0"/>
          <w:sz w:val="32"/>
          <w:szCs w:val="32"/>
        </w:rPr>
        <w:t>ALES.</w:t>
      </w:r>
      <w:r w:rsidRPr="00B31879">
        <w:rPr>
          <w:b w:val="0"/>
          <w:bCs w:val="0"/>
          <w:sz w:val="32"/>
          <w:szCs w:val="32"/>
        </w:rPr>
        <w:t xml:space="preserve"> Sustainable Future through the Wellbeing of Future Generations Act</w:t>
      </w:r>
      <w:r w:rsidR="00B31879" w:rsidRPr="00B31879">
        <w:rPr>
          <w:b w:val="0"/>
          <w:bCs w:val="0"/>
          <w:sz w:val="32"/>
          <w:szCs w:val="32"/>
        </w:rPr>
        <w:t>.</w:t>
      </w:r>
      <w:r w:rsidR="00675A39">
        <w:rPr>
          <w:sz w:val="32"/>
          <w:szCs w:val="32"/>
        </w:rPr>
        <w:t xml:space="preserve">                                                                                                                                </w:t>
      </w:r>
    </w:p>
    <w:p w14:paraId="083A0765" w14:textId="77777777" w:rsidR="00675A39" w:rsidRDefault="00675A39" w:rsidP="00526383">
      <w:pPr>
        <w:pStyle w:val="Heading1"/>
        <w:rPr>
          <w:sz w:val="32"/>
          <w:szCs w:val="32"/>
        </w:rPr>
      </w:pPr>
    </w:p>
    <w:p w14:paraId="19195E0A" w14:textId="77777777" w:rsidR="00675A39" w:rsidRDefault="00675A39" w:rsidP="00526383">
      <w:pPr>
        <w:pStyle w:val="Heading1"/>
        <w:rPr>
          <w:sz w:val="32"/>
          <w:szCs w:val="32"/>
        </w:rPr>
      </w:pPr>
    </w:p>
    <w:p w14:paraId="201BAACE" w14:textId="77777777" w:rsidR="00675A39" w:rsidRDefault="00675A39" w:rsidP="00526383">
      <w:pPr>
        <w:pStyle w:val="Heading1"/>
        <w:rPr>
          <w:sz w:val="32"/>
          <w:szCs w:val="32"/>
        </w:rPr>
      </w:pPr>
    </w:p>
    <w:p w14:paraId="6E232112" w14:textId="77777777" w:rsidR="00675A39" w:rsidRDefault="00675A39" w:rsidP="00526383">
      <w:pPr>
        <w:pStyle w:val="Heading1"/>
        <w:rPr>
          <w:sz w:val="32"/>
          <w:szCs w:val="32"/>
        </w:rPr>
      </w:pPr>
    </w:p>
    <w:p w14:paraId="4AB9AF19" w14:textId="77777777" w:rsidR="00675A39" w:rsidRDefault="00675A39" w:rsidP="00526383">
      <w:pPr>
        <w:pStyle w:val="Heading1"/>
        <w:rPr>
          <w:sz w:val="32"/>
          <w:szCs w:val="32"/>
        </w:rPr>
      </w:pPr>
    </w:p>
    <w:p w14:paraId="3D038908" w14:textId="77777777" w:rsidR="00675A39" w:rsidRDefault="00675A39" w:rsidP="00526383">
      <w:pPr>
        <w:pStyle w:val="Heading1"/>
        <w:rPr>
          <w:sz w:val="32"/>
          <w:szCs w:val="32"/>
        </w:rPr>
      </w:pPr>
    </w:p>
    <w:p w14:paraId="3FA401CF" w14:textId="77777777" w:rsidR="00675A39" w:rsidRDefault="00675A39" w:rsidP="00526383">
      <w:pPr>
        <w:pStyle w:val="Heading1"/>
        <w:rPr>
          <w:sz w:val="32"/>
          <w:szCs w:val="32"/>
        </w:rPr>
      </w:pPr>
    </w:p>
    <w:p w14:paraId="49327673" w14:textId="77777777" w:rsidR="00675A39" w:rsidRDefault="00675A39" w:rsidP="00526383">
      <w:pPr>
        <w:pStyle w:val="Heading1"/>
        <w:rPr>
          <w:sz w:val="32"/>
          <w:szCs w:val="32"/>
        </w:rPr>
      </w:pPr>
    </w:p>
    <w:p w14:paraId="319ED28B" w14:textId="77777777" w:rsidR="00675A39" w:rsidRDefault="00675A39" w:rsidP="00526383">
      <w:pPr>
        <w:pStyle w:val="Heading1"/>
        <w:rPr>
          <w:sz w:val="32"/>
          <w:szCs w:val="32"/>
        </w:rPr>
      </w:pPr>
    </w:p>
    <w:p w14:paraId="439B0C62" w14:textId="16D8BD30" w:rsidR="00047215" w:rsidRPr="00675A39" w:rsidRDefault="00675A39" w:rsidP="00526383">
      <w:pPr>
        <w:pStyle w:val="Heading1"/>
        <w:rPr>
          <w:b w:val="0"/>
          <w:bCs w:val="0"/>
          <w:szCs w:val="24"/>
        </w:rPr>
      </w:pPr>
      <w:r w:rsidRPr="00675A39">
        <w:rPr>
          <w:b w:val="0"/>
          <w:bCs w:val="0"/>
          <w:szCs w:val="24"/>
        </w:rPr>
        <w:t xml:space="preserve">                                                                                 </w:t>
      </w:r>
      <w:r>
        <w:rPr>
          <w:b w:val="0"/>
          <w:bCs w:val="0"/>
          <w:szCs w:val="24"/>
        </w:rPr>
        <w:t xml:space="preserve">                               </w:t>
      </w:r>
      <w:r w:rsidRPr="00675A39">
        <w:rPr>
          <w:b w:val="0"/>
          <w:bCs w:val="0"/>
          <w:szCs w:val="24"/>
        </w:rPr>
        <w:t xml:space="preserve"> December 2023</w:t>
      </w:r>
    </w:p>
    <w:p w14:paraId="37D159F4" w14:textId="2A3DD15B" w:rsidR="00A304C6" w:rsidRDefault="00F607A7" w:rsidP="00A304C6">
      <w:pPr>
        <w:jc w:val="both"/>
      </w:pPr>
      <w:r w:rsidRPr="00F607A7">
        <w:lastRenderedPageBreak/>
        <w:t xml:space="preserve">The sustainable development objectives, embraced by the United Nations, serve as a guiding compass in the global narrative of sustainability, steering nations towards a collective dedication to shaping a future characterized by prosperity and justice (United Nations, 2023). Within this global context, the United Kingdom, encompassing Wales among its diverse regions, emerges as a key player committed to these shared principles (Woodroffe, 2023). This commitment takes intricate forms, </w:t>
      </w:r>
      <w:r w:rsidR="001D7810">
        <w:rPr>
          <w:lang w:val="en-GB"/>
        </w:rPr>
        <w:t>touching</w:t>
      </w:r>
      <w:r w:rsidRPr="00F607A7">
        <w:t xml:space="preserve"> a </w:t>
      </w:r>
      <w:r w:rsidR="001D7810">
        <w:rPr>
          <w:lang w:val="en-GB"/>
        </w:rPr>
        <w:t>list</w:t>
      </w:r>
      <w:r w:rsidRPr="00F607A7">
        <w:t xml:space="preserve"> of pledges that intricately link sustainable development, health, and well-being. Notably, the Wellbeing of Future Generations Act shines as a </w:t>
      </w:r>
      <w:r w:rsidR="001D7810">
        <w:rPr>
          <w:lang w:val="en-GB"/>
        </w:rPr>
        <w:t>great</w:t>
      </w:r>
      <w:r w:rsidRPr="00F607A7">
        <w:t xml:space="preserve"> manifestation of</w:t>
      </w:r>
      <w:r w:rsidR="002370E1">
        <w:rPr>
          <w:lang w:val="en-GB"/>
        </w:rPr>
        <w:t xml:space="preserve"> </w:t>
      </w:r>
      <w:r w:rsidRPr="00F607A7">
        <w:t>Wales' dedication to embedding these values into its legal framework (Future Generations Commissioner for Wales, 2015). Enacted with the explicit promise of aligning with UN objectives by 2030, this legislative cornerstone paints an encouraging portrait of Wales—a nation prospering while upholding the rights of its people and safeguarding the environment (Welsh Government, 2021). This commitment echoes a broader narrative of international cooperation and national dedication, highlighting the interconnectedness of global ambitions and local endeavours for a sustainable and harmonious future.</w:t>
      </w:r>
    </w:p>
    <w:p w14:paraId="1B559E2F" w14:textId="24277E76" w:rsidR="00A304C6" w:rsidRDefault="00F607A7" w:rsidP="00A304C6">
      <w:pPr>
        <w:jc w:val="both"/>
      </w:pPr>
      <w:r w:rsidRPr="00F607A7">
        <w:t xml:space="preserve">However, as this commitment unfolds, the narrative is </w:t>
      </w:r>
      <w:r w:rsidR="001D7810">
        <w:rPr>
          <w:lang w:val="en-GB"/>
        </w:rPr>
        <w:t>recognised</w:t>
      </w:r>
      <w:r w:rsidRPr="00F607A7">
        <w:t xml:space="preserve"> </w:t>
      </w:r>
      <w:r w:rsidR="001D7810">
        <w:rPr>
          <w:lang w:val="en-GB"/>
        </w:rPr>
        <w:t>with</w:t>
      </w:r>
      <w:r w:rsidRPr="00F607A7">
        <w:t xml:space="preserve"> the </w:t>
      </w:r>
      <w:r w:rsidR="001D7810">
        <w:rPr>
          <w:lang w:val="en-GB"/>
        </w:rPr>
        <w:t>complex</w:t>
      </w:r>
      <w:r w:rsidRPr="00F607A7">
        <w:t xml:space="preserve"> backdrop of contemporary challenges that cast uncertainty on the path forward (Shulla </w:t>
      </w:r>
      <w:r w:rsidRPr="00F607A7">
        <w:rPr>
          <w:i/>
          <w:iCs/>
        </w:rPr>
        <w:t>et al.,</w:t>
      </w:r>
      <w:r w:rsidRPr="00F607A7">
        <w:t xml:space="preserve"> 2021). The imperative to recalibrate tactics and objectives becomes evident, </w:t>
      </w:r>
      <w:r w:rsidR="001D7810">
        <w:rPr>
          <w:lang w:val="en-GB"/>
        </w:rPr>
        <w:t>which is caused</w:t>
      </w:r>
      <w:r w:rsidRPr="00F607A7">
        <w:t xml:space="preserve"> by the enduring presence of the global pandemic—a transformative force reshaping societal norms (Shulla </w:t>
      </w:r>
      <w:r w:rsidRPr="00F607A7">
        <w:rPr>
          <w:i/>
          <w:iCs/>
        </w:rPr>
        <w:t>et al.,</w:t>
      </w:r>
      <w:r w:rsidRPr="00F607A7">
        <w:t xml:space="preserve"> 2021). Simultaneously, the spectre of climate change looms as a constant and escalating concern, exerting pressure on nations to urgently address the imperative for sustainable practices (United Nations, 2015; Lu </w:t>
      </w:r>
      <w:r w:rsidRPr="00F607A7">
        <w:rPr>
          <w:i/>
          <w:iCs/>
        </w:rPr>
        <w:t>et al.,</w:t>
      </w:r>
      <w:r w:rsidRPr="00F607A7">
        <w:t xml:space="preserve"> 2019). Amidst these complex dynamics, economic factors introduce further complications, demanding that countries navigate the delicate balance between unpredictability and the pursuit of stability and progress (Del-Aguila-Arcentales </w:t>
      </w:r>
      <w:r w:rsidRPr="00F607A7">
        <w:rPr>
          <w:i/>
          <w:iCs/>
        </w:rPr>
        <w:t>et al.,</w:t>
      </w:r>
      <w:r w:rsidRPr="00F607A7">
        <w:t xml:space="preserve"> 2022). In this intricate interplay of global forces and local aspirations, the commitment to sustainable development unfolds as a dynamic response to the multifaceted challenges of our time.</w:t>
      </w:r>
    </w:p>
    <w:p w14:paraId="716058DA" w14:textId="0CC8EC83" w:rsidR="00A304C6" w:rsidRDefault="00960981" w:rsidP="00A304C6">
      <w:pPr>
        <w:jc w:val="both"/>
      </w:pPr>
      <w:r w:rsidRPr="00960981">
        <w:t>The Wellbeing of Future Generations Act assumes a dual function in navigating this complicated landscape: it serves as both a gauge of resilience in the face of unprecedented difficulties and a beacon of hope in its commitment to a sustainable future</w:t>
      </w:r>
      <w:r w:rsidR="0011363C">
        <w:rPr>
          <w:lang w:val="en-GB"/>
        </w:rPr>
        <w:t xml:space="preserve"> </w:t>
      </w:r>
      <w:r w:rsidR="00F1524B">
        <w:t>(Messham and Sheard, 2020)</w:t>
      </w:r>
      <w:r w:rsidRPr="00960981">
        <w:t>. The investigation that follows aims to deconstruct this story, analy</w:t>
      </w:r>
      <w:r>
        <w:rPr>
          <w:lang w:val="en-GB"/>
        </w:rPr>
        <w:t>s</w:t>
      </w:r>
      <w:r w:rsidRPr="00960981">
        <w:t>ing the layers of pledges, difficulties, and the dynamic interaction between international ambitions and local reality.</w:t>
      </w:r>
    </w:p>
    <w:p w14:paraId="773B5CFF" w14:textId="7069C674" w:rsidR="00A27C0A" w:rsidRDefault="00F607A7" w:rsidP="00A304C6">
      <w:pPr>
        <w:jc w:val="both"/>
      </w:pPr>
      <w:r w:rsidRPr="00F607A7">
        <w:lastRenderedPageBreak/>
        <w:t xml:space="preserve">Taking a meticulous approach to </w:t>
      </w:r>
      <w:r w:rsidR="001D7810" w:rsidRPr="00F607A7">
        <w:t>unravelling</w:t>
      </w:r>
      <w:r w:rsidRPr="00F607A7">
        <w:t xml:space="preserve"> these complexities, the ensuing </w:t>
      </w:r>
      <w:r>
        <w:rPr>
          <w:lang w:val="en-GB"/>
        </w:rPr>
        <w:t>paragraphs</w:t>
      </w:r>
      <w:r w:rsidRPr="00F607A7">
        <w:t xml:space="preserve"> of this essay </w:t>
      </w:r>
      <w:r w:rsidR="001D7810">
        <w:rPr>
          <w:lang w:val="en-GB"/>
        </w:rPr>
        <w:t>will</w:t>
      </w:r>
      <w:r w:rsidRPr="00F607A7">
        <w:t xml:space="preserve"> </w:t>
      </w:r>
      <w:r w:rsidR="001D7810">
        <w:rPr>
          <w:lang w:val="en-GB"/>
        </w:rPr>
        <w:t>engage in critiquing</w:t>
      </w:r>
      <w:r w:rsidRPr="00F607A7">
        <w:t xml:space="preserve"> the Wellbeing of Future Generations Act. This includes an in-depth critical appraisal, an exploration of the functions performed by Public Service Boards and Local Authorities, a comparative analysis, and concludes with thoughtful recommendations aimed at charting a path toward a future where the symbiotic flourishing of health, wellbeing, and sustainable development takes </w:t>
      </w:r>
      <w:r w:rsidR="001D7810" w:rsidRPr="00F607A7">
        <w:t>centre</w:t>
      </w:r>
      <w:r w:rsidRPr="00F607A7">
        <w:t xml:space="preserve"> stage.</w:t>
      </w:r>
    </w:p>
    <w:p w14:paraId="771B6FEE" w14:textId="777CE419" w:rsidR="00E146F4" w:rsidRDefault="00FC413E" w:rsidP="00FC413E">
      <w:pPr>
        <w:jc w:val="both"/>
        <w:rPr>
          <w:lang w:val="en-GB"/>
        </w:rPr>
      </w:pPr>
      <w:r w:rsidRPr="00FC413E">
        <w:rPr>
          <w:lang w:val="en-GB"/>
        </w:rPr>
        <w:t>A prime example of innovative legislation is the Wellbeing of Future Generations Act, which demonstrates how committed the UK is to fostering a successful and sustainable future</w:t>
      </w:r>
      <w:r w:rsidR="0038317F">
        <w:rPr>
          <w:lang w:val="en-GB"/>
        </w:rPr>
        <w:t xml:space="preserve"> </w:t>
      </w:r>
      <w:r w:rsidR="0038317F">
        <w:t>(Future Generations Commissioner for Wales, 2015)</w:t>
      </w:r>
      <w:r w:rsidRPr="00FC413E">
        <w:rPr>
          <w:lang w:val="en-GB"/>
        </w:rPr>
        <w:t>. Adopted with particular attention to Wales, this ground-breaking law captures an all-encompassing vision that reaches beyond present issues to the welfare of future generations</w:t>
      </w:r>
      <w:r>
        <w:rPr>
          <w:lang w:val="en-GB"/>
        </w:rPr>
        <w:t xml:space="preserve"> </w:t>
      </w:r>
      <w:r>
        <w:t>(United Nations, 2023)</w:t>
      </w:r>
      <w:r w:rsidRPr="00FC413E">
        <w:rPr>
          <w:lang w:val="en-GB"/>
        </w:rPr>
        <w:t>.</w:t>
      </w:r>
      <w:r>
        <w:rPr>
          <w:lang w:val="en-GB"/>
        </w:rPr>
        <w:t xml:space="preserve"> </w:t>
      </w:r>
      <w:r w:rsidRPr="00FC413E">
        <w:rPr>
          <w:lang w:val="en-GB"/>
        </w:rPr>
        <w:t>The Act is essentially a calculated reaction to the changing set of problems that contemporary communities face</w:t>
      </w:r>
      <w:r w:rsidR="00577656">
        <w:rPr>
          <w:lang w:val="en-GB"/>
        </w:rPr>
        <w:t xml:space="preserve"> </w:t>
      </w:r>
      <w:r w:rsidR="00577656">
        <w:t>(Roy, 2021)</w:t>
      </w:r>
      <w:r w:rsidRPr="00FC413E">
        <w:rPr>
          <w:lang w:val="en-GB"/>
        </w:rPr>
        <w:t>. Through the integration of the concepts of health, well-being, and sustainable development, it seeks to steer towards a path that not only takes care of pressing issues but also establishes strong groundwork for the prosperity of coming generations. Seven wellness goals are included in its structure, each serving as a beacon to direct the course of policies and actions</w:t>
      </w:r>
      <w:r>
        <w:rPr>
          <w:lang w:val="en-GB"/>
        </w:rPr>
        <w:t xml:space="preserve"> </w:t>
      </w:r>
      <w:r w:rsidR="00577656">
        <w:t>(Future Generations Commissioner for Wales, 2015)</w:t>
      </w:r>
      <w:r w:rsidRPr="00FC413E">
        <w:rPr>
          <w:lang w:val="en-GB"/>
        </w:rPr>
        <w:t>.</w:t>
      </w:r>
    </w:p>
    <w:p w14:paraId="3CB96961" w14:textId="40BF7AC3" w:rsidR="00275553" w:rsidRDefault="00275553" w:rsidP="00FC413E">
      <w:pPr>
        <w:jc w:val="both"/>
        <w:rPr>
          <w:lang w:val="en-GB"/>
        </w:rPr>
      </w:pPr>
      <w:r w:rsidRPr="00275553">
        <w:rPr>
          <w:lang w:val="en-GB"/>
        </w:rPr>
        <w:t xml:space="preserve">These </w:t>
      </w:r>
      <w:r w:rsidR="0038317F">
        <w:rPr>
          <w:lang w:val="en-GB"/>
        </w:rPr>
        <w:t>goals</w:t>
      </w:r>
      <w:r w:rsidRPr="00275553">
        <w:rPr>
          <w:lang w:val="en-GB"/>
        </w:rPr>
        <w:t>, which range from a resilient Wales</w:t>
      </w:r>
      <w:r w:rsidR="00545A5B">
        <w:rPr>
          <w:lang w:val="en-GB"/>
        </w:rPr>
        <w:t xml:space="preserve"> </w:t>
      </w:r>
      <w:r w:rsidRPr="00275553">
        <w:rPr>
          <w:lang w:val="en-GB"/>
        </w:rPr>
        <w:t>to a globally responsible Wales</w:t>
      </w:r>
      <w:r w:rsidR="00545A5B">
        <w:rPr>
          <w:lang w:val="en-GB"/>
        </w:rPr>
        <w:t xml:space="preserve"> </w:t>
      </w:r>
      <w:r w:rsidR="00545A5B">
        <w:t>(FGCW, 2023)</w:t>
      </w:r>
      <w:r w:rsidRPr="00275553">
        <w:rPr>
          <w:lang w:val="en-GB"/>
        </w:rPr>
        <w:t>, describe a broad vision that goes beyond conventional success criteria. They embody a dedication to social fairness, environmental sustainability, and economic resilience, understanding the interdependence of these elements in creating a society that is genuinely flourishing</w:t>
      </w:r>
      <w:r w:rsidR="00545A5B">
        <w:rPr>
          <w:lang w:val="en-GB"/>
        </w:rPr>
        <w:t xml:space="preserve"> </w:t>
      </w:r>
      <w:r w:rsidR="00545A5B">
        <w:t>(Davies, 2016)</w:t>
      </w:r>
      <w:r w:rsidRPr="00275553">
        <w:rPr>
          <w:lang w:val="en-GB"/>
        </w:rPr>
        <w:t>. The Act aims to improve both the current standard of living and the future generations' inheritances while navigating the complex web of objectives</w:t>
      </w:r>
      <w:r w:rsidR="00545A5B">
        <w:rPr>
          <w:lang w:val="en-GB"/>
        </w:rPr>
        <w:t xml:space="preserve"> </w:t>
      </w:r>
      <w:r w:rsidR="00545A5B">
        <w:t>(Messham and Sheard, 2020)</w:t>
      </w:r>
      <w:r w:rsidRPr="00275553">
        <w:rPr>
          <w:lang w:val="en-GB"/>
        </w:rPr>
        <w:t>.</w:t>
      </w:r>
    </w:p>
    <w:p w14:paraId="2839324E" w14:textId="7F42A056" w:rsidR="00275553" w:rsidRDefault="00275553" w:rsidP="00FC413E">
      <w:pPr>
        <w:jc w:val="both"/>
        <w:rPr>
          <w:lang w:val="en-GB"/>
        </w:rPr>
      </w:pPr>
      <w:r w:rsidRPr="00275553">
        <w:rPr>
          <w:lang w:val="en-GB"/>
        </w:rPr>
        <w:t>The creation of</w:t>
      </w:r>
      <w:r w:rsidR="00D45F20">
        <w:rPr>
          <w:lang w:val="en-GB"/>
        </w:rPr>
        <w:t xml:space="preserve"> 46</w:t>
      </w:r>
      <w:r w:rsidRPr="00275553">
        <w:rPr>
          <w:lang w:val="en-GB"/>
        </w:rPr>
        <w:t xml:space="preserve"> national indicators</w:t>
      </w:r>
      <w:r w:rsidR="00D45F20">
        <w:rPr>
          <w:lang w:val="en-GB"/>
        </w:rPr>
        <w:t xml:space="preserve"> on the 16</w:t>
      </w:r>
      <w:r w:rsidR="00D45F20" w:rsidRPr="00D45F20">
        <w:rPr>
          <w:vertAlign w:val="superscript"/>
          <w:lang w:val="en-GB"/>
        </w:rPr>
        <w:t>th</w:t>
      </w:r>
      <w:r w:rsidR="00D45F20">
        <w:rPr>
          <w:lang w:val="en-GB"/>
        </w:rPr>
        <w:t xml:space="preserve"> of March 2016</w:t>
      </w:r>
      <w:r w:rsidRPr="00275553">
        <w:rPr>
          <w:lang w:val="en-GB"/>
        </w:rPr>
        <w:t>,</w:t>
      </w:r>
      <w:r w:rsidR="00D45F20">
        <w:rPr>
          <w:lang w:val="en-GB"/>
        </w:rPr>
        <w:t xml:space="preserve"> provide a </w:t>
      </w:r>
      <w:r w:rsidR="00D45F20" w:rsidRPr="00275553">
        <w:rPr>
          <w:lang w:val="en-GB"/>
        </w:rPr>
        <w:t>useful benchmark</w:t>
      </w:r>
      <w:r w:rsidRPr="00275553">
        <w:rPr>
          <w:lang w:val="en-GB"/>
        </w:rPr>
        <w:t xml:space="preserve"> that track advancement towards the achievement of wellness goals, is fundamental to the Act</w:t>
      </w:r>
      <w:r w:rsidR="00D45F20">
        <w:rPr>
          <w:lang w:val="en-GB"/>
        </w:rPr>
        <w:t xml:space="preserve"> </w:t>
      </w:r>
      <w:r w:rsidR="00D45F20">
        <w:t>(Shalev, 2022)</w:t>
      </w:r>
      <w:r w:rsidRPr="00275553">
        <w:rPr>
          <w:lang w:val="en-GB"/>
        </w:rPr>
        <w:t>. These metrics, which are based on actual data, offer a concrete way to evaluate how policies and programmes are doing on the ground. They reflect the complex nature of wellbeing, ranging from carbon emissions to educational achievement, and provide a comprehensive prism through which the effectiveness of the Act may be examined</w:t>
      </w:r>
      <w:r w:rsidR="00D45F20">
        <w:rPr>
          <w:lang w:val="en-GB"/>
        </w:rPr>
        <w:t xml:space="preserve"> </w:t>
      </w:r>
      <w:r w:rsidR="00D45F20">
        <w:t>(Wales Centre for Public Policy, 2022)</w:t>
      </w:r>
      <w:r w:rsidRPr="00275553">
        <w:rPr>
          <w:lang w:val="en-GB"/>
        </w:rPr>
        <w:t>.</w:t>
      </w:r>
    </w:p>
    <w:p w14:paraId="64BAE6FB" w14:textId="280FF4A9" w:rsidR="00F32FD9" w:rsidRDefault="00F32FD9" w:rsidP="00FC413E">
      <w:pPr>
        <w:jc w:val="both"/>
        <w:rPr>
          <w:lang w:val="en-GB"/>
        </w:rPr>
      </w:pPr>
      <w:r w:rsidRPr="00F32FD9">
        <w:rPr>
          <w:lang w:val="en-GB"/>
        </w:rPr>
        <w:lastRenderedPageBreak/>
        <w:t>The Act's distinctive contribution is seen in its emphasis on integration and collaboration as well as in its statutory duties. It encourages the establishment of Public Service Boards (PSBs), forming cross-sector alliances to coordinate efforts towards common goals</w:t>
      </w:r>
      <w:r w:rsidR="00314BBD">
        <w:rPr>
          <w:lang w:val="en-GB"/>
        </w:rPr>
        <w:t xml:space="preserve"> </w:t>
      </w:r>
      <w:r w:rsidR="00314BBD">
        <w:t>(Public Service Boards, 2023)</w:t>
      </w:r>
      <w:r w:rsidRPr="00F32FD9">
        <w:rPr>
          <w:lang w:val="en-GB"/>
        </w:rPr>
        <w:t>. This spirit of cooperation also applies to Local Authorities (LAs), who are the organisations charged with putting the Act's high goals into practise locally</w:t>
      </w:r>
      <w:r w:rsidR="00314BBD">
        <w:rPr>
          <w:lang w:val="en-GB"/>
        </w:rPr>
        <w:t xml:space="preserve"> </w:t>
      </w:r>
      <w:r w:rsidR="00314BBD">
        <w:t>(HSE, 2013)</w:t>
      </w:r>
      <w:r w:rsidRPr="00F32FD9">
        <w:rPr>
          <w:lang w:val="en-GB"/>
        </w:rPr>
        <w:t xml:space="preserve">. </w:t>
      </w:r>
      <w:r w:rsidR="001D7810" w:rsidRPr="001D7810">
        <w:rPr>
          <w:lang w:val="en-GB"/>
        </w:rPr>
        <w:t>Therefore, the Act acts as a unifying force, fostering collective responsibility for the well-being of both current and future generations.</w:t>
      </w:r>
    </w:p>
    <w:p w14:paraId="009FCCD0" w14:textId="0AC4FEC3" w:rsidR="00F32FD9" w:rsidRDefault="00F32FD9" w:rsidP="00FC413E">
      <w:pPr>
        <w:jc w:val="both"/>
        <w:rPr>
          <w:lang w:val="en-GB"/>
        </w:rPr>
      </w:pPr>
      <w:r w:rsidRPr="00F32FD9">
        <w:rPr>
          <w:lang w:val="en-GB"/>
        </w:rPr>
        <w:t>The Act is not immune to the difficulties presented by the shifting global environment as it develops. The deployment of technology is made more complicated by the fast growth of said technology, the advent of new environmental hazards, and the cultural transformations brought about by unanticipated occurrences such as the worldwide pandemic</w:t>
      </w:r>
      <w:r w:rsidR="00314BBD">
        <w:rPr>
          <w:lang w:val="en-GB"/>
        </w:rPr>
        <w:t xml:space="preserve"> </w:t>
      </w:r>
      <w:r w:rsidR="00314BBD">
        <w:t>(Lawrence, 2020)</w:t>
      </w:r>
      <w:r w:rsidRPr="00F32FD9">
        <w:rPr>
          <w:lang w:val="en-GB"/>
        </w:rPr>
        <w:t>.</w:t>
      </w:r>
      <w:r w:rsidR="0029317B">
        <w:rPr>
          <w:lang w:val="en-GB"/>
        </w:rPr>
        <w:t xml:space="preserve"> </w:t>
      </w:r>
      <w:r w:rsidR="0029317B" w:rsidRPr="0029317B">
        <w:rPr>
          <w:lang w:val="en-GB"/>
        </w:rPr>
        <w:t>Pew Research Center</w:t>
      </w:r>
      <w:r w:rsidR="0029317B">
        <w:rPr>
          <w:lang w:val="en-GB"/>
        </w:rPr>
        <w:t xml:space="preserve"> conducted a survey in 2018, which showcases</w:t>
      </w:r>
      <w:r w:rsidR="0029317B" w:rsidRPr="0029317B">
        <w:rPr>
          <w:lang w:val="en-GB"/>
        </w:rPr>
        <w:t xml:space="preserve"> concerns about the future of people's well-being</w:t>
      </w:r>
      <w:r w:rsidR="0029317B">
        <w:rPr>
          <w:lang w:val="en-GB"/>
        </w:rPr>
        <w:t xml:space="preserve"> </w:t>
      </w:r>
      <w:r w:rsidR="0029317B">
        <w:t>(Anderson and Rainie, 2018)</w:t>
      </w:r>
      <w:r w:rsidR="0029317B" w:rsidRPr="0029317B">
        <w:rPr>
          <w:lang w:val="en-GB"/>
        </w:rPr>
        <w:t xml:space="preserve">. </w:t>
      </w:r>
      <w:r w:rsidR="006F40E3" w:rsidRPr="006F40E3">
        <w:rPr>
          <w:lang w:val="en-GB"/>
        </w:rPr>
        <w:t>The survey reflects widespread concerns about economic inequality, with respondents expressing worries about the growing rich-poor divide. Job automation is a prominent concern, with fears of potential job displacement due to technological advancements. Access to quality education is also a key worry, reflecting concerns about affordability and availability. Similarly, concerns about access to healthcare highlight the complex relationship between well-being and the availability of essential services. The impact of technology on personal relationships emerges as a significant concern, emphasizing the intricate ways in which technological advancements can influence the social fabric.</w:t>
      </w:r>
      <w:r w:rsidR="0029317B" w:rsidRPr="0029317B">
        <w:rPr>
          <w:lang w:val="en-GB"/>
        </w:rPr>
        <w:t xml:space="preserve"> Th</w:t>
      </w:r>
      <w:r w:rsidR="0029317B">
        <w:rPr>
          <w:lang w:val="en-GB"/>
        </w:rPr>
        <w:t xml:space="preserve">e qualitative </w:t>
      </w:r>
      <w:r w:rsidR="0029317B" w:rsidRPr="0029317B">
        <w:rPr>
          <w:lang w:val="en-GB"/>
        </w:rPr>
        <w:t xml:space="preserve">survey, therefore, paints a comprehensive picture of the </w:t>
      </w:r>
      <w:r w:rsidR="0012537D">
        <w:rPr>
          <w:lang w:val="en-GB"/>
        </w:rPr>
        <w:t>complicated</w:t>
      </w:r>
      <w:r w:rsidR="0029317B" w:rsidRPr="0029317B">
        <w:rPr>
          <w:lang w:val="en-GB"/>
        </w:rPr>
        <w:t xml:space="preserve"> nature of </w:t>
      </w:r>
      <w:r w:rsidR="0012537D">
        <w:rPr>
          <w:lang w:val="en-GB"/>
        </w:rPr>
        <w:t xml:space="preserve">present-day </w:t>
      </w:r>
      <w:r w:rsidR="0029317B" w:rsidRPr="0029317B">
        <w:rPr>
          <w:lang w:val="en-GB"/>
        </w:rPr>
        <w:t>worries, reflecting a society grappling with uncertainties about economic stability, technological progress, and access to fundamental pillars of well-being</w:t>
      </w:r>
      <w:r w:rsidR="0012537D">
        <w:rPr>
          <w:lang w:val="en-GB"/>
        </w:rPr>
        <w:t xml:space="preserve"> </w:t>
      </w:r>
      <w:r w:rsidR="0012537D">
        <w:t>(Anderson and Rainie, 2018)</w:t>
      </w:r>
      <w:r w:rsidR="0029317B">
        <w:rPr>
          <w:lang w:val="en-GB"/>
        </w:rPr>
        <w:t xml:space="preserve">. </w:t>
      </w:r>
      <w:r w:rsidR="006F40E3" w:rsidRPr="006F40E3">
        <w:rPr>
          <w:lang w:val="en-GB"/>
        </w:rPr>
        <w:t>Yet, the Act showcases adaptability and persistence when dealing with these challenges, affirming its relevance in an ever-changing world</w:t>
      </w:r>
      <w:r w:rsidR="0012537D">
        <w:rPr>
          <w:lang w:val="en-GB"/>
        </w:rPr>
        <w:t xml:space="preserve"> </w:t>
      </w:r>
      <w:r w:rsidR="0012537D">
        <w:t>(Messham and Sheard, 2020)</w:t>
      </w:r>
      <w:r w:rsidRPr="00F32FD9">
        <w:rPr>
          <w:lang w:val="en-GB"/>
        </w:rPr>
        <w:t>.</w:t>
      </w:r>
    </w:p>
    <w:p w14:paraId="6322E540" w14:textId="434C9B62" w:rsidR="00C8333E" w:rsidRDefault="00C8333E" w:rsidP="00C8333E">
      <w:pPr>
        <w:jc w:val="both"/>
        <w:rPr>
          <w:lang w:val="en-GB"/>
        </w:rPr>
      </w:pPr>
      <w:r w:rsidRPr="00C8333E">
        <w:rPr>
          <w:lang w:val="en-GB"/>
        </w:rPr>
        <w:t>Amidst high hopes, the impact of the visionary law, the Wellbeing of Future Generations Act, is revealed. A critical assessment is necessary as we examine its growth; this involves a detailed investigation of the ways in which the fundamental concepts of health, well-being, and sustainable development have materialised in Welsh society</w:t>
      </w:r>
      <w:r w:rsidR="00233D94">
        <w:rPr>
          <w:lang w:val="en-GB"/>
        </w:rPr>
        <w:t xml:space="preserve"> </w:t>
      </w:r>
      <w:r w:rsidR="00233D94">
        <w:t>(Walpita and Green, 2020)</w:t>
      </w:r>
      <w:r w:rsidRPr="00C8333E">
        <w:rPr>
          <w:lang w:val="en-GB"/>
        </w:rPr>
        <w:t>.</w:t>
      </w:r>
      <w:r>
        <w:rPr>
          <w:lang w:val="en-GB"/>
        </w:rPr>
        <w:t xml:space="preserve"> </w:t>
      </w:r>
      <w:r w:rsidRPr="00C8333E">
        <w:rPr>
          <w:lang w:val="en-GB"/>
        </w:rPr>
        <w:t xml:space="preserve">One of the Act's seven wellness </w:t>
      </w:r>
      <w:r w:rsidR="0012537D">
        <w:rPr>
          <w:lang w:val="en-GB"/>
        </w:rPr>
        <w:t xml:space="preserve">goals </w:t>
      </w:r>
      <w:r w:rsidRPr="00C8333E">
        <w:rPr>
          <w:lang w:val="en-GB"/>
        </w:rPr>
        <w:t>is centred on a "Healthy Wales." This goal is to establish a country where mental and physical health are well, where healthcare services are strong, and where prevention is prioritised</w:t>
      </w:r>
      <w:r w:rsidR="00233D94">
        <w:rPr>
          <w:lang w:val="en-GB"/>
        </w:rPr>
        <w:t xml:space="preserve"> </w:t>
      </w:r>
      <w:r w:rsidR="00233D94">
        <w:t>(Future Generations Commissioner for Wales, 2023)</w:t>
      </w:r>
      <w:r w:rsidRPr="00C8333E">
        <w:rPr>
          <w:lang w:val="en-GB"/>
        </w:rPr>
        <w:t xml:space="preserve">. </w:t>
      </w:r>
      <w:r w:rsidR="00F348CB" w:rsidRPr="00F348CB">
        <w:rPr>
          <w:lang w:val="en-GB"/>
        </w:rPr>
        <w:t xml:space="preserve">However, the analysis of development reveals numerous factors and challenges along the journey towards </w:t>
      </w:r>
      <w:r w:rsidR="00F348CB" w:rsidRPr="00F348CB">
        <w:rPr>
          <w:lang w:val="en-GB"/>
        </w:rPr>
        <w:lastRenderedPageBreak/>
        <w:t>a flourishing Wales</w:t>
      </w:r>
      <w:r w:rsidR="00233D94">
        <w:rPr>
          <w:lang w:val="en-GB"/>
        </w:rPr>
        <w:t xml:space="preserve"> </w:t>
      </w:r>
      <w:r w:rsidR="00233D94">
        <w:t>(Walpita and Green, 2020)</w:t>
      </w:r>
      <w:r w:rsidRPr="00C8333E">
        <w:rPr>
          <w:lang w:val="en-GB"/>
        </w:rPr>
        <w:t>.</w:t>
      </w:r>
      <w:r w:rsidR="0012537D">
        <w:rPr>
          <w:lang w:val="en-GB"/>
        </w:rPr>
        <w:t xml:space="preserve"> </w:t>
      </w:r>
      <w:r w:rsidR="00DC1F22">
        <w:rPr>
          <w:lang w:val="en-GB"/>
        </w:rPr>
        <w:t xml:space="preserve">In the 2021 policy briefing by Wales Centre for Public Policy </w:t>
      </w:r>
      <w:r w:rsidR="00DC1F22" w:rsidRPr="00DC1F22">
        <w:rPr>
          <w:lang w:val="en-GB"/>
        </w:rPr>
        <w:t xml:space="preserve">provided a thorough analysis of the various problems that the healthcare sector is facing. </w:t>
      </w:r>
      <w:r w:rsidR="00F348CB" w:rsidRPr="00F348CB">
        <w:rPr>
          <w:lang w:val="en-GB"/>
        </w:rPr>
        <w:t>Systemic challenges include the impact of the three-year planning cycle on long-term strategy, uneven governance structures, and collaboration obstacles (Wales Centre for Public Policy, 2021). Addressing the backlog emerges as a priority, demanding swift action and innovative use of digital technology. Boosting NHS capacity faces hurdles like workforce issues such as low wellbeing, changes to pension schemes, and recruitment and retention challenges. The briefing underscores the importance of support, highlighting the emotional and mental fatigue experienced by healthcare personnel. The section on population health underscores the rising prevalence of multiple disorders, declining mental health, and increased health inequalities</w:t>
      </w:r>
      <w:r w:rsidR="00F348CB">
        <w:rPr>
          <w:lang w:val="en-GB"/>
        </w:rPr>
        <w:t xml:space="preserve"> </w:t>
      </w:r>
      <w:r w:rsidR="00DC1F22">
        <w:t>(Wales Centre for Public Policy, 2021)</w:t>
      </w:r>
      <w:r w:rsidR="00DC1F22" w:rsidRPr="00DC1F22">
        <w:rPr>
          <w:lang w:val="en-GB"/>
        </w:rPr>
        <w:t>.</w:t>
      </w:r>
    </w:p>
    <w:p w14:paraId="44023D44" w14:textId="798F52C7" w:rsidR="007E52F8" w:rsidRDefault="007E52F8" w:rsidP="00CA7F60">
      <w:pPr>
        <w:jc w:val="both"/>
        <w:rPr>
          <w:lang w:val="en-GB"/>
        </w:rPr>
      </w:pPr>
      <w:r w:rsidRPr="007E52F8">
        <w:rPr>
          <w:lang w:val="en-GB"/>
        </w:rPr>
        <w:t>Even though there are many variables that might affect health outcomes, they are observable markers of the well-being of society. Examining health statistics becomes essential in this context</w:t>
      </w:r>
      <w:r>
        <w:rPr>
          <w:lang w:val="en-GB"/>
        </w:rPr>
        <w:t xml:space="preserve"> </w:t>
      </w:r>
      <w:r>
        <w:t>(Office of National Statistics, 2021)</w:t>
      </w:r>
      <w:r w:rsidRPr="007E52F8">
        <w:rPr>
          <w:lang w:val="en-GB"/>
        </w:rPr>
        <w:t>. Although the Act promotes a picture of a healthier Wales, the truth is more complex. Health disparities continue to exist</w:t>
      </w:r>
      <w:r>
        <w:rPr>
          <w:lang w:val="en-GB"/>
        </w:rPr>
        <w:t xml:space="preserve"> </w:t>
      </w:r>
      <w:r>
        <w:t xml:space="preserve">(Allen </w:t>
      </w:r>
      <w:r>
        <w:rPr>
          <w:i/>
          <w:iCs/>
        </w:rPr>
        <w:t>et al.</w:t>
      </w:r>
      <w:r>
        <w:t>, 2022)</w:t>
      </w:r>
      <w:r w:rsidRPr="007E52F8">
        <w:rPr>
          <w:lang w:val="en-GB"/>
        </w:rPr>
        <w:t>, and socioeconomic status has a significant impact on both overall health outcomes and access to healthcare</w:t>
      </w:r>
      <w:r w:rsidR="00F222C4">
        <w:rPr>
          <w:lang w:val="en-GB"/>
        </w:rPr>
        <w:t xml:space="preserve"> </w:t>
      </w:r>
      <w:r w:rsidR="00F222C4">
        <w:t>(Mills, 2021)</w:t>
      </w:r>
      <w:r w:rsidRPr="007E52F8">
        <w:rPr>
          <w:lang w:val="en-GB"/>
        </w:rPr>
        <w:t>.</w:t>
      </w:r>
      <w:r w:rsidR="000900F2">
        <w:rPr>
          <w:lang w:val="en-GB"/>
        </w:rPr>
        <w:t xml:space="preserve"> Since the passing of the Healthier Wales policy in 2018, t</w:t>
      </w:r>
      <w:r w:rsidR="000900F2" w:rsidRPr="000900F2">
        <w:rPr>
          <w:lang w:val="en-GB"/>
        </w:rPr>
        <w:t xml:space="preserve">here </w:t>
      </w:r>
      <w:r w:rsidR="00F348CB">
        <w:rPr>
          <w:lang w:val="en-GB"/>
        </w:rPr>
        <w:t>have been</w:t>
      </w:r>
      <w:r w:rsidR="000900F2" w:rsidRPr="000900F2">
        <w:rPr>
          <w:lang w:val="en-GB"/>
        </w:rPr>
        <w:t xml:space="preserve"> significant </w:t>
      </w:r>
      <w:r w:rsidR="000900F2">
        <w:rPr>
          <w:lang w:val="en-GB"/>
        </w:rPr>
        <w:t>downward trends</w:t>
      </w:r>
      <w:r w:rsidR="000900F2" w:rsidRPr="000900F2">
        <w:rPr>
          <w:lang w:val="en-GB"/>
        </w:rPr>
        <w:t xml:space="preserve"> </w:t>
      </w:r>
      <w:r w:rsidR="000900F2">
        <w:rPr>
          <w:lang w:val="en-GB"/>
        </w:rPr>
        <w:t xml:space="preserve">in </w:t>
      </w:r>
      <w:r w:rsidR="000900F2" w:rsidRPr="000900F2">
        <w:rPr>
          <w:lang w:val="en-GB"/>
        </w:rPr>
        <w:t>healthy life expectancy (HLE) between the most and least poor parts of Wales, according to data from 2018 to 2020. Male life expectancy in the poorest districts is 74.1 years, while female life expectancy is 78.4 years vs 84.7 years in the least deprived areas. The 0.7-year decline in female life expectancy from 2015 to 2017 to 2018 to 2020 in the most impoverished areas is a concerning trend. Males in the poorest districts had 54.2 years of healthy life expectancy at birth, which is much less than the 67.6 years in the least deprived areas, further highlighting these discrepancies in healthy life expectancy</w:t>
      </w:r>
      <w:r w:rsidR="000900F2">
        <w:rPr>
          <w:lang w:val="en-GB"/>
        </w:rPr>
        <w:t xml:space="preserve"> </w:t>
      </w:r>
      <w:r w:rsidR="000900F2">
        <w:t>(Office for National Statistics, 2022)</w:t>
      </w:r>
      <w:r w:rsidR="000900F2">
        <w:rPr>
          <w:lang w:val="en-GB"/>
        </w:rPr>
        <w:t xml:space="preserve">. </w:t>
      </w:r>
      <w:r w:rsidR="000900F2" w:rsidRPr="000900F2">
        <w:rPr>
          <w:lang w:val="en-GB"/>
        </w:rPr>
        <w:t>Compared to 70.2 years in the least impoverished areas, females in the poorest areas have 53.3 years of HLE at birth. Significant disparities are shown by the Slope Index of Inequality (SII), where men and women living in the most deprived areas live notably fewer years overall and have a noticeable difference in the amount of time they spend in good health and without a disability when compared to those living in the least deprived areas</w:t>
      </w:r>
      <w:r w:rsidR="000900F2">
        <w:rPr>
          <w:lang w:val="en-GB"/>
        </w:rPr>
        <w:t xml:space="preserve"> </w:t>
      </w:r>
      <w:r w:rsidR="000900F2">
        <w:t>(Office for National Statistics, 2022)</w:t>
      </w:r>
      <w:r w:rsidR="00840B5E">
        <w:rPr>
          <w:lang w:val="en-GB"/>
        </w:rPr>
        <w:t>, proving a need for review of current strategies put in place to achieve a Healthier Wales</w:t>
      </w:r>
      <w:r w:rsidR="000900F2" w:rsidRPr="000900F2">
        <w:rPr>
          <w:lang w:val="en-GB"/>
        </w:rPr>
        <w:t xml:space="preserve">. </w:t>
      </w:r>
      <w:r w:rsidR="000900F2">
        <w:rPr>
          <w:lang w:val="en-GB"/>
        </w:rPr>
        <w:t xml:space="preserve"> </w:t>
      </w:r>
      <w:r w:rsidR="00132591" w:rsidRPr="00132591">
        <w:rPr>
          <w:lang w:val="en-GB"/>
        </w:rPr>
        <w:t>Furthermore, the Act's effects on mental health, a factor that is becoming more and more important to overall welfare</w:t>
      </w:r>
      <w:r w:rsidR="00132591">
        <w:rPr>
          <w:lang w:val="en-GB"/>
        </w:rPr>
        <w:t xml:space="preserve"> </w:t>
      </w:r>
      <w:r w:rsidR="00132591">
        <w:t xml:space="preserve">(Owen </w:t>
      </w:r>
      <w:r w:rsidR="00132591">
        <w:rPr>
          <w:i/>
          <w:iCs/>
        </w:rPr>
        <w:t>et al.</w:t>
      </w:r>
      <w:r w:rsidR="00132591">
        <w:t>, 2019)</w:t>
      </w:r>
      <w:r w:rsidR="00132591" w:rsidRPr="00132591">
        <w:rPr>
          <w:lang w:val="en-GB"/>
        </w:rPr>
        <w:t>, need to be carefully considered. Mental health issues are becoming more prevalent as cultural forces change</w:t>
      </w:r>
      <w:r w:rsidR="00132591">
        <w:rPr>
          <w:lang w:val="en-GB"/>
        </w:rPr>
        <w:t xml:space="preserve"> </w:t>
      </w:r>
      <w:r w:rsidR="00132591">
        <w:lastRenderedPageBreak/>
        <w:t xml:space="preserve">(Thomson </w:t>
      </w:r>
      <w:r w:rsidR="00132591">
        <w:rPr>
          <w:i/>
          <w:iCs/>
        </w:rPr>
        <w:t>et al.</w:t>
      </w:r>
      <w:r w:rsidR="00132591">
        <w:t>, 2021)</w:t>
      </w:r>
      <w:r w:rsidR="00132591" w:rsidRPr="00132591">
        <w:rPr>
          <w:lang w:val="en-GB"/>
        </w:rPr>
        <w:t>.</w:t>
      </w:r>
      <w:r w:rsidR="00CA7F60">
        <w:rPr>
          <w:lang w:val="en-GB"/>
        </w:rPr>
        <w:t xml:space="preserve"> </w:t>
      </w:r>
      <w:r w:rsidR="00CA7F60" w:rsidRPr="00CA7F60">
        <w:rPr>
          <w:lang w:val="en-GB"/>
        </w:rPr>
        <w:t>Researchers used data from the Understanding Society UK Household Longitudinal Study (UKHLS) to examine the effect of COVID-19 on mental health in Wales. Participants were asked to list symptoms including fatigue, despair, overwhelm, troubles making decisions, trouble sleeping, and problems with focus. This study covers the pre-COVID-19 pandemic era (2009-2019) and the COVID-19 pandemic (April 2020 to March 2021). It is unusual in that it focuses exclusively on Wales. The researchers used a 12-item General Health Questionnaire to assess mental health outcomes in an effort to quantify the pandemic's effects, lockdowns, and social limitations on mental health in Wales. According to the research, the percentage of serious mental health issues in Wales increased from 11.7% before the pandemic to 28.1% by April 2020</w:t>
      </w:r>
      <w:r w:rsidR="00FC0625">
        <w:rPr>
          <w:lang w:val="en-GB"/>
        </w:rPr>
        <w:t xml:space="preserve"> </w:t>
      </w:r>
      <w:r w:rsidR="00FC0625">
        <w:t>(Institute for Social and Economic Research, 2021)</w:t>
      </w:r>
      <w:r w:rsidR="00CA7F60" w:rsidRPr="00CA7F60">
        <w:rPr>
          <w:lang w:val="en-GB"/>
        </w:rPr>
        <w:t>.</w:t>
      </w:r>
      <w:r w:rsidR="00CA7F60">
        <w:rPr>
          <w:lang w:val="en-GB"/>
        </w:rPr>
        <w:t xml:space="preserve"> </w:t>
      </w:r>
      <w:r w:rsidR="00CA7F60" w:rsidRPr="00CA7F60">
        <w:rPr>
          <w:lang w:val="en-GB"/>
        </w:rPr>
        <w:t>The group of young people (16–24 years old) saw the most decline in mental health, with an average indication that was 24% worse than it was before the pandemic. Gender differences were noted, with women generally displaying lower mental health following the start of the epidemic than did males. In Wales, Black, Asian, and Minority Ethnic people reported, on average, more than 4.1 difficulties related to mental anguish by June 2020, whilst White British people reported 2.7, showing a 55% relative difference. During the pandemic, the mental health disparity between individuals with the lowest and greatest incomes increased dramatically. By November 2020, the scores of those with the lowest incomes had deteriorated by 39%, while those with the highest incomes had only seen a 6.5% decline.</w:t>
      </w:r>
      <w:r w:rsidR="00CA7F60">
        <w:rPr>
          <w:lang w:val="en-GB"/>
        </w:rPr>
        <w:t xml:space="preserve"> </w:t>
      </w:r>
      <w:r w:rsidR="00132591" w:rsidRPr="00132591">
        <w:rPr>
          <w:lang w:val="en-GB"/>
        </w:rPr>
        <w:t>It is necessary to check whether the Act has effectively included policies aimed at de-stigmatizing mental illness, promoting resilience, and guaranteeing that mental health receives the same priority as physical health</w:t>
      </w:r>
      <w:r w:rsidR="00CA7F60">
        <w:rPr>
          <w:lang w:val="en-GB"/>
        </w:rPr>
        <w:t xml:space="preserve"> since the incident of COVID-19</w:t>
      </w:r>
      <w:r w:rsidR="00574451">
        <w:rPr>
          <w:lang w:val="en-GB"/>
        </w:rPr>
        <w:t xml:space="preserve"> </w:t>
      </w:r>
      <w:r w:rsidR="00FC0625">
        <w:t>(Institute for Social and Economic Research, 2021)</w:t>
      </w:r>
      <w:r w:rsidR="00132591" w:rsidRPr="00132591">
        <w:rPr>
          <w:lang w:val="en-GB"/>
        </w:rPr>
        <w:t>.</w:t>
      </w:r>
    </w:p>
    <w:p w14:paraId="63810EF6" w14:textId="395C8061" w:rsidR="00AA417C" w:rsidRDefault="00AA417C" w:rsidP="00AA417C">
      <w:pPr>
        <w:jc w:val="both"/>
        <w:rPr>
          <w:lang w:val="en-GB"/>
        </w:rPr>
      </w:pPr>
      <w:r w:rsidRPr="00500BFF">
        <w:rPr>
          <w:lang w:val="en-GB"/>
        </w:rPr>
        <w:t>In terms of health, the Act aims to promote comprehensive wellness in addition to the absence of sickness. It does this by including mental health, preventative care, and fair access to healthcare</w:t>
      </w:r>
      <w:r>
        <w:rPr>
          <w:lang w:val="en-GB"/>
        </w:rPr>
        <w:t xml:space="preserve"> </w:t>
      </w:r>
      <w:r>
        <w:t>(Kemp and Fisher, 2022)</w:t>
      </w:r>
      <w:r w:rsidRPr="00500BFF">
        <w:rPr>
          <w:lang w:val="en-GB"/>
        </w:rPr>
        <w:t>. However, this criticism explores specifics and casts doubt on the extent of influence on mental health programmes. Has the stigma around mental health decreased in any appreciable way? Has the Act sparked a paradigm change in public attitudes, making mental health a central component of a healthy Wales rather than merely an afterthought?</w:t>
      </w:r>
      <w:r>
        <w:rPr>
          <w:lang w:val="en-GB"/>
        </w:rPr>
        <w:t xml:space="preserve"> </w:t>
      </w:r>
      <w:r w:rsidRPr="00500BFF">
        <w:rPr>
          <w:lang w:val="en-GB"/>
        </w:rPr>
        <w:t>In a similar vein, the critique breaks down the causal pathways to address health inequities by exploring the ways in which socioeconomic issues influence healthcare accessibility. Although the Act promotes an inclusive health environment, there is need to dive into its complexity and asks if the measures have been successful in removing obstacles to accessing healthcare</w:t>
      </w:r>
      <w:r>
        <w:rPr>
          <w:lang w:val="en-GB"/>
        </w:rPr>
        <w:t xml:space="preserve"> </w:t>
      </w:r>
      <w:r>
        <w:t>(McMaughan, Oloruntoba and Smith, 2020)</w:t>
      </w:r>
      <w:r w:rsidRPr="00500BFF">
        <w:rPr>
          <w:lang w:val="en-GB"/>
        </w:rPr>
        <w:t xml:space="preserve">. Do inequalities continue </w:t>
      </w:r>
      <w:r w:rsidRPr="00500BFF">
        <w:rPr>
          <w:lang w:val="en-GB"/>
        </w:rPr>
        <w:lastRenderedPageBreak/>
        <w:t>to exist, reflecting social fault lines, or are the advantages of healthcare resources allocated fairly?</w:t>
      </w:r>
      <w:r>
        <w:rPr>
          <w:lang w:val="en-GB"/>
        </w:rPr>
        <w:t xml:space="preserve"> </w:t>
      </w:r>
    </w:p>
    <w:p w14:paraId="129C82DE" w14:textId="4CA940CB" w:rsidR="00132591" w:rsidRDefault="00132591" w:rsidP="00C8333E">
      <w:pPr>
        <w:jc w:val="both"/>
        <w:rPr>
          <w:lang w:val="en-GB"/>
        </w:rPr>
      </w:pPr>
      <w:r w:rsidRPr="00132591">
        <w:rPr>
          <w:lang w:val="en-GB"/>
        </w:rPr>
        <w:t>Another principle of the Act is the goal of sustainable development, which is linked with the creation of a "Resilient Wales"</w:t>
      </w:r>
      <w:r>
        <w:rPr>
          <w:lang w:val="en-GB"/>
        </w:rPr>
        <w:t xml:space="preserve"> </w:t>
      </w:r>
      <w:r>
        <w:t>(Future Generations Commissioner for Wales, 2023)</w:t>
      </w:r>
      <w:r>
        <w:rPr>
          <w:lang w:val="en-GB"/>
        </w:rPr>
        <w:t>.</w:t>
      </w:r>
      <w:r w:rsidRPr="00132591">
        <w:rPr>
          <w:lang w:val="en-GB"/>
        </w:rPr>
        <w:t xml:space="preserve"> Sustainable development takes social and economic factors into account in addition to environmental ones</w:t>
      </w:r>
      <w:r w:rsidR="00C655E7">
        <w:rPr>
          <w:lang w:val="en-GB"/>
        </w:rPr>
        <w:t xml:space="preserve"> </w:t>
      </w:r>
      <w:r w:rsidR="00C655E7">
        <w:t>(United Nations, 2015b)</w:t>
      </w:r>
      <w:r w:rsidRPr="00132591">
        <w:rPr>
          <w:lang w:val="en-GB"/>
        </w:rPr>
        <w:t xml:space="preserve">. </w:t>
      </w:r>
      <w:r w:rsidR="00343E22" w:rsidRPr="00343E22">
        <w:rPr>
          <w:lang w:val="en-GB"/>
        </w:rPr>
        <w:t xml:space="preserve">Wales's shifting climate offers a complex picture with ramifications for numerous aspects of daily life. According to projections, summer temperatures will be 1.34oC higher by 2050 than they were between 1981 and 2000. This warming trend is consistent with the 2018 UK Climate Projections (UKCP18), which predict later in the 21st century not just hotter and drier summers but also warmer and wetter winters. Along with a rise in sea levels, the </w:t>
      </w:r>
      <w:r w:rsidR="00F348CB">
        <w:rPr>
          <w:lang w:val="en-GB"/>
        </w:rPr>
        <w:t>forecast</w:t>
      </w:r>
      <w:r w:rsidR="00343E22" w:rsidRPr="00343E22">
        <w:rPr>
          <w:lang w:val="en-GB"/>
        </w:rPr>
        <w:t xml:space="preserve"> also shows a higher chance of increasingly frequent and powerful severe weather events, such as heatwaves and storms. </w:t>
      </w:r>
      <w:r w:rsidR="00F348CB" w:rsidRPr="00F348CB">
        <w:rPr>
          <w:lang w:val="en-GB"/>
        </w:rPr>
        <w:t>Should these changes occur, they could have a substantial impact on Wales, potentially affecting the health of the population, the state of the economy, infrastructure, and the environment</w:t>
      </w:r>
      <w:r w:rsidR="00F348CB">
        <w:rPr>
          <w:lang w:val="en-GB"/>
        </w:rPr>
        <w:t xml:space="preserve"> </w:t>
      </w:r>
      <w:r w:rsidR="004A5E4F">
        <w:t xml:space="preserve">(Wood </w:t>
      </w:r>
      <w:r w:rsidR="004A5E4F">
        <w:rPr>
          <w:i/>
          <w:iCs/>
        </w:rPr>
        <w:t>et al.</w:t>
      </w:r>
      <w:r w:rsidR="004A5E4F">
        <w:t>, 2022)</w:t>
      </w:r>
      <w:r w:rsidR="00343E22" w:rsidRPr="00343E22">
        <w:rPr>
          <w:lang w:val="en-GB"/>
        </w:rPr>
        <w:t>.</w:t>
      </w:r>
      <w:r w:rsidR="008878B0">
        <w:rPr>
          <w:lang w:val="en-GB"/>
        </w:rPr>
        <w:t xml:space="preserve"> </w:t>
      </w:r>
      <w:r w:rsidR="008878B0" w:rsidRPr="00132591">
        <w:rPr>
          <w:lang w:val="en-GB"/>
        </w:rPr>
        <w:t>The analysis shifts its focus to economic resilience and assesses whether the Act's promoted policies and programmes have created an environment that is resilient to shocks, encourages inclusion, and guarantees the prosperity of coming generations.</w:t>
      </w:r>
      <w:r w:rsidR="00B1028C">
        <w:rPr>
          <w:lang w:val="en-GB"/>
        </w:rPr>
        <w:t xml:space="preserve"> </w:t>
      </w:r>
      <w:r w:rsidR="00B1028C" w:rsidRPr="00B1028C">
        <w:rPr>
          <w:lang w:val="en-GB"/>
        </w:rPr>
        <w:t>The Welsh Government released Net Zero Wales: Carbon Budget 2 in October 2021. This second plan lays forth 123 recommendations and policies that establish the the framework for Wales to achieve net zero energy via 2050.</w:t>
      </w:r>
      <w:r w:rsidR="00B1028C">
        <w:rPr>
          <w:lang w:val="en-GB"/>
        </w:rPr>
        <w:t xml:space="preserve"> </w:t>
      </w:r>
      <w:r w:rsidR="00B1028C" w:rsidRPr="00B1028C">
        <w:rPr>
          <w:lang w:val="en-GB"/>
        </w:rPr>
        <w:t>Although efforts in Wales to comprehend and lessen the effects of climate change are accelerating, there is still a dearth of data about the attitudes and actions of the populace. These kinds of data are essential for jointly developing acceptable and successful climate change mitigation strategies that support public health</w:t>
      </w:r>
      <w:r w:rsidR="00B1028C">
        <w:rPr>
          <w:lang w:val="en-GB"/>
        </w:rPr>
        <w:t xml:space="preserve"> (</w:t>
      </w:r>
      <w:r w:rsidR="00B1028C">
        <w:t xml:space="preserve">Wood </w:t>
      </w:r>
      <w:r w:rsidR="00B1028C">
        <w:rPr>
          <w:i/>
          <w:iCs/>
        </w:rPr>
        <w:t>et al.</w:t>
      </w:r>
      <w:r w:rsidR="00B1028C">
        <w:t>, 2022)</w:t>
      </w:r>
      <w:r w:rsidR="00B1028C" w:rsidRPr="00B1028C">
        <w:rPr>
          <w:lang w:val="en-GB"/>
        </w:rPr>
        <w:t>.</w:t>
      </w:r>
    </w:p>
    <w:p w14:paraId="235D8DED" w14:textId="3AF69EF0" w:rsidR="005A1493" w:rsidRDefault="005A1493" w:rsidP="005A1493">
      <w:pPr>
        <w:jc w:val="both"/>
        <w:rPr>
          <w:lang w:val="en-GB"/>
        </w:rPr>
      </w:pPr>
      <w:r w:rsidRPr="005A1493">
        <w:rPr>
          <w:lang w:val="en-GB"/>
        </w:rPr>
        <w:t xml:space="preserve">A key component of the Act's philosophy is its dedication to environmental sustainability, which is embodied in objectives such a "Globally Responsible Wales." In order to determine if Wales has achieved progress in reducing its carbon footprint, preserving biodiversity, and promoting sustainable practises, </w:t>
      </w:r>
      <w:r>
        <w:rPr>
          <w:lang w:val="en-GB"/>
        </w:rPr>
        <w:t>there is need for there to be an</w:t>
      </w:r>
      <w:r w:rsidRPr="005A1493">
        <w:rPr>
          <w:lang w:val="en-GB"/>
        </w:rPr>
        <w:t xml:space="preserve"> observable impact on environmental parameters</w:t>
      </w:r>
      <w:r>
        <w:rPr>
          <w:lang w:val="en-GB"/>
        </w:rPr>
        <w:t xml:space="preserve"> </w:t>
      </w:r>
      <w:r>
        <w:t>(Messham and Sheard, 2020)</w:t>
      </w:r>
      <w:r w:rsidRPr="005A1493">
        <w:rPr>
          <w:lang w:val="en-GB"/>
        </w:rPr>
        <w:t>.</w:t>
      </w:r>
      <w:r w:rsidR="00D3645E">
        <w:rPr>
          <w:lang w:val="en-GB"/>
        </w:rPr>
        <w:t xml:space="preserve"> </w:t>
      </w:r>
      <w:r w:rsidR="00D3645E" w:rsidRPr="00D3645E">
        <w:rPr>
          <w:lang w:val="en-GB"/>
        </w:rPr>
        <w:t>In the newly released study (JNCC Report 743) carried out for the Welsh Government</w:t>
      </w:r>
      <w:r w:rsidR="00D3645E">
        <w:rPr>
          <w:lang w:val="en-GB"/>
        </w:rPr>
        <w:t>, f</w:t>
      </w:r>
      <w:r w:rsidR="00D3645E" w:rsidRPr="00D3645E">
        <w:rPr>
          <w:lang w:val="en-GB"/>
        </w:rPr>
        <w:t>indings from the study indicate that the collective consumption patterns in Wales leave a substantial ecological footprint, exerting significant global environmental ramifications</w:t>
      </w:r>
      <w:r w:rsidR="00D3645E">
        <w:rPr>
          <w:lang w:val="en-GB"/>
        </w:rPr>
        <w:t xml:space="preserve"> </w:t>
      </w:r>
      <w:r w:rsidR="00D3645E">
        <w:t>(Harris, 2023)</w:t>
      </w:r>
      <w:r w:rsidR="00D3645E" w:rsidRPr="00D3645E">
        <w:rPr>
          <w:lang w:val="en-GB"/>
        </w:rPr>
        <w:t xml:space="preserve">. Extrapolating this impact to a global scale, if the entire world emulated the consumption habits of Welsh citizens, the demand on Earth's resources would necessitate an equivalent of 2.08 Earths. To achieve sustainability, </w:t>
      </w:r>
      <w:r w:rsidR="00D3645E" w:rsidRPr="00D3645E">
        <w:rPr>
          <w:lang w:val="en-GB"/>
        </w:rPr>
        <w:lastRenderedPageBreak/>
        <w:t>Wales would need to reduce its ecological footprint by half. Notably, Wales exhibits a consumption estimate approximately half that of the entire UK, signifying a comparatively more favourable ecological scenario. Encouragingly, there are discernible positive trends, with consumption patterns showing a decreasing trajectory since 2004</w:t>
      </w:r>
      <w:r w:rsidR="00D3645E">
        <w:rPr>
          <w:lang w:val="en-GB"/>
        </w:rPr>
        <w:t xml:space="preserve"> </w:t>
      </w:r>
      <w:r w:rsidR="00D3645E">
        <w:t>(</w:t>
      </w:r>
      <w:r w:rsidR="00354D56">
        <w:t>National Indicators, 2022</w:t>
      </w:r>
      <w:r w:rsidR="00354D56">
        <w:rPr>
          <w:lang w:val="en-GB"/>
        </w:rPr>
        <w:t xml:space="preserve">; </w:t>
      </w:r>
      <w:r w:rsidR="00D3645E">
        <w:t>Harris, 2023)</w:t>
      </w:r>
      <w:r w:rsidR="00D3645E" w:rsidRPr="00D3645E">
        <w:rPr>
          <w:lang w:val="en-GB"/>
        </w:rPr>
        <w:t>.</w:t>
      </w:r>
    </w:p>
    <w:p w14:paraId="2A778DC9" w14:textId="75F266AB" w:rsidR="003C3E53" w:rsidRDefault="003C3E53" w:rsidP="005A1493">
      <w:pPr>
        <w:jc w:val="both"/>
        <w:rPr>
          <w:lang w:val="en-GB"/>
        </w:rPr>
      </w:pPr>
      <w:r w:rsidRPr="003C3E53">
        <w:rPr>
          <w:lang w:val="en-GB"/>
        </w:rPr>
        <w:t xml:space="preserve">The survival and development of a dynamic culture and a thriving Welsh language are essential elements in </w:t>
      </w:r>
      <w:proofErr w:type="spellStart"/>
      <w:r w:rsidRPr="003C3E53">
        <w:rPr>
          <w:lang w:val="en-GB"/>
        </w:rPr>
        <w:t>Wales'</w:t>
      </w:r>
      <w:proofErr w:type="spellEnd"/>
      <w:r w:rsidRPr="003C3E53">
        <w:rPr>
          <w:lang w:val="en-GB"/>
        </w:rPr>
        <w:t xml:space="preserve"> path towards prosperity. </w:t>
      </w:r>
      <w:r>
        <w:rPr>
          <w:lang w:val="en-GB"/>
        </w:rPr>
        <w:t>This is highlighted as the ‘</w:t>
      </w:r>
      <w:r w:rsidRPr="003C3E53">
        <w:rPr>
          <w:lang w:val="en-GB"/>
        </w:rPr>
        <w:t>A Wales of Vibrant Culture and Thriving Welsh Language</w:t>
      </w:r>
      <w:r>
        <w:rPr>
          <w:lang w:val="en-GB"/>
        </w:rPr>
        <w:t xml:space="preserve">.’ </w:t>
      </w:r>
      <w:r w:rsidRPr="003C3E53">
        <w:rPr>
          <w:lang w:val="en-GB"/>
        </w:rPr>
        <w:t xml:space="preserve">According to the Future Generations Commissioner for Wales, this </w:t>
      </w:r>
      <w:r w:rsidR="00BF1466">
        <w:rPr>
          <w:lang w:val="en-GB"/>
        </w:rPr>
        <w:t xml:space="preserve">goal </w:t>
      </w:r>
      <w:r w:rsidRPr="003C3E53">
        <w:rPr>
          <w:lang w:val="en-GB"/>
        </w:rPr>
        <w:t>emphasises the fundamental relationship between language vibrancy, cultural diversity, and community well-being</w:t>
      </w:r>
      <w:r w:rsidR="005C45A1">
        <w:rPr>
          <w:lang w:val="en-GB"/>
        </w:rPr>
        <w:t xml:space="preserve"> </w:t>
      </w:r>
      <w:r w:rsidR="005C45A1">
        <w:t>(Future Generations Commissioner for Wales, 2023b)</w:t>
      </w:r>
      <w:r w:rsidRPr="003C3E53">
        <w:rPr>
          <w:lang w:val="en-GB"/>
        </w:rPr>
        <w:t>. The understanding that language and culture are fundamental components that greatly enhance the current and future well-being of Welsh society is at the heart of our endeavour</w:t>
      </w:r>
      <w:r w:rsidR="005C45A1">
        <w:rPr>
          <w:lang w:val="en-GB"/>
        </w:rPr>
        <w:t xml:space="preserve"> </w:t>
      </w:r>
      <w:r w:rsidR="005C45A1">
        <w:t>(Welsh Government, 2017)</w:t>
      </w:r>
      <w:r w:rsidRPr="003C3E53">
        <w:rPr>
          <w:lang w:val="en-GB"/>
        </w:rPr>
        <w:t>.</w:t>
      </w:r>
      <w:r w:rsidR="00F22E79">
        <w:rPr>
          <w:lang w:val="en-GB"/>
        </w:rPr>
        <w:t xml:space="preserve"> </w:t>
      </w:r>
      <w:r w:rsidR="00F22E79" w:rsidRPr="00F22E79">
        <w:rPr>
          <w:lang w:val="en-GB"/>
        </w:rPr>
        <w:t>"A Wales of Vibrant Culture and Thriving Welsh Language" is an ambitious goal, not without difficulties and complexity. Given that English continues to be the language of choice in many fields, one of the most important concerns is the maintenance and advancement of Welsh language proficiency</w:t>
      </w:r>
      <w:r w:rsidR="00153241">
        <w:rPr>
          <w:lang w:val="en-GB"/>
        </w:rPr>
        <w:t xml:space="preserve"> </w:t>
      </w:r>
      <w:r w:rsidR="00153241">
        <w:t>(Owen, 2022)</w:t>
      </w:r>
      <w:r w:rsidR="00F22E79" w:rsidRPr="00F22E79">
        <w:rPr>
          <w:lang w:val="en-GB"/>
        </w:rPr>
        <w:t>. The uniqueness of regional customs is at risk due to challenges associated with globalisation and cultural uniformity that impede efforts to preserve the vitality of Welsh culture. The issues are compounded by economic pressures and demographic shifts, which call for deliberate measures to preserve cultural practises and language heritage</w:t>
      </w:r>
      <w:r w:rsidR="00153241">
        <w:rPr>
          <w:lang w:val="en-GB"/>
        </w:rPr>
        <w:t xml:space="preserve"> </w:t>
      </w:r>
      <w:r w:rsidR="00153241">
        <w:t xml:space="preserve">(Verhagen </w:t>
      </w:r>
      <w:r w:rsidR="00153241">
        <w:rPr>
          <w:i/>
          <w:iCs/>
        </w:rPr>
        <w:t>et al.</w:t>
      </w:r>
      <w:r w:rsidR="00153241">
        <w:t>, 2020)</w:t>
      </w:r>
      <w:r w:rsidR="00F22E79" w:rsidRPr="00F22E79">
        <w:rPr>
          <w:lang w:val="en-GB"/>
        </w:rPr>
        <w:t>.</w:t>
      </w:r>
      <w:r w:rsidR="00F22E79">
        <w:rPr>
          <w:lang w:val="en-GB"/>
        </w:rPr>
        <w:t xml:space="preserve"> </w:t>
      </w:r>
      <w:r w:rsidR="00491157" w:rsidRPr="00491157">
        <w:rPr>
          <w:lang w:val="en-GB"/>
        </w:rPr>
        <w:t>Moreover, it becomes evident that cultural policies promoting inclusivity and valuing diversity, while addressing the evolving needs of a diverse society, are crucial</w:t>
      </w:r>
      <w:r w:rsidR="00153241">
        <w:rPr>
          <w:lang w:val="en-GB"/>
        </w:rPr>
        <w:t xml:space="preserve"> </w:t>
      </w:r>
      <w:r w:rsidR="00153241">
        <w:t>(Conn and Davis, 2023)</w:t>
      </w:r>
      <w:r w:rsidR="00F22E79" w:rsidRPr="00F22E79">
        <w:rPr>
          <w:lang w:val="en-GB"/>
        </w:rPr>
        <w:t>. A careful balance between tradition and adaptation, together with inclusive policies, are necessary in negotiating these difficulties in order to create a Wales where language vitality and cultural vibrancy flourish in the face of modern forces.</w:t>
      </w:r>
    </w:p>
    <w:p w14:paraId="1082C7B4" w14:textId="536DE978" w:rsidR="00013CE4" w:rsidRPr="005A1493" w:rsidRDefault="00013CE4" w:rsidP="005A1493">
      <w:pPr>
        <w:jc w:val="both"/>
        <w:rPr>
          <w:lang w:val="en-GB"/>
        </w:rPr>
      </w:pPr>
      <w:r w:rsidRPr="00013CE4">
        <w:rPr>
          <w:lang w:val="en-GB"/>
        </w:rPr>
        <w:t>The various issues that modern societies encounter highlight the necessity of promoting social cohesion and inclusion in Wales. According to the Well-Being of Future Generations Act, achieving a cohesive society necessitates resolving inequalities in opportunity and resource access</w:t>
      </w:r>
      <w:r w:rsidR="00417516">
        <w:rPr>
          <w:lang w:val="en-GB"/>
        </w:rPr>
        <w:t xml:space="preserve"> </w:t>
      </w:r>
      <w:r w:rsidR="00417516">
        <w:t>(Future Generations Commissioner for Wales, 2023c)</w:t>
      </w:r>
      <w:r w:rsidRPr="00013CE4">
        <w:rPr>
          <w:lang w:val="en-GB"/>
        </w:rPr>
        <w:t>.</w:t>
      </w:r>
      <w:r w:rsidR="00417516">
        <w:rPr>
          <w:lang w:val="en-GB"/>
        </w:rPr>
        <w:t xml:space="preserve"> This is termed as ‘</w:t>
      </w:r>
      <w:r w:rsidR="00417516" w:rsidRPr="00417516">
        <w:rPr>
          <w:lang w:val="en-GB"/>
        </w:rPr>
        <w:t>A Wales of Cohesive Communities</w:t>
      </w:r>
      <w:r w:rsidR="00417516">
        <w:rPr>
          <w:lang w:val="en-GB"/>
        </w:rPr>
        <w:t>’.</w:t>
      </w:r>
      <w:r w:rsidRPr="00013CE4">
        <w:rPr>
          <w:lang w:val="en-GB"/>
        </w:rPr>
        <w:t xml:space="preserve"> </w:t>
      </w:r>
      <w:r w:rsidR="00417516">
        <w:rPr>
          <w:lang w:val="en-GB"/>
        </w:rPr>
        <w:t xml:space="preserve">This </w:t>
      </w:r>
      <w:r w:rsidRPr="00013CE4">
        <w:rPr>
          <w:lang w:val="en-GB"/>
        </w:rPr>
        <w:t>cohesiveness is shaped by the intersection of social, economic, and cultural factors, calling for an all-encompassing strategy. Cohesion is hampered by the processes of migration, globalisation, and demographic change, which highlights the necessity of inclusive policies that take a variety of identities and experiences into consideration</w:t>
      </w:r>
      <w:r w:rsidR="00B06899">
        <w:rPr>
          <w:lang w:val="en-GB"/>
        </w:rPr>
        <w:t xml:space="preserve"> </w:t>
      </w:r>
      <w:r w:rsidR="00B06899">
        <w:t xml:space="preserve">(Conn </w:t>
      </w:r>
      <w:r w:rsidR="00B06899">
        <w:lastRenderedPageBreak/>
        <w:t>and Davis, 2023)</w:t>
      </w:r>
      <w:r w:rsidRPr="00013CE4">
        <w:rPr>
          <w:lang w:val="en-GB"/>
        </w:rPr>
        <w:t>. Social justice, resource distribution equity, and community involvement appear as critical factors to take into account in the quest for a socially cohesive Wales.</w:t>
      </w:r>
      <w:r>
        <w:rPr>
          <w:lang w:val="en-GB"/>
        </w:rPr>
        <w:t xml:space="preserve"> </w:t>
      </w:r>
      <w:r w:rsidRPr="00013CE4">
        <w:rPr>
          <w:lang w:val="en-GB"/>
        </w:rPr>
        <w:t>Furthermore, the current conversation on cohesive communities emphasises how critical it is to cultivate a feeling of community, shared values, and interconnectedness since they will be key components in building a future in which the welfare of all citizens is given first priority</w:t>
      </w:r>
      <w:r w:rsidR="00B06899">
        <w:rPr>
          <w:lang w:val="en-GB"/>
        </w:rPr>
        <w:t xml:space="preserve"> </w:t>
      </w:r>
      <w:r w:rsidR="00B06899">
        <w:t>(Conn and Davis, 2023)</w:t>
      </w:r>
      <w:r w:rsidRPr="00013CE4">
        <w:rPr>
          <w:lang w:val="en-GB"/>
        </w:rPr>
        <w:t>.</w:t>
      </w:r>
      <w:r w:rsidR="00F02965">
        <w:rPr>
          <w:lang w:val="en-GB"/>
        </w:rPr>
        <w:t xml:space="preserve"> However, a</w:t>
      </w:r>
      <w:r w:rsidR="00F02965" w:rsidRPr="00F02965">
        <w:rPr>
          <w:lang w:val="en-GB"/>
        </w:rPr>
        <w:t>ddressing social isolation and fractured social networks is a major issue, especially in light of contemporary lifestyles and urbanisation. The conventional fabric of close-knit connections may become stretched when societies change, necessitating the development of creative measures to fortify social linkages</w:t>
      </w:r>
      <w:r w:rsidR="00F02965">
        <w:rPr>
          <w:lang w:val="en-GB"/>
        </w:rPr>
        <w:t xml:space="preserve"> </w:t>
      </w:r>
      <w:r w:rsidR="00F02965">
        <w:t xml:space="preserve">(Marquez </w:t>
      </w:r>
      <w:r w:rsidR="00F02965">
        <w:rPr>
          <w:i/>
          <w:iCs/>
        </w:rPr>
        <w:t>et al.</w:t>
      </w:r>
      <w:r w:rsidR="00F02965">
        <w:t>, 2022)</w:t>
      </w:r>
      <w:r w:rsidR="00F02965" w:rsidRPr="00F02965">
        <w:rPr>
          <w:lang w:val="en-GB"/>
        </w:rPr>
        <w:t>. Obstacles can also arise from economic inequality and unequal access to opportunities, since some groups may be left out and marginalised</w:t>
      </w:r>
      <w:r w:rsidR="00F02965">
        <w:rPr>
          <w:lang w:val="en-GB"/>
        </w:rPr>
        <w:t xml:space="preserve"> </w:t>
      </w:r>
      <w:r w:rsidR="00F02965">
        <w:t xml:space="preserve">(Allen </w:t>
      </w:r>
      <w:r w:rsidR="00F02965">
        <w:rPr>
          <w:i/>
          <w:iCs/>
        </w:rPr>
        <w:t>et al.</w:t>
      </w:r>
      <w:r w:rsidR="00F02965">
        <w:t>, 2022)</w:t>
      </w:r>
      <w:r w:rsidR="00F02965" w:rsidRPr="00F02965">
        <w:rPr>
          <w:lang w:val="en-GB"/>
        </w:rPr>
        <w:t>. To prevent dividing factors from undermining unity, tensions resulting from cultural variety and the presence of diverse belief systems must be carefully navigated. Furthermore, communities are dynamic due to variables like demographic changes and technology improvements, necessitating flexible ways to cohesiveness.</w:t>
      </w:r>
    </w:p>
    <w:p w14:paraId="2CEFBDB2" w14:textId="0C059190" w:rsidR="00551E03" w:rsidRDefault="005A1493" w:rsidP="00551E03">
      <w:pPr>
        <w:jc w:val="both"/>
        <w:rPr>
          <w:lang w:val="en-GB"/>
        </w:rPr>
      </w:pPr>
      <w:r>
        <w:rPr>
          <w:lang w:val="en-GB"/>
        </w:rPr>
        <w:t xml:space="preserve">There is need to </w:t>
      </w:r>
      <w:r w:rsidRPr="005A1493">
        <w:rPr>
          <w:lang w:val="en-GB"/>
        </w:rPr>
        <w:t>highlight the significance of Public Service Boards (PSBs) and Local Authorities (LAs)</w:t>
      </w:r>
      <w:r w:rsidR="006C35CB">
        <w:rPr>
          <w:lang w:val="en-GB"/>
        </w:rPr>
        <w:t xml:space="preserve"> </w:t>
      </w:r>
      <w:r w:rsidR="006C35CB">
        <w:t>(WLGA, 2023)</w:t>
      </w:r>
      <w:r w:rsidRPr="005A1493">
        <w:rPr>
          <w:lang w:val="en-GB"/>
        </w:rPr>
        <w:t>. These organisations were created in order to carry out the Act's collaborative spirit, and they are responsible for converting its ideas into community-level plans that can be implemented</w:t>
      </w:r>
      <w:r w:rsidR="006C35CB">
        <w:rPr>
          <w:lang w:val="en-GB"/>
        </w:rPr>
        <w:t xml:space="preserve"> </w:t>
      </w:r>
      <w:r w:rsidR="006C35CB">
        <w:t>(Office of National Statistics, 2014)</w:t>
      </w:r>
      <w:r w:rsidRPr="005A1493">
        <w:rPr>
          <w:lang w:val="en-GB"/>
        </w:rPr>
        <w:t>.</w:t>
      </w:r>
      <w:r w:rsidR="00437530">
        <w:rPr>
          <w:lang w:val="en-GB"/>
        </w:rPr>
        <w:t xml:space="preserve"> There are currently 19 PSBs in Wales. However, </w:t>
      </w:r>
      <w:r w:rsidR="00437530" w:rsidRPr="00437530">
        <w:rPr>
          <w:lang w:val="en-GB"/>
        </w:rPr>
        <w:t>Public Service Boards (PSBs) currently miss the chance to communicate their actions and establish a collective understanding of areas for improvement. Although certain PSBs create an environment conducive to self-reflection, this does not translate into improved democratic accountability or transparency. Inconsistencies and variations in public involvement and scrutiny mechanisms undermine their alignment with the expectations outlined in the Welsh Government's guidance. While there are instances of positive efforts to integrate and enhance scrutiny effectiveness, there remains a need for additional work to establish a consistent standard of performance and impact</w:t>
      </w:r>
      <w:r w:rsidR="00437530">
        <w:rPr>
          <w:lang w:val="en-GB"/>
        </w:rPr>
        <w:t xml:space="preserve"> </w:t>
      </w:r>
      <w:r w:rsidR="00437530">
        <w:t>(Auditor General for Wales, 2019)</w:t>
      </w:r>
      <w:r w:rsidR="00437530" w:rsidRPr="00437530">
        <w:rPr>
          <w:lang w:val="en-GB"/>
        </w:rPr>
        <w:t>.</w:t>
      </w:r>
    </w:p>
    <w:p w14:paraId="20673409" w14:textId="7A9BA18F" w:rsidR="00B5199A" w:rsidRDefault="00551E03" w:rsidP="00B5199A">
      <w:pPr>
        <w:jc w:val="both"/>
        <w:rPr>
          <w:lang w:val="en-GB"/>
        </w:rPr>
      </w:pPr>
      <w:r w:rsidRPr="00551E03">
        <w:rPr>
          <w:lang w:val="en-GB"/>
        </w:rPr>
        <w:t>Local authorities have consistently demonstrated resilience in adapting to various challenges, including navigating budget cuts due to austerity measures and devising innovative approaches to maintain services during the pandemic</w:t>
      </w:r>
      <w:r w:rsidR="00491157">
        <w:rPr>
          <w:lang w:val="en-GB"/>
        </w:rPr>
        <w:t xml:space="preserve"> </w:t>
      </w:r>
      <w:r w:rsidR="00491157">
        <w:t>(Auditor General for Wales, 2019)</w:t>
      </w:r>
      <w:r w:rsidRPr="00551E03">
        <w:rPr>
          <w:lang w:val="en-GB"/>
        </w:rPr>
        <w:t xml:space="preserve">. Despite implementing efficiency measures to reduce service costs, the current cost-of-living crisis poses an unprecedented challenge for local authorities. Although the Welsh Government is set </w:t>
      </w:r>
      <w:r w:rsidRPr="00551E03">
        <w:rPr>
          <w:lang w:val="en-GB"/>
        </w:rPr>
        <w:lastRenderedPageBreak/>
        <w:t>to increase council budgets for 2023-24, the allocated funds fall short of what is necessary to sustain services. The Welsh Local Government Association estimates that local authorities will need to manage £1.2 billion in unfunded cost pressures between April 2023 and March 2025</w:t>
      </w:r>
      <w:r>
        <w:rPr>
          <w:lang w:val="en-GB"/>
        </w:rPr>
        <w:t xml:space="preserve"> </w:t>
      </w:r>
      <w:r>
        <w:t>(Audit Wales, 2023)</w:t>
      </w:r>
      <w:r w:rsidRPr="00551E03">
        <w:rPr>
          <w:lang w:val="en-GB"/>
        </w:rPr>
        <w:t>.</w:t>
      </w:r>
      <w:r w:rsidR="000902D0">
        <w:rPr>
          <w:lang w:val="en-GB"/>
        </w:rPr>
        <w:t xml:space="preserve"> Which falls short of the goals highlighted in t</w:t>
      </w:r>
      <w:r w:rsidR="000902D0" w:rsidRPr="000902D0">
        <w:rPr>
          <w:lang w:val="en-GB"/>
        </w:rPr>
        <w:t>he Wellbeing of Future Generations Act</w:t>
      </w:r>
      <w:r w:rsidR="000902D0">
        <w:rPr>
          <w:lang w:val="en-GB"/>
        </w:rPr>
        <w:t>.</w:t>
      </w:r>
      <w:r w:rsidR="0084680A">
        <w:rPr>
          <w:lang w:val="en-GB"/>
        </w:rPr>
        <w:t xml:space="preserve"> </w:t>
      </w:r>
      <w:r w:rsidR="00D5704F">
        <w:rPr>
          <w:lang w:val="en-GB"/>
        </w:rPr>
        <w:t>Also, b</w:t>
      </w:r>
      <w:r w:rsidR="00D5704F" w:rsidRPr="00D5704F">
        <w:rPr>
          <w:lang w:val="en-GB"/>
        </w:rPr>
        <w:t>alancing competing demands proves to be a challenge for planning authorities due to the intricate nature of the planning system.</w:t>
      </w:r>
      <w:r w:rsidR="00D5704F">
        <w:rPr>
          <w:lang w:val="en-GB"/>
        </w:rPr>
        <w:t xml:space="preserve"> </w:t>
      </w:r>
      <w:r w:rsidR="00D5704F" w:rsidRPr="00D5704F">
        <w:rPr>
          <w:lang w:val="en-GB"/>
        </w:rPr>
        <w:t xml:space="preserve">Planning Policy Wales outlines the planning system's role in overseeing the development and land use in the public interest, emphasizing long-term collective </w:t>
      </w:r>
      <w:r w:rsidR="00491157" w:rsidRPr="00D5704F">
        <w:rPr>
          <w:lang w:val="en-GB"/>
        </w:rPr>
        <w:t>benefits,</w:t>
      </w:r>
      <w:r w:rsidR="00D5704F" w:rsidRPr="00D5704F">
        <w:rPr>
          <w:lang w:val="en-GB"/>
        </w:rPr>
        <w:t xml:space="preserve"> and contributing to the overall well-being of Wales. </w:t>
      </w:r>
      <w:r w:rsidR="00491157" w:rsidRPr="00491157">
        <w:rPr>
          <w:lang w:val="en-GB"/>
        </w:rPr>
        <w:t>An effective planning system is essential for sustainable development and the creation of sustainable places</w:t>
      </w:r>
      <w:r w:rsidR="00491157">
        <w:rPr>
          <w:lang w:val="en-GB"/>
        </w:rPr>
        <w:t>.</w:t>
      </w:r>
      <w:r w:rsidR="00D5704F" w:rsidRPr="00D5704F">
        <w:rPr>
          <w:lang w:val="en-GB"/>
        </w:rPr>
        <w:t xml:space="preserve"> However, its complexity arises from the interconnection of national, regional, and local plans, policies, priorities, and decision-making processes governing land use.</w:t>
      </w:r>
      <w:r w:rsidR="00D5704F">
        <w:rPr>
          <w:lang w:val="en-GB"/>
        </w:rPr>
        <w:t xml:space="preserve"> </w:t>
      </w:r>
      <w:r w:rsidR="00D5704F" w:rsidRPr="00D5704F">
        <w:rPr>
          <w:lang w:val="en-GB"/>
        </w:rPr>
        <w:t>Guiding a potential development or application through various layers of the planning system can be intricate</w:t>
      </w:r>
      <w:r w:rsidR="00D5704F">
        <w:rPr>
          <w:lang w:val="en-GB"/>
        </w:rPr>
        <w:t xml:space="preserve"> </w:t>
      </w:r>
      <w:r w:rsidR="00D5704F">
        <w:t>(Auditor General for Wales, 2019b)</w:t>
      </w:r>
      <w:r w:rsidR="00D5704F" w:rsidRPr="00D5704F">
        <w:rPr>
          <w:lang w:val="en-GB"/>
        </w:rPr>
        <w:t>. Determining the relevant plans governing the development, understanding applicable guidance, and identifying the appropriate authority can be challenging due to decision-making involvement from multiple organizations, each with distinct layers of responsibility. Local planning authorities are obligated to operate within this planning policy framework, adhering to the guidance and directives established by the Welsh Government</w:t>
      </w:r>
      <w:r w:rsidR="00D5704F">
        <w:rPr>
          <w:lang w:val="en-GB"/>
        </w:rPr>
        <w:t xml:space="preserve"> </w:t>
      </w:r>
      <w:r w:rsidR="00D5704F">
        <w:t>(Auditor General for Wales, 2019b)</w:t>
      </w:r>
      <w:r w:rsidR="00D5704F" w:rsidRPr="00D5704F">
        <w:rPr>
          <w:lang w:val="en-GB"/>
        </w:rPr>
        <w:t>.</w:t>
      </w:r>
      <w:r w:rsidR="00B406BD">
        <w:rPr>
          <w:lang w:val="en-GB"/>
        </w:rPr>
        <w:t xml:space="preserve"> Furthermore, d</w:t>
      </w:r>
      <w:r w:rsidR="00B406BD" w:rsidRPr="00B406BD">
        <w:rPr>
          <w:lang w:val="en-GB"/>
        </w:rPr>
        <w:t>iminishing resources and inadequate capacity are undermining the resilience of planning authorities.</w:t>
      </w:r>
      <w:r w:rsidR="00B406BD">
        <w:rPr>
          <w:lang w:val="en-GB"/>
        </w:rPr>
        <w:t xml:space="preserve"> </w:t>
      </w:r>
      <w:r w:rsidR="00765860" w:rsidRPr="00765860">
        <w:rPr>
          <w:lang w:val="en-GB"/>
        </w:rPr>
        <w:t xml:space="preserve">It appears the financial landscape for local planning authorities has significantly shifted over the last decade. Adjusted for real terms, the net expenditure of these authorities has witnessed a stark 50% decline, dwindling from £45 million in 2008-09 to a mere £22.8 million in 2017-18. The sector that has </w:t>
      </w:r>
      <w:r w:rsidR="00491157">
        <w:rPr>
          <w:lang w:val="en-GB"/>
        </w:rPr>
        <w:t>suffered</w:t>
      </w:r>
      <w:r w:rsidR="00765860" w:rsidRPr="00765860">
        <w:rPr>
          <w:lang w:val="en-GB"/>
        </w:rPr>
        <w:t xml:space="preserve"> this financial reduction is development control, experiencing a substantial 59% decrease in funding.</w:t>
      </w:r>
      <w:r w:rsidR="00765860">
        <w:rPr>
          <w:lang w:val="en-GB"/>
        </w:rPr>
        <w:t xml:space="preserve"> </w:t>
      </w:r>
      <w:r w:rsidR="00491157">
        <w:rPr>
          <w:lang w:val="en-GB"/>
        </w:rPr>
        <w:t>Therefore,</w:t>
      </w:r>
      <w:r w:rsidR="00765860">
        <w:rPr>
          <w:lang w:val="en-GB"/>
        </w:rPr>
        <w:t xml:space="preserve"> more attention is required to change the downward trends in the Local Authorities </w:t>
      </w:r>
      <w:r w:rsidR="00765860">
        <w:t>(Auditor General for Wales, 2019b)</w:t>
      </w:r>
      <w:r w:rsidR="00765860">
        <w:rPr>
          <w:lang w:val="en-GB"/>
        </w:rPr>
        <w:t>.</w:t>
      </w:r>
    </w:p>
    <w:p w14:paraId="2C973505" w14:textId="41B83CDE" w:rsidR="009B2BD1" w:rsidRDefault="00491157" w:rsidP="0047015C">
      <w:pPr>
        <w:jc w:val="both"/>
        <w:rPr>
          <w:lang w:val="en-GB"/>
        </w:rPr>
      </w:pPr>
      <w:r w:rsidRPr="00491157">
        <w:rPr>
          <w:lang w:val="en-GB"/>
        </w:rPr>
        <w:t xml:space="preserve">In conclusion, the Wellbeing of Future Generations Act stands as a pivotal and innovative legislation embodying </w:t>
      </w:r>
      <w:proofErr w:type="spellStart"/>
      <w:r w:rsidRPr="00491157">
        <w:rPr>
          <w:lang w:val="en-GB"/>
        </w:rPr>
        <w:t>Wales'</w:t>
      </w:r>
      <w:proofErr w:type="spellEnd"/>
      <w:r w:rsidRPr="00491157">
        <w:rPr>
          <w:lang w:val="en-GB"/>
        </w:rPr>
        <w:t xml:space="preserve"> commitment to shaping a sustainable and prosperous future aligned with global objectives. Enacted with explicit promises to adhere to UN goals by 2030, the Act </w:t>
      </w:r>
      <w:r>
        <w:rPr>
          <w:lang w:val="en-GB"/>
        </w:rPr>
        <w:t>holds</w:t>
      </w:r>
      <w:r w:rsidRPr="00491157">
        <w:rPr>
          <w:lang w:val="en-GB"/>
        </w:rPr>
        <w:t xml:space="preserve"> an encouraging picture of Wales as a nation thriving while prioritizing the rights of its people and environmental preservation. However, the complex backdrop of contemporary challenges, including the enduring global pandemic, climate change concerns, and economic factors, necessitates a recalibration of tactics and objectives. The Act assumes a dual role as a </w:t>
      </w:r>
      <w:r w:rsidRPr="00491157">
        <w:rPr>
          <w:lang w:val="en-GB"/>
        </w:rPr>
        <w:lastRenderedPageBreak/>
        <w:t>gauge of resilience in the face of difficulties and a beacon of hope for a sustainable future.</w:t>
      </w:r>
      <w:r>
        <w:rPr>
          <w:lang w:val="en-GB"/>
        </w:rPr>
        <w:t xml:space="preserve"> </w:t>
      </w:r>
      <w:r w:rsidRPr="00491157">
        <w:rPr>
          <w:lang w:val="en-GB"/>
        </w:rPr>
        <w:t xml:space="preserve">While the Act has made significant strides, particularly in its emphasis on integration, collaboration, and statutory duties, a critical examination reveals challenges in health outcomes, mental health, and socioeconomic disparities. The analysis of health statistics suggests persistent disparities, necessitating a review of current strategies for achieving a Healthier Wales. Mental health issues, </w:t>
      </w:r>
      <w:r>
        <w:rPr>
          <w:lang w:val="en-GB"/>
        </w:rPr>
        <w:t>increased</w:t>
      </w:r>
      <w:r w:rsidRPr="00491157">
        <w:rPr>
          <w:lang w:val="en-GB"/>
        </w:rPr>
        <w:t xml:space="preserve"> by the pandemic, demand a thorough assessment of the Act's policies in destigmatizing mental illness and prioriti</w:t>
      </w:r>
      <w:r>
        <w:rPr>
          <w:lang w:val="en-GB"/>
        </w:rPr>
        <w:t>s</w:t>
      </w:r>
      <w:r w:rsidRPr="00491157">
        <w:rPr>
          <w:lang w:val="en-GB"/>
        </w:rPr>
        <w:t>ing mental health on par with physical health.</w:t>
      </w:r>
      <w:r w:rsidR="0047015C">
        <w:rPr>
          <w:lang w:val="en-GB"/>
        </w:rPr>
        <w:t xml:space="preserve"> </w:t>
      </w:r>
      <w:r w:rsidRPr="00491157">
        <w:rPr>
          <w:lang w:val="en-GB"/>
        </w:rPr>
        <w:t xml:space="preserve">The Act's goals of sustainable development and economic resilience are linked, and their impact on </w:t>
      </w:r>
      <w:proofErr w:type="spellStart"/>
      <w:r w:rsidRPr="00491157">
        <w:rPr>
          <w:lang w:val="en-GB"/>
        </w:rPr>
        <w:t>Wales'</w:t>
      </w:r>
      <w:proofErr w:type="spellEnd"/>
      <w:r w:rsidRPr="00491157">
        <w:rPr>
          <w:lang w:val="en-GB"/>
        </w:rPr>
        <w:t xml:space="preserve"> climate, consumption patterns, and economic policies needs careful consideration. The Act's commitment to environmental sustainability is reflected in its goals of reducing carbon footprint and preserving biodiversity, yet challenges remain in achieving observable impacts. Additionally, the Act's dedication to cultural vibrancy and cohesive communities requires a delicate balance between tradition and adaptation, addressing economic inequalities and social isolation.</w:t>
      </w:r>
      <w:r w:rsidR="0047015C">
        <w:rPr>
          <w:lang w:val="en-GB"/>
        </w:rPr>
        <w:t xml:space="preserve"> </w:t>
      </w:r>
      <w:r w:rsidRPr="00491157">
        <w:rPr>
          <w:lang w:val="en-GB"/>
        </w:rPr>
        <w:t>Public Service Boards and Local Authorities play a crucial role in translating the Act's principles into community-level plans, but challenges in communication and transparency persist. The resilience of Local Authorities in the face of budget cuts and innovative approaches during the pandemic is commendable, yet the current cost-of-living crisis poses unprecedented challenges.</w:t>
      </w:r>
      <w:r w:rsidR="0047015C">
        <w:rPr>
          <w:lang w:val="en-GB"/>
        </w:rPr>
        <w:t xml:space="preserve"> </w:t>
      </w:r>
      <w:r w:rsidRPr="00491157">
        <w:rPr>
          <w:lang w:val="en-GB"/>
        </w:rPr>
        <w:t xml:space="preserve">In essence, the Wellbeing of Future Generations Act serves as a dynamic response to multifaceted challenges, embodying </w:t>
      </w:r>
      <w:proofErr w:type="spellStart"/>
      <w:r w:rsidRPr="00491157">
        <w:rPr>
          <w:lang w:val="en-GB"/>
        </w:rPr>
        <w:t>Wales'</w:t>
      </w:r>
      <w:proofErr w:type="spellEnd"/>
      <w:r w:rsidRPr="00491157">
        <w:rPr>
          <w:lang w:val="en-GB"/>
        </w:rPr>
        <w:t xml:space="preserve"> commitment to a sustainable and harmonious future. As the Act continues to evolve, addressing the identified challenges and implementing thoughtful recommendations will be imperative for Wales to chart a path towards flourishing of health, wellbeing, and sustainable development.</w:t>
      </w:r>
      <w:r w:rsidR="009B2BD1">
        <w:rPr>
          <w:lang w:val="en-GB"/>
        </w:rPr>
        <w:br w:type="page"/>
      </w:r>
    </w:p>
    <w:p w14:paraId="69C35E98" w14:textId="38C36FCC" w:rsidR="00274B9A" w:rsidRDefault="009B2BD1" w:rsidP="00526383">
      <w:pPr>
        <w:pStyle w:val="Heading1"/>
        <w:jc w:val="center"/>
      </w:pPr>
      <w:r w:rsidRPr="009B2BD1">
        <w:lastRenderedPageBreak/>
        <w:t>References</w:t>
      </w:r>
    </w:p>
    <w:p w14:paraId="59A89CA7"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Allen, J., Cotter-Roberts, A., Darlington, O., Dyakova, M., Masters, R. and Munford, L. (2022) ‘Understanding health inequalities in Wales using the Blinder-Oaxaca decomposition method’, </w:t>
      </w:r>
      <w:r w:rsidRPr="00526383">
        <w:rPr>
          <w:rFonts w:ascii="Times New Roman" w:eastAsia="Times New Roman" w:hAnsi="Times New Roman" w:cs="Times New Roman"/>
          <w:i/>
          <w:iCs/>
          <w:kern w:val="0"/>
          <w:szCs w:val="24"/>
          <w:lang/>
          <w14:ligatures w14:val="none"/>
        </w:rPr>
        <w:t>Frontiers in Public Health</w:t>
      </w:r>
      <w:r w:rsidRPr="00526383">
        <w:rPr>
          <w:rFonts w:ascii="Times New Roman" w:eastAsia="Times New Roman" w:hAnsi="Times New Roman" w:cs="Times New Roman"/>
          <w:kern w:val="0"/>
          <w:szCs w:val="24"/>
          <w:lang/>
          <w14:ligatures w14:val="none"/>
        </w:rPr>
        <w:t>, 10. Available at: https://doi.org/10.3389/fpubh.2022.1056885.</w:t>
      </w:r>
    </w:p>
    <w:p w14:paraId="348E929D"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Audit Wales (2023) </w:t>
      </w:r>
      <w:r w:rsidRPr="00526383">
        <w:rPr>
          <w:rFonts w:ascii="Times New Roman" w:eastAsia="Times New Roman" w:hAnsi="Times New Roman" w:cs="Times New Roman"/>
          <w:i/>
          <w:iCs/>
          <w:kern w:val="0"/>
          <w:szCs w:val="24"/>
          <w:lang/>
          <w14:ligatures w14:val="none"/>
        </w:rPr>
        <w:t>Local authorities find it difficult to empower people and communities to be more self-reliant and less dependent on services | Audit Wales</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audit.wales</w:t>
      </w:r>
      <w:r w:rsidRPr="00526383">
        <w:rPr>
          <w:rFonts w:ascii="Times New Roman" w:eastAsia="Times New Roman" w:hAnsi="Times New Roman" w:cs="Times New Roman"/>
          <w:kern w:val="0"/>
          <w:szCs w:val="24"/>
          <w:lang/>
          <w14:ligatures w14:val="none"/>
        </w:rPr>
        <w:t>. Available at: https://audit.wales/news/local-authorities-find-it-difficult-empower-people-and-communities-be-more-self-reliant-and (Accessed: 18 November 2023).</w:t>
      </w:r>
    </w:p>
    <w:p w14:paraId="5C9B6E65"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Auditor General for Wales (2019a) </w:t>
      </w:r>
      <w:r w:rsidRPr="00526383">
        <w:rPr>
          <w:rFonts w:ascii="Times New Roman" w:eastAsia="Times New Roman" w:hAnsi="Times New Roman" w:cs="Times New Roman"/>
          <w:i/>
          <w:iCs/>
          <w:kern w:val="0"/>
          <w:szCs w:val="24"/>
          <w:lang/>
          <w14:ligatures w14:val="none"/>
        </w:rPr>
        <w:t>Review of Public Services Boards Archwilydd Cyffredinol Cymru Auditor General for Wales</w:t>
      </w:r>
      <w:r w:rsidRPr="00526383">
        <w:rPr>
          <w:rFonts w:ascii="Times New Roman" w:eastAsia="Times New Roman" w:hAnsi="Times New Roman" w:cs="Times New Roman"/>
          <w:kern w:val="0"/>
          <w:szCs w:val="24"/>
          <w:lang/>
          <w14:ligatures w14:val="none"/>
        </w:rPr>
        <w:t>. Available at: https://www.audit.wales/sites/default/files/review-of-public-service-boards-english_11.pdf.</w:t>
      </w:r>
    </w:p>
    <w:p w14:paraId="51E6FEF8"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Auditor General for Wales (2019b) </w:t>
      </w:r>
      <w:r w:rsidRPr="00526383">
        <w:rPr>
          <w:rFonts w:ascii="Times New Roman" w:eastAsia="Times New Roman" w:hAnsi="Times New Roman" w:cs="Times New Roman"/>
          <w:i/>
          <w:iCs/>
          <w:kern w:val="0"/>
          <w:szCs w:val="24"/>
          <w:lang/>
          <w14:ligatures w14:val="none"/>
        </w:rPr>
        <w:t>The Effectiveness of Local Planning Authorities in Wales The Effectiveness of Local Planning Authorities in Wales Archwilydd Cyffredinol Cymru Auditor General for Wales</w:t>
      </w:r>
      <w:r w:rsidRPr="00526383">
        <w:rPr>
          <w:rFonts w:ascii="Times New Roman" w:eastAsia="Times New Roman" w:hAnsi="Times New Roman" w:cs="Times New Roman"/>
          <w:kern w:val="0"/>
          <w:szCs w:val="24"/>
          <w:lang/>
          <w14:ligatures w14:val="none"/>
        </w:rPr>
        <w:t>. Available at: https://business.senedd.wales/documents/s93313/PAC5-21-19%20P1%20-%20AGW%20Report%20-%20planning%20services.pdf (Accessed: 18 November 2023).</w:t>
      </w:r>
    </w:p>
    <w:p w14:paraId="25D0479D"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Conn, C. and Davis, S. (2023) ‘Policy implications of collective agency for inclusion: evidence from the Welsh context’, pp. 1–22. Available at: https://doi.org/10.1080/02680939.2023.2222372.</w:t>
      </w:r>
    </w:p>
    <w:p w14:paraId="42580B81"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Davies, H. (2016) ‘The Well-being of Future Generations (Wales) Act 2015’, </w:t>
      </w:r>
      <w:r w:rsidRPr="00526383">
        <w:rPr>
          <w:rFonts w:ascii="Times New Roman" w:eastAsia="Times New Roman" w:hAnsi="Times New Roman" w:cs="Times New Roman"/>
          <w:i/>
          <w:iCs/>
          <w:kern w:val="0"/>
          <w:szCs w:val="24"/>
          <w:lang/>
          <w14:ligatures w14:val="none"/>
        </w:rPr>
        <w:t>Environmental Law Review</w:t>
      </w:r>
      <w:r w:rsidRPr="00526383">
        <w:rPr>
          <w:rFonts w:ascii="Times New Roman" w:eastAsia="Times New Roman" w:hAnsi="Times New Roman" w:cs="Times New Roman"/>
          <w:kern w:val="0"/>
          <w:szCs w:val="24"/>
          <w:lang/>
          <w14:ligatures w14:val="none"/>
        </w:rPr>
        <w:t>, 18(1), pp. 41–56. Available at: https://doi.org/10.1177/1461452916631889.</w:t>
      </w:r>
    </w:p>
    <w:p w14:paraId="46BE39EA"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Del-Aguila-Arcentales, S., Alvarez-Risco, A., Jaramillo-Arévalo, M., De-la-Cruz-Diaz, M. and Anderson-Seminario, M. de las M. (2022) ‘Influence of Social, Environmental and Economic Sustainable Development Goals (SDGs) over Continuation of Entrepreneurship and Competitiveness’, </w:t>
      </w:r>
      <w:r w:rsidRPr="00526383">
        <w:rPr>
          <w:rFonts w:ascii="Times New Roman" w:eastAsia="Times New Roman" w:hAnsi="Times New Roman" w:cs="Times New Roman"/>
          <w:i/>
          <w:iCs/>
          <w:kern w:val="0"/>
          <w:szCs w:val="24"/>
          <w:lang/>
          <w14:ligatures w14:val="none"/>
        </w:rPr>
        <w:t>Journal of Open Innovation: Technology, Market, and Complexity</w:t>
      </w:r>
      <w:r w:rsidRPr="00526383">
        <w:rPr>
          <w:rFonts w:ascii="Times New Roman" w:eastAsia="Times New Roman" w:hAnsi="Times New Roman" w:cs="Times New Roman"/>
          <w:kern w:val="0"/>
          <w:szCs w:val="24"/>
          <w:lang/>
          <w14:ligatures w14:val="none"/>
        </w:rPr>
        <w:t>, 8(2), p. 73. Available at: https://doi.org/10.3390/joitmc8020073.</w:t>
      </w:r>
    </w:p>
    <w:p w14:paraId="0AC0AEFC"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lastRenderedPageBreak/>
        <w:t xml:space="preserve">FGCW (2023) </w:t>
      </w:r>
      <w:r w:rsidRPr="00526383">
        <w:rPr>
          <w:rFonts w:ascii="Times New Roman" w:eastAsia="Times New Roman" w:hAnsi="Times New Roman" w:cs="Times New Roman"/>
          <w:i/>
          <w:iCs/>
          <w:kern w:val="0"/>
          <w:szCs w:val="24"/>
          <w:lang/>
          <w14:ligatures w14:val="none"/>
        </w:rPr>
        <w:t>A Resilient Wales – The Future Generations Commissioner for Wales</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www.futuregenerations.wales</w:t>
      </w:r>
      <w:r w:rsidRPr="00526383">
        <w:rPr>
          <w:rFonts w:ascii="Times New Roman" w:eastAsia="Times New Roman" w:hAnsi="Times New Roman" w:cs="Times New Roman"/>
          <w:kern w:val="0"/>
          <w:szCs w:val="24"/>
          <w:lang/>
          <w14:ligatures w14:val="none"/>
        </w:rPr>
        <w:t>. Available at: https://www.futuregenerations.wales/a-resilient-wales/.</w:t>
      </w:r>
    </w:p>
    <w:p w14:paraId="1D05BF62"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Future Generations Commissioner for Wales (2015) </w:t>
      </w:r>
      <w:r w:rsidRPr="00526383">
        <w:rPr>
          <w:rFonts w:ascii="Times New Roman" w:eastAsia="Times New Roman" w:hAnsi="Times New Roman" w:cs="Times New Roman"/>
          <w:i/>
          <w:iCs/>
          <w:kern w:val="0"/>
          <w:szCs w:val="24"/>
          <w:lang/>
          <w14:ligatures w14:val="none"/>
        </w:rPr>
        <w:t>Well-being of Future Generations (Wales) Act 2015 – The Future Generations Commissioner for Wales</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www.futuregenerations.wales</w:t>
      </w:r>
      <w:r w:rsidRPr="00526383">
        <w:rPr>
          <w:rFonts w:ascii="Times New Roman" w:eastAsia="Times New Roman" w:hAnsi="Times New Roman" w:cs="Times New Roman"/>
          <w:kern w:val="0"/>
          <w:szCs w:val="24"/>
          <w:lang/>
          <w14:ligatures w14:val="none"/>
        </w:rPr>
        <w:t>. Available at: https://www.futuregenerations.wales/about-us/future-generations-act/.</w:t>
      </w:r>
    </w:p>
    <w:p w14:paraId="008BD12C"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Future Generations Commissioner for Wales (2023a) </w:t>
      </w:r>
      <w:r w:rsidRPr="00526383">
        <w:rPr>
          <w:rFonts w:ascii="Times New Roman" w:eastAsia="Times New Roman" w:hAnsi="Times New Roman" w:cs="Times New Roman"/>
          <w:i/>
          <w:iCs/>
          <w:kern w:val="0"/>
          <w:szCs w:val="24"/>
          <w:lang/>
          <w14:ligatures w14:val="none"/>
        </w:rPr>
        <w:t>A Healthier Wales – The Future Generations Commissioner for Wales</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www.futuregenerations.wales</w:t>
      </w:r>
      <w:r w:rsidRPr="00526383">
        <w:rPr>
          <w:rFonts w:ascii="Times New Roman" w:eastAsia="Times New Roman" w:hAnsi="Times New Roman" w:cs="Times New Roman"/>
          <w:kern w:val="0"/>
          <w:szCs w:val="24"/>
          <w:lang/>
          <w14:ligatures w14:val="none"/>
        </w:rPr>
        <w:t>. Available at: https://www.futuregenerations.wales/a-healthier-wales/.</w:t>
      </w:r>
    </w:p>
    <w:p w14:paraId="0EE42BCD"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Future Generations Commissioner for Wales (2023b) </w:t>
      </w:r>
      <w:r w:rsidRPr="00526383">
        <w:rPr>
          <w:rFonts w:ascii="Times New Roman" w:eastAsia="Times New Roman" w:hAnsi="Times New Roman" w:cs="Times New Roman"/>
          <w:i/>
          <w:iCs/>
          <w:kern w:val="0"/>
          <w:szCs w:val="24"/>
          <w:lang/>
          <w14:ligatures w14:val="none"/>
        </w:rPr>
        <w:t>A Wales of Vibrant Culture and Thriving Welsh Language – The Future Generations Commissioner for Wales</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www.futuregenerations.wales</w:t>
      </w:r>
      <w:r w:rsidRPr="00526383">
        <w:rPr>
          <w:rFonts w:ascii="Times New Roman" w:eastAsia="Times New Roman" w:hAnsi="Times New Roman" w:cs="Times New Roman"/>
          <w:kern w:val="0"/>
          <w:szCs w:val="24"/>
          <w:lang/>
          <w14:ligatures w14:val="none"/>
        </w:rPr>
        <w:t>. Available at: https://www.futuregenerations.wales/a-wales-of-vibrant-culture-and-thriving-welsh-language/.</w:t>
      </w:r>
    </w:p>
    <w:p w14:paraId="62710E65"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Future Generations Commissioner for Wales (2023c) </w:t>
      </w:r>
      <w:r w:rsidRPr="00526383">
        <w:rPr>
          <w:rFonts w:ascii="Times New Roman" w:eastAsia="Times New Roman" w:hAnsi="Times New Roman" w:cs="Times New Roman"/>
          <w:i/>
          <w:iCs/>
          <w:kern w:val="0"/>
          <w:szCs w:val="24"/>
          <w:lang/>
          <w14:ligatures w14:val="none"/>
        </w:rPr>
        <w:t>Future Generations</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futuregenerations2020.wales</w:t>
      </w:r>
      <w:r w:rsidRPr="00526383">
        <w:rPr>
          <w:rFonts w:ascii="Times New Roman" w:eastAsia="Times New Roman" w:hAnsi="Times New Roman" w:cs="Times New Roman"/>
          <w:kern w:val="0"/>
          <w:szCs w:val="24"/>
          <w:lang/>
          <w14:ligatures w14:val="none"/>
        </w:rPr>
        <w:t>. Available at: https://futuregenerations2020.wales/english?category=cohesive.</w:t>
      </w:r>
    </w:p>
    <w:p w14:paraId="26422381"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Harris, M. (2023) </w:t>
      </w:r>
      <w:r w:rsidRPr="00526383">
        <w:rPr>
          <w:rFonts w:ascii="Times New Roman" w:eastAsia="Times New Roman" w:hAnsi="Times New Roman" w:cs="Times New Roman"/>
          <w:i/>
          <w:iCs/>
          <w:kern w:val="0"/>
          <w:szCs w:val="24"/>
          <w:lang/>
          <w14:ligatures w14:val="none"/>
        </w:rPr>
        <w:t>JNCC Report 743 Understanding the Global Environmental Footprint and Impacts of Welsh Consumption Annex 1 An introduction to consumption-based metrics</w:t>
      </w:r>
      <w:r w:rsidRPr="00526383">
        <w:rPr>
          <w:rFonts w:ascii="Times New Roman" w:eastAsia="Times New Roman" w:hAnsi="Times New Roman" w:cs="Times New Roman"/>
          <w:kern w:val="0"/>
          <w:szCs w:val="24"/>
          <w:lang/>
          <w14:ligatures w14:val="none"/>
        </w:rPr>
        <w:t>. Available at: https://data.jncc.gov.uk/data/dc81dd16-9b1c-4eeb-b350-dcadd5ade736/jncc-report-743-annex-1-text-only.pdf (Accessed: 18 November 2023).</w:t>
      </w:r>
    </w:p>
    <w:p w14:paraId="5258CFBF"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HSE (2013) </w:t>
      </w:r>
      <w:r w:rsidRPr="00526383">
        <w:rPr>
          <w:rFonts w:ascii="Times New Roman" w:eastAsia="Times New Roman" w:hAnsi="Times New Roman" w:cs="Times New Roman"/>
          <w:i/>
          <w:iCs/>
          <w:kern w:val="0"/>
          <w:szCs w:val="24"/>
          <w:lang/>
          <w14:ligatures w14:val="none"/>
        </w:rPr>
        <w:t>Local authority enforcement - HSE and LAs Working together - HSE</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Hse.gov.uk</w:t>
      </w:r>
      <w:r w:rsidRPr="00526383">
        <w:rPr>
          <w:rFonts w:ascii="Times New Roman" w:eastAsia="Times New Roman" w:hAnsi="Times New Roman" w:cs="Times New Roman"/>
          <w:kern w:val="0"/>
          <w:szCs w:val="24"/>
          <w:lang/>
          <w14:ligatures w14:val="none"/>
        </w:rPr>
        <w:t>. Available at: https://www.hse.gov.uk/lau/enforcement.htm.</w:t>
      </w:r>
    </w:p>
    <w:p w14:paraId="3426C1F5"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Institute for Social and Economic Research (2021) </w:t>
      </w:r>
      <w:r w:rsidRPr="00526383">
        <w:rPr>
          <w:rFonts w:ascii="Times New Roman" w:eastAsia="Times New Roman" w:hAnsi="Times New Roman" w:cs="Times New Roman"/>
          <w:i/>
          <w:iCs/>
          <w:kern w:val="0"/>
          <w:szCs w:val="24"/>
          <w:lang/>
          <w14:ligatures w14:val="none"/>
        </w:rPr>
        <w:t>Understanding Society</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Understandingsociety.ac.uk</w:t>
      </w:r>
      <w:r w:rsidRPr="00526383">
        <w:rPr>
          <w:rFonts w:ascii="Times New Roman" w:eastAsia="Times New Roman" w:hAnsi="Times New Roman" w:cs="Times New Roman"/>
          <w:kern w:val="0"/>
          <w:szCs w:val="24"/>
          <w:lang/>
          <w14:ligatures w14:val="none"/>
        </w:rPr>
        <w:t>. University of Essex. Available at: https://www.understandingsociety.ac.uk/.</w:t>
      </w:r>
    </w:p>
    <w:p w14:paraId="4DEB993D"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Kemp, A.H. and Fisher, Z. (2022) ‘Wellbeing, Whole Health and Societal Transformation: Theoretical Insights and Practical Applications’, </w:t>
      </w:r>
      <w:r w:rsidRPr="00526383">
        <w:rPr>
          <w:rFonts w:ascii="Times New Roman" w:eastAsia="Times New Roman" w:hAnsi="Times New Roman" w:cs="Times New Roman"/>
          <w:i/>
          <w:iCs/>
          <w:kern w:val="0"/>
          <w:szCs w:val="24"/>
          <w:lang/>
          <w14:ligatures w14:val="none"/>
        </w:rPr>
        <w:t>Global Advances in Health and Medicine</w:t>
      </w:r>
      <w:r w:rsidRPr="00526383">
        <w:rPr>
          <w:rFonts w:ascii="Times New Roman" w:eastAsia="Times New Roman" w:hAnsi="Times New Roman" w:cs="Times New Roman"/>
          <w:kern w:val="0"/>
          <w:szCs w:val="24"/>
          <w:lang/>
          <w14:ligatures w14:val="none"/>
        </w:rPr>
        <w:t>, 11, p. 216495612110730. Available at: https://doi.org/10.1177/21649561211073077.</w:t>
      </w:r>
    </w:p>
    <w:p w14:paraId="62628CB4"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lastRenderedPageBreak/>
        <w:t xml:space="preserve">Lawrence, R.J. (2020) ‘Overcoming Barriers to Implementing Sustainable Development Goals: Human Ecology Matters’, </w:t>
      </w:r>
      <w:r w:rsidRPr="00526383">
        <w:rPr>
          <w:rFonts w:ascii="Times New Roman" w:eastAsia="Times New Roman" w:hAnsi="Times New Roman" w:cs="Times New Roman"/>
          <w:i/>
          <w:iCs/>
          <w:kern w:val="0"/>
          <w:szCs w:val="24"/>
          <w:lang/>
          <w14:ligatures w14:val="none"/>
        </w:rPr>
        <w:t>Human Ecology Review</w:t>
      </w:r>
      <w:r w:rsidRPr="00526383">
        <w:rPr>
          <w:rFonts w:ascii="Times New Roman" w:eastAsia="Times New Roman" w:hAnsi="Times New Roman" w:cs="Times New Roman"/>
          <w:kern w:val="0"/>
          <w:szCs w:val="24"/>
          <w:lang/>
          <w14:ligatures w14:val="none"/>
        </w:rPr>
        <w:t>, 26(1), pp. 95–116. Available at: https://www.jstor.org/stable/27027239.</w:t>
      </w:r>
    </w:p>
    <w:p w14:paraId="79BCC388"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Lu, S., Bai, X., Zhang, X., Li, W. and Tang, Y. (2019) ‘The impact of climate change on the sustainable development of regional economy’, </w:t>
      </w:r>
      <w:r w:rsidRPr="00526383">
        <w:rPr>
          <w:rFonts w:ascii="Times New Roman" w:eastAsia="Times New Roman" w:hAnsi="Times New Roman" w:cs="Times New Roman"/>
          <w:i/>
          <w:iCs/>
          <w:kern w:val="0"/>
          <w:szCs w:val="24"/>
          <w:lang/>
          <w14:ligatures w14:val="none"/>
        </w:rPr>
        <w:t>Journal of Cleaner Production</w:t>
      </w:r>
      <w:r w:rsidRPr="00526383">
        <w:rPr>
          <w:rFonts w:ascii="Times New Roman" w:eastAsia="Times New Roman" w:hAnsi="Times New Roman" w:cs="Times New Roman"/>
          <w:kern w:val="0"/>
          <w:szCs w:val="24"/>
          <w:lang/>
          <w14:ligatures w14:val="none"/>
        </w:rPr>
        <w:t>, 233, pp. 1387–1395. Available at: https://doi.org/10.1016/j.jclepro.2019.06.074.</w:t>
      </w:r>
    </w:p>
    <w:p w14:paraId="59A6390F"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Marquez, J., Goodfellow, C., Hardoon, D., Inchley, J., Leyland, A.H., Qualter, P., Simpson, S.A. and Long, E. (2022) ‘Loneliness in young people: a multilevel exploration of social ecological influences and geographic variation’, </w:t>
      </w:r>
      <w:r w:rsidRPr="00526383">
        <w:rPr>
          <w:rFonts w:ascii="Times New Roman" w:eastAsia="Times New Roman" w:hAnsi="Times New Roman" w:cs="Times New Roman"/>
          <w:i/>
          <w:iCs/>
          <w:kern w:val="0"/>
          <w:szCs w:val="24"/>
          <w:lang/>
          <w14:ligatures w14:val="none"/>
        </w:rPr>
        <w:t>Journal of Public Health</w:t>
      </w:r>
      <w:r w:rsidRPr="00526383">
        <w:rPr>
          <w:rFonts w:ascii="Times New Roman" w:eastAsia="Times New Roman" w:hAnsi="Times New Roman" w:cs="Times New Roman"/>
          <w:kern w:val="0"/>
          <w:szCs w:val="24"/>
          <w:lang/>
          <w14:ligatures w14:val="none"/>
        </w:rPr>
        <w:t xml:space="preserve"> [Preprint]. Available at: https://doi.org/10.1093/pubmed/fdab402.</w:t>
      </w:r>
    </w:p>
    <w:p w14:paraId="58E7C9A4"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McMaughan, D.J., Oloruntoba, O. and Smith, M.L. (2020) ‘Socioeconomic Status and Access to Healthcare: Interrelated Drivers for Healthy Aging’, </w:t>
      </w:r>
      <w:r w:rsidRPr="00526383">
        <w:rPr>
          <w:rFonts w:ascii="Times New Roman" w:eastAsia="Times New Roman" w:hAnsi="Times New Roman" w:cs="Times New Roman"/>
          <w:i/>
          <w:iCs/>
          <w:kern w:val="0"/>
          <w:szCs w:val="24"/>
          <w:lang/>
          <w14:ligatures w14:val="none"/>
        </w:rPr>
        <w:t>Frontiers in Public Health</w:t>
      </w:r>
      <w:r w:rsidRPr="00526383">
        <w:rPr>
          <w:rFonts w:ascii="Times New Roman" w:eastAsia="Times New Roman" w:hAnsi="Times New Roman" w:cs="Times New Roman"/>
          <w:kern w:val="0"/>
          <w:szCs w:val="24"/>
          <w:lang/>
          <w14:ligatures w14:val="none"/>
        </w:rPr>
        <w:t>, 8(231). Available at: https://doi.org/10.3389/fpubh.2020.00231.</w:t>
      </w:r>
    </w:p>
    <w:p w14:paraId="4F2F8692"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Messham, E. and Sheard, S. (2020) ‘Taking the long view: the development of the Well-being of Future Generations (Wales) Act’, </w:t>
      </w:r>
      <w:r w:rsidRPr="00526383">
        <w:rPr>
          <w:rFonts w:ascii="Times New Roman" w:eastAsia="Times New Roman" w:hAnsi="Times New Roman" w:cs="Times New Roman"/>
          <w:i/>
          <w:iCs/>
          <w:kern w:val="0"/>
          <w:szCs w:val="24"/>
          <w:lang/>
          <w14:ligatures w14:val="none"/>
        </w:rPr>
        <w:t>Health Research Policy and Systems</w:t>
      </w:r>
      <w:r w:rsidRPr="00526383">
        <w:rPr>
          <w:rFonts w:ascii="Times New Roman" w:eastAsia="Times New Roman" w:hAnsi="Times New Roman" w:cs="Times New Roman"/>
          <w:kern w:val="0"/>
          <w:szCs w:val="24"/>
          <w:lang/>
          <w14:ligatures w14:val="none"/>
        </w:rPr>
        <w:t>, 18(1). Available at: https://doi.org/10.1186/s12961-020-0534-y.</w:t>
      </w:r>
    </w:p>
    <w:p w14:paraId="6D4A81C0"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Mills, C. (2021) </w:t>
      </w:r>
      <w:r w:rsidRPr="00526383">
        <w:rPr>
          <w:rFonts w:ascii="Times New Roman" w:eastAsia="Times New Roman" w:hAnsi="Times New Roman" w:cs="Times New Roman"/>
          <w:i/>
          <w:iCs/>
          <w:kern w:val="0"/>
          <w:szCs w:val="24"/>
          <w:lang/>
          <w14:ligatures w14:val="none"/>
        </w:rPr>
        <w:t>A review of evidence on socio-economic disadvantage and inequalities of outcome (summary)</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GOV.WALES</w:t>
      </w:r>
      <w:r w:rsidRPr="00526383">
        <w:rPr>
          <w:rFonts w:ascii="Times New Roman" w:eastAsia="Times New Roman" w:hAnsi="Times New Roman" w:cs="Times New Roman"/>
          <w:kern w:val="0"/>
          <w:szCs w:val="24"/>
          <w:lang/>
          <w14:ligatures w14:val="none"/>
        </w:rPr>
        <w:t>. Available at: https://www.gov.wales/review-evidence-socio-economic-disadvantage-and-inequalities-outcome-summary-html.</w:t>
      </w:r>
    </w:p>
    <w:p w14:paraId="5E60A679"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National Indicators (2022) </w:t>
      </w:r>
      <w:r w:rsidRPr="00526383">
        <w:rPr>
          <w:rFonts w:ascii="Times New Roman" w:eastAsia="Times New Roman" w:hAnsi="Times New Roman" w:cs="Times New Roman"/>
          <w:i/>
          <w:iCs/>
          <w:kern w:val="0"/>
          <w:szCs w:val="24"/>
          <w:lang/>
          <w14:ligatures w14:val="none"/>
        </w:rPr>
        <w:t>Wellbeing of Wales: national indicators</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GOV.WALES</w:t>
      </w:r>
      <w:r w:rsidRPr="00526383">
        <w:rPr>
          <w:rFonts w:ascii="Times New Roman" w:eastAsia="Times New Roman" w:hAnsi="Times New Roman" w:cs="Times New Roman"/>
          <w:kern w:val="0"/>
          <w:szCs w:val="24"/>
          <w:lang/>
          <w14:ligatures w14:val="none"/>
        </w:rPr>
        <w:t>. Available at: https://www.gov.wales/wellbeing-wales-national-indicators.</w:t>
      </w:r>
    </w:p>
    <w:p w14:paraId="3CDF5662"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Office for National Statistics (2022) </w:t>
      </w:r>
      <w:r w:rsidRPr="00526383">
        <w:rPr>
          <w:rFonts w:ascii="Times New Roman" w:eastAsia="Times New Roman" w:hAnsi="Times New Roman" w:cs="Times New Roman"/>
          <w:i/>
          <w:iCs/>
          <w:kern w:val="0"/>
          <w:szCs w:val="24"/>
          <w:lang/>
          <w14:ligatures w14:val="none"/>
        </w:rPr>
        <w:t>Health state life expectancies by national deprivation quintiles, Wales - Office for National Statistics</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www.ons.gov.uk</w:t>
      </w:r>
      <w:r w:rsidRPr="00526383">
        <w:rPr>
          <w:rFonts w:ascii="Times New Roman" w:eastAsia="Times New Roman" w:hAnsi="Times New Roman" w:cs="Times New Roman"/>
          <w:kern w:val="0"/>
          <w:szCs w:val="24"/>
          <w:lang/>
          <w14:ligatures w14:val="none"/>
        </w:rPr>
        <w:t>. Available at: https://www.ons.gov.uk/peoplepopulationandcommunity/healthandsocialcare/healthinequalities/bulletins/healthstatelifeexpectanciesbynationaldeprivationdecileswales/2018to2020.</w:t>
      </w:r>
    </w:p>
    <w:p w14:paraId="5F01D30E"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Office of National Statistics (2014) </w:t>
      </w:r>
      <w:r w:rsidRPr="00526383">
        <w:rPr>
          <w:rFonts w:ascii="Times New Roman" w:eastAsia="Times New Roman" w:hAnsi="Times New Roman" w:cs="Times New Roman"/>
          <w:i/>
          <w:iCs/>
          <w:kern w:val="0"/>
          <w:szCs w:val="24"/>
          <w:lang/>
          <w14:ligatures w14:val="none"/>
        </w:rPr>
        <w:t>Public Sector Classification Guide</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Ons.gov.uk</w:t>
      </w:r>
      <w:r w:rsidRPr="00526383">
        <w:rPr>
          <w:rFonts w:ascii="Times New Roman" w:eastAsia="Times New Roman" w:hAnsi="Times New Roman" w:cs="Times New Roman"/>
          <w:kern w:val="0"/>
          <w:szCs w:val="24"/>
          <w:lang/>
          <w14:ligatures w14:val="none"/>
        </w:rPr>
        <w:t>. Available at: https://www.ons.gov.uk/file?uri=/methodology/classificationsandstandards/economicstatistic</w:t>
      </w:r>
      <w:r w:rsidRPr="00526383">
        <w:rPr>
          <w:rFonts w:ascii="Times New Roman" w:eastAsia="Times New Roman" w:hAnsi="Times New Roman" w:cs="Times New Roman"/>
          <w:kern w:val="0"/>
          <w:szCs w:val="24"/>
          <w:lang/>
          <w14:ligatures w14:val="none"/>
        </w:rPr>
        <w:lastRenderedPageBreak/>
        <w:t>sclassifications/introductiontoeconomicstatisticsclassifications/pscgfeb22.xls (Accessed: 17 November 2023).</w:t>
      </w:r>
    </w:p>
    <w:p w14:paraId="640A97AD"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Office of National Statistics (2021) </w:t>
      </w:r>
      <w:r w:rsidRPr="00526383">
        <w:rPr>
          <w:rFonts w:ascii="Times New Roman" w:eastAsia="Times New Roman" w:hAnsi="Times New Roman" w:cs="Times New Roman"/>
          <w:i/>
          <w:iCs/>
          <w:kern w:val="0"/>
          <w:szCs w:val="24"/>
          <w:lang/>
          <w14:ligatures w14:val="none"/>
        </w:rPr>
        <w:t>General health, England and Wales - Office for National Statistics</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www.ons.gov.uk</w:t>
      </w:r>
      <w:r w:rsidRPr="00526383">
        <w:rPr>
          <w:rFonts w:ascii="Times New Roman" w:eastAsia="Times New Roman" w:hAnsi="Times New Roman" w:cs="Times New Roman"/>
          <w:kern w:val="0"/>
          <w:szCs w:val="24"/>
          <w:lang/>
          <w14:ligatures w14:val="none"/>
        </w:rPr>
        <w:t>. Available at: https://www.ons.gov.uk/peoplepopulationandcommunity/healthandsocialcare/healthandwellbeing/bulletins/generalhealthenglandandwales/census2021#:~:text=General%20health%20in%20Wales&amp;text=an%20increase%20of%201.1%20percentage (Accessed: 17 November 2023).</w:t>
      </w:r>
    </w:p>
    <w:p w14:paraId="0569AEA7"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Owen, G.S., Gergel, T., Stephenson, L.A., Hussain, O., Rifkin, L. and Keene, A.R. (2019) ‘Advance decision-making in mental health – Suggestions for legal reform in England and Wales’, </w:t>
      </w:r>
      <w:r w:rsidRPr="00526383">
        <w:rPr>
          <w:rFonts w:ascii="Times New Roman" w:eastAsia="Times New Roman" w:hAnsi="Times New Roman" w:cs="Times New Roman"/>
          <w:i/>
          <w:iCs/>
          <w:kern w:val="0"/>
          <w:szCs w:val="24"/>
          <w:lang/>
          <w14:ligatures w14:val="none"/>
        </w:rPr>
        <w:t>International Journal of Law and Psychiatry</w:t>
      </w:r>
      <w:r w:rsidRPr="00526383">
        <w:rPr>
          <w:rFonts w:ascii="Times New Roman" w:eastAsia="Times New Roman" w:hAnsi="Times New Roman" w:cs="Times New Roman"/>
          <w:kern w:val="0"/>
          <w:szCs w:val="24"/>
          <w:lang/>
          <w14:ligatures w14:val="none"/>
        </w:rPr>
        <w:t>, 64, pp. 162–177. Available at: https://doi.org/10.1016/j.ijlp.2019.02.002.</w:t>
      </w:r>
    </w:p>
    <w:p w14:paraId="425DF83C"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Owen, L. (2022) </w:t>
      </w:r>
      <w:r w:rsidRPr="00526383">
        <w:rPr>
          <w:rFonts w:ascii="Times New Roman" w:eastAsia="Times New Roman" w:hAnsi="Times New Roman" w:cs="Times New Roman"/>
          <w:i/>
          <w:iCs/>
          <w:kern w:val="0"/>
          <w:szCs w:val="24"/>
          <w:lang/>
          <w14:ligatures w14:val="none"/>
        </w:rPr>
        <w:t>Welsh in the home and in education (Welsh language use survey): July 2019 to March 2020</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GOV.WALES</w:t>
      </w:r>
      <w:r w:rsidRPr="00526383">
        <w:rPr>
          <w:rFonts w:ascii="Times New Roman" w:eastAsia="Times New Roman" w:hAnsi="Times New Roman" w:cs="Times New Roman"/>
          <w:kern w:val="0"/>
          <w:szCs w:val="24"/>
          <w:lang/>
          <w14:ligatures w14:val="none"/>
        </w:rPr>
        <w:t>. Available at: https://www.gov.wales/welsh-home-and-education-welsh-language-use-survey-july-2019-march-2020-html.</w:t>
      </w:r>
    </w:p>
    <w:p w14:paraId="2A08FF26"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Public Service Boards (2023) </w:t>
      </w:r>
      <w:r w:rsidRPr="00526383">
        <w:rPr>
          <w:rFonts w:ascii="Times New Roman" w:eastAsia="Times New Roman" w:hAnsi="Times New Roman" w:cs="Times New Roman"/>
          <w:i/>
          <w:iCs/>
          <w:kern w:val="0"/>
          <w:szCs w:val="24"/>
          <w:lang/>
          <w14:ligatures w14:val="none"/>
        </w:rPr>
        <w:t>Public Services Boards | GOV.WALES</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www.gov.wales</w:t>
      </w:r>
      <w:r w:rsidRPr="00526383">
        <w:rPr>
          <w:rFonts w:ascii="Times New Roman" w:eastAsia="Times New Roman" w:hAnsi="Times New Roman" w:cs="Times New Roman"/>
          <w:kern w:val="0"/>
          <w:szCs w:val="24"/>
          <w:lang/>
          <w14:ligatures w14:val="none"/>
        </w:rPr>
        <w:t>. Available at: https://www.gov.wales/public-services-boards (Accessed: 17 November 2023).</w:t>
      </w:r>
    </w:p>
    <w:p w14:paraId="3631171E"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Roy, M. (2021) </w:t>
      </w:r>
      <w:r w:rsidRPr="00526383">
        <w:rPr>
          <w:rFonts w:ascii="Times New Roman" w:eastAsia="Times New Roman" w:hAnsi="Times New Roman" w:cs="Times New Roman"/>
          <w:i/>
          <w:iCs/>
          <w:kern w:val="0"/>
          <w:szCs w:val="24"/>
          <w:lang/>
          <w14:ligatures w14:val="none"/>
        </w:rPr>
        <w:t>Circular economy: a new sustainable management paradigm</w:t>
      </w:r>
      <w:r w:rsidRPr="00526383">
        <w:rPr>
          <w:rFonts w:ascii="Times New Roman" w:eastAsia="Times New Roman" w:hAnsi="Times New Roman" w:cs="Times New Roman"/>
          <w:kern w:val="0"/>
          <w:szCs w:val="24"/>
          <w:lang/>
          <w14:ligatures w14:val="none"/>
        </w:rPr>
        <w:t>. Elsevier. Available at: https://www.sciencedirect.com/topics/economics-econometrics-and-finance/sustainable-development-goals#:~:text=In%20September%202015%2C%20the%20United (Accessed: 17 November 2023).</w:t>
      </w:r>
    </w:p>
    <w:p w14:paraId="1450AA39"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Shalev, A. (2022) </w:t>
      </w:r>
      <w:r w:rsidRPr="00526383">
        <w:rPr>
          <w:rFonts w:ascii="Times New Roman" w:eastAsia="Times New Roman" w:hAnsi="Times New Roman" w:cs="Times New Roman"/>
          <w:i/>
          <w:iCs/>
          <w:kern w:val="0"/>
          <w:szCs w:val="24"/>
          <w:lang/>
          <w14:ligatures w14:val="none"/>
        </w:rPr>
        <w:t>Shaping Wales’ Future: National Indicators and Milestones</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FDSD</w:t>
      </w:r>
      <w:r w:rsidRPr="00526383">
        <w:rPr>
          <w:rFonts w:ascii="Times New Roman" w:eastAsia="Times New Roman" w:hAnsi="Times New Roman" w:cs="Times New Roman"/>
          <w:kern w:val="0"/>
          <w:szCs w:val="24"/>
          <w:lang/>
          <w14:ligatures w14:val="none"/>
        </w:rPr>
        <w:t>. Available at: https://www.fdsd.org/ideas/welsh-indicators-and-milestones/ (Accessed: 17 November 2023).</w:t>
      </w:r>
    </w:p>
    <w:p w14:paraId="759F1BC1"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Shulla, K., Voigt, B.-F., Cibian, S., Scandone, G., Martinez, E., Nelkovski, F. and Salehi, P. (2021) ‘Effects of COVID-19 on the Sustainable Development Goals (SDGs)’, </w:t>
      </w:r>
      <w:r w:rsidRPr="00526383">
        <w:rPr>
          <w:rFonts w:ascii="Times New Roman" w:eastAsia="Times New Roman" w:hAnsi="Times New Roman" w:cs="Times New Roman"/>
          <w:i/>
          <w:iCs/>
          <w:kern w:val="0"/>
          <w:szCs w:val="24"/>
          <w:lang/>
          <w14:ligatures w14:val="none"/>
        </w:rPr>
        <w:t>Discover Sustainability</w:t>
      </w:r>
      <w:r w:rsidRPr="00526383">
        <w:rPr>
          <w:rFonts w:ascii="Times New Roman" w:eastAsia="Times New Roman" w:hAnsi="Times New Roman" w:cs="Times New Roman"/>
          <w:kern w:val="0"/>
          <w:szCs w:val="24"/>
          <w:lang/>
          <w14:ligatures w14:val="none"/>
        </w:rPr>
        <w:t>, 2(1). Available at: https://doi.org/10.1007/s43621-021-00026-x.</w:t>
      </w:r>
    </w:p>
    <w:p w14:paraId="73F8AD27"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Thomson, L.J., Gordon-Nesbitt, R., Elsden, E. and Chatterjee, H.J. (2021) ‘The role of cultural, community and natural assets in addressing societal and structural health inequalities </w:t>
      </w:r>
      <w:r w:rsidRPr="00526383">
        <w:rPr>
          <w:rFonts w:ascii="Times New Roman" w:eastAsia="Times New Roman" w:hAnsi="Times New Roman" w:cs="Times New Roman"/>
          <w:kern w:val="0"/>
          <w:szCs w:val="24"/>
          <w:lang/>
          <w14:ligatures w14:val="none"/>
        </w:rPr>
        <w:lastRenderedPageBreak/>
        <w:t xml:space="preserve">in the UK: future research priorities’, </w:t>
      </w:r>
      <w:r w:rsidRPr="00526383">
        <w:rPr>
          <w:rFonts w:ascii="Times New Roman" w:eastAsia="Times New Roman" w:hAnsi="Times New Roman" w:cs="Times New Roman"/>
          <w:i/>
          <w:iCs/>
          <w:kern w:val="0"/>
          <w:szCs w:val="24"/>
          <w:lang/>
          <w14:ligatures w14:val="none"/>
        </w:rPr>
        <w:t>International Journal for Equity in Health</w:t>
      </w:r>
      <w:r w:rsidRPr="00526383">
        <w:rPr>
          <w:rFonts w:ascii="Times New Roman" w:eastAsia="Times New Roman" w:hAnsi="Times New Roman" w:cs="Times New Roman"/>
          <w:kern w:val="0"/>
          <w:szCs w:val="24"/>
          <w:lang/>
          <w14:ligatures w14:val="none"/>
        </w:rPr>
        <w:t>, 20(1). Available at: https://doi.org/10.1186/s12939-021-01590-4.</w:t>
      </w:r>
    </w:p>
    <w:p w14:paraId="26179CB1"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United Nations (2015a) </w:t>
      </w:r>
      <w:r w:rsidRPr="00526383">
        <w:rPr>
          <w:rFonts w:ascii="Times New Roman" w:eastAsia="Times New Roman" w:hAnsi="Times New Roman" w:cs="Times New Roman"/>
          <w:i/>
          <w:iCs/>
          <w:kern w:val="0"/>
          <w:szCs w:val="24"/>
          <w:lang/>
          <w14:ligatures w14:val="none"/>
        </w:rPr>
        <w:t>Climate change .:. Sustainable Development Knowledge Platform</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Un.org</w:t>
      </w:r>
      <w:r w:rsidRPr="00526383">
        <w:rPr>
          <w:rFonts w:ascii="Times New Roman" w:eastAsia="Times New Roman" w:hAnsi="Times New Roman" w:cs="Times New Roman"/>
          <w:kern w:val="0"/>
          <w:szCs w:val="24"/>
          <w:lang/>
          <w14:ligatures w14:val="none"/>
        </w:rPr>
        <w:t>. Available at: https://sustainabledevelopment.un.org/topics/climatechange.</w:t>
      </w:r>
    </w:p>
    <w:p w14:paraId="72E2FEF3"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United Nations (2015b) </w:t>
      </w:r>
      <w:r w:rsidRPr="00526383">
        <w:rPr>
          <w:rFonts w:ascii="Times New Roman" w:eastAsia="Times New Roman" w:hAnsi="Times New Roman" w:cs="Times New Roman"/>
          <w:i/>
          <w:iCs/>
          <w:kern w:val="0"/>
          <w:szCs w:val="24"/>
          <w:lang/>
          <w14:ligatures w14:val="none"/>
        </w:rPr>
        <w:t>Social Development for Sustainable Development | DISD</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United Nations</w:t>
      </w:r>
      <w:r w:rsidRPr="00526383">
        <w:rPr>
          <w:rFonts w:ascii="Times New Roman" w:eastAsia="Times New Roman" w:hAnsi="Times New Roman" w:cs="Times New Roman"/>
          <w:kern w:val="0"/>
          <w:szCs w:val="24"/>
          <w:lang/>
          <w14:ligatures w14:val="none"/>
        </w:rPr>
        <w:t>. Available at: https://www.un.org/development/desa/dspd/2030agenda-sdgs.html.</w:t>
      </w:r>
    </w:p>
    <w:p w14:paraId="095BA984"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United Nations (2023) </w:t>
      </w:r>
      <w:r w:rsidRPr="00526383">
        <w:rPr>
          <w:rFonts w:ascii="Times New Roman" w:eastAsia="Times New Roman" w:hAnsi="Times New Roman" w:cs="Times New Roman"/>
          <w:i/>
          <w:iCs/>
          <w:kern w:val="0"/>
          <w:szCs w:val="24"/>
          <w:lang/>
          <w14:ligatures w14:val="none"/>
        </w:rPr>
        <w:t>The 17 Sustainable Development Goals</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United Nations</w:t>
      </w:r>
      <w:r w:rsidRPr="00526383">
        <w:rPr>
          <w:rFonts w:ascii="Times New Roman" w:eastAsia="Times New Roman" w:hAnsi="Times New Roman" w:cs="Times New Roman"/>
          <w:kern w:val="0"/>
          <w:szCs w:val="24"/>
          <w:lang/>
          <w14:ligatures w14:val="none"/>
        </w:rPr>
        <w:t>. United Nations. Available at: https://sdgs.un.org/goals.</w:t>
      </w:r>
    </w:p>
    <w:p w14:paraId="1C82DC89"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Verhagen, M.D., Brazel, D.M., Dowd, J.B., Kashnitsky, I. and Mills, M.C. (2020) ‘Forecasting spatial, socioeconomic and demographic variation in COVID-19 health care demand in England and Wales’, </w:t>
      </w:r>
      <w:r w:rsidRPr="00526383">
        <w:rPr>
          <w:rFonts w:ascii="Times New Roman" w:eastAsia="Times New Roman" w:hAnsi="Times New Roman" w:cs="Times New Roman"/>
          <w:i/>
          <w:iCs/>
          <w:kern w:val="0"/>
          <w:szCs w:val="24"/>
          <w:lang/>
          <w14:ligatures w14:val="none"/>
        </w:rPr>
        <w:t>BMC Medicine</w:t>
      </w:r>
      <w:r w:rsidRPr="00526383">
        <w:rPr>
          <w:rFonts w:ascii="Times New Roman" w:eastAsia="Times New Roman" w:hAnsi="Times New Roman" w:cs="Times New Roman"/>
          <w:kern w:val="0"/>
          <w:szCs w:val="24"/>
          <w:lang/>
          <w14:ligatures w14:val="none"/>
        </w:rPr>
        <w:t>, 18(1). Available at: https://doi.org/10.1186/s12916-020-01646-2.</w:t>
      </w:r>
    </w:p>
    <w:p w14:paraId="6353345B"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Wales Centre for Public Policy (2022) </w:t>
      </w:r>
      <w:r w:rsidRPr="00526383">
        <w:rPr>
          <w:rFonts w:ascii="Times New Roman" w:eastAsia="Times New Roman" w:hAnsi="Times New Roman" w:cs="Times New Roman"/>
          <w:i/>
          <w:iCs/>
          <w:kern w:val="0"/>
          <w:szCs w:val="24"/>
          <w:lang/>
          <w14:ligatures w14:val="none"/>
        </w:rPr>
        <w:t>National Milestones</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www.wcpp.org.uk</w:t>
      </w:r>
      <w:r w:rsidRPr="00526383">
        <w:rPr>
          <w:rFonts w:ascii="Times New Roman" w:eastAsia="Times New Roman" w:hAnsi="Times New Roman" w:cs="Times New Roman"/>
          <w:kern w:val="0"/>
          <w:szCs w:val="24"/>
          <w:lang/>
          <w14:ligatures w14:val="none"/>
        </w:rPr>
        <w:t>. Available at: https://www.wcpp.org.uk/publication/national-milestones/ (Accessed: 17 November 2023).</w:t>
      </w:r>
    </w:p>
    <w:p w14:paraId="0A0C76EE"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Wales Centre for Public Policy (2021) </w:t>
      </w:r>
      <w:r w:rsidRPr="00526383">
        <w:rPr>
          <w:rFonts w:ascii="Times New Roman" w:eastAsia="Times New Roman" w:hAnsi="Times New Roman" w:cs="Times New Roman"/>
          <w:i/>
          <w:iCs/>
          <w:kern w:val="0"/>
          <w:szCs w:val="24"/>
          <w:lang/>
          <w14:ligatures w14:val="none"/>
        </w:rPr>
        <w:t>Challenges and Priorities for Health and Social Care in Wales</w:t>
      </w:r>
      <w:r w:rsidRPr="00526383">
        <w:rPr>
          <w:rFonts w:ascii="Times New Roman" w:eastAsia="Times New Roman" w:hAnsi="Times New Roman" w:cs="Times New Roman"/>
          <w:kern w:val="0"/>
          <w:szCs w:val="24"/>
          <w:lang/>
          <w14:ligatures w14:val="none"/>
        </w:rPr>
        <w:t>. Available at: https://www.wcpp.org.uk/wp-content/uploads/2021/12/Challenges-and-Priorities-for-Health-and-Social-Care-Wales-Briefing-Note-.pdf.</w:t>
      </w:r>
    </w:p>
    <w:p w14:paraId="1B3B4335"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Walpita, Y.N. and Green, L. (2020) ‘Health Impact Assessment (HIA): A Comparative Case Study of Sri Lanka and Wales: What Can a Developing Country Learn From the Welsh HIA System?’, </w:t>
      </w:r>
      <w:r w:rsidRPr="00526383">
        <w:rPr>
          <w:rFonts w:ascii="Times New Roman" w:eastAsia="Times New Roman" w:hAnsi="Times New Roman" w:cs="Times New Roman"/>
          <w:i/>
          <w:iCs/>
          <w:kern w:val="0"/>
          <w:szCs w:val="24"/>
          <w:lang/>
          <w14:ligatures w14:val="none"/>
        </w:rPr>
        <w:t>International Journal of Health Services</w:t>
      </w:r>
      <w:r w:rsidRPr="00526383">
        <w:rPr>
          <w:rFonts w:ascii="Times New Roman" w:eastAsia="Times New Roman" w:hAnsi="Times New Roman" w:cs="Times New Roman"/>
          <w:kern w:val="0"/>
          <w:szCs w:val="24"/>
          <w:lang/>
          <w14:ligatures w14:val="none"/>
        </w:rPr>
        <w:t>, p. 002073142094145. Available at: https://doi.org/10.1177/0020731420941454.</w:t>
      </w:r>
    </w:p>
    <w:p w14:paraId="4B8E0B50"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Welsh Government (2017) </w:t>
      </w:r>
      <w:r w:rsidRPr="00526383">
        <w:rPr>
          <w:rFonts w:ascii="Times New Roman" w:eastAsia="Times New Roman" w:hAnsi="Times New Roman" w:cs="Times New Roman"/>
          <w:i/>
          <w:iCs/>
          <w:kern w:val="0"/>
          <w:szCs w:val="24"/>
          <w:lang/>
          <w14:ligatures w14:val="none"/>
        </w:rPr>
        <w:t>A living language: a language for living - Moving forward Policy statement Live Learn Enjoy</w:t>
      </w:r>
      <w:r w:rsidRPr="00526383">
        <w:rPr>
          <w:rFonts w:ascii="Times New Roman" w:eastAsia="Times New Roman" w:hAnsi="Times New Roman" w:cs="Times New Roman"/>
          <w:kern w:val="0"/>
          <w:szCs w:val="24"/>
          <w:lang/>
          <w14:ligatures w14:val="none"/>
        </w:rPr>
        <w:t>. Available at: https://www.gov.wales/sites/default/files/publications/2018-12/welsh-language-strategy-2012-to-2017-moving-forward.pdf.</w:t>
      </w:r>
    </w:p>
    <w:p w14:paraId="2354EBB5"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Welsh Government (2021) </w:t>
      </w:r>
      <w:r w:rsidRPr="00526383">
        <w:rPr>
          <w:rFonts w:ascii="Times New Roman" w:eastAsia="Times New Roman" w:hAnsi="Times New Roman" w:cs="Times New Roman"/>
          <w:i/>
          <w:iCs/>
          <w:kern w:val="0"/>
          <w:szCs w:val="24"/>
          <w:lang/>
          <w14:ligatures w14:val="none"/>
        </w:rPr>
        <w:t>Well-being of Future Generations (Wales) Act 2015 Essentials Guide</w:t>
      </w:r>
      <w:r w:rsidRPr="00526383">
        <w:rPr>
          <w:rFonts w:ascii="Times New Roman" w:eastAsia="Times New Roman" w:hAnsi="Times New Roman" w:cs="Times New Roman"/>
          <w:kern w:val="0"/>
          <w:szCs w:val="24"/>
          <w:lang/>
          <w14:ligatures w14:val="none"/>
        </w:rPr>
        <w:t>. Available at: https://www.gov.wales/sites/default/files/publications/2021-10/well-being-future-generations-wales-act-2015-the-essentials-2021.pdf.</w:t>
      </w:r>
    </w:p>
    <w:p w14:paraId="0BE34AF6"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lastRenderedPageBreak/>
        <w:t xml:space="preserve">WLGA (2023) </w:t>
      </w:r>
      <w:r w:rsidRPr="00526383">
        <w:rPr>
          <w:rFonts w:ascii="Times New Roman" w:eastAsia="Times New Roman" w:hAnsi="Times New Roman" w:cs="Times New Roman"/>
          <w:i/>
          <w:iCs/>
          <w:kern w:val="0"/>
          <w:szCs w:val="24"/>
          <w:lang/>
          <w14:ligatures w14:val="none"/>
        </w:rPr>
        <w:t>Local Authorities and Public Service Boards - WLGA</w:t>
      </w:r>
      <w:r w:rsidRPr="00526383">
        <w:rPr>
          <w:rFonts w:ascii="Times New Roman" w:eastAsia="Times New Roman" w:hAnsi="Times New Roman" w:cs="Times New Roman"/>
          <w:kern w:val="0"/>
          <w:szCs w:val="24"/>
          <w:lang/>
          <w14:ligatures w14:val="none"/>
        </w:rPr>
        <w:t xml:space="preserve">, </w:t>
      </w:r>
      <w:r w:rsidRPr="00526383">
        <w:rPr>
          <w:rFonts w:ascii="Times New Roman" w:eastAsia="Times New Roman" w:hAnsi="Times New Roman" w:cs="Times New Roman"/>
          <w:i/>
          <w:iCs/>
          <w:kern w:val="0"/>
          <w:szCs w:val="24"/>
          <w:lang/>
          <w14:ligatures w14:val="none"/>
        </w:rPr>
        <w:t>www.wlga.wales</w:t>
      </w:r>
      <w:r w:rsidRPr="00526383">
        <w:rPr>
          <w:rFonts w:ascii="Times New Roman" w:eastAsia="Times New Roman" w:hAnsi="Times New Roman" w:cs="Times New Roman"/>
          <w:kern w:val="0"/>
          <w:szCs w:val="24"/>
          <w:lang/>
          <w14:ligatures w14:val="none"/>
        </w:rPr>
        <w:t>. Available at: https://www.wlga.wales/local-authorities-and-public-service-boards-1 (Accessed: 17 November 2023).</w:t>
      </w:r>
    </w:p>
    <w:p w14:paraId="29BF686E"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Wood, S., Hughes, K., Hill, R., Judd, N. and Bellis, M. (2022) </w:t>
      </w:r>
      <w:r w:rsidRPr="00526383">
        <w:rPr>
          <w:rFonts w:ascii="Times New Roman" w:eastAsia="Times New Roman" w:hAnsi="Times New Roman" w:cs="Times New Roman"/>
          <w:i/>
          <w:iCs/>
          <w:kern w:val="0"/>
          <w:szCs w:val="24"/>
          <w:lang/>
          <w14:ligatures w14:val="none"/>
        </w:rPr>
        <w:t>Climate Change and Health in Wales: Views from the public</w:t>
      </w:r>
      <w:r w:rsidRPr="00526383">
        <w:rPr>
          <w:rFonts w:ascii="Times New Roman" w:eastAsia="Times New Roman" w:hAnsi="Times New Roman" w:cs="Times New Roman"/>
          <w:kern w:val="0"/>
          <w:szCs w:val="24"/>
          <w:lang/>
          <w14:ligatures w14:val="none"/>
        </w:rPr>
        <w:t>. Available at: https://phw.nhs.wales/publications/publications1/climate-change-and-health-in-wales-views-from-the-public/.</w:t>
      </w:r>
    </w:p>
    <w:p w14:paraId="2F160C1E" w14:textId="77777777" w:rsidR="00526383" w:rsidRPr="00526383" w:rsidRDefault="00526383" w:rsidP="00526383">
      <w:pPr>
        <w:spacing w:after="240"/>
        <w:rPr>
          <w:rFonts w:ascii="Times New Roman" w:eastAsia="Times New Roman" w:hAnsi="Times New Roman" w:cs="Times New Roman"/>
          <w:kern w:val="0"/>
          <w:szCs w:val="24"/>
          <w:lang/>
          <w14:ligatures w14:val="none"/>
        </w:rPr>
      </w:pPr>
      <w:r w:rsidRPr="00526383">
        <w:rPr>
          <w:rFonts w:ascii="Times New Roman" w:eastAsia="Times New Roman" w:hAnsi="Times New Roman" w:cs="Times New Roman"/>
          <w:kern w:val="0"/>
          <w:szCs w:val="24"/>
          <w:lang/>
          <w14:ligatures w14:val="none"/>
        </w:rPr>
        <w:t xml:space="preserve">Woodroffe, T. (2023) ‘Explanation of Vote’. </w:t>
      </w:r>
      <w:r w:rsidRPr="00526383">
        <w:rPr>
          <w:rFonts w:ascii="Times New Roman" w:eastAsia="Times New Roman" w:hAnsi="Times New Roman" w:cs="Times New Roman"/>
          <w:i/>
          <w:iCs/>
          <w:kern w:val="0"/>
          <w:szCs w:val="24"/>
          <w:lang/>
          <w14:ligatures w14:val="none"/>
        </w:rPr>
        <w:t>SDG Summit Political Declaration</w:t>
      </w:r>
      <w:r w:rsidRPr="00526383">
        <w:rPr>
          <w:rFonts w:ascii="Times New Roman" w:eastAsia="Times New Roman" w:hAnsi="Times New Roman" w:cs="Times New Roman"/>
          <w:kern w:val="0"/>
          <w:szCs w:val="24"/>
          <w:lang/>
          <w14:ligatures w14:val="none"/>
        </w:rPr>
        <w:t>, UN General Assembly, 29 September. Available at: https://www.gov.uk/government/speeches/the-uk-remains-committed-to-the-universal-vision-for-economic-environmental-and-social-development-of-agenda-2030-uk-statement-at-the-un-general-as#:~:text=Speech-,The%20UK%20remains%20committed%20to%20the%20universal%20vision%20for%20economic,on%20SDG%20Summit%20Political%20Declaration..</w:t>
      </w:r>
    </w:p>
    <w:p w14:paraId="16FC24ED" w14:textId="77777777" w:rsidR="009B2BD1" w:rsidRPr="00526383" w:rsidRDefault="009B2BD1" w:rsidP="00526383">
      <w:pPr>
        <w:spacing w:after="240"/>
      </w:pPr>
    </w:p>
    <w:sectPr w:rsidR="009B2BD1" w:rsidRPr="005263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418"/>
    <w:rsid w:val="00013CE4"/>
    <w:rsid w:val="00047215"/>
    <w:rsid w:val="000900F2"/>
    <w:rsid w:val="000902D0"/>
    <w:rsid w:val="0011363C"/>
    <w:rsid w:val="0012537D"/>
    <w:rsid w:val="00125A12"/>
    <w:rsid w:val="00132591"/>
    <w:rsid w:val="00153241"/>
    <w:rsid w:val="00155B38"/>
    <w:rsid w:val="001C26AD"/>
    <w:rsid w:val="001D58BB"/>
    <w:rsid w:val="001D7810"/>
    <w:rsid w:val="00233D94"/>
    <w:rsid w:val="002370E1"/>
    <w:rsid w:val="00274B9A"/>
    <w:rsid w:val="00275553"/>
    <w:rsid w:val="0029317B"/>
    <w:rsid w:val="002D7636"/>
    <w:rsid w:val="00314BBD"/>
    <w:rsid w:val="00332178"/>
    <w:rsid w:val="00343E22"/>
    <w:rsid w:val="00354D56"/>
    <w:rsid w:val="0038317F"/>
    <w:rsid w:val="003C3E53"/>
    <w:rsid w:val="00417516"/>
    <w:rsid w:val="00437530"/>
    <w:rsid w:val="0047015C"/>
    <w:rsid w:val="00472B88"/>
    <w:rsid w:val="00491157"/>
    <w:rsid w:val="004A5E4F"/>
    <w:rsid w:val="004F4C04"/>
    <w:rsid w:val="00500BFF"/>
    <w:rsid w:val="00526383"/>
    <w:rsid w:val="00530E78"/>
    <w:rsid w:val="00545A5B"/>
    <w:rsid w:val="00547D10"/>
    <w:rsid w:val="00551E03"/>
    <w:rsid w:val="00574451"/>
    <w:rsid w:val="00577656"/>
    <w:rsid w:val="005A1493"/>
    <w:rsid w:val="005C45A1"/>
    <w:rsid w:val="00625418"/>
    <w:rsid w:val="00675A39"/>
    <w:rsid w:val="006C35CB"/>
    <w:rsid w:val="006F40E3"/>
    <w:rsid w:val="00706773"/>
    <w:rsid w:val="00765860"/>
    <w:rsid w:val="007E52F8"/>
    <w:rsid w:val="00806B91"/>
    <w:rsid w:val="008369C0"/>
    <w:rsid w:val="00840B5E"/>
    <w:rsid w:val="0084680A"/>
    <w:rsid w:val="008878B0"/>
    <w:rsid w:val="008C2EFD"/>
    <w:rsid w:val="00960981"/>
    <w:rsid w:val="009B072F"/>
    <w:rsid w:val="009B2BD1"/>
    <w:rsid w:val="00A05C80"/>
    <w:rsid w:val="00A111ED"/>
    <w:rsid w:val="00A27C0A"/>
    <w:rsid w:val="00A304C6"/>
    <w:rsid w:val="00A87E64"/>
    <w:rsid w:val="00AA417C"/>
    <w:rsid w:val="00B06899"/>
    <w:rsid w:val="00B1028C"/>
    <w:rsid w:val="00B31879"/>
    <w:rsid w:val="00B406BD"/>
    <w:rsid w:val="00B50355"/>
    <w:rsid w:val="00B5199A"/>
    <w:rsid w:val="00BF1466"/>
    <w:rsid w:val="00C655E7"/>
    <w:rsid w:val="00C8333E"/>
    <w:rsid w:val="00C92D11"/>
    <w:rsid w:val="00CA7F60"/>
    <w:rsid w:val="00D3645E"/>
    <w:rsid w:val="00D45F20"/>
    <w:rsid w:val="00D5704F"/>
    <w:rsid w:val="00DB31D7"/>
    <w:rsid w:val="00DC1F22"/>
    <w:rsid w:val="00E146F4"/>
    <w:rsid w:val="00E41685"/>
    <w:rsid w:val="00EB0B5D"/>
    <w:rsid w:val="00F02965"/>
    <w:rsid w:val="00F1524B"/>
    <w:rsid w:val="00F222C4"/>
    <w:rsid w:val="00F22E79"/>
    <w:rsid w:val="00F32FD9"/>
    <w:rsid w:val="00F348CB"/>
    <w:rsid w:val="00F607A7"/>
    <w:rsid w:val="00F94CDE"/>
    <w:rsid w:val="00FC0625"/>
    <w:rsid w:val="00FC413E"/>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7FBC8"/>
  <w15:chartTrackingRefBased/>
  <w15:docId w15:val="{19F8CC23-CDC0-431D-AD50-8B96B2C11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418"/>
    <w:pPr>
      <w:spacing w:line="360" w:lineRule="auto"/>
    </w:pPr>
    <w:rPr>
      <w:rFonts w:asciiTheme="majorBidi" w:hAnsiTheme="majorBidi"/>
      <w:sz w:val="24"/>
    </w:rPr>
  </w:style>
  <w:style w:type="paragraph" w:styleId="Heading1">
    <w:name w:val="heading 1"/>
    <w:basedOn w:val="Normal"/>
    <w:link w:val="Heading1Char"/>
    <w:uiPriority w:val="9"/>
    <w:qFormat/>
    <w:rsid w:val="00526383"/>
    <w:pPr>
      <w:jc w:val="both"/>
      <w:outlineLvl w:val="0"/>
    </w:pPr>
    <w:rPr>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383"/>
    <w:rPr>
      <w:rFonts w:asciiTheme="majorBidi" w:hAnsiTheme="majorBidi"/>
      <w:b/>
      <w:bCs/>
      <w:sz w:val="24"/>
      <w:lang w:val="en-GB"/>
    </w:rPr>
  </w:style>
  <w:style w:type="paragraph" w:styleId="NormalWeb">
    <w:name w:val="Normal (Web)"/>
    <w:basedOn w:val="Normal"/>
    <w:uiPriority w:val="99"/>
    <w:semiHidden/>
    <w:unhideWhenUsed/>
    <w:rsid w:val="009B2BD1"/>
    <w:pPr>
      <w:spacing w:before="100" w:beforeAutospacing="1" w:after="100" w:afterAutospacing="1" w:line="240" w:lineRule="auto"/>
    </w:pPr>
    <w:rPr>
      <w:rFonts w:ascii="Times New Roman" w:eastAsia="Times New Roman" w:hAnsi="Times New Roman" w:cs="Times New Roman"/>
      <w:kern w:val="0"/>
      <w:szCs w:val="24"/>
      <w:lang/>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038366">
      <w:bodyDiv w:val="1"/>
      <w:marLeft w:val="0"/>
      <w:marRight w:val="0"/>
      <w:marTop w:val="0"/>
      <w:marBottom w:val="0"/>
      <w:divBdr>
        <w:top w:val="none" w:sz="0" w:space="0" w:color="auto"/>
        <w:left w:val="none" w:sz="0" w:space="0" w:color="auto"/>
        <w:bottom w:val="none" w:sz="0" w:space="0" w:color="auto"/>
        <w:right w:val="none" w:sz="0" w:space="0" w:color="auto"/>
      </w:divBdr>
    </w:div>
    <w:div w:id="275258429">
      <w:bodyDiv w:val="1"/>
      <w:marLeft w:val="0"/>
      <w:marRight w:val="0"/>
      <w:marTop w:val="0"/>
      <w:marBottom w:val="0"/>
      <w:divBdr>
        <w:top w:val="none" w:sz="0" w:space="0" w:color="auto"/>
        <w:left w:val="none" w:sz="0" w:space="0" w:color="auto"/>
        <w:bottom w:val="none" w:sz="0" w:space="0" w:color="auto"/>
        <w:right w:val="none" w:sz="0" w:space="0" w:color="auto"/>
      </w:divBdr>
      <w:divsChild>
        <w:div w:id="1919945447">
          <w:marLeft w:val="0"/>
          <w:marRight w:val="0"/>
          <w:marTop w:val="0"/>
          <w:marBottom w:val="0"/>
          <w:divBdr>
            <w:top w:val="single" w:sz="2" w:space="0" w:color="D9D9E3"/>
            <w:left w:val="single" w:sz="2" w:space="0" w:color="D9D9E3"/>
            <w:bottom w:val="single" w:sz="2" w:space="0" w:color="D9D9E3"/>
            <w:right w:val="single" w:sz="2" w:space="0" w:color="D9D9E3"/>
          </w:divBdr>
          <w:divsChild>
            <w:div w:id="167328391">
              <w:marLeft w:val="0"/>
              <w:marRight w:val="0"/>
              <w:marTop w:val="0"/>
              <w:marBottom w:val="0"/>
              <w:divBdr>
                <w:top w:val="single" w:sz="2" w:space="0" w:color="D9D9E3"/>
                <w:left w:val="single" w:sz="2" w:space="0" w:color="D9D9E3"/>
                <w:bottom w:val="single" w:sz="2" w:space="0" w:color="D9D9E3"/>
                <w:right w:val="single" w:sz="2" w:space="0" w:color="D9D9E3"/>
              </w:divBdr>
              <w:divsChild>
                <w:div w:id="1586693738">
                  <w:marLeft w:val="0"/>
                  <w:marRight w:val="0"/>
                  <w:marTop w:val="0"/>
                  <w:marBottom w:val="0"/>
                  <w:divBdr>
                    <w:top w:val="single" w:sz="2" w:space="0" w:color="D9D9E3"/>
                    <w:left w:val="single" w:sz="2" w:space="0" w:color="D9D9E3"/>
                    <w:bottom w:val="single" w:sz="2" w:space="0" w:color="D9D9E3"/>
                    <w:right w:val="single" w:sz="2" w:space="0" w:color="D9D9E3"/>
                  </w:divBdr>
                  <w:divsChild>
                    <w:div w:id="148906893">
                      <w:marLeft w:val="0"/>
                      <w:marRight w:val="0"/>
                      <w:marTop w:val="0"/>
                      <w:marBottom w:val="0"/>
                      <w:divBdr>
                        <w:top w:val="single" w:sz="2" w:space="0" w:color="D9D9E3"/>
                        <w:left w:val="single" w:sz="2" w:space="0" w:color="D9D9E3"/>
                        <w:bottom w:val="single" w:sz="2" w:space="0" w:color="D9D9E3"/>
                        <w:right w:val="single" w:sz="2" w:space="0" w:color="D9D9E3"/>
                      </w:divBdr>
                      <w:divsChild>
                        <w:div w:id="216010109">
                          <w:marLeft w:val="0"/>
                          <w:marRight w:val="0"/>
                          <w:marTop w:val="0"/>
                          <w:marBottom w:val="0"/>
                          <w:divBdr>
                            <w:top w:val="none" w:sz="0" w:space="0" w:color="auto"/>
                            <w:left w:val="none" w:sz="0" w:space="0" w:color="auto"/>
                            <w:bottom w:val="none" w:sz="0" w:space="0" w:color="auto"/>
                            <w:right w:val="none" w:sz="0" w:space="0" w:color="auto"/>
                          </w:divBdr>
                          <w:divsChild>
                            <w:div w:id="1028525050">
                              <w:marLeft w:val="0"/>
                              <w:marRight w:val="0"/>
                              <w:marTop w:val="100"/>
                              <w:marBottom w:val="100"/>
                              <w:divBdr>
                                <w:top w:val="single" w:sz="2" w:space="0" w:color="D9D9E3"/>
                                <w:left w:val="single" w:sz="2" w:space="0" w:color="D9D9E3"/>
                                <w:bottom w:val="single" w:sz="2" w:space="0" w:color="D9D9E3"/>
                                <w:right w:val="single" w:sz="2" w:space="0" w:color="D9D9E3"/>
                              </w:divBdr>
                              <w:divsChild>
                                <w:div w:id="721173450">
                                  <w:marLeft w:val="0"/>
                                  <w:marRight w:val="0"/>
                                  <w:marTop w:val="0"/>
                                  <w:marBottom w:val="0"/>
                                  <w:divBdr>
                                    <w:top w:val="single" w:sz="2" w:space="0" w:color="D9D9E3"/>
                                    <w:left w:val="single" w:sz="2" w:space="0" w:color="D9D9E3"/>
                                    <w:bottom w:val="single" w:sz="2" w:space="0" w:color="D9D9E3"/>
                                    <w:right w:val="single" w:sz="2" w:space="0" w:color="D9D9E3"/>
                                  </w:divBdr>
                                  <w:divsChild>
                                    <w:div w:id="1083769373">
                                      <w:marLeft w:val="0"/>
                                      <w:marRight w:val="0"/>
                                      <w:marTop w:val="0"/>
                                      <w:marBottom w:val="0"/>
                                      <w:divBdr>
                                        <w:top w:val="single" w:sz="2" w:space="0" w:color="D9D9E3"/>
                                        <w:left w:val="single" w:sz="2" w:space="0" w:color="D9D9E3"/>
                                        <w:bottom w:val="single" w:sz="2" w:space="0" w:color="D9D9E3"/>
                                        <w:right w:val="single" w:sz="2" w:space="0" w:color="D9D9E3"/>
                                      </w:divBdr>
                                      <w:divsChild>
                                        <w:div w:id="1643805239">
                                          <w:marLeft w:val="0"/>
                                          <w:marRight w:val="0"/>
                                          <w:marTop w:val="0"/>
                                          <w:marBottom w:val="0"/>
                                          <w:divBdr>
                                            <w:top w:val="single" w:sz="2" w:space="0" w:color="D9D9E3"/>
                                            <w:left w:val="single" w:sz="2" w:space="0" w:color="D9D9E3"/>
                                            <w:bottom w:val="single" w:sz="2" w:space="0" w:color="D9D9E3"/>
                                            <w:right w:val="single" w:sz="2" w:space="0" w:color="D9D9E3"/>
                                          </w:divBdr>
                                          <w:divsChild>
                                            <w:div w:id="1422947042">
                                              <w:marLeft w:val="0"/>
                                              <w:marRight w:val="0"/>
                                              <w:marTop w:val="0"/>
                                              <w:marBottom w:val="0"/>
                                              <w:divBdr>
                                                <w:top w:val="single" w:sz="2" w:space="0" w:color="D9D9E3"/>
                                                <w:left w:val="single" w:sz="2" w:space="0" w:color="D9D9E3"/>
                                                <w:bottom w:val="single" w:sz="2" w:space="0" w:color="D9D9E3"/>
                                                <w:right w:val="single" w:sz="2" w:space="0" w:color="D9D9E3"/>
                                              </w:divBdr>
                                              <w:divsChild>
                                                <w:div w:id="1509253676">
                                                  <w:marLeft w:val="0"/>
                                                  <w:marRight w:val="0"/>
                                                  <w:marTop w:val="0"/>
                                                  <w:marBottom w:val="0"/>
                                                  <w:divBdr>
                                                    <w:top w:val="single" w:sz="2" w:space="0" w:color="D9D9E3"/>
                                                    <w:left w:val="single" w:sz="2" w:space="0" w:color="D9D9E3"/>
                                                    <w:bottom w:val="single" w:sz="2" w:space="0" w:color="D9D9E3"/>
                                                    <w:right w:val="single" w:sz="2" w:space="0" w:color="D9D9E3"/>
                                                  </w:divBdr>
                                                  <w:divsChild>
                                                    <w:div w:id="12379374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25527434">
          <w:marLeft w:val="0"/>
          <w:marRight w:val="0"/>
          <w:marTop w:val="0"/>
          <w:marBottom w:val="0"/>
          <w:divBdr>
            <w:top w:val="none" w:sz="0" w:space="0" w:color="auto"/>
            <w:left w:val="none" w:sz="0" w:space="0" w:color="auto"/>
            <w:bottom w:val="none" w:sz="0" w:space="0" w:color="auto"/>
            <w:right w:val="none" w:sz="0" w:space="0" w:color="auto"/>
          </w:divBdr>
        </w:div>
      </w:divsChild>
    </w:div>
    <w:div w:id="1350180912">
      <w:bodyDiv w:val="1"/>
      <w:marLeft w:val="0"/>
      <w:marRight w:val="0"/>
      <w:marTop w:val="0"/>
      <w:marBottom w:val="0"/>
      <w:divBdr>
        <w:top w:val="none" w:sz="0" w:space="0" w:color="auto"/>
        <w:left w:val="none" w:sz="0" w:space="0" w:color="auto"/>
        <w:bottom w:val="none" w:sz="0" w:space="0" w:color="auto"/>
        <w:right w:val="none" w:sz="0" w:space="0" w:color="auto"/>
      </w:divBdr>
      <w:divsChild>
        <w:div w:id="2031369329">
          <w:marLeft w:val="0"/>
          <w:marRight w:val="0"/>
          <w:marTop w:val="0"/>
          <w:marBottom w:val="0"/>
          <w:divBdr>
            <w:top w:val="none" w:sz="0" w:space="0" w:color="auto"/>
            <w:left w:val="none" w:sz="0" w:space="0" w:color="auto"/>
            <w:bottom w:val="none" w:sz="0" w:space="0" w:color="auto"/>
            <w:right w:val="none" w:sz="0" w:space="0" w:color="auto"/>
          </w:divBdr>
        </w:div>
      </w:divsChild>
    </w:div>
    <w:div w:id="1516386997">
      <w:bodyDiv w:val="1"/>
      <w:marLeft w:val="0"/>
      <w:marRight w:val="0"/>
      <w:marTop w:val="0"/>
      <w:marBottom w:val="0"/>
      <w:divBdr>
        <w:top w:val="none" w:sz="0" w:space="0" w:color="auto"/>
        <w:left w:val="none" w:sz="0" w:space="0" w:color="auto"/>
        <w:bottom w:val="none" w:sz="0" w:space="0" w:color="auto"/>
        <w:right w:val="none" w:sz="0" w:space="0" w:color="auto"/>
      </w:divBdr>
      <w:divsChild>
        <w:div w:id="1991707923">
          <w:marLeft w:val="0"/>
          <w:marRight w:val="0"/>
          <w:marTop w:val="0"/>
          <w:marBottom w:val="0"/>
          <w:divBdr>
            <w:top w:val="single" w:sz="2" w:space="0" w:color="D9D9E3"/>
            <w:left w:val="single" w:sz="2" w:space="0" w:color="D9D9E3"/>
            <w:bottom w:val="single" w:sz="2" w:space="0" w:color="D9D9E3"/>
            <w:right w:val="single" w:sz="2" w:space="0" w:color="D9D9E3"/>
          </w:divBdr>
          <w:divsChild>
            <w:div w:id="15430013">
              <w:marLeft w:val="0"/>
              <w:marRight w:val="0"/>
              <w:marTop w:val="0"/>
              <w:marBottom w:val="0"/>
              <w:divBdr>
                <w:top w:val="single" w:sz="2" w:space="0" w:color="D9D9E3"/>
                <w:left w:val="single" w:sz="2" w:space="0" w:color="D9D9E3"/>
                <w:bottom w:val="single" w:sz="2" w:space="0" w:color="D9D9E3"/>
                <w:right w:val="single" w:sz="2" w:space="0" w:color="D9D9E3"/>
              </w:divBdr>
              <w:divsChild>
                <w:div w:id="846945240">
                  <w:marLeft w:val="0"/>
                  <w:marRight w:val="0"/>
                  <w:marTop w:val="0"/>
                  <w:marBottom w:val="0"/>
                  <w:divBdr>
                    <w:top w:val="single" w:sz="2" w:space="0" w:color="D9D9E3"/>
                    <w:left w:val="single" w:sz="2" w:space="0" w:color="D9D9E3"/>
                    <w:bottom w:val="single" w:sz="2" w:space="0" w:color="D9D9E3"/>
                    <w:right w:val="single" w:sz="2" w:space="0" w:color="D9D9E3"/>
                  </w:divBdr>
                  <w:divsChild>
                    <w:div w:id="1661352775">
                      <w:marLeft w:val="0"/>
                      <w:marRight w:val="0"/>
                      <w:marTop w:val="0"/>
                      <w:marBottom w:val="0"/>
                      <w:divBdr>
                        <w:top w:val="single" w:sz="2" w:space="0" w:color="D9D9E3"/>
                        <w:left w:val="single" w:sz="2" w:space="0" w:color="D9D9E3"/>
                        <w:bottom w:val="single" w:sz="2" w:space="0" w:color="D9D9E3"/>
                        <w:right w:val="single" w:sz="2" w:space="0" w:color="D9D9E3"/>
                      </w:divBdr>
                      <w:divsChild>
                        <w:div w:id="2130195339">
                          <w:marLeft w:val="0"/>
                          <w:marRight w:val="0"/>
                          <w:marTop w:val="0"/>
                          <w:marBottom w:val="0"/>
                          <w:divBdr>
                            <w:top w:val="none" w:sz="0" w:space="0" w:color="auto"/>
                            <w:left w:val="none" w:sz="0" w:space="0" w:color="auto"/>
                            <w:bottom w:val="none" w:sz="0" w:space="0" w:color="auto"/>
                            <w:right w:val="none" w:sz="0" w:space="0" w:color="auto"/>
                          </w:divBdr>
                          <w:divsChild>
                            <w:div w:id="1620262029">
                              <w:marLeft w:val="0"/>
                              <w:marRight w:val="0"/>
                              <w:marTop w:val="100"/>
                              <w:marBottom w:val="100"/>
                              <w:divBdr>
                                <w:top w:val="single" w:sz="2" w:space="0" w:color="D9D9E3"/>
                                <w:left w:val="single" w:sz="2" w:space="0" w:color="D9D9E3"/>
                                <w:bottom w:val="single" w:sz="2" w:space="0" w:color="D9D9E3"/>
                                <w:right w:val="single" w:sz="2" w:space="0" w:color="D9D9E3"/>
                              </w:divBdr>
                              <w:divsChild>
                                <w:div w:id="2031906416">
                                  <w:marLeft w:val="0"/>
                                  <w:marRight w:val="0"/>
                                  <w:marTop w:val="0"/>
                                  <w:marBottom w:val="0"/>
                                  <w:divBdr>
                                    <w:top w:val="single" w:sz="2" w:space="0" w:color="D9D9E3"/>
                                    <w:left w:val="single" w:sz="2" w:space="0" w:color="D9D9E3"/>
                                    <w:bottom w:val="single" w:sz="2" w:space="0" w:color="D9D9E3"/>
                                    <w:right w:val="single" w:sz="2" w:space="0" w:color="D9D9E3"/>
                                  </w:divBdr>
                                  <w:divsChild>
                                    <w:div w:id="1276058589">
                                      <w:marLeft w:val="0"/>
                                      <w:marRight w:val="0"/>
                                      <w:marTop w:val="0"/>
                                      <w:marBottom w:val="0"/>
                                      <w:divBdr>
                                        <w:top w:val="single" w:sz="2" w:space="0" w:color="D9D9E3"/>
                                        <w:left w:val="single" w:sz="2" w:space="0" w:color="D9D9E3"/>
                                        <w:bottom w:val="single" w:sz="2" w:space="0" w:color="D9D9E3"/>
                                        <w:right w:val="single" w:sz="2" w:space="0" w:color="D9D9E3"/>
                                      </w:divBdr>
                                      <w:divsChild>
                                        <w:div w:id="1429039887">
                                          <w:marLeft w:val="0"/>
                                          <w:marRight w:val="0"/>
                                          <w:marTop w:val="0"/>
                                          <w:marBottom w:val="0"/>
                                          <w:divBdr>
                                            <w:top w:val="single" w:sz="2" w:space="0" w:color="D9D9E3"/>
                                            <w:left w:val="single" w:sz="2" w:space="0" w:color="D9D9E3"/>
                                            <w:bottom w:val="single" w:sz="2" w:space="0" w:color="D9D9E3"/>
                                            <w:right w:val="single" w:sz="2" w:space="0" w:color="D9D9E3"/>
                                          </w:divBdr>
                                          <w:divsChild>
                                            <w:div w:id="811335999">
                                              <w:marLeft w:val="0"/>
                                              <w:marRight w:val="0"/>
                                              <w:marTop w:val="0"/>
                                              <w:marBottom w:val="0"/>
                                              <w:divBdr>
                                                <w:top w:val="single" w:sz="2" w:space="0" w:color="D9D9E3"/>
                                                <w:left w:val="single" w:sz="2" w:space="0" w:color="D9D9E3"/>
                                                <w:bottom w:val="single" w:sz="2" w:space="0" w:color="D9D9E3"/>
                                                <w:right w:val="single" w:sz="2" w:space="0" w:color="D9D9E3"/>
                                              </w:divBdr>
                                              <w:divsChild>
                                                <w:div w:id="862206808">
                                                  <w:marLeft w:val="0"/>
                                                  <w:marRight w:val="0"/>
                                                  <w:marTop w:val="0"/>
                                                  <w:marBottom w:val="0"/>
                                                  <w:divBdr>
                                                    <w:top w:val="single" w:sz="2" w:space="0" w:color="D9D9E3"/>
                                                    <w:left w:val="single" w:sz="2" w:space="0" w:color="D9D9E3"/>
                                                    <w:bottom w:val="single" w:sz="2" w:space="0" w:color="D9D9E3"/>
                                                    <w:right w:val="single" w:sz="2" w:space="0" w:color="D9D9E3"/>
                                                  </w:divBdr>
                                                  <w:divsChild>
                                                    <w:div w:id="12233669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80970808">
          <w:marLeft w:val="0"/>
          <w:marRight w:val="0"/>
          <w:marTop w:val="0"/>
          <w:marBottom w:val="0"/>
          <w:divBdr>
            <w:top w:val="none" w:sz="0" w:space="0" w:color="auto"/>
            <w:left w:val="none" w:sz="0" w:space="0" w:color="auto"/>
            <w:bottom w:val="none" w:sz="0" w:space="0" w:color="auto"/>
            <w:right w:val="none" w:sz="0" w:space="0" w:color="auto"/>
          </w:divBdr>
        </w:div>
      </w:divsChild>
    </w:div>
    <w:div w:id="1734692344">
      <w:bodyDiv w:val="1"/>
      <w:marLeft w:val="0"/>
      <w:marRight w:val="0"/>
      <w:marTop w:val="0"/>
      <w:marBottom w:val="0"/>
      <w:divBdr>
        <w:top w:val="none" w:sz="0" w:space="0" w:color="auto"/>
        <w:left w:val="none" w:sz="0" w:space="0" w:color="auto"/>
        <w:bottom w:val="none" w:sz="0" w:space="0" w:color="auto"/>
        <w:right w:val="none" w:sz="0" w:space="0" w:color="auto"/>
      </w:divBdr>
      <w:divsChild>
        <w:div w:id="140730419">
          <w:marLeft w:val="0"/>
          <w:marRight w:val="0"/>
          <w:marTop w:val="0"/>
          <w:marBottom w:val="0"/>
          <w:divBdr>
            <w:top w:val="single" w:sz="2" w:space="0" w:color="D9D9E3"/>
            <w:left w:val="single" w:sz="2" w:space="0" w:color="D9D9E3"/>
            <w:bottom w:val="single" w:sz="2" w:space="0" w:color="D9D9E3"/>
            <w:right w:val="single" w:sz="2" w:space="0" w:color="D9D9E3"/>
          </w:divBdr>
          <w:divsChild>
            <w:div w:id="1803888890">
              <w:marLeft w:val="0"/>
              <w:marRight w:val="0"/>
              <w:marTop w:val="0"/>
              <w:marBottom w:val="0"/>
              <w:divBdr>
                <w:top w:val="single" w:sz="2" w:space="0" w:color="D9D9E3"/>
                <w:left w:val="single" w:sz="2" w:space="0" w:color="D9D9E3"/>
                <w:bottom w:val="single" w:sz="2" w:space="0" w:color="D9D9E3"/>
                <w:right w:val="single" w:sz="2" w:space="0" w:color="D9D9E3"/>
              </w:divBdr>
              <w:divsChild>
                <w:div w:id="1436825073">
                  <w:marLeft w:val="0"/>
                  <w:marRight w:val="0"/>
                  <w:marTop w:val="0"/>
                  <w:marBottom w:val="0"/>
                  <w:divBdr>
                    <w:top w:val="single" w:sz="2" w:space="0" w:color="D9D9E3"/>
                    <w:left w:val="single" w:sz="2" w:space="0" w:color="D9D9E3"/>
                    <w:bottom w:val="single" w:sz="2" w:space="0" w:color="D9D9E3"/>
                    <w:right w:val="single" w:sz="2" w:space="0" w:color="D9D9E3"/>
                  </w:divBdr>
                  <w:divsChild>
                    <w:div w:id="1998026906">
                      <w:marLeft w:val="0"/>
                      <w:marRight w:val="0"/>
                      <w:marTop w:val="0"/>
                      <w:marBottom w:val="0"/>
                      <w:divBdr>
                        <w:top w:val="single" w:sz="2" w:space="0" w:color="D9D9E3"/>
                        <w:left w:val="single" w:sz="2" w:space="0" w:color="D9D9E3"/>
                        <w:bottom w:val="single" w:sz="2" w:space="0" w:color="D9D9E3"/>
                        <w:right w:val="single" w:sz="2" w:space="0" w:color="D9D9E3"/>
                      </w:divBdr>
                      <w:divsChild>
                        <w:div w:id="745957573">
                          <w:marLeft w:val="0"/>
                          <w:marRight w:val="0"/>
                          <w:marTop w:val="0"/>
                          <w:marBottom w:val="0"/>
                          <w:divBdr>
                            <w:top w:val="none" w:sz="0" w:space="0" w:color="auto"/>
                            <w:left w:val="none" w:sz="0" w:space="0" w:color="auto"/>
                            <w:bottom w:val="none" w:sz="0" w:space="0" w:color="auto"/>
                            <w:right w:val="none" w:sz="0" w:space="0" w:color="auto"/>
                          </w:divBdr>
                          <w:divsChild>
                            <w:div w:id="1075518307">
                              <w:marLeft w:val="0"/>
                              <w:marRight w:val="0"/>
                              <w:marTop w:val="100"/>
                              <w:marBottom w:val="100"/>
                              <w:divBdr>
                                <w:top w:val="single" w:sz="2" w:space="0" w:color="D9D9E3"/>
                                <w:left w:val="single" w:sz="2" w:space="0" w:color="D9D9E3"/>
                                <w:bottom w:val="single" w:sz="2" w:space="0" w:color="D9D9E3"/>
                                <w:right w:val="single" w:sz="2" w:space="0" w:color="D9D9E3"/>
                              </w:divBdr>
                              <w:divsChild>
                                <w:div w:id="314796528">
                                  <w:marLeft w:val="0"/>
                                  <w:marRight w:val="0"/>
                                  <w:marTop w:val="0"/>
                                  <w:marBottom w:val="0"/>
                                  <w:divBdr>
                                    <w:top w:val="single" w:sz="2" w:space="0" w:color="D9D9E3"/>
                                    <w:left w:val="single" w:sz="2" w:space="0" w:color="D9D9E3"/>
                                    <w:bottom w:val="single" w:sz="2" w:space="0" w:color="D9D9E3"/>
                                    <w:right w:val="single" w:sz="2" w:space="0" w:color="D9D9E3"/>
                                  </w:divBdr>
                                  <w:divsChild>
                                    <w:div w:id="2144493235">
                                      <w:marLeft w:val="0"/>
                                      <w:marRight w:val="0"/>
                                      <w:marTop w:val="0"/>
                                      <w:marBottom w:val="0"/>
                                      <w:divBdr>
                                        <w:top w:val="single" w:sz="2" w:space="0" w:color="D9D9E3"/>
                                        <w:left w:val="single" w:sz="2" w:space="0" w:color="D9D9E3"/>
                                        <w:bottom w:val="single" w:sz="2" w:space="0" w:color="D9D9E3"/>
                                        <w:right w:val="single" w:sz="2" w:space="0" w:color="D9D9E3"/>
                                      </w:divBdr>
                                      <w:divsChild>
                                        <w:div w:id="932931648">
                                          <w:marLeft w:val="0"/>
                                          <w:marRight w:val="0"/>
                                          <w:marTop w:val="0"/>
                                          <w:marBottom w:val="0"/>
                                          <w:divBdr>
                                            <w:top w:val="single" w:sz="2" w:space="0" w:color="D9D9E3"/>
                                            <w:left w:val="single" w:sz="2" w:space="0" w:color="D9D9E3"/>
                                            <w:bottom w:val="single" w:sz="2" w:space="0" w:color="D9D9E3"/>
                                            <w:right w:val="single" w:sz="2" w:space="0" w:color="D9D9E3"/>
                                          </w:divBdr>
                                          <w:divsChild>
                                            <w:div w:id="461457961">
                                              <w:marLeft w:val="0"/>
                                              <w:marRight w:val="0"/>
                                              <w:marTop w:val="0"/>
                                              <w:marBottom w:val="0"/>
                                              <w:divBdr>
                                                <w:top w:val="single" w:sz="2" w:space="0" w:color="D9D9E3"/>
                                                <w:left w:val="single" w:sz="2" w:space="0" w:color="D9D9E3"/>
                                                <w:bottom w:val="single" w:sz="2" w:space="0" w:color="D9D9E3"/>
                                                <w:right w:val="single" w:sz="2" w:space="0" w:color="D9D9E3"/>
                                              </w:divBdr>
                                              <w:divsChild>
                                                <w:div w:id="751124555">
                                                  <w:marLeft w:val="0"/>
                                                  <w:marRight w:val="0"/>
                                                  <w:marTop w:val="0"/>
                                                  <w:marBottom w:val="0"/>
                                                  <w:divBdr>
                                                    <w:top w:val="single" w:sz="2" w:space="0" w:color="D9D9E3"/>
                                                    <w:left w:val="single" w:sz="2" w:space="0" w:color="D9D9E3"/>
                                                    <w:bottom w:val="single" w:sz="2" w:space="0" w:color="D9D9E3"/>
                                                    <w:right w:val="single" w:sz="2" w:space="0" w:color="D9D9E3"/>
                                                  </w:divBdr>
                                                  <w:divsChild>
                                                    <w:div w:id="13726520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20076858">
          <w:marLeft w:val="0"/>
          <w:marRight w:val="0"/>
          <w:marTop w:val="0"/>
          <w:marBottom w:val="0"/>
          <w:divBdr>
            <w:top w:val="none" w:sz="0" w:space="0" w:color="auto"/>
            <w:left w:val="none" w:sz="0" w:space="0" w:color="auto"/>
            <w:bottom w:val="none" w:sz="0" w:space="0" w:color="auto"/>
            <w:right w:val="none" w:sz="0" w:space="0" w:color="auto"/>
          </w:divBdr>
        </w:div>
      </w:divsChild>
    </w:div>
    <w:div w:id="1984309633">
      <w:bodyDiv w:val="1"/>
      <w:marLeft w:val="0"/>
      <w:marRight w:val="0"/>
      <w:marTop w:val="0"/>
      <w:marBottom w:val="0"/>
      <w:divBdr>
        <w:top w:val="none" w:sz="0" w:space="0" w:color="auto"/>
        <w:left w:val="none" w:sz="0" w:space="0" w:color="auto"/>
        <w:bottom w:val="none" w:sz="0" w:space="0" w:color="auto"/>
        <w:right w:val="none" w:sz="0" w:space="0" w:color="auto"/>
      </w:divBdr>
      <w:divsChild>
        <w:div w:id="150100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08832-9D78-47DE-873E-41152D636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5966</Words>
  <Characters>34012</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Maruf Ajimati</dc:creator>
  <cp:keywords/>
  <dc:description/>
  <cp:lastModifiedBy>Timi Amos</cp:lastModifiedBy>
  <cp:revision>63</cp:revision>
  <dcterms:created xsi:type="dcterms:W3CDTF">2023-11-17T10:02:00Z</dcterms:created>
  <dcterms:modified xsi:type="dcterms:W3CDTF">2023-12-15T10:52:00Z</dcterms:modified>
</cp:coreProperties>
</file>