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5109C" w14:textId="2FB474CF" w:rsidR="00E261AB" w:rsidRDefault="00F1469B" w:rsidP="00E67414">
      <w:pPr>
        <w:jc w:val="center"/>
        <w:rPr>
          <w:rFonts w:asciiTheme="majorHAnsi" w:hAnsiTheme="majorHAnsi" w:cstheme="majorHAnsi"/>
          <w:b/>
          <w:bCs/>
          <w:u w:val="single"/>
        </w:rPr>
      </w:pPr>
      <w:r w:rsidRPr="00E67414">
        <w:rPr>
          <w:rFonts w:asciiTheme="majorHAnsi" w:hAnsiTheme="majorHAnsi" w:cstheme="majorHAnsi"/>
          <w:b/>
          <w:bCs/>
          <w:u w:val="single"/>
        </w:rPr>
        <w:t>Contract Law Assignment One</w:t>
      </w:r>
      <w:r>
        <w:rPr>
          <w:rFonts w:asciiTheme="majorHAnsi" w:hAnsiTheme="majorHAnsi" w:cstheme="majorHAnsi"/>
          <w:b/>
          <w:bCs/>
          <w:u w:val="single"/>
        </w:rPr>
        <w:t>.</w:t>
      </w:r>
    </w:p>
    <w:p w14:paraId="38F1ECEF" w14:textId="341B6E75" w:rsidR="00E67414" w:rsidRDefault="00E67414" w:rsidP="00E67414">
      <w:pPr>
        <w:jc w:val="center"/>
        <w:rPr>
          <w:rFonts w:asciiTheme="majorHAnsi" w:hAnsiTheme="majorHAnsi" w:cstheme="majorHAnsi"/>
          <w:b/>
          <w:bCs/>
          <w:u w:val="single"/>
        </w:rPr>
      </w:pPr>
    </w:p>
    <w:p w14:paraId="1B694BFB" w14:textId="3194AEFB" w:rsidR="00E67414" w:rsidRDefault="00E67414" w:rsidP="00E67414">
      <w:pPr>
        <w:jc w:val="center"/>
        <w:rPr>
          <w:rFonts w:asciiTheme="majorHAnsi" w:hAnsiTheme="majorHAnsi" w:cstheme="majorHAnsi"/>
          <w:b/>
          <w:bCs/>
          <w:u w:val="single"/>
        </w:rPr>
      </w:pPr>
    </w:p>
    <w:p w14:paraId="3701C7E1" w14:textId="0C7697F8" w:rsidR="00550FD1" w:rsidRPr="001C350C" w:rsidRDefault="00F1469B" w:rsidP="001C350C">
      <w:pPr>
        <w:pStyle w:val="ListParagraph"/>
        <w:numPr>
          <w:ilvl w:val="0"/>
          <w:numId w:val="2"/>
        </w:numPr>
        <w:spacing w:line="360" w:lineRule="auto"/>
        <w:jc w:val="both"/>
        <w:rPr>
          <w:rFonts w:ascii="Arial" w:hAnsi="Arial" w:cs="Arial"/>
        </w:rPr>
      </w:pPr>
      <w:r w:rsidRPr="001C350C">
        <w:rPr>
          <w:rFonts w:ascii="Arial" w:hAnsi="Arial" w:cs="Arial"/>
        </w:rPr>
        <w:t>– Privity of contract is the rule that a person who is not a party to a contract is not subject to any of its burdens and likewise cannot acquire any rights under that contract</w:t>
      </w:r>
      <w:r w:rsidR="00512ED6">
        <w:rPr>
          <w:rFonts w:ascii="Arial" w:hAnsi="Arial" w:cs="Arial"/>
        </w:rPr>
        <w:t xml:space="preserve"> as shown in the case Dunlop v Selfridge (1915)</w:t>
      </w:r>
      <w:r w:rsidRPr="001C350C">
        <w:rPr>
          <w:rFonts w:ascii="Arial" w:hAnsi="Arial" w:cs="Arial"/>
        </w:rPr>
        <w:t>. Only parties to a contract will have the ability to acquire the rights and liabilities under that contract.</w:t>
      </w:r>
    </w:p>
    <w:p w14:paraId="0BBC781A" w14:textId="36AFC873" w:rsidR="00A44C22" w:rsidRPr="001C350C" w:rsidRDefault="00F1469B" w:rsidP="001C350C">
      <w:pPr>
        <w:spacing w:line="360" w:lineRule="auto"/>
        <w:ind w:left="720"/>
        <w:jc w:val="both"/>
        <w:rPr>
          <w:rFonts w:ascii="Arial" w:hAnsi="Arial" w:cs="Arial"/>
        </w:rPr>
      </w:pPr>
      <w:r w:rsidRPr="001C350C">
        <w:rPr>
          <w:rFonts w:ascii="Arial" w:hAnsi="Arial" w:cs="Arial"/>
        </w:rPr>
        <w:t>This rule was generally regarded as unsatisfactory due to a third-party beneficiary being unable to</w:t>
      </w:r>
      <w:r w:rsidRPr="001C350C">
        <w:rPr>
          <w:rFonts w:ascii="Arial" w:hAnsi="Arial" w:cs="Arial"/>
        </w:rPr>
        <w:t xml:space="preserve"> enforce contractual benefits. There have been exceptions put in place to attempt to remedy this situation such as The </w:t>
      </w:r>
      <w:r w:rsidR="00BD5D27" w:rsidRPr="001C350C">
        <w:rPr>
          <w:rFonts w:ascii="Arial" w:hAnsi="Arial" w:cs="Arial"/>
        </w:rPr>
        <w:t>C</w:t>
      </w:r>
      <w:r w:rsidRPr="001C350C">
        <w:rPr>
          <w:rFonts w:ascii="Arial" w:hAnsi="Arial" w:cs="Arial"/>
        </w:rPr>
        <w:t xml:space="preserve">ontracts (Rights of Third Parties) Act 1999 (Merkin and Sainter, 2021). </w:t>
      </w:r>
    </w:p>
    <w:p w14:paraId="263793AF" w14:textId="77777777" w:rsidR="00550FD1" w:rsidRPr="001C350C" w:rsidRDefault="00550FD1" w:rsidP="001C350C">
      <w:pPr>
        <w:spacing w:line="360" w:lineRule="auto"/>
        <w:jc w:val="both"/>
        <w:rPr>
          <w:rFonts w:ascii="Arial" w:hAnsi="Arial" w:cs="Arial"/>
        </w:rPr>
      </w:pPr>
    </w:p>
    <w:p w14:paraId="0E85628A" w14:textId="4DBB72D3" w:rsidR="00E67414" w:rsidRPr="001C350C" w:rsidRDefault="00F1469B" w:rsidP="001C350C">
      <w:pPr>
        <w:pStyle w:val="ListParagraph"/>
        <w:numPr>
          <w:ilvl w:val="0"/>
          <w:numId w:val="2"/>
        </w:numPr>
        <w:spacing w:line="360" w:lineRule="auto"/>
        <w:jc w:val="both"/>
        <w:rPr>
          <w:rFonts w:ascii="Arial" w:hAnsi="Arial" w:cs="Arial"/>
        </w:rPr>
      </w:pPr>
      <w:r w:rsidRPr="001C350C">
        <w:rPr>
          <w:rFonts w:ascii="Arial" w:hAnsi="Arial" w:cs="Arial"/>
        </w:rPr>
        <w:t>–  Past consideration is defined as the principle that the con</w:t>
      </w:r>
      <w:r w:rsidRPr="001C350C">
        <w:rPr>
          <w:rFonts w:ascii="Arial" w:hAnsi="Arial" w:cs="Arial"/>
        </w:rPr>
        <w:t xml:space="preserve">sideration for a promise must be given in return for that promise where the promise was made after the act had been done. A key case would be Re McArdle (1951) within this case a daughter in law made a claim against costs to her late mother in laws estate </w:t>
      </w:r>
      <w:r w:rsidRPr="001C350C">
        <w:rPr>
          <w:rFonts w:ascii="Arial" w:hAnsi="Arial" w:cs="Arial"/>
        </w:rPr>
        <w:t xml:space="preserve">once it had been left to all four of her children. The claim was unsuccessful as she had already performed the act before the promise of payment had been made, despite the mother-in-law making her children sign an agreement to pay the daughter-in-law from </w:t>
      </w:r>
      <w:r w:rsidRPr="001C350C">
        <w:rPr>
          <w:rFonts w:ascii="Arial" w:hAnsi="Arial" w:cs="Arial"/>
        </w:rPr>
        <w:t xml:space="preserve">the proceeds of her estate. </w:t>
      </w:r>
    </w:p>
    <w:p w14:paraId="64A0F167" w14:textId="0D59E6F8" w:rsidR="00E67414" w:rsidRPr="001C350C" w:rsidRDefault="00E67414" w:rsidP="001C350C">
      <w:pPr>
        <w:pStyle w:val="ListParagraph"/>
        <w:spacing w:line="360" w:lineRule="auto"/>
        <w:jc w:val="both"/>
        <w:rPr>
          <w:rFonts w:ascii="Arial" w:hAnsi="Arial" w:cs="Arial"/>
        </w:rPr>
      </w:pPr>
    </w:p>
    <w:p w14:paraId="0A6CF847" w14:textId="380C67DF" w:rsidR="00F45A6C" w:rsidRPr="001C350C" w:rsidRDefault="00F1469B" w:rsidP="001C350C">
      <w:pPr>
        <w:pStyle w:val="ListParagraph"/>
        <w:spacing w:line="360" w:lineRule="auto"/>
        <w:jc w:val="both"/>
        <w:rPr>
          <w:rFonts w:ascii="Arial" w:hAnsi="Arial" w:cs="Arial"/>
        </w:rPr>
      </w:pPr>
      <w:r w:rsidRPr="001C350C">
        <w:rPr>
          <w:rFonts w:ascii="Arial" w:hAnsi="Arial" w:cs="Arial"/>
        </w:rPr>
        <w:t>Following this case, it was deemed that if the guarantee is made after the act that it is not binding as there is no consideration for that guarantee which would support the argument that past consideration is not good conside</w:t>
      </w:r>
      <w:r w:rsidRPr="001C350C">
        <w:rPr>
          <w:rFonts w:ascii="Arial" w:hAnsi="Arial" w:cs="Arial"/>
        </w:rPr>
        <w:t xml:space="preserve">ration. However, the case of Pao On V Lau Yiu Long (1980) </w:t>
      </w:r>
      <w:r w:rsidR="00D13301" w:rsidRPr="001C350C">
        <w:rPr>
          <w:rFonts w:ascii="Arial" w:hAnsi="Arial" w:cs="Arial"/>
        </w:rPr>
        <w:t>is one of the</w:t>
      </w:r>
      <w:r w:rsidR="00165CEA" w:rsidRPr="001C350C">
        <w:rPr>
          <w:rFonts w:ascii="Arial" w:hAnsi="Arial" w:cs="Arial"/>
        </w:rPr>
        <w:t xml:space="preserve"> exceptions where </w:t>
      </w:r>
      <w:r w:rsidRPr="001C350C">
        <w:rPr>
          <w:rFonts w:ascii="Arial" w:hAnsi="Arial" w:cs="Arial"/>
        </w:rPr>
        <w:t>past consideration was allowed as the promise of payment was enforceable</w:t>
      </w:r>
      <w:r w:rsidR="00F1664A">
        <w:rPr>
          <w:rFonts w:ascii="Arial" w:hAnsi="Arial" w:cs="Arial"/>
        </w:rPr>
        <w:t xml:space="preserve"> showing that consideration must be sufficient but need not be adequate</w:t>
      </w:r>
      <w:r w:rsidRPr="001C350C">
        <w:rPr>
          <w:rFonts w:ascii="Arial" w:hAnsi="Arial" w:cs="Arial"/>
        </w:rPr>
        <w:t>. Providing the consider</w:t>
      </w:r>
      <w:r w:rsidRPr="001C350C">
        <w:rPr>
          <w:rFonts w:ascii="Arial" w:hAnsi="Arial" w:cs="Arial"/>
        </w:rPr>
        <w:t xml:space="preserve">ation has some value and is legally enforceable past consideration can amount to good consideration (Finch &amp; Fafinski, 2021). </w:t>
      </w:r>
    </w:p>
    <w:p w14:paraId="156329F1" w14:textId="29D94EAE" w:rsidR="00E67414" w:rsidRPr="001C350C" w:rsidRDefault="00F1469B" w:rsidP="001C350C">
      <w:pPr>
        <w:pStyle w:val="ListParagraph"/>
        <w:spacing w:line="360" w:lineRule="auto"/>
        <w:jc w:val="both"/>
        <w:rPr>
          <w:rFonts w:ascii="Arial" w:hAnsi="Arial" w:cs="Arial"/>
          <w:color w:val="FF0000"/>
        </w:rPr>
      </w:pPr>
      <w:r w:rsidRPr="001C350C">
        <w:rPr>
          <w:rFonts w:ascii="Arial" w:hAnsi="Arial" w:cs="Arial"/>
          <w:color w:val="FF0000"/>
        </w:rPr>
        <w:t xml:space="preserve"> </w:t>
      </w:r>
    </w:p>
    <w:p w14:paraId="1E2D7BA9" w14:textId="21D3AD0E" w:rsidR="00E3589D" w:rsidRDefault="00F1469B" w:rsidP="00E3589D">
      <w:pPr>
        <w:pStyle w:val="ListParagraph"/>
        <w:numPr>
          <w:ilvl w:val="0"/>
          <w:numId w:val="2"/>
        </w:numPr>
        <w:spacing w:line="360" w:lineRule="auto"/>
        <w:jc w:val="both"/>
        <w:rPr>
          <w:rFonts w:ascii="Arial" w:hAnsi="Arial" w:cs="Arial"/>
          <w:color w:val="000000" w:themeColor="text1"/>
        </w:rPr>
      </w:pPr>
      <w:r w:rsidRPr="001C350C">
        <w:rPr>
          <w:rFonts w:ascii="Arial" w:hAnsi="Arial" w:cs="Arial"/>
          <w:color w:val="000000" w:themeColor="text1"/>
        </w:rPr>
        <w:t>–</w:t>
      </w:r>
      <w:r w:rsidR="00316C51">
        <w:rPr>
          <w:rFonts w:ascii="Arial" w:hAnsi="Arial" w:cs="Arial"/>
          <w:color w:val="000000" w:themeColor="text1"/>
        </w:rPr>
        <w:t xml:space="preserve"> The Entire performance rule generally means that the performance must exactly match the</w:t>
      </w:r>
      <w:r w:rsidR="00740051">
        <w:rPr>
          <w:rFonts w:ascii="Arial" w:hAnsi="Arial" w:cs="Arial"/>
          <w:color w:val="000000" w:themeColor="text1"/>
        </w:rPr>
        <w:t xml:space="preserve"> </w:t>
      </w:r>
      <w:r w:rsidR="00316C51">
        <w:rPr>
          <w:rFonts w:ascii="Arial" w:hAnsi="Arial" w:cs="Arial"/>
          <w:color w:val="000000" w:themeColor="text1"/>
        </w:rPr>
        <w:t xml:space="preserve">obligations stipulated within the contract. If the party fails to do </w:t>
      </w:r>
      <w:r w:rsidR="00FA04E6">
        <w:rPr>
          <w:rFonts w:ascii="Arial" w:hAnsi="Arial" w:cs="Arial"/>
          <w:color w:val="000000" w:themeColor="text1"/>
        </w:rPr>
        <w:t>so,</w:t>
      </w:r>
      <w:r w:rsidR="00316C51">
        <w:rPr>
          <w:rFonts w:ascii="Arial" w:hAnsi="Arial" w:cs="Arial"/>
          <w:color w:val="000000" w:themeColor="text1"/>
        </w:rPr>
        <w:t xml:space="preserve"> then no payment will be made. </w:t>
      </w:r>
      <w:r w:rsidR="00FA04E6">
        <w:rPr>
          <w:rFonts w:ascii="Arial" w:hAnsi="Arial" w:cs="Arial"/>
          <w:color w:val="000000" w:themeColor="text1"/>
        </w:rPr>
        <w:t>A key case to demonstrate the entire performance rule would be the case of Cutter v Powell (1795) this case shows that the entire performance rule has the potential to cause injustice.</w:t>
      </w:r>
      <w:r>
        <w:rPr>
          <w:rFonts w:ascii="Arial" w:hAnsi="Arial" w:cs="Arial"/>
          <w:color w:val="000000" w:themeColor="text1"/>
        </w:rPr>
        <w:t xml:space="preserve"> The entire performance rule also allows parties the ability to withdraw from an unprofitable contract allowing as can be seen in the ca</w:t>
      </w:r>
      <w:r>
        <w:rPr>
          <w:rFonts w:ascii="Arial" w:hAnsi="Arial" w:cs="Arial"/>
          <w:color w:val="000000" w:themeColor="text1"/>
        </w:rPr>
        <w:t>se of Re Moore &amp; Co Ltd and Landauer &amp; Co (1921).</w:t>
      </w:r>
    </w:p>
    <w:p w14:paraId="61E85DBC" w14:textId="51EDB92B" w:rsidR="00316C51" w:rsidRPr="00E3589D" w:rsidRDefault="00316C51" w:rsidP="00E3589D">
      <w:pPr>
        <w:spacing w:line="360" w:lineRule="auto"/>
        <w:jc w:val="both"/>
        <w:rPr>
          <w:rFonts w:ascii="Arial" w:hAnsi="Arial" w:cs="Arial"/>
          <w:color w:val="FF0000"/>
        </w:rPr>
      </w:pPr>
    </w:p>
    <w:p w14:paraId="55A74091" w14:textId="404D2CDA" w:rsidR="00FA04E6" w:rsidRPr="00740051" w:rsidRDefault="00F1469B" w:rsidP="00740051">
      <w:pPr>
        <w:spacing w:line="360" w:lineRule="auto"/>
        <w:jc w:val="both"/>
        <w:rPr>
          <w:rFonts w:ascii="Arial" w:hAnsi="Arial" w:cs="Arial"/>
          <w:color w:val="000000" w:themeColor="text1"/>
        </w:rPr>
      </w:pPr>
      <w:r w:rsidRPr="00740051">
        <w:rPr>
          <w:rFonts w:ascii="Arial" w:hAnsi="Arial" w:cs="Arial"/>
          <w:color w:val="000000" w:themeColor="text1"/>
        </w:rPr>
        <w:lastRenderedPageBreak/>
        <w:t xml:space="preserve">One </w:t>
      </w:r>
      <w:r w:rsidR="00E67414" w:rsidRPr="00740051">
        <w:rPr>
          <w:rFonts w:ascii="Arial" w:hAnsi="Arial" w:cs="Arial"/>
          <w:color w:val="000000" w:themeColor="text1"/>
        </w:rPr>
        <w:t xml:space="preserve">of the exceptions identified from the case of Cutter V Powell (1795) is that of Partial Performance which stipulates that if the entire terms of the contract have not been breached then payment is expected for partial performance as can be seen in Christy v Row (1808). </w:t>
      </w:r>
    </w:p>
    <w:p w14:paraId="6BBE6AC7" w14:textId="571C3DF0" w:rsidR="00E3589D" w:rsidRPr="00740051" w:rsidRDefault="00F1469B" w:rsidP="00740051">
      <w:pPr>
        <w:spacing w:line="360" w:lineRule="auto"/>
        <w:jc w:val="both"/>
        <w:rPr>
          <w:rFonts w:ascii="Arial" w:hAnsi="Arial" w:cs="Arial"/>
          <w:color w:val="000000" w:themeColor="text1"/>
        </w:rPr>
      </w:pPr>
      <w:r w:rsidRPr="00740051">
        <w:rPr>
          <w:rFonts w:ascii="Arial" w:hAnsi="Arial" w:cs="Arial"/>
          <w:color w:val="000000" w:themeColor="text1"/>
        </w:rPr>
        <w:t xml:space="preserve">Also worth considering is voluntary acceptance of partial performance </w:t>
      </w:r>
      <w:r w:rsidR="00E3476F" w:rsidRPr="00740051">
        <w:rPr>
          <w:rFonts w:ascii="Arial" w:hAnsi="Arial" w:cs="Arial"/>
          <w:color w:val="000000" w:themeColor="text1"/>
        </w:rPr>
        <w:t>which is the principle that when a party agrees to pay for partial performance this can be seen in the case of Sumpter v Hedges (1989).</w:t>
      </w:r>
    </w:p>
    <w:p w14:paraId="17195103" w14:textId="77777777" w:rsidR="00FA04E6" w:rsidRDefault="00FA04E6" w:rsidP="00316C51">
      <w:pPr>
        <w:pStyle w:val="ListParagraph"/>
        <w:spacing w:line="360" w:lineRule="auto"/>
        <w:ind w:left="785"/>
        <w:jc w:val="both"/>
        <w:rPr>
          <w:rFonts w:ascii="Arial" w:hAnsi="Arial" w:cs="Arial"/>
          <w:color w:val="000000" w:themeColor="text1"/>
        </w:rPr>
      </w:pPr>
    </w:p>
    <w:p w14:paraId="7B682D46" w14:textId="18F51F5D" w:rsidR="00E67414" w:rsidRDefault="00F1469B" w:rsidP="00E119FE">
      <w:pPr>
        <w:spacing w:line="360" w:lineRule="auto"/>
        <w:jc w:val="both"/>
        <w:rPr>
          <w:rFonts w:ascii="Arial" w:hAnsi="Arial" w:cs="Arial"/>
          <w:color w:val="000000" w:themeColor="text1"/>
        </w:rPr>
      </w:pPr>
      <w:r w:rsidRPr="00E119FE">
        <w:rPr>
          <w:rFonts w:ascii="Arial" w:hAnsi="Arial" w:cs="Arial"/>
          <w:color w:val="000000" w:themeColor="text1"/>
        </w:rPr>
        <w:t>Secondly is Substantial Performance which states that providing performance is 'substantial' then payment should be made, this may include damages to be paid for an incomplete performance. In summary, this would imply that the amount payable will correspon</w:t>
      </w:r>
      <w:r w:rsidRPr="00E119FE">
        <w:rPr>
          <w:rFonts w:ascii="Arial" w:hAnsi="Arial" w:cs="Arial"/>
          <w:color w:val="000000" w:themeColor="text1"/>
        </w:rPr>
        <w:t xml:space="preserve">d to the price of the contract minus the incomplete proportion of the contract this can be seen in the case of H.Dakin &amp; Co Ltd V Lee (1916) this is contrasted by the case of Bolton v Mahadeva (1972). </w:t>
      </w:r>
    </w:p>
    <w:p w14:paraId="0EC10403" w14:textId="1DC396AC" w:rsidR="00B03D19" w:rsidRDefault="00B03D19" w:rsidP="00E119FE">
      <w:pPr>
        <w:spacing w:line="360" w:lineRule="auto"/>
        <w:jc w:val="both"/>
        <w:rPr>
          <w:rFonts w:ascii="Arial" w:hAnsi="Arial" w:cs="Arial"/>
          <w:color w:val="000000" w:themeColor="text1"/>
        </w:rPr>
      </w:pPr>
    </w:p>
    <w:p w14:paraId="73780512" w14:textId="2272B2CF" w:rsidR="00B03D19" w:rsidRPr="00E119FE" w:rsidRDefault="00F1469B" w:rsidP="00E119FE">
      <w:pPr>
        <w:spacing w:line="360" w:lineRule="auto"/>
        <w:jc w:val="both"/>
        <w:rPr>
          <w:rFonts w:ascii="Arial" w:hAnsi="Arial" w:cs="Arial"/>
          <w:color w:val="FF0000"/>
        </w:rPr>
      </w:pPr>
      <w:r>
        <w:rPr>
          <w:rFonts w:ascii="Arial" w:hAnsi="Arial" w:cs="Arial"/>
          <w:color w:val="000000" w:themeColor="text1"/>
        </w:rPr>
        <w:t>Lastly is Severable Contracts a contract would be con</w:t>
      </w:r>
      <w:r>
        <w:rPr>
          <w:rFonts w:ascii="Arial" w:hAnsi="Arial" w:cs="Arial"/>
          <w:color w:val="000000" w:themeColor="text1"/>
        </w:rPr>
        <w:t>sidered severable if payment can be made in increments rather than full payment at the end of the contract</w:t>
      </w:r>
      <w:r w:rsidR="00E52CE5">
        <w:rPr>
          <w:rFonts w:ascii="Arial" w:hAnsi="Arial" w:cs="Arial"/>
          <w:color w:val="000000" w:themeColor="text1"/>
        </w:rPr>
        <w:t xml:space="preserve"> once performance is completed such an example could be a contract of employment where payments are made in instalments most often weekly or monthly as opposed to the end of the term of employment a case that demonstrates this would be Ritchie v Atkinson (1808)</w:t>
      </w:r>
      <w:r w:rsidR="00B25CAA">
        <w:rPr>
          <w:rFonts w:ascii="Arial" w:hAnsi="Arial" w:cs="Arial"/>
          <w:color w:val="000000" w:themeColor="text1"/>
        </w:rPr>
        <w:t xml:space="preserve">. In this case, it was held that payment would be allowed to be divided into separate parts as the contract had stipulated a price per ton therefore the claimant was entitled to payment per ton where </w:t>
      </w:r>
      <w:r w:rsidR="00F7072D">
        <w:rPr>
          <w:rFonts w:ascii="Arial" w:hAnsi="Arial" w:cs="Arial"/>
          <w:color w:val="000000" w:themeColor="text1"/>
        </w:rPr>
        <w:t>for the completed portion of the contract. Despite this, the defendant was awarded damages for non-performance for the portion of the contract not completed.</w:t>
      </w:r>
    </w:p>
    <w:p w14:paraId="5AE97004" w14:textId="21950C2F" w:rsidR="00165CEA" w:rsidRPr="001C350C" w:rsidRDefault="00165CEA" w:rsidP="001C350C">
      <w:pPr>
        <w:spacing w:line="360" w:lineRule="auto"/>
        <w:jc w:val="both"/>
        <w:rPr>
          <w:rFonts w:ascii="Arial" w:hAnsi="Arial" w:cs="Arial"/>
          <w:color w:val="FF0000"/>
        </w:rPr>
      </w:pPr>
    </w:p>
    <w:p w14:paraId="6E01373F" w14:textId="3FB1535D" w:rsidR="00165CEA" w:rsidRPr="001C350C" w:rsidRDefault="00165CEA" w:rsidP="001C350C">
      <w:pPr>
        <w:spacing w:line="360" w:lineRule="auto"/>
        <w:jc w:val="both"/>
        <w:rPr>
          <w:rFonts w:ascii="Arial" w:hAnsi="Arial" w:cs="Arial"/>
          <w:color w:val="FF0000"/>
        </w:rPr>
      </w:pPr>
    </w:p>
    <w:p w14:paraId="4FB45EC8" w14:textId="77777777" w:rsidR="00C52475" w:rsidRDefault="00F1469B" w:rsidP="001C350C">
      <w:pPr>
        <w:pStyle w:val="ListParagraph"/>
        <w:numPr>
          <w:ilvl w:val="0"/>
          <w:numId w:val="2"/>
        </w:numPr>
        <w:spacing w:line="360" w:lineRule="auto"/>
        <w:jc w:val="both"/>
        <w:rPr>
          <w:rFonts w:ascii="Arial" w:hAnsi="Arial" w:cs="Arial"/>
          <w:color w:val="000000" w:themeColor="text1"/>
        </w:rPr>
      </w:pPr>
      <w:r w:rsidRPr="001C350C">
        <w:rPr>
          <w:rFonts w:ascii="Arial" w:hAnsi="Arial" w:cs="Arial"/>
          <w:color w:val="000000" w:themeColor="text1"/>
        </w:rPr>
        <w:t>–</w:t>
      </w:r>
      <w:r w:rsidR="00165CEA" w:rsidRPr="001C350C">
        <w:rPr>
          <w:rFonts w:ascii="Arial" w:hAnsi="Arial" w:cs="Arial"/>
          <w:color w:val="000000" w:themeColor="text1"/>
        </w:rPr>
        <w:t xml:space="preserve"> </w:t>
      </w:r>
      <w:r w:rsidR="00875122">
        <w:rPr>
          <w:rFonts w:ascii="Arial" w:hAnsi="Arial" w:cs="Arial"/>
          <w:color w:val="000000" w:themeColor="text1"/>
        </w:rPr>
        <w:t xml:space="preserve">To advise </w:t>
      </w:r>
      <w:r w:rsidR="00F7196F">
        <w:rPr>
          <w:rFonts w:ascii="Arial" w:hAnsi="Arial" w:cs="Arial"/>
          <w:color w:val="000000" w:themeColor="text1"/>
        </w:rPr>
        <w:t>Arthur,</w:t>
      </w:r>
      <w:r w:rsidR="00875122">
        <w:rPr>
          <w:rFonts w:ascii="Arial" w:hAnsi="Arial" w:cs="Arial"/>
          <w:color w:val="000000" w:themeColor="text1"/>
        </w:rPr>
        <w:t xml:space="preserve"> it is important to consider what makes up a legally binding contract</w:t>
      </w:r>
      <w:r>
        <w:rPr>
          <w:rFonts w:ascii="Arial" w:hAnsi="Arial" w:cs="Arial"/>
          <w:color w:val="000000" w:themeColor="text1"/>
        </w:rPr>
        <w:t>.</w:t>
      </w:r>
    </w:p>
    <w:p w14:paraId="4AF0CEE2" w14:textId="1A3072E4" w:rsidR="00ED557A" w:rsidRPr="00C52475" w:rsidRDefault="00F1469B" w:rsidP="00C52475">
      <w:pPr>
        <w:spacing w:line="360" w:lineRule="auto"/>
        <w:jc w:val="both"/>
        <w:rPr>
          <w:rFonts w:ascii="Arial" w:hAnsi="Arial" w:cs="Arial"/>
          <w:color w:val="000000" w:themeColor="text1"/>
        </w:rPr>
      </w:pPr>
      <w:r w:rsidRPr="00C52475">
        <w:rPr>
          <w:rFonts w:ascii="Arial" w:hAnsi="Arial" w:cs="Arial"/>
          <w:color w:val="000000" w:themeColor="text1"/>
        </w:rPr>
        <w:t>The three essential elements to forming a contract are Offer, Acceptance and an intent to create legal relations all three must be present for it to be considered a valid contract.</w:t>
      </w:r>
    </w:p>
    <w:p w14:paraId="6C91A355" w14:textId="77777777" w:rsidR="00451616" w:rsidRPr="00451616" w:rsidRDefault="00F1469B" w:rsidP="00C52475">
      <w:pPr>
        <w:spacing w:line="360" w:lineRule="auto"/>
        <w:rPr>
          <w:rFonts w:ascii="Arial" w:hAnsi="Arial" w:cs="Arial"/>
          <w:color w:val="000000" w:themeColor="text1"/>
        </w:rPr>
      </w:pPr>
      <w:r w:rsidRPr="00451616">
        <w:rPr>
          <w:rFonts w:ascii="Arial" w:hAnsi="Arial" w:cs="Arial"/>
          <w:color w:val="000000" w:themeColor="text1"/>
        </w:rPr>
        <w:t>As a general rule</w:t>
      </w:r>
      <w:r w:rsidRPr="00451616">
        <w:rPr>
          <w:rFonts w:ascii="Arial" w:hAnsi="Arial" w:cs="Arial"/>
          <w:color w:val="000000" w:themeColor="text1"/>
        </w:rPr>
        <w:t>, an advertisement is known as an invitation to treat and not offers as seen in the case of Partridge v Crittenden (1968). For it to become contractual following the invitation to treat there would need to be an offer and then acceptance of the offer for t</w:t>
      </w:r>
      <w:r w:rsidRPr="00451616">
        <w:rPr>
          <w:rFonts w:ascii="Arial" w:hAnsi="Arial" w:cs="Arial"/>
          <w:color w:val="000000" w:themeColor="text1"/>
        </w:rPr>
        <w:t xml:space="preserve">here to be a contractual agreement. </w:t>
      </w:r>
    </w:p>
    <w:p w14:paraId="2FC81542" w14:textId="45653343" w:rsidR="008E57F9" w:rsidRDefault="00F1469B" w:rsidP="00451616">
      <w:pPr>
        <w:spacing w:line="360" w:lineRule="auto"/>
        <w:rPr>
          <w:rFonts w:ascii="Arial" w:hAnsi="Arial" w:cs="Arial"/>
          <w:color w:val="000000" w:themeColor="text1"/>
        </w:rPr>
      </w:pPr>
      <w:r w:rsidRPr="00451616">
        <w:rPr>
          <w:rFonts w:ascii="Arial" w:hAnsi="Arial" w:cs="Arial"/>
          <w:color w:val="000000" w:themeColor="text1"/>
        </w:rPr>
        <w:t>When Arthur advertised the watch for sale the intention would be to invite offers to be made</w:t>
      </w:r>
      <w:r>
        <w:rPr>
          <w:rFonts w:ascii="Arial" w:hAnsi="Arial" w:cs="Arial"/>
          <w:color w:val="000000" w:themeColor="text1"/>
        </w:rPr>
        <w:t xml:space="preserve"> so </w:t>
      </w:r>
      <w:r w:rsidR="003E0DE2">
        <w:rPr>
          <w:rFonts w:ascii="Arial" w:hAnsi="Arial" w:cs="Arial"/>
          <w:color w:val="000000" w:themeColor="text1"/>
        </w:rPr>
        <w:t>for</w:t>
      </w:r>
      <w:r>
        <w:rPr>
          <w:rFonts w:ascii="Arial" w:hAnsi="Arial" w:cs="Arial"/>
          <w:color w:val="000000" w:themeColor="text1"/>
        </w:rPr>
        <w:t xml:space="preserve"> the contract to be valid it would require an invitation to treat, offer, acceptance and agreement. </w:t>
      </w:r>
    </w:p>
    <w:p w14:paraId="52D5B9E5" w14:textId="6C495FA7" w:rsidR="008D2859" w:rsidRDefault="008D2859" w:rsidP="00451616">
      <w:pPr>
        <w:spacing w:line="360" w:lineRule="auto"/>
        <w:rPr>
          <w:rFonts w:ascii="Arial" w:hAnsi="Arial" w:cs="Arial"/>
          <w:color w:val="000000" w:themeColor="text1"/>
        </w:rPr>
      </w:pPr>
    </w:p>
    <w:p w14:paraId="2DEEC9C7" w14:textId="77777777" w:rsidR="008D2859" w:rsidRPr="001C350C" w:rsidRDefault="00F1469B" w:rsidP="008D2859">
      <w:pPr>
        <w:spacing w:line="360" w:lineRule="auto"/>
        <w:rPr>
          <w:rFonts w:ascii="Arial" w:hAnsi="Arial" w:cs="Arial"/>
          <w:color w:val="000000" w:themeColor="text1"/>
        </w:rPr>
      </w:pPr>
      <w:r w:rsidRPr="001C350C">
        <w:rPr>
          <w:rFonts w:ascii="Arial" w:hAnsi="Arial" w:cs="Arial"/>
          <w:color w:val="000000" w:themeColor="text1"/>
        </w:rPr>
        <w:t>Negotiations follo</w:t>
      </w:r>
      <w:r w:rsidRPr="001C350C">
        <w:rPr>
          <w:rFonts w:ascii="Arial" w:hAnsi="Arial" w:cs="Arial"/>
          <w:color w:val="000000" w:themeColor="text1"/>
        </w:rPr>
        <w:t>wing the advertisements would be known as a bilateral contract which is defined as an invitation to treat on the basis it would lead to further bargaining this is the type of contract Arthur would be entering into should he accept any offers that are prese</w:t>
      </w:r>
      <w:r w:rsidRPr="001C350C">
        <w:rPr>
          <w:rFonts w:ascii="Arial" w:hAnsi="Arial" w:cs="Arial"/>
          <w:color w:val="000000" w:themeColor="text1"/>
        </w:rPr>
        <w:t xml:space="preserve">nted to him. Contrasting a bilateral contract would be a unilateral contract this is an advertisement that offers a sum of money </w:t>
      </w:r>
      <w:r w:rsidRPr="001C350C">
        <w:rPr>
          <w:rFonts w:ascii="Arial" w:hAnsi="Arial" w:cs="Arial"/>
          <w:color w:val="000000" w:themeColor="text1"/>
        </w:rPr>
        <w:lastRenderedPageBreak/>
        <w:t>in return for an act such as a reward an example of this can be seen in the case Carlill v Carbolic Smoke Ball Co Ltd (1893).</w:t>
      </w:r>
    </w:p>
    <w:p w14:paraId="55E78539" w14:textId="77777777" w:rsidR="008D2859" w:rsidRPr="008E57F9" w:rsidRDefault="008D2859" w:rsidP="00451616">
      <w:pPr>
        <w:spacing w:line="360" w:lineRule="auto"/>
        <w:rPr>
          <w:rFonts w:ascii="Arial" w:hAnsi="Arial" w:cs="Arial"/>
          <w:color w:val="000000" w:themeColor="text1"/>
        </w:rPr>
      </w:pPr>
    </w:p>
    <w:p w14:paraId="48B3E478" w14:textId="5272201A" w:rsidR="00F7196F" w:rsidRDefault="00F7196F" w:rsidP="00F7196F">
      <w:pPr>
        <w:spacing w:line="360" w:lineRule="auto"/>
        <w:jc w:val="both"/>
        <w:rPr>
          <w:rFonts w:ascii="Arial" w:hAnsi="Arial" w:cs="Arial"/>
          <w:color w:val="000000" w:themeColor="text1"/>
        </w:rPr>
      </w:pPr>
    </w:p>
    <w:p w14:paraId="543CEA53" w14:textId="500B00BA" w:rsidR="008677AA" w:rsidRDefault="00F1469B" w:rsidP="003E0DE2">
      <w:pPr>
        <w:spacing w:line="360" w:lineRule="auto"/>
        <w:jc w:val="both"/>
        <w:rPr>
          <w:rFonts w:ascii="Arial" w:hAnsi="Arial" w:cs="Arial"/>
          <w:color w:val="000000" w:themeColor="text1"/>
        </w:rPr>
      </w:pPr>
      <w:r>
        <w:rPr>
          <w:rFonts w:ascii="Arial" w:hAnsi="Arial" w:cs="Arial"/>
          <w:color w:val="000000" w:themeColor="text1"/>
        </w:rPr>
        <w:t>In Bens's case, he does not have a valid contract as he sent his offer by post</w:t>
      </w:r>
      <w:r w:rsidR="003E0DE2">
        <w:rPr>
          <w:rFonts w:ascii="Arial" w:hAnsi="Arial" w:cs="Arial"/>
          <w:color w:val="000000" w:themeColor="text1"/>
        </w:rPr>
        <w:t xml:space="preserve"> for Ben to have a valid contract his offer would need to be brought to </w:t>
      </w:r>
      <w:r w:rsidR="00451616">
        <w:rPr>
          <w:rFonts w:ascii="Arial" w:hAnsi="Arial" w:cs="Arial"/>
          <w:color w:val="000000" w:themeColor="text1"/>
        </w:rPr>
        <w:t>Arthur’s</w:t>
      </w:r>
      <w:r w:rsidR="003E0DE2">
        <w:rPr>
          <w:rFonts w:ascii="Arial" w:hAnsi="Arial" w:cs="Arial"/>
          <w:color w:val="000000" w:themeColor="text1"/>
        </w:rPr>
        <w:t xml:space="preserve"> attention for him to accept the offer. </w:t>
      </w:r>
    </w:p>
    <w:p w14:paraId="335BF98B" w14:textId="70666D18" w:rsidR="0049789A" w:rsidRPr="001C350C" w:rsidRDefault="00F1469B" w:rsidP="008D2859">
      <w:pPr>
        <w:spacing w:line="360" w:lineRule="auto"/>
        <w:jc w:val="both"/>
        <w:rPr>
          <w:rFonts w:ascii="Arial" w:hAnsi="Arial" w:cs="Arial"/>
          <w:color w:val="000000" w:themeColor="text1"/>
        </w:rPr>
      </w:pPr>
      <w:r>
        <w:rPr>
          <w:rFonts w:ascii="Arial" w:hAnsi="Arial" w:cs="Arial"/>
          <w:color w:val="000000" w:themeColor="text1"/>
        </w:rPr>
        <w:t xml:space="preserve">As the postal rule only applies to acceptances and not offers the postal rule does not apply in </w:t>
      </w:r>
      <w:r w:rsidR="008D2859">
        <w:rPr>
          <w:rFonts w:ascii="Arial" w:hAnsi="Arial" w:cs="Arial"/>
          <w:color w:val="000000" w:themeColor="text1"/>
        </w:rPr>
        <w:t>Ben’s</w:t>
      </w:r>
      <w:r>
        <w:rPr>
          <w:rFonts w:ascii="Arial" w:hAnsi="Arial" w:cs="Arial"/>
          <w:color w:val="000000" w:themeColor="text1"/>
        </w:rPr>
        <w:t xml:space="preserve"> case</w:t>
      </w:r>
      <w:r w:rsidR="00451616">
        <w:rPr>
          <w:rFonts w:ascii="Arial" w:hAnsi="Arial" w:cs="Arial"/>
          <w:color w:val="000000" w:themeColor="text1"/>
        </w:rPr>
        <w:t xml:space="preserve"> therefore no contract is present.</w:t>
      </w:r>
      <w:r w:rsidR="00ED557A" w:rsidRPr="001C350C">
        <w:rPr>
          <w:rFonts w:ascii="Arial" w:hAnsi="Arial" w:cs="Arial"/>
          <w:color w:val="000000" w:themeColor="text1"/>
        </w:rPr>
        <w:t xml:space="preserve"> </w:t>
      </w:r>
    </w:p>
    <w:p w14:paraId="10032EC7" w14:textId="65264D26" w:rsidR="00ED557A" w:rsidRPr="001C350C" w:rsidRDefault="00ED557A" w:rsidP="001C350C">
      <w:pPr>
        <w:spacing w:line="360" w:lineRule="auto"/>
        <w:rPr>
          <w:rFonts w:ascii="Arial" w:hAnsi="Arial" w:cs="Arial"/>
          <w:color w:val="000000" w:themeColor="text1"/>
        </w:rPr>
      </w:pPr>
    </w:p>
    <w:p w14:paraId="66272C3D" w14:textId="09E912E0" w:rsidR="00AB0988" w:rsidRDefault="00F1469B" w:rsidP="001C350C">
      <w:pPr>
        <w:spacing w:line="360" w:lineRule="auto"/>
        <w:rPr>
          <w:rFonts w:ascii="Arial" w:hAnsi="Arial" w:cs="Arial"/>
          <w:color w:val="000000" w:themeColor="text1"/>
        </w:rPr>
      </w:pPr>
      <w:r w:rsidRPr="001C350C">
        <w:rPr>
          <w:rFonts w:ascii="Arial" w:hAnsi="Arial" w:cs="Arial"/>
          <w:color w:val="000000" w:themeColor="text1"/>
        </w:rPr>
        <w:t xml:space="preserve">Christine’s case </w:t>
      </w:r>
      <w:r w:rsidR="008D2859">
        <w:rPr>
          <w:rFonts w:ascii="Arial" w:hAnsi="Arial" w:cs="Arial"/>
          <w:color w:val="000000" w:themeColor="text1"/>
        </w:rPr>
        <w:t>is more complex</w:t>
      </w:r>
      <w:r w:rsidR="00546591" w:rsidRPr="001C350C">
        <w:rPr>
          <w:rFonts w:ascii="Arial" w:hAnsi="Arial" w:cs="Arial"/>
          <w:color w:val="000000" w:themeColor="text1"/>
        </w:rPr>
        <w:t xml:space="preserve">. Within Christine’s </w:t>
      </w:r>
      <w:r>
        <w:rPr>
          <w:rFonts w:ascii="Arial" w:hAnsi="Arial" w:cs="Arial"/>
          <w:color w:val="000000" w:themeColor="text1"/>
        </w:rPr>
        <w:t xml:space="preserve">initial email she submitted an offer of £11,000 Arthur </w:t>
      </w:r>
      <w:r>
        <w:rPr>
          <w:rFonts w:ascii="Arial" w:hAnsi="Arial" w:cs="Arial"/>
          <w:color w:val="000000" w:themeColor="text1"/>
        </w:rPr>
        <w:t>did not accept the offer but did tell Christine he would accept £13,000</w:t>
      </w:r>
      <w:r w:rsidR="00546591" w:rsidRPr="001C350C">
        <w:rPr>
          <w:rFonts w:ascii="Arial" w:hAnsi="Arial" w:cs="Arial"/>
          <w:color w:val="000000" w:themeColor="text1"/>
        </w:rPr>
        <w:t xml:space="preserve">. </w:t>
      </w:r>
      <w:r w:rsidR="00566EA0" w:rsidRPr="001C350C">
        <w:rPr>
          <w:rFonts w:ascii="Arial" w:hAnsi="Arial" w:cs="Arial"/>
          <w:color w:val="000000" w:themeColor="text1"/>
        </w:rPr>
        <w:t>In previous case law, it has been stated that the general principle is that for an application of an offer it must be capable of immediate acceptance as demonstrated in the case of Harvey v Facey (1893).</w:t>
      </w:r>
    </w:p>
    <w:p w14:paraId="16151E3C" w14:textId="4335A270" w:rsidR="00AB0988" w:rsidRDefault="00AB0988" w:rsidP="001C350C">
      <w:pPr>
        <w:spacing w:line="360" w:lineRule="auto"/>
        <w:rPr>
          <w:rFonts w:ascii="Arial" w:hAnsi="Arial" w:cs="Arial"/>
          <w:color w:val="000000" w:themeColor="text1"/>
        </w:rPr>
      </w:pPr>
    </w:p>
    <w:p w14:paraId="7DD81A32" w14:textId="5D3F289E" w:rsidR="00761773" w:rsidRDefault="00566EA0" w:rsidP="001C350C">
      <w:pPr>
        <w:spacing w:line="360" w:lineRule="auto"/>
        <w:rPr>
          <w:rFonts w:ascii="Arial" w:hAnsi="Arial" w:cs="Arial"/>
          <w:color w:val="000000" w:themeColor="text1"/>
        </w:rPr>
      </w:pPr>
      <w:r>
        <w:rPr>
          <w:rFonts w:ascii="Arial" w:hAnsi="Arial" w:cs="Arial"/>
          <w:color w:val="000000" w:themeColor="text1"/>
        </w:rPr>
        <w:t>Christine’s</w:t>
      </w:r>
      <w:r w:rsidR="00F1469B">
        <w:rPr>
          <w:rFonts w:ascii="Arial" w:hAnsi="Arial" w:cs="Arial"/>
          <w:color w:val="000000" w:themeColor="text1"/>
        </w:rPr>
        <w:t xml:space="preserve"> response to this was asking whether it would be possible to separate the payment into two instalments this could be considered two ways it could be a request for</w:t>
      </w:r>
      <w:r w:rsidR="00C83BED">
        <w:rPr>
          <w:rFonts w:ascii="Arial" w:hAnsi="Arial" w:cs="Arial"/>
          <w:color w:val="000000" w:themeColor="text1"/>
        </w:rPr>
        <w:t xml:space="preserve"> further</w:t>
      </w:r>
      <w:r w:rsidR="00F1469B">
        <w:rPr>
          <w:rFonts w:ascii="Arial" w:hAnsi="Arial" w:cs="Arial"/>
          <w:color w:val="000000" w:themeColor="text1"/>
        </w:rPr>
        <w:t xml:space="preserve"> information as can be seen in the case of </w:t>
      </w:r>
      <w:r w:rsidR="00F1469B" w:rsidRPr="001C350C">
        <w:rPr>
          <w:rFonts w:ascii="Arial" w:hAnsi="Arial" w:cs="Arial"/>
          <w:color w:val="000000" w:themeColor="text1"/>
        </w:rPr>
        <w:t>Stevenson,</w:t>
      </w:r>
      <w:r w:rsidR="00F1469B" w:rsidRPr="001C350C">
        <w:rPr>
          <w:rFonts w:ascii="Arial" w:hAnsi="Arial" w:cs="Arial"/>
          <w:color w:val="000000" w:themeColor="text1"/>
        </w:rPr>
        <w:t xml:space="preserve"> Jacques &amp; Co v McLean (1880</w:t>
      </w:r>
      <w:r w:rsidR="00F1469B">
        <w:rPr>
          <w:rFonts w:ascii="Arial" w:hAnsi="Arial" w:cs="Arial"/>
          <w:color w:val="000000" w:themeColor="text1"/>
        </w:rPr>
        <w:t>)</w:t>
      </w:r>
      <w:r>
        <w:rPr>
          <w:rFonts w:ascii="Arial" w:hAnsi="Arial" w:cs="Arial"/>
          <w:color w:val="000000" w:themeColor="text1"/>
        </w:rPr>
        <w:t xml:space="preserve">. </w:t>
      </w:r>
    </w:p>
    <w:p w14:paraId="39CEF289" w14:textId="77777777" w:rsidR="00761773" w:rsidRDefault="00761773" w:rsidP="001C350C">
      <w:pPr>
        <w:spacing w:line="360" w:lineRule="auto"/>
        <w:rPr>
          <w:rFonts w:ascii="Arial" w:hAnsi="Arial" w:cs="Arial"/>
          <w:color w:val="000000" w:themeColor="text1"/>
        </w:rPr>
      </w:pPr>
    </w:p>
    <w:p w14:paraId="7BA576D4" w14:textId="516EE49C" w:rsidR="00AB0988" w:rsidRDefault="00F1469B" w:rsidP="001C350C">
      <w:pPr>
        <w:spacing w:line="360" w:lineRule="auto"/>
        <w:rPr>
          <w:rFonts w:ascii="Arial" w:hAnsi="Arial" w:cs="Arial"/>
          <w:color w:val="000000" w:themeColor="text1"/>
        </w:rPr>
      </w:pPr>
      <w:r>
        <w:rPr>
          <w:rFonts w:ascii="Arial" w:hAnsi="Arial" w:cs="Arial"/>
          <w:color w:val="000000" w:themeColor="text1"/>
        </w:rPr>
        <w:t xml:space="preserve">It could also be treated as a counteroffer. Acceptance of an offer must correspond exactly with the terms of the offer </w:t>
      </w:r>
      <w:r w:rsidR="00C83BED">
        <w:rPr>
          <w:rFonts w:ascii="Arial" w:hAnsi="Arial" w:cs="Arial"/>
          <w:color w:val="000000" w:themeColor="text1"/>
        </w:rPr>
        <w:t xml:space="preserve">for it </w:t>
      </w:r>
      <w:r>
        <w:rPr>
          <w:rFonts w:ascii="Arial" w:hAnsi="Arial" w:cs="Arial"/>
          <w:color w:val="000000" w:themeColor="text1"/>
        </w:rPr>
        <w:t>to be considered valid as Christine’s response introduced new terms or var</w:t>
      </w:r>
      <w:r w:rsidR="00C83BED">
        <w:rPr>
          <w:rFonts w:ascii="Arial" w:hAnsi="Arial" w:cs="Arial"/>
          <w:color w:val="000000" w:themeColor="text1"/>
        </w:rPr>
        <w:t>ied</w:t>
      </w:r>
      <w:r>
        <w:rPr>
          <w:rFonts w:ascii="Arial" w:hAnsi="Arial" w:cs="Arial"/>
          <w:color w:val="000000" w:themeColor="text1"/>
        </w:rPr>
        <w:t xml:space="preserve"> the terms </w:t>
      </w:r>
      <w:r w:rsidR="00C83BED">
        <w:rPr>
          <w:rFonts w:ascii="Arial" w:hAnsi="Arial" w:cs="Arial"/>
          <w:color w:val="000000" w:themeColor="text1"/>
        </w:rPr>
        <w:t>of</w:t>
      </w:r>
      <w:r>
        <w:rPr>
          <w:rFonts w:ascii="Arial" w:hAnsi="Arial" w:cs="Arial"/>
          <w:color w:val="000000" w:themeColor="text1"/>
        </w:rPr>
        <w:t xml:space="preserve"> the </w:t>
      </w:r>
      <w:r w:rsidR="006D4984">
        <w:rPr>
          <w:rFonts w:ascii="Arial" w:hAnsi="Arial" w:cs="Arial"/>
          <w:color w:val="000000" w:themeColor="text1"/>
        </w:rPr>
        <w:t xml:space="preserve">original </w:t>
      </w:r>
      <w:r>
        <w:rPr>
          <w:rFonts w:ascii="Arial" w:hAnsi="Arial" w:cs="Arial"/>
          <w:color w:val="000000" w:themeColor="text1"/>
        </w:rPr>
        <w:t>offer this would satisfy the requirements of a counteroffer render</w:t>
      </w:r>
      <w:r w:rsidR="00676D60">
        <w:rPr>
          <w:rFonts w:ascii="Arial" w:hAnsi="Arial" w:cs="Arial"/>
          <w:color w:val="000000" w:themeColor="text1"/>
        </w:rPr>
        <w:t>ing</w:t>
      </w:r>
      <w:r>
        <w:rPr>
          <w:rFonts w:ascii="Arial" w:hAnsi="Arial" w:cs="Arial"/>
          <w:color w:val="000000" w:themeColor="text1"/>
        </w:rPr>
        <w:t xml:space="preserve"> the original offer incapable of acceptance </w:t>
      </w:r>
      <w:r w:rsidR="006D4984">
        <w:rPr>
          <w:rFonts w:ascii="Arial" w:hAnsi="Arial" w:cs="Arial"/>
          <w:color w:val="000000" w:themeColor="text1"/>
        </w:rPr>
        <w:t xml:space="preserve">as can be seen in the case </w:t>
      </w:r>
      <w:r>
        <w:rPr>
          <w:rFonts w:ascii="Arial" w:hAnsi="Arial" w:cs="Arial"/>
          <w:color w:val="000000" w:themeColor="text1"/>
        </w:rPr>
        <w:t>Hyde v Wrench (1840).</w:t>
      </w:r>
    </w:p>
    <w:p w14:paraId="2CE5BC09" w14:textId="046B66C3" w:rsidR="00C83BED" w:rsidRDefault="00C83BED" w:rsidP="001C350C">
      <w:pPr>
        <w:spacing w:line="360" w:lineRule="auto"/>
        <w:rPr>
          <w:rFonts w:ascii="Arial" w:hAnsi="Arial" w:cs="Arial"/>
          <w:color w:val="000000" w:themeColor="text1"/>
        </w:rPr>
      </w:pPr>
    </w:p>
    <w:p w14:paraId="2751F0E0" w14:textId="56D3E33A" w:rsidR="00C83BED" w:rsidRDefault="00F1469B" w:rsidP="001C350C">
      <w:pPr>
        <w:spacing w:line="360" w:lineRule="auto"/>
        <w:rPr>
          <w:rFonts w:ascii="Arial" w:hAnsi="Arial" w:cs="Arial"/>
          <w:color w:val="000000" w:themeColor="text1"/>
        </w:rPr>
      </w:pPr>
      <w:r>
        <w:rPr>
          <w:rFonts w:ascii="Arial" w:hAnsi="Arial" w:cs="Arial"/>
          <w:color w:val="000000" w:themeColor="text1"/>
        </w:rPr>
        <w:t>In the case of a counteroffer, the roles would be reversed it would then be up to Ar</w:t>
      </w:r>
      <w:r>
        <w:rPr>
          <w:rFonts w:ascii="Arial" w:hAnsi="Arial" w:cs="Arial"/>
          <w:color w:val="000000" w:themeColor="text1"/>
        </w:rPr>
        <w:t>thur to accept the new term</w:t>
      </w:r>
      <w:r w:rsidR="006D4984">
        <w:rPr>
          <w:rFonts w:ascii="Arial" w:hAnsi="Arial" w:cs="Arial"/>
          <w:color w:val="000000" w:themeColor="text1"/>
        </w:rPr>
        <w:t>s</w:t>
      </w:r>
      <w:r>
        <w:rPr>
          <w:rFonts w:ascii="Arial" w:hAnsi="Arial" w:cs="Arial"/>
          <w:color w:val="000000" w:themeColor="text1"/>
        </w:rPr>
        <w:t xml:space="preserve"> Christine presents and both parties agreeing to these terms for this to be</w:t>
      </w:r>
      <w:r w:rsidR="006D4984">
        <w:rPr>
          <w:rFonts w:ascii="Arial" w:hAnsi="Arial" w:cs="Arial"/>
          <w:color w:val="000000" w:themeColor="text1"/>
        </w:rPr>
        <w:t xml:space="preserve"> a</w:t>
      </w:r>
      <w:r>
        <w:rPr>
          <w:rFonts w:ascii="Arial" w:hAnsi="Arial" w:cs="Arial"/>
          <w:color w:val="000000" w:themeColor="text1"/>
        </w:rPr>
        <w:t xml:space="preserve"> valid</w:t>
      </w:r>
      <w:r w:rsidR="006D4984">
        <w:rPr>
          <w:rFonts w:ascii="Arial" w:hAnsi="Arial" w:cs="Arial"/>
          <w:color w:val="000000" w:themeColor="text1"/>
        </w:rPr>
        <w:t xml:space="preserve"> contract</w:t>
      </w:r>
      <w:r>
        <w:rPr>
          <w:rFonts w:ascii="Arial" w:hAnsi="Arial" w:cs="Arial"/>
          <w:color w:val="000000" w:themeColor="text1"/>
        </w:rPr>
        <w:t xml:space="preserve">. </w:t>
      </w:r>
    </w:p>
    <w:p w14:paraId="4656F6B9" w14:textId="1143EF53" w:rsidR="00C83BED" w:rsidRDefault="00C83BED" w:rsidP="001C350C">
      <w:pPr>
        <w:spacing w:line="360" w:lineRule="auto"/>
        <w:rPr>
          <w:rFonts w:ascii="Arial" w:hAnsi="Arial" w:cs="Arial"/>
          <w:color w:val="000000" w:themeColor="text1"/>
        </w:rPr>
      </w:pPr>
    </w:p>
    <w:p w14:paraId="6A672F2B" w14:textId="2DF05FAF" w:rsidR="00C83BED" w:rsidRDefault="00F1469B" w:rsidP="001C350C">
      <w:pPr>
        <w:spacing w:line="360" w:lineRule="auto"/>
        <w:rPr>
          <w:rFonts w:ascii="Arial" w:hAnsi="Arial" w:cs="Arial"/>
          <w:color w:val="000000" w:themeColor="text1"/>
        </w:rPr>
      </w:pPr>
      <w:r>
        <w:rPr>
          <w:rFonts w:ascii="Arial" w:hAnsi="Arial" w:cs="Arial"/>
          <w:color w:val="000000" w:themeColor="text1"/>
        </w:rPr>
        <w:t xml:space="preserve">Arthur does not respond to Christine’s request therefore no contract is formed. However, Christine does follow up with a </w:t>
      </w:r>
      <w:r w:rsidR="00F90EFF">
        <w:rPr>
          <w:rFonts w:ascii="Arial" w:hAnsi="Arial" w:cs="Arial"/>
          <w:color w:val="000000" w:themeColor="text1"/>
        </w:rPr>
        <w:t xml:space="preserve">third email after her email in which she asks if the payment can be split accepting Arthur's request for payment of £13,000 </w:t>
      </w:r>
      <w:r w:rsidR="006D4984">
        <w:rPr>
          <w:rFonts w:ascii="Arial" w:hAnsi="Arial" w:cs="Arial"/>
          <w:color w:val="000000" w:themeColor="text1"/>
        </w:rPr>
        <w:t xml:space="preserve">which she can now pay </w:t>
      </w:r>
      <w:r w:rsidR="00F90EFF">
        <w:rPr>
          <w:rFonts w:ascii="Arial" w:hAnsi="Arial" w:cs="Arial"/>
          <w:color w:val="000000" w:themeColor="text1"/>
        </w:rPr>
        <w:t>in full.</w:t>
      </w:r>
    </w:p>
    <w:p w14:paraId="61A8B2C4" w14:textId="1FDEEE82" w:rsidR="00F90EFF" w:rsidRDefault="00F90EFF" w:rsidP="001C350C">
      <w:pPr>
        <w:spacing w:line="360" w:lineRule="auto"/>
        <w:rPr>
          <w:rFonts w:ascii="Arial" w:hAnsi="Arial" w:cs="Arial"/>
          <w:color w:val="000000" w:themeColor="text1"/>
        </w:rPr>
      </w:pPr>
    </w:p>
    <w:p w14:paraId="4670BAE2" w14:textId="38C1A6A5" w:rsidR="00F90EFF" w:rsidRDefault="00F1469B" w:rsidP="001C350C">
      <w:pPr>
        <w:spacing w:line="360" w:lineRule="auto"/>
        <w:rPr>
          <w:rFonts w:ascii="Arial" w:hAnsi="Arial" w:cs="Arial"/>
          <w:color w:val="000000" w:themeColor="text1"/>
        </w:rPr>
      </w:pPr>
      <w:r>
        <w:rPr>
          <w:rFonts w:ascii="Arial" w:hAnsi="Arial" w:cs="Arial"/>
          <w:color w:val="000000" w:themeColor="text1"/>
        </w:rPr>
        <w:t xml:space="preserve">If it is viewed that Christine’s email asking for two payments is merely a request for further </w:t>
      </w:r>
      <w:r w:rsidR="006D4984">
        <w:rPr>
          <w:rFonts w:ascii="Arial" w:hAnsi="Arial" w:cs="Arial"/>
          <w:color w:val="000000" w:themeColor="text1"/>
        </w:rPr>
        <w:t>information,</w:t>
      </w:r>
      <w:r>
        <w:rPr>
          <w:rFonts w:ascii="Arial" w:hAnsi="Arial" w:cs="Arial"/>
          <w:color w:val="000000" w:themeColor="text1"/>
        </w:rPr>
        <w:t xml:space="preserve"> the</w:t>
      </w:r>
      <w:r>
        <w:rPr>
          <w:rFonts w:ascii="Arial" w:hAnsi="Arial" w:cs="Arial"/>
          <w:color w:val="000000" w:themeColor="text1"/>
        </w:rPr>
        <w:t xml:space="preserve">n her email stating she can pay the full amount </w:t>
      </w:r>
      <w:r w:rsidR="006D4984">
        <w:rPr>
          <w:rFonts w:ascii="Arial" w:hAnsi="Arial" w:cs="Arial"/>
          <w:color w:val="000000" w:themeColor="text1"/>
        </w:rPr>
        <w:t>would be viewed as acceptance of the original offer. If Christine’s second email is considered a counteroffer this would make the original offer invalid</w:t>
      </w:r>
      <w:r w:rsidR="00C60025">
        <w:rPr>
          <w:rFonts w:ascii="Arial" w:hAnsi="Arial" w:cs="Arial"/>
          <w:color w:val="000000" w:themeColor="text1"/>
        </w:rPr>
        <w:t xml:space="preserve">, </w:t>
      </w:r>
      <w:r w:rsidR="006D4984">
        <w:rPr>
          <w:rFonts w:ascii="Arial" w:hAnsi="Arial" w:cs="Arial"/>
          <w:color w:val="000000" w:themeColor="text1"/>
        </w:rPr>
        <w:t xml:space="preserve">as Arthur did not respond to Christine's email asking whether two payments would be accepted </w:t>
      </w:r>
      <w:r w:rsidR="00C60025">
        <w:rPr>
          <w:rFonts w:ascii="Arial" w:hAnsi="Arial" w:cs="Arial"/>
          <w:color w:val="000000" w:themeColor="text1"/>
        </w:rPr>
        <w:t xml:space="preserve">it maybe be deemed contractual as her latest email agrees to Arthurs's original terms. </w:t>
      </w:r>
    </w:p>
    <w:p w14:paraId="6504B485" w14:textId="554FA4D9" w:rsidR="0010663F" w:rsidRDefault="00F1469B" w:rsidP="0010663F">
      <w:pPr>
        <w:spacing w:line="360" w:lineRule="auto"/>
        <w:rPr>
          <w:rFonts w:ascii="Arial" w:hAnsi="Arial" w:cs="Arial"/>
          <w:color w:val="000000" w:themeColor="text1"/>
        </w:rPr>
      </w:pPr>
      <w:r>
        <w:rPr>
          <w:rFonts w:ascii="Arial" w:hAnsi="Arial" w:cs="Arial"/>
          <w:color w:val="000000" w:themeColor="text1"/>
        </w:rPr>
        <w:lastRenderedPageBreak/>
        <w:t xml:space="preserve">Also, to consider would be the manner of communication as </w:t>
      </w:r>
      <w:r w:rsidR="00761773">
        <w:rPr>
          <w:rFonts w:ascii="Arial" w:hAnsi="Arial" w:cs="Arial"/>
          <w:color w:val="000000" w:themeColor="text1"/>
        </w:rPr>
        <w:t>difficulties can arise when communicating offers and counteroffers via email</w:t>
      </w:r>
      <w:r w:rsidR="00D44762">
        <w:rPr>
          <w:rFonts w:ascii="Arial" w:hAnsi="Arial" w:cs="Arial"/>
          <w:color w:val="000000" w:themeColor="text1"/>
        </w:rPr>
        <w:t xml:space="preserve"> an </w:t>
      </w:r>
      <w:r w:rsidR="00761773">
        <w:rPr>
          <w:rFonts w:ascii="Arial" w:hAnsi="Arial" w:cs="Arial"/>
          <w:color w:val="000000" w:themeColor="text1"/>
        </w:rPr>
        <w:t>example of this can be found in the case of Grant v Bragg (2009).</w:t>
      </w:r>
    </w:p>
    <w:p w14:paraId="6B73EC4D" w14:textId="593D2D26" w:rsidR="00D44762" w:rsidRDefault="00D44762" w:rsidP="0010663F">
      <w:pPr>
        <w:spacing w:line="360" w:lineRule="auto"/>
        <w:rPr>
          <w:rFonts w:ascii="Arial" w:hAnsi="Arial" w:cs="Arial"/>
          <w:color w:val="000000" w:themeColor="text1"/>
        </w:rPr>
      </w:pPr>
    </w:p>
    <w:p w14:paraId="1AF9E94B" w14:textId="30F83A9E" w:rsidR="00D44762" w:rsidRDefault="00F1469B" w:rsidP="0010663F">
      <w:pPr>
        <w:spacing w:line="360" w:lineRule="auto"/>
        <w:rPr>
          <w:rFonts w:ascii="Arial" w:hAnsi="Arial" w:cs="Arial"/>
          <w:color w:val="000000" w:themeColor="text1"/>
        </w:rPr>
      </w:pPr>
      <w:r>
        <w:rPr>
          <w:rFonts w:ascii="Arial" w:hAnsi="Arial" w:cs="Arial"/>
          <w:color w:val="000000" w:themeColor="text1"/>
        </w:rPr>
        <w:t xml:space="preserve">When communicating via email </w:t>
      </w:r>
      <w:r w:rsidR="0096266D">
        <w:rPr>
          <w:rFonts w:ascii="Arial" w:hAnsi="Arial" w:cs="Arial"/>
          <w:color w:val="000000" w:themeColor="text1"/>
        </w:rPr>
        <w:t>this could be deemed as a social interaction which forms the presumption that there is no intent to create legal relations however this presumption may be rebutted</w:t>
      </w:r>
      <w:r w:rsidR="009F093D">
        <w:rPr>
          <w:rFonts w:ascii="Arial" w:hAnsi="Arial" w:cs="Arial"/>
          <w:color w:val="000000" w:themeColor="text1"/>
        </w:rPr>
        <w:t>.</w:t>
      </w:r>
    </w:p>
    <w:p w14:paraId="3DED9A96" w14:textId="5F504881" w:rsidR="009F093D" w:rsidRDefault="009F093D" w:rsidP="0010663F">
      <w:pPr>
        <w:spacing w:line="360" w:lineRule="auto"/>
        <w:rPr>
          <w:rFonts w:ascii="Arial" w:hAnsi="Arial" w:cs="Arial"/>
          <w:color w:val="000000" w:themeColor="text1"/>
        </w:rPr>
      </w:pPr>
    </w:p>
    <w:p w14:paraId="3D651924" w14:textId="4CEB861B" w:rsidR="009F093D" w:rsidRPr="009F093D" w:rsidRDefault="00F1469B" w:rsidP="009F093D">
      <w:pPr>
        <w:spacing w:line="360" w:lineRule="auto"/>
        <w:rPr>
          <w:rFonts w:ascii="Arial" w:hAnsi="Arial" w:cs="Arial"/>
        </w:rPr>
      </w:pPr>
      <w:r>
        <w:rPr>
          <w:rFonts w:ascii="Arial" w:hAnsi="Arial" w:cs="Arial"/>
        </w:rPr>
        <w:t>Christine may also revoke the original offer r</w:t>
      </w:r>
      <w:r w:rsidRPr="009F093D">
        <w:rPr>
          <w:rFonts w:ascii="Arial" w:hAnsi="Arial" w:cs="Arial"/>
        </w:rPr>
        <w:t xml:space="preserve">evocation is the withdrawal of an offer. Providing the revocation is communicated to the offeree before the offer is accepted would allow the revocation to apply. A key case involving revocation would be the case of </w:t>
      </w:r>
      <w:r w:rsidR="002B615E">
        <w:rPr>
          <w:rFonts w:ascii="Arial" w:hAnsi="Arial" w:cs="Arial"/>
        </w:rPr>
        <w:t>Routledge v Grant (1828).</w:t>
      </w:r>
    </w:p>
    <w:p w14:paraId="25FA58CD" w14:textId="77777777" w:rsidR="009F093D" w:rsidRDefault="009F093D" w:rsidP="0010663F">
      <w:pPr>
        <w:spacing w:line="360" w:lineRule="auto"/>
        <w:rPr>
          <w:rFonts w:ascii="Arial" w:hAnsi="Arial" w:cs="Arial"/>
          <w:color w:val="000000" w:themeColor="text1"/>
        </w:rPr>
      </w:pPr>
    </w:p>
    <w:p w14:paraId="0B2D24BB" w14:textId="77777777" w:rsidR="0096266D" w:rsidRDefault="0096266D" w:rsidP="0010663F">
      <w:pPr>
        <w:spacing w:line="360" w:lineRule="auto"/>
        <w:rPr>
          <w:rFonts w:ascii="Arial" w:hAnsi="Arial" w:cs="Arial"/>
          <w:color w:val="000000" w:themeColor="text1"/>
        </w:rPr>
      </w:pPr>
    </w:p>
    <w:p w14:paraId="72933EAF" w14:textId="793A0EE7" w:rsidR="00F9541A" w:rsidRDefault="00F1469B" w:rsidP="00B83D88">
      <w:pPr>
        <w:spacing w:line="360" w:lineRule="auto"/>
        <w:rPr>
          <w:rFonts w:ascii="Arial" w:hAnsi="Arial" w:cs="Arial"/>
          <w:color w:val="000000" w:themeColor="text1"/>
        </w:rPr>
      </w:pPr>
      <w:r>
        <w:rPr>
          <w:rFonts w:ascii="Arial" w:hAnsi="Arial" w:cs="Arial"/>
          <w:color w:val="000000" w:themeColor="text1"/>
        </w:rPr>
        <w:t xml:space="preserve">Considering </w:t>
      </w:r>
      <w:r>
        <w:rPr>
          <w:rFonts w:ascii="Arial" w:hAnsi="Arial" w:cs="Arial"/>
          <w:color w:val="000000" w:themeColor="text1"/>
        </w:rPr>
        <w:t xml:space="preserve">the above it would seem that Christine does </w:t>
      </w:r>
      <w:r w:rsidR="00B83D88">
        <w:rPr>
          <w:rFonts w:ascii="Arial" w:hAnsi="Arial" w:cs="Arial"/>
          <w:color w:val="000000" w:themeColor="text1"/>
        </w:rPr>
        <w:t xml:space="preserve">have a valid contract as the third email stating she can pay in full the amount requested by Arthur could be deemed a revocation of the counteroffer as she has now met the original terms. </w:t>
      </w:r>
    </w:p>
    <w:p w14:paraId="19D4EF39" w14:textId="77777777" w:rsidR="0010663F" w:rsidRPr="001C350C" w:rsidRDefault="0010663F" w:rsidP="0010663F">
      <w:pPr>
        <w:spacing w:line="360" w:lineRule="auto"/>
        <w:rPr>
          <w:rFonts w:ascii="Arial" w:hAnsi="Arial" w:cs="Arial"/>
          <w:color w:val="000000" w:themeColor="text1"/>
        </w:rPr>
      </w:pPr>
    </w:p>
    <w:p w14:paraId="0473791C" w14:textId="7235581E" w:rsidR="00546591" w:rsidRPr="001C350C" w:rsidRDefault="00F1469B" w:rsidP="001C350C">
      <w:pPr>
        <w:spacing w:line="360" w:lineRule="auto"/>
        <w:rPr>
          <w:rFonts w:ascii="Arial" w:hAnsi="Arial" w:cs="Arial"/>
          <w:color w:val="000000" w:themeColor="text1"/>
        </w:rPr>
      </w:pPr>
      <w:r w:rsidRPr="001C350C">
        <w:rPr>
          <w:rFonts w:ascii="Arial" w:hAnsi="Arial" w:cs="Arial"/>
          <w:color w:val="000000" w:themeColor="text1"/>
        </w:rPr>
        <w:t xml:space="preserve">In the case of </w:t>
      </w:r>
      <w:r w:rsidR="00C52475" w:rsidRPr="001C350C">
        <w:rPr>
          <w:rFonts w:ascii="Arial" w:hAnsi="Arial" w:cs="Arial"/>
          <w:color w:val="000000" w:themeColor="text1"/>
        </w:rPr>
        <w:t>Dennis,</w:t>
      </w:r>
      <w:r w:rsidRPr="001C350C">
        <w:rPr>
          <w:rFonts w:ascii="Arial" w:hAnsi="Arial" w:cs="Arial"/>
          <w:color w:val="000000" w:themeColor="text1"/>
        </w:rPr>
        <w:t xml:space="preserve"> he </w:t>
      </w:r>
      <w:r w:rsidR="002B726D">
        <w:rPr>
          <w:rFonts w:ascii="Arial" w:hAnsi="Arial" w:cs="Arial"/>
          <w:color w:val="000000" w:themeColor="text1"/>
        </w:rPr>
        <w:t>may</w:t>
      </w:r>
      <w:r w:rsidRPr="001C350C">
        <w:rPr>
          <w:rFonts w:ascii="Arial" w:hAnsi="Arial" w:cs="Arial"/>
          <w:color w:val="000000" w:themeColor="text1"/>
        </w:rPr>
        <w:t xml:space="preserve"> </w:t>
      </w:r>
      <w:r w:rsidR="00B83D88">
        <w:rPr>
          <w:rFonts w:ascii="Arial" w:hAnsi="Arial" w:cs="Arial"/>
          <w:color w:val="000000" w:themeColor="text1"/>
        </w:rPr>
        <w:t>also</w:t>
      </w:r>
      <w:r w:rsidRPr="001C350C">
        <w:rPr>
          <w:rFonts w:ascii="Arial" w:hAnsi="Arial" w:cs="Arial"/>
          <w:color w:val="000000" w:themeColor="text1"/>
        </w:rPr>
        <w:t xml:space="preserve"> have a contractual agreement </w:t>
      </w:r>
      <w:r w:rsidR="00594782" w:rsidRPr="001C350C">
        <w:rPr>
          <w:rFonts w:ascii="Arial" w:hAnsi="Arial" w:cs="Arial"/>
          <w:color w:val="000000" w:themeColor="text1"/>
        </w:rPr>
        <w:t xml:space="preserve">as he did respond via email stating that he would be willing to pay £13,000 that Arthur had requested </w:t>
      </w:r>
      <w:r w:rsidR="00EC19D0" w:rsidRPr="001C350C">
        <w:rPr>
          <w:rFonts w:ascii="Arial" w:hAnsi="Arial" w:cs="Arial"/>
          <w:color w:val="000000" w:themeColor="text1"/>
        </w:rPr>
        <w:t xml:space="preserve">therefore </w:t>
      </w:r>
      <w:r w:rsidR="00B83D88">
        <w:rPr>
          <w:rFonts w:ascii="Arial" w:hAnsi="Arial" w:cs="Arial"/>
          <w:color w:val="000000" w:themeColor="text1"/>
        </w:rPr>
        <w:t xml:space="preserve">expressing </w:t>
      </w:r>
      <w:r w:rsidR="00EC19D0" w:rsidRPr="001C350C">
        <w:rPr>
          <w:rFonts w:ascii="Arial" w:hAnsi="Arial" w:cs="Arial"/>
          <w:color w:val="000000" w:themeColor="text1"/>
        </w:rPr>
        <w:t xml:space="preserve">acceptance </w:t>
      </w:r>
      <w:r w:rsidR="00B83D88">
        <w:rPr>
          <w:rFonts w:ascii="Arial" w:hAnsi="Arial" w:cs="Arial"/>
          <w:color w:val="000000" w:themeColor="text1"/>
        </w:rPr>
        <w:t xml:space="preserve">to Arthur’s </w:t>
      </w:r>
      <w:r w:rsidR="00C52475">
        <w:rPr>
          <w:rFonts w:ascii="Arial" w:hAnsi="Arial" w:cs="Arial"/>
          <w:color w:val="000000" w:themeColor="text1"/>
        </w:rPr>
        <w:t xml:space="preserve">offer forming an agreement. </w:t>
      </w:r>
    </w:p>
    <w:p w14:paraId="64A9AA1A" w14:textId="77777777" w:rsidR="00C52475" w:rsidRDefault="00C52475" w:rsidP="001C350C">
      <w:pPr>
        <w:spacing w:line="360" w:lineRule="auto"/>
        <w:rPr>
          <w:rFonts w:ascii="Arial" w:hAnsi="Arial" w:cs="Arial"/>
          <w:color w:val="000000" w:themeColor="text1"/>
        </w:rPr>
      </w:pPr>
    </w:p>
    <w:p w14:paraId="1F2951AE" w14:textId="5BEF9BF5" w:rsidR="008D6C34" w:rsidRDefault="00F1469B" w:rsidP="001C350C">
      <w:pPr>
        <w:spacing w:line="360" w:lineRule="auto"/>
        <w:rPr>
          <w:rFonts w:ascii="Arial" w:hAnsi="Arial" w:cs="Arial"/>
          <w:color w:val="000000" w:themeColor="text1"/>
        </w:rPr>
      </w:pPr>
      <w:r w:rsidRPr="001C350C">
        <w:rPr>
          <w:rFonts w:ascii="Arial" w:hAnsi="Arial" w:cs="Arial"/>
          <w:color w:val="000000" w:themeColor="text1"/>
        </w:rPr>
        <w:t>Also,</w:t>
      </w:r>
      <w:r w:rsidR="00EC19D0" w:rsidRPr="001C350C">
        <w:rPr>
          <w:rFonts w:ascii="Arial" w:hAnsi="Arial" w:cs="Arial"/>
          <w:color w:val="000000" w:themeColor="text1"/>
        </w:rPr>
        <w:t xml:space="preserve"> to consider </w:t>
      </w:r>
      <w:r w:rsidR="00C52475">
        <w:rPr>
          <w:rFonts w:ascii="Arial" w:hAnsi="Arial" w:cs="Arial"/>
          <w:color w:val="000000" w:themeColor="text1"/>
        </w:rPr>
        <w:t>would be</w:t>
      </w:r>
      <w:r w:rsidR="00EC19D0" w:rsidRPr="001C350C">
        <w:rPr>
          <w:rFonts w:ascii="Arial" w:hAnsi="Arial" w:cs="Arial"/>
          <w:color w:val="000000" w:themeColor="text1"/>
        </w:rPr>
        <w:t xml:space="preserve"> the time in which Dennis sent the email as he sent it at 5 pm this may constitute sending the correspondence outside of working </w:t>
      </w:r>
      <w:r w:rsidRPr="001C350C">
        <w:rPr>
          <w:rFonts w:ascii="Arial" w:hAnsi="Arial" w:cs="Arial"/>
          <w:color w:val="000000" w:themeColor="text1"/>
        </w:rPr>
        <w:t xml:space="preserve">hours if Dennis is considering using the postal rule to enforce his offer </w:t>
      </w:r>
      <w:r w:rsidR="00EC19D0" w:rsidRPr="001C350C">
        <w:rPr>
          <w:rFonts w:ascii="Arial" w:hAnsi="Arial" w:cs="Arial"/>
          <w:color w:val="000000" w:themeColor="text1"/>
        </w:rPr>
        <w:t xml:space="preserve">this could be </w:t>
      </w:r>
      <w:r w:rsidRPr="001C350C">
        <w:rPr>
          <w:rFonts w:ascii="Arial" w:hAnsi="Arial" w:cs="Arial"/>
          <w:color w:val="000000" w:themeColor="text1"/>
        </w:rPr>
        <w:t>circumstantial. If an email is sent out</w:t>
      </w:r>
      <w:r w:rsidRPr="001C350C">
        <w:rPr>
          <w:rFonts w:ascii="Arial" w:hAnsi="Arial" w:cs="Arial"/>
          <w:color w:val="000000" w:themeColor="text1"/>
        </w:rPr>
        <w:t xml:space="preserve">side of working hours, it is expected that the communication will be read the following day, or the next working day as demonstrated in Mondial Shipping and Chartering BV v Astarte Shipping Ltd (1995). </w:t>
      </w:r>
    </w:p>
    <w:p w14:paraId="6C0017BF" w14:textId="5A9BF6B1" w:rsidR="00B83D88" w:rsidRDefault="00B83D88" w:rsidP="001C350C">
      <w:pPr>
        <w:spacing w:line="360" w:lineRule="auto"/>
        <w:rPr>
          <w:rFonts w:ascii="Arial" w:hAnsi="Arial" w:cs="Arial"/>
          <w:color w:val="000000" w:themeColor="text1"/>
        </w:rPr>
      </w:pPr>
    </w:p>
    <w:p w14:paraId="46668A63" w14:textId="7AC61F22" w:rsidR="00B83D88" w:rsidRDefault="00F1469B" w:rsidP="00B83D88">
      <w:pPr>
        <w:spacing w:line="360" w:lineRule="auto"/>
        <w:jc w:val="both"/>
        <w:rPr>
          <w:rFonts w:ascii="Arial" w:hAnsi="Arial" w:cs="Arial"/>
          <w:color w:val="000000" w:themeColor="text1"/>
        </w:rPr>
      </w:pPr>
      <w:r>
        <w:rPr>
          <w:rFonts w:ascii="Arial" w:hAnsi="Arial" w:cs="Arial"/>
          <w:color w:val="000000" w:themeColor="text1"/>
        </w:rPr>
        <w:t>However, i</w:t>
      </w:r>
      <w:r w:rsidRPr="001C350C">
        <w:rPr>
          <w:rFonts w:ascii="Arial" w:hAnsi="Arial" w:cs="Arial"/>
          <w:color w:val="000000" w:themeColor="text1"/>
        </w:rPr>
        <w:t xml:space="preserve">n the case of Thomas v BPE Solicitors (2010), it was deemed that </w:t>
      </w:r>
      <w:r>
        <w:rPr>
          <w:rFonts w:ascii="Arial" w:hAnsi="Arial" w:cs="Arial"/>
          <w:color w:val="000000" w:themeColor="text1"/>
        </w:rPr>
        <w:t>the 'office hours receipt' rule applies to acceptances by email also that 6 pm was not considered outside of working hours.</w:t>
      </w:r>
      <w:r w:rsidR="002B726D">
        <w:rPr>
          <w:rFonts w:ascii="Arial" w:hAnsi="Arial" w:cs="Arial"/>
          <w:color w:val="000000" w:themeColor="text1"/>
        </w:rPr>
        <w:t xml:space="preserve"> As Dennis sent his email at 5 pm based on the facts of this case it would be deemed as accepted within office hours. </w:t>
      </w:r>
    </w:p>
    <w:p w14:paraId="13B63545" w14:textId="50265236" w:rsidR="00C52475" w:rsidRDefault="00C52475" w:rsidP="00B83D88">
      <w:pPr>
        <w:spacing w:line="360" w:lineRule="auto"/>
        <w:jc w:val="both"/>
        <w:rPr>
          <w:rFonts w:ascii="Arial" w:hAnsi="Arial" w:cs="Arial"/>
          <w:color w:val="000000" w:themeColor="text1"/>
        </w:rPr>
      </w:pPr>
    </w:p>
    <w:p w14:paraId="692CB9A8" w14:textId="375F9CF4" w:rsidR="00C52475" w:rsidRPr="001C350C" w:rsidRDefault="00F1469B" w:rsidP="00B83D88">
      <w:pPr>
        <w:spacing w:line="360" w:lineRule="auto"/>
        <w:jc w:val="both"/>
        <w:rPr>
          <w:rFonts w:ascii="Arial" w:hAnsi="Arial" w:cs="Arial"/>
          <w:color w:val="000000" w:themeColor="text1"/>
        </w:rPr>
      </w:pPr>
      <w:r>
        <w:rPr>
          <w:rFonts w:ascii="Arial" w:hAnsi="Arial" w:cs="Arial"/>
          <w:color w:val="000000" w:themeColor="text1"/>
        </w:rPr>
        <w:t>In the case of Brinkibon v Stahag Stahl (1983), Lord Wilberforce deemed that there is no universal rule that can cover each case, therefore, left the position open for the courts to deal with new communic</w:t>
      </w:r>
      <w:r>
        <w:rPr>
          <w:rFonts w:ascii="Arial" w:hAnsi="Arial" w:cs="Arial"/>
          <w:color w:val="000000" w:themeColor="text1"/>
        </w:rPr>
        <w:t xml:space="preserve">ations and technologies allowing the courts to take a common-sense approach in individual cases. </w:t>
      </w:r>
      <w:r w:rsidR="002B726D">
        <w:rPr>
          <w:rFonts w:ascii="Arial" w:hAnsi="Arial" w:cs="Arial"/>
          <w:color w:val="000000" w:themeColor="text1"/>
        </w:rPr>
        <w:t>This case would reinforce that acceptance sent via email would suffice in forming a contract</w:t>
      </w:r>
    </w:p>
    <w:p w14:paraId="3F789AB8" w14:textId="77777777" w:rsidR="00C52475" w:rsidRDefault="00C52475" w:rsidP="0096266D">
      <w:pPr>
        <w:spacing w:line="360" w:lineRule="auto"/>
        <w:rPr>
          <w:rFonts w:ascii="Arial" w:hAnsi="Arial" w:cs="Arial"/>
          <w:color w:val="000000" w:themeColor="text1"/>
        </w:rPr>
      </w:pPr>
    </w:p>
    <w:p w14:paraId="60AFC6D2" w14:textId="269BC199" w:rsidR="008D6C34" w:rsidRPr="001C350C" w:rsidRDefault="00F1469B" w:rsidP="0096266D">
      <w:pPr>
        <w:spacing w:line="360" w:lineRule="auto"/>
        <w:rPr>
          <w:rFonts w:ascii="Arial" w:hAnsi="Arial" w:cs="Arial"/>
          <w:color w:val="000000" w:themeColor="text1"/>
        </w:rPr>
      </w:pPr>
      <w:r w:rsidRPr="001C350C">
        <w:rPr>
          <w:rFonts w:ascii="Arial" w:hAnsi="Arial" w:cs="Arial"/>
          <w:color w:val="000000" w:themeColor="text1"/>
        </w:rPr>
        <w:t>To summarise</w:t>
      </w:r>
      <w:r w:rsidR="00C52475">
        <w:rPr>
          <w:rFonts w:ascii="Arial" w:hAnsi="Arial" w:cs="Arial"/>
          <w:color w:val="000000" w:themeColor="text1"/>
        </w:rPr>
        <w:t xml:space="preserve"> it would seem </w:t>
      </w:r>
      <w:r w:rsidR="00B83D88">
        <w:rPr>
          <w:rFonts w:ascii="Arial" w:hAnsi="Arial" w:cs="Arial"/>
          <w:color w:val="000000" w:themeColor="text1"/>
        </w:rPr>
        <w:t xml:space="preserve">Arthur has two contractual agreements with both Christine and Dennis. </w:t>
      </w:r>
      <w:r w:rsidRPr="001C350C">
        <w:rPr>
          <w:rFonts w:ascii="Arial" w:hAnsi="Arial" w:cs="Arial"/>
          <w:color w:val="000000" w:themeColor="text1"/>
        </w:rPr>
        <w:t xml:space="preserve"> </w:t>
      </w:r>
    </w:p>
    <w:p w14:paraId="1D04BA24" w14:textId="5D1DCBCC" w:rsidR="008D6C34" w:rsidRPr="001C350C" w:rsidRDefault="008D6C34" w:rsidP="001C350C">
      <w:pPr>
        <w:spacing w:line="360" w:lineRule="auto"/>
        <w:jc w:val="both"/>
        <w:rPr>
          <w:rFonts w:ascii="Arial" w:hAnsi="Arial" w:cs="Arial"/>
          <w:color w:val="000000" w:themeColor="text1"/>
        </w:rPr>
      </w:pPr>
    </w:p>
    <w:p w14:paraId="5B203BBB" w14:textId="77777777" w:rsidR="008D6C34" w:rsidRPr="001C350C" w:rsidRDefault="008D6C34" w:rsidP="001C350C">
      <w:pPr>
        <w:spacing w:line="360" w:lineRule="auto"/>
        <w:jc w:val="both"/>
        <w:rPr>
          <w:rFonts w:ascii="Arial" w:hAnsi="Arial" w:cs="Arial"/>
          <w:color w:val="000000" w:themeColor="text1"/>
        </w:rPr>
      </w:pPr>
    </w:p>
    <w:p w14:paraId="59A34754" w14:textId="00F39E18" w:rsidR="008D6C34"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 xml:space="preserve"> </w:t>
      </w:r>
    </w:p>
    <w:p w14:paraId="6943C6D4" w14:textId="4858335F" w:rsidR="00546591" w:rsidRPr="001C350C" w:rsidRDefault="00546591" w:rsidP="001C350C">
      <w:pPr>
        <w:spacing w:line="360" w:lineRule="auto"/>
        <w:jc w:val="both"/>
        <w:rPr>
          <w:rFonts w:ascii="Arial" w:hAnsi="Arial" w:cs="Arial"/>
          <w:color w:val="000000" w:themeColor="text1"/>
        </w:rPr>
      </w:pPr>
    </w:p>
    <w:p w14:paraId="7AB7AD75" w14:textId="77777777" w:rsidR="00546591" w:rsidRPr="001C350C" w:rsidRDefault="00546591" w:rsidP="001C350C">
      <w:pPr>
        <w:spacing w:line="360" w:lineRule="auto"/>
        <w:jc w:val="both"/>
        <w:rPr>
          <w:rFonts w:ascii="Arial" w:hAnsi="Arial" w:cs="Arial"/>
          <w:color w:val="000000" w:themeColor="text1"/>
        </w:rPr>
      </w:pPr>
    </w:p>
    <w:p w14:paraId="05B9A286" w14:textId="77777777" w:rsidR="00546591" w:rsidRPr="001C350C" w:rsidRDefault="00546591" w:rsidP="001C350C">
      <w:pPr>
        <w:spacing w:line="360" w:lineRule="auto"/>
        <w:jc w:val="both"/>
        <w:rPr>
          <w:rFonts w:ascii="Arial" w:hAnsi="Arial" w:cs="Arial"/>
          <w:color w:val="000000" w:themeColor="text1"/>
        </w:rPr>
      </w:pPr>
    </w:p>
    <w:p w14:paraId="20D765D1" w14:textId="0269C2C5" w:rsidR="00546591" w:rsidRPr="001C350C" w:rsidRDefault="00546591" w:rsidP="001C350C">
      <w:pPr>
        <w:spacing w:line="360" w:lineRule="auto"/>
        <w:jc w:val="both"/>
        <w:rPr>
          <w:rFonts w:ascii="Arial" w:hAnsi="Arial" w:cs="Arial"/>
          <w:color w:val="000000" w:themeColor="text1"/>
        </w:rPr>
      </w:pPr>
    </w:p>
    <w:p w14:paraId="2E61A9C1" w14:textId="77777777" w:rsidR="00546591" w:rsidRPr="001C350C" w:rsidRDefault="00546591" w:rsidP="001C350C">
      <w:pPr>
        <w:spacing w:line="360" w:lineRule="auto"/>
        <w:jc w:val="both"/>
        <w:rPr>
          <w:rFonts w:ascii="Arial" w:hAnsi="Arial" w:cs="Arial"/>
          <w:color w:val="000000" w:themeColor="text1"/>
        </w:rPr>
      </w:pPr>
    </w:p>
    <w:p w14:paraId="77384BC8" w14:textId="5AC92449" w:rsidR="0049789A"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 xml:space="preserve">          </w:t>
      </w:r>
    </w:p>
    <w:p w14:paraId="4832B047" w14:textId="77777777" w:rsidR="008D2859" w:rsidRPr="001C350C" w:rsidRDefault="00F1469B" w:rsidP="008D2859">
      <w:pPr>
        <w:pStyle w:val="ListParagraph"/>
        <w:spacing w:line="360" w:lineRule="auto"/>
        <w:ind w:left="785"/>
        <w:rPr>
          <w:rFonts w:ascii="Arial" w:hAnsi="Arial" w:cs="Arial"/>
        </w:rPr>
      </w:pPr>
      <w:r w:rsidRPr="001C350C">
        <w:rPr>
          <w:rFonts w:ascii="Arial" w:hAnsi="Arial" w:cs="Arial"/>
          <w:color w:val="000000" w:themeColor="text1"/>
        </w:rPr>
        <w:t xml:space="preserve">             </w:t>
      </w:r>
    </w:p>
    <w:p w14:paraId="1B554996" w14:textId="5DE30FE6" w:rsidR="000D50AD" w:rsidRPr="001C350C" w:rsidRDefault="000D50AD" w:rsidP="001C350C">
      <w:pPr>
        <w:spacing w:line="360" w:lineRule="auto"/>
        <w:jc w:val="both"/>
        <w:rPr>
          <w:rFonts w:ascii="Arial" w:hAnsi="Arial" w:cs="Arial"/>
          <w:color w:val="000000" w:themeColor="text1"/>
        </w:rPr>
      </w:pPr>
    </w:p>
    <w:p w14:paraId="5DC340D0" w14:textId="39944DA8" w:rsidR="0049789A"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 xml:space="preserve">            </w:t>
      </w:r>
    </w:p>
    <w:p w14:paraId="0A4810DB" w14:textId="40C54B8D" w:rsidR="0049789A"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 xml:space="preserve">         </w:t>
      </w:r>
    </w:p>
    <w:p w14:paraId="15B04CAE" w14:textId="5013B46B" w:rsidR="000D50AD" w:rsidRPr="001C350C" w:rsidRDefault="000D50AD" w:rsidP="001C350C">
      <w:pPr>
        <w:spacing w:line="360" w:lineRule="auto"/>
        <w:jc w:val="both"/>
        <w:rPr>
          <w:rFonts w:ascii="Arial" w:hAnsi="Arial" w:cs="Arial"/>
          <w:color w:val="000000" w:themeColor="text1"/>
        </w:rPr>
      </w:pPr>
    </w:p>
    <w:p w14:paraId="4C9270EA" w14:textId="2902A4D0" w:rsidR="00E67414" w:rsidRPr="001C350C" w:rsidRDefault="00E67414" w:rsidP="001C350C">
      <w:pPr>
        <w:spacing w:line="360" w:lineRule="auto"/>
        <w:jc w:val="center"/>
        <w:rPr>
          <w:rFonts w:ascii="Arial" w:hAnsi="Arial" w:cs="Arial"/>
          <w:b/>
          <w:bCs/>
          <w:u w:val="single"/>
        </w:rPr>
      </w:pPr>
    </w:p>
    <w:p w14:paraId="6579974D" w14:textId="2228A40E" w:rsidR="00E67414" w:rsidRPr="001C350C" w:rsidRDefault="00E67414" w:rsidP="001C350C">
      <w:pPr>
        <w:spacing w:line="360" w:lineRule="auto"/>
        <w:jc w:val="center"/>
        <w:rPr>
          <w:rFonts w:ascii="Arial" w:hAnsi="Arial" w:cs="Arial"/>
          <w:b/>
          <w:bCs/>
          <w:u w:val="single"/>
        </w:rPr>
      </w:pPr>
    </w:p>
    <w:p w14:paraId="16383DD0" w14:textId="77777777" w:rsidR="00550FD1" w:rsidRPr="001C350C" w:rsidRDefault="00550FD1" w:rsidP="001C350C">
      <w:pPr>
        <w:spacing w:line="360" w:lineRule="auto"/>
        <w:jc w:val="both"/>
        <w:rPr>
          <w:rFonts w:ascii="Arial" w:hAnsi="Arial" w:cs="Arial"/>
          <w:b/>
          <w:bCs/>
          <w:u w:val="single"/>
        </w:rPr>
      </w:pPr>
    </w:p>
    <w:p w14:paraId="180DF36F" w14:textId="77777777" w:rsidR="008D6C34" w:rsidRPr="001C350C" w:rsidRDefault="008D6C34" w:rsidP="001C350C">
      <w:pPr>
        <w:spacing w:line="360" w:lineRule="auto"/>
        <w:jc w:val="both"/>
        <w:rPr>
          <w:rFonts w:ascii="Arial" w:hAnsi="Arial" w:cs="Arial"/>
          <w:b/>
          <w:bCs/>
          <w:u w:val="single"/>
        </w:rPr>
      </w:pPr>
    </w:p>
    <w:p w14:paraId="4D0867EB" w14:textId="77777777" w:rsidR="008D6C34" w:rsidRPr="001C350C" w:rsidRDefault="008D6C34" w:rsidP="001C350C">
      <w:pPr>
        <w:spacing w:line="360" w:lineRule="auto"/>
        <w:jc w:val="both"/>
        <w:rPr>
          <w:rFonts w:ascii="Arial" w:hAnsi="Arial" w:cs="Arial"/>
          <w:b/>
          <w:bCs/>
          <w:u w:val="single"/>
        </w:rPr>
      </w:pPr>
    </w:p>
    <w:p w14:paraId="56C51D6E" w14:textId="77777777" w:rsidR="000237B7" w:rsidRDefault="000237B7" w:rsidP="001C350C">
      <w:pPr>
        <w:spacing w:line="360" w:lineRule="auto"/>
        <w:jc w:val="both"/>
        <w:rPr>
          <w:rFonts w:ascii="Arial" w:hAnsi="Arial" w:cs="Arial"/>
          <w:b/>
          <w:bCs/>
          <w:u w:val="single"/>
        </w:rPr>
      </w:pPr>
    </w:p>
    <w:p w14:paraId="7B626A19" w14:textId="18F053A2" w:rsidR="00550FD1" w:rsidRPr="001C350C" w:rsidRDefault="00F1469B" w:rsidP="001C350C">
      <w:pPr>
        <w:spacing w:line="360" w:lineRule="auto"/>
        <w:jc w:val="both"/>
        <w:rPr>
          <w:rFonts w:ascii="Arial" w:hAnsi="Arial" w:cs="Arial"/>
          <w:b/>
          <w:bCs/>
          <w:u w:val="single"/>
        </w:rPr>
      </w:pPr>
      <w:r w:rsidRPr="001C350C">
        <w:rPr>
          <w:rFonts w:ascii="Arial" w:hAnsi="Arial" w:cs="Arial"/>
          <w:b/>
          <w:bCs/>
          <w:u w:val="single"/>
        </w:rPr>
        <w:t>Reference list.</w:t>
      </w:r>
    </w:p>
    <w:p w14:paraId="1AA3F233" w14:textId="77777777" w:rsidR="008677AA" w:rsidRPr="001C350C" w:rsidRDefault="008677AA" w:rsidP="001C350C">
      <w:pPr>
        <w:spacing w:line="360" w:lineRule="auto"/>
        <w:jc w:val="both"/>
        <w:rPr>
          <w:rFonts w:ascii="Arial" w:hAnsi="Arial" w:cs="Arial"/>
        </w:rPr>
      </w:pPr>
    </w:p>
    <w:p w14:paraId="07B93419" w14:textId="2CD5A191" w:rsidR="004F7CAF" w:rsidRPr="001C350C" w:rsidRDefault="00F1469B" w:rsidP="001C350C">
      <w:pPr>
        <w:spacing w:line="360" w:lineRule="auto"/>
        <w:jc w:val="both"/>
        <w:rPr>
          <w:rFonts w:ascii="Arial" w:hAnsi="Arial" w:cs="Arial"/>
        </w:rPr>
      </w:pPr>
      <w:r w:rsidRPr="001C350C">
        <w:rPr>
          <w:rFonts w:ascii="Arial" w:hAnsi="Arial" w:cs="Arial"/>
        </w:rPr>
        <w:t xml:space="preserve">Elliot, C and Quinn, F. (2017) </w:t>
      </w:r>
      <w:r w:rsidRPr="001C350C">
        <w:rPr>
          <w:rFonts w:ascii="Arial" w:hAnsi="Arial" w:cs="Arial"/>
          <w:i/>
          <w:iCs/>
        </w:rPr>
        <w:t xml:space="preserve">Contract Law. </w:t>
      </w:r>
      <w:r w:rsidRPr="001C350C">
        <w:rPr>
          <w:rFonts w:ascii="Arial" w:hAnsi="Arial" w:cs="Arial"/>
        </w:rPr>
        <w:t>11</w:t>
      </w:r>
      <w:r w:rsidRPr="001C350C">
        <w:rPr>
          <w:rFonts w:ascii="Arial" w:hAnsi="Arial" w:cs="Arial"/>
          <w:vertAlign w:val="superscript"/>
        </w:rPr>
        <w:t>th</w:t>
      </w:r>
      <w:r w:rsidRPr="001C350C">
        <w:rPr>
          <w:rFonts w:ascii="Arial" w:hAnsi="Arial" w:cs="Arial"/>
        </w:rPr>
        <w:t xml:space="preserve"> edn. Harlow: Pearson Education Limited. </w:t>
      </w:r>
    </w:p>
    <w:p w14:paraId="7B0EA403" w14:textId="77777777" w:rsidR="004F7CAF" w:rsidRPr="001C350C" w:rsidRDefault="004F7CAF" w:rsidP="001C350C">
      <w:pPr>
        <w:spacing w:line="360" w:lineRule="auto"/>
        <w:jc w:val="both"/>
        <w:rPr>
          <w:rFonts w:ascii="Arial" w:hAnsi="Arial" w:cs="Arial"/>
        </w:rPr>
      </w:pPr>
    </w:p>
    <w:p w14:paraId="379EDBB8" w14:textId="67106564" w:rsidR="00F45A6C" w:rsidRPr="001C350C" w:rsidRDefault="00F1469B" w:rsidP="001C350C">
      <w:pPr>
        <w:spacing w:line="360" w:lineRule="auto"/>
        <w:jc w:val="both"/>
        <w:rPr>
          <w:rFonts w:ascii="Arial" w:hAnsi="Arial" w:cs="Arial"/>
        </w:rPr>
      </w:pPr>
      <w:r w:rsidRPr="001C350C">
        <w:rPr>
          <w:rFonts w:ascii="Arial" w:hAnsi="Arial" w:cs="Arial"/>
        </w:rPr>
        <w:t xml:space="preserve">Finch, E and Fafinski, S. (2021) </w:t>
      </w:r>
      <w:r w:rsidRPr="001C350C">
        <w:rPr>
          <w:rFonts w:ascii="Arial" w:hAnsi="Arial" w:cs="Arial"/>
          <w:i/>
          <w:iCs/>
        </w:rPr>
        <w:t xml:space="preserve">Contract Law. </w:t>
      </w:r>
      <w:r w:rsidRPr="001C350C">
        <w:rPr>
          <w:rFonts w:ascii="Arial" w:hAnsi="Arial" w:cs="Arial"/>
        </w:rPr>
        <w:t>7</w:t>
      </w:r>
      <w:r w:rsidRPr="001C350C">
        <w:rPr>
          <w:rFonts w:ascii="Arial" w:hAnsi="Arial" w:cs="Arial"/>
          <w:vertAlign w:val="superscript"/>
        </w:rPr>
        <w:t>th</w:t>
      </w:r>
      <w:r w:rsidRPr="001C350C">
        <w:rPr>
          <w:rFonts w:ascii="Arial" w:hAnsi="Arial" w:cs="Arial"/>
        </w:rPr>
        <w:t xml:space="preserve"> Edn. Harlow: Pearson Education Limited. </w:t>
      </w:r>
    </w:p>
    <w:p w14:paraId="4DA6C405" w14:textId="77777777" w:rsidR="00F45A6C" w:rsidRPr="001C350C" w:rsidRDefault="00F45A6C" w:rsidP="001C350C">
      <w:pPr>
        <w:spacing w:line="360" w:lineRule="auto"/>
        <w:jc w:val="both"/>
        <w:rPr>
          <w:rFonts w:ascii="Arial" w:hAnsi="Arial" w:cs="Arial"/>
        </w:rPr>
      </w:pPr>
    </w:p>
    <w:p w14:paraId="5EDBF543" w14:textId="645FE37B" w:rsidR="00550FD1" w:rsidRPr="001C350C" w:rsidRDefault="00F1469B" w:rsidP="001C350C">
      <w:pPr>
        <w:spacing w:line="360" w:lineRule="auto"/>
        <w:jc w:val="both"/>
        <w:rPr>
          <w:rFonts w:ascii="Arial" w:hAnsi="Arial" w:cs="Arial"/>
        </w:rPr>
      </w:pPr>
      <w:r w:rsidRPr="001C350C">
        <w:rPr>
          <w:rFonts w:ascii="Arial" w:hAnsi="Arial" w:cs="Arial"/>
        </w:rPr>
        <w:t xml:space="preserve">Merkin, J and Saintier, S. (2021) </w:t>
      </w:r>
      <w:r w:rsidRPr="001C350C">
        <w:rPr>
          <w:rFonts w:ascii="Arial" w:hAnsi="Arial" w:cs="Arial"/>
          <w:i/>
          <w:iCs/>
        </w:rPr>
        <w:t xml:space="preserve">Poole's Textbook on Contract Law. </w:t>
      </w:r>
      <w:r w:rsidRPr="001C350C">
        <w:rPr>
          <w:rFonts w:ascii="Arial" w:hAnsi="Arial" w:cs="Arial"/>
        </w:rPr>
        <w:t>15</w:t>
      </w:r>
      <w:r w:rsidRPr="001C350C">
        <w:rPr>
          <w:rFonts w:ascii="Arial" w:hAnsi="Arial" w:cs="Arial"/>
          <w:vertAlign w:val="superscript"/>
        </w:rPr>
        <w:t>th</w:t>
      </w:r>
      <w:r w:rsidRPr="001C350C">
        <w:rPr>
          <w:rFonts w:ascii="Arial" w:hAnsi="Arial" w:cs="Arial"/>
        </w:rPr>
        <w:t xml:space="preserve"> edn.  Oxford: Oxford University Press. </w:t>
      </w:r>
    </w:p>
    <w:p w14:paraId="09C98DF5" w14:textId="77777777" w:rsidR="00550FD1" w:rsidRPr="001C350C" w:rsidRDefault="00550FD1" w:rsidP="001C350C">
      <w:pPr>
        <w:spacing w:line="360" w:lineRule="auto"/>
        <w:jc w:val="both"/>
        <w:rPr>
          <w:rFonts w:ascii="Arial" w:hAnsi="Arial" w:cs="Arial"/>
          <w:b/>
          <w:bCs/>
          <w:u w:val="single"/>
        </w:rPr>
      </w:pPr>
    </w:p>
    <w:p w14:paraId="03F8F6E6" w14:textId="77777777" w:rsidR="00550FD1" w:rsidRPr="001C350C" w:rsidRDefault="00550FD1" w:rsidP="001C350C">
      <w:pPr>
        <w:spacing w:line="360" w:lineRule="auto"/>
        <w:jc w:val="both"/>
        <w:rPr>
          <w:rFonts w:ascii="Arial" w:hAnsi="Arial" w:cs="Arial"/>
          <w:b/>
          <w:bCs/>
          <w:u w:val="single"/>
        </w:rPr>
      </w:pPr>
    </w:p>
    <w:p w14:paraId="71CF27E5" w14:textId="77777777" w:rsidR="00550FD1" w:rsidRPr="001C350C" w:rsidRDefault="00550FD1" w:rsidP="001C350C">
      <w:pPr>
        <w:spacing w:line="360" w:lineRule="auto"/>
        <w:jc w:val="both"/>
        <w:rPr>
          <w:rFonts w:ascii="Arial" w:hAnsi="Arial" w:cs="Arial"/>
          <w:b/>
          <w:bCs/>
          <w:u w:val="single"/>
        </w:rPr>
      </w:pPr>
    </w:p>
    <w:p w14:paraId="0C2A7BFD" w14:textId="00ADE790" w:rsidR="00E67414" w:rsidRPr="001C350C" w:rsidRDefault="00F1469B" w:rsidP="001C350C">
      <w:pPr>
        <w:spacing w:line="360" w:lineRule="auto"/>
        <w:jc w:val="both"/>
        <w:rPr>
          <w:rFonts w:ascii="Arial" w:hAnsi="Arial" w:cs="Arial"/>
          <w:b/>
          <w:bCs/>
          <w:u w:val="single"/>
        </w:rPr>
      </w:pPr>
      <w:r w:rsidRPr="001C350C">
        <w:rPr>
          <w:rFonts w:ascii="Arial" w:hAnsi="Arial" w:cs="Arial"/>
          <w:b/>
          <w:bCs/>
          <w:u w:val="single"/>
        </w:rPr>
        <w:t xml:space="preserve">Case list </w:t>
      </w:r>
      <w:r w:rsidR="00550FD1" w:rsidRPr="001C350C">
        <w:rPr>
          <w:rFonts w:ascii="Arial" w:hAnsi="Arial" w:cs="Arial"/>
          <w:b/>
          <w:bCs/>
          <w:u w:val="single"/>
        </w:rPr>
        <w:t xml:space="preserve">and legislation. </w:t>
      </w:r>
    </w:p>
    <w:p w14:paraId="2A991D6F" w14:textId="4F0B05EA" w:rsidR="00550FD1" w:rsidRPr="001C350C" w:rsidRDefault="00550FD1" w:rsidP="001C350C">
      <w:pPr>
        <w:spacing w:line="360" w:lineRule="auto"/>
        <w:jc w:val="both"/>
        <w:rPr>
          <w:rFonts w:ascii="Arial" w:hAnsi="Arial" w:cs="Arial"/>
          <w:b/>
          <w:bCs/>
          <w:u w:val="single"/>
        </w:rPr>
      </w:pPr>
    </w:p>
    <w:p w14:paraId="74EEB823" w14:textId="20CA3A5A" w:rsidR="00550FD1" w:rsidRPr="001C350C" w:rsidRDefault="00F1469B" w:rsidP="001C350C">
      <w:pPr>
        <w:spacing w:line="360" w:lineRule="auto"/>
        <w:jc w:val="both"/>
        <w:rPr>
          <w:rFonts w:ascii="Arial" w:hAnsi="Arial" w:cs="Arial"/>
        </w:rPr>
      </w:pPr>
      <w:r w:rsidRPr="001C350C">
        <w:rPr>
          <w:rFonts w:ascii="Arial" w:hAnsi="Arial" w:cs="Arial"/>
        </w:rPr>
        <w:t>The Contracts (Rights of Third Parties) Act 1999</w:t>
      </w:r>
    </w:p>
    <w:p w14:paraId="0213F14F" w14:textId="4CBC94AB" w:rsidR="00E67414" w:rsidRPr="001C350C" w:rsidRDefault="00E67414" w:rsidP="001C350C">
      <w:pPr>
        <w:spacing w:line="360" w:lineRule="auto"/>
        <w:jc w:val="both"/>
        <w:rPr>
          <w:rFonts w:ascii="Arial" w:hAnsi="Arial" w:cs="Arial"/>
          <w:b/>
          <w:bCs/>
          <w:u w:val="single"/>
        </w:rPr>
      </w:pPr>
    </w:p>
    <w:p w14:paraId="009D7E8E" w14:textId="292BC1DF" w:rsidR="00E67414"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B</w:t>
      </w:r>
      <w:r w:rsidRPr="001C350C">
        <w:rPr>
          <w:rFonts w:ascii="Arial" w:hAnsi="Arial" w:cs="Arial"/>
          <w:color w:val="000000" w:themeColor="text1"/>
        </w:rPr>
        <w:t xml:space="preserve">olton v Mahadeva (1972) 2 All ER 1322 </w:t>
      </w:r>
    </w:p>
    <w:p w14:paraId="0EB941A3" w14:textId="7417B179" w:rsidR="0049789A" w:rsidRPr="001C350C" w:rsidRDefault="0049789A" w:rsidP="001C350C">
      <w:pPr>
        <w:spacing w:line="360" w:lineRule="auto"/>
        <w:jc w:val="both"/>
        <w:rPr>
          <w:rFonts w:ascii="Arial" w:hAnsi="Arial" w:cs="Arial"/>
          <w:color w:val="000000" w:themeColor="text1"/>
        </w:rPr>
      </w:pPr>
    </w:p>
    <w:p w14:paraId="4C00760D" w14:textId="5BF4B7B2" w:rsidR="0049789A"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Brinkibon v Stahag Stahl (1983) 2 AC 34</w:t>
      </w:r>
    </w:p>
    <w:p w14:paraId="56380FE3" w14:textId="3FC66AB4" w:rsidR="000B4B29" w:rsidRPr="001C350C" w:rsidRDefault="000B4B29" w:rsidP="001C350C">
      <w:pPr>
        <w:spacing w:line="360" w:lineRule="auto"/>
        <w:jc w:val="both"/>
        <w:rPr>
          <w:rFonts w:ascii="Arial" w:hAnsi="Arial" w:cs="Arial"/>
          <w:color w:val="000000" w:themeColor="text1"/>
        </w:rPr>
      </w:pPr>
    </w:p>
    <w:p w14:paraId="39F8632B" w14:textId="6182639B" w:rsidR="000B4B29"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Carlill v Smoke Ball Company Ltd (1893) 1 QB 256</w:t>
      </w:r>
    </w:p>
    <w:p w14:paraId="0D187243" w14:textId="7DE43766" w:rsidR="00F86FA8" w:rsidRPr="001C350C" w:rsidRDefault="00F86FA8" w:rsidP="001C350C">
      <w:pPr>
        <w:spacing w:line="360" w:lineRule="auto"/>
        <w:jc w:val="both"/>
        <w:rPr>
          <w:rFonts w:ascii="Arial" w:hAnsi="Arial" w:cs="Arial"/>
          <w:color w:val="000000" w:themeColor="text1"/>
        </w:rPr>
      </w:pPr>
    </w:p>
    <w:p w14:paraId="0B1CB616" w14:textId="350CCBB4" w:rsidR="00E67414" w:rsidRPr="001C350C" w:rsidRDefault="00F1469B" w:rsidP="001C350C">
      <w:pPr>
        <w:spacing w:line="360" w:lineRule="auto"/>
        <w:jc w:val="both"/>
        <w:rPr>
          <w:rFonts w:ascii="Arial" w:hAnsi="Arial" w:cs="Arial"/>
        </w:rPr>
      </w:pPr>
      <w:r w:rsidRPr="001C350C">
        <w:rPr>
          <w:rFonts w:ascii="Arial" w:hAnsi="Arial" w:cs="Arial"/>
        </w:rPr>
        <w:t>Christy v Row (1808) 1 Taunt 300</w:t>
      </w:r>
    </w:p>
    <w:p w14:paraId="037777E9" w14:textId="77777777" w:rsidR="00E67414" w:rsidRPr="001C350C" w:rsidRDefault="00E67414" w:rsidP="001C350C">
      <w:pPr>
        <w:spacing w:line="360" w:lineRule="auto"/>
        <w:jc w:val="both"/>
        <w:rPr>
          <w:rFonts w:ascii="Arial" w:hAnsi="Arial" w:cs="Arial"/>
        </w:rPr>
      </w:pPr>
    </w:p>
    <w:p w14:paraId="08867EB8" w14:textId="3FFFB565" w:rsidR="00E67414" w:rsidRPr="001C350C" w:rsidRDefault="00F1469B" w:rsidP="001C350C">
      <w:pPr>
        <w:spacing w:line="360" w:lineRule="auto"/>
        <w:jc w:val="both"/>
        <w:rPr>
          <w:rFonts w:ascii="Arial" w:hAnsi="Arial" w:cs="Arial"/>
        </w:rPr>
      </w:pPr>
      <w:r w:rsidRPr="001C350C">
        <w:rPr>
          <w:rFonts w:ascii="Arial" w:hAnsi="Arial" w:cs="Arial"/>
        </w:rPr>
        <w:t xml:space="preserve">Cutter V Powell (1795)6 Term Rep 320 </w:t>
      </w:r>
    </w:p>
    <w:p w14:paraId="4FDECBD7" w14:textId="313EE361" w:rsidR="00A44C22" w:rsidRPr="001C350C" w:rsidRDefault="00A44C22" w:rsidP="001C350C">
      <w:pPr>
        <w:spacing w:line="360" w:lineRule="auto"/>
        <w:jc w:val="both"/>
        <w:rPr>
          <w:rFonts w:ascii="Arial" w:hAnsi="Arial" w:cs="Arial"/>
        </w:rPr>
      </w:pPr>
    </w:p>
    <w:p w14:paraId="54A5C5C5" w14:textId="0AA48F7D" w:rsidR="00A44C22" w:rsidRPr="001C350C" w:rsidRDefault="00F1469B" w:rsidP="001C350C">
      <w:pPr>
        <w:spacing w:line="360" w:lineRule="auto"/>
        <w:jc w:val="both"/>
        <w:rPr>
          <w:rFonts w:ascii="Arial" w:hAnsi="Arial" w:cs="Arial"/>
        </w:rPr>
      </w:pPr>
      <w:r w:rsidRPr="001C350C">
        <w:rPr>
          <w:rFonts w:ascii="Arial" w:hAnsi="Arial" w:cs="Arial"/>
        </w:rPr>
        <w:t>Dunlop V Selfridge (1915) AC 847</w:t>
      </w:r>
    </w:p>
    <w:p w14:paraId="2119B40E" w14:textId="721D446A" w:rsidR="008677AA" w:rsidRPr="001C350C" w:rsidRDefault="008677AA" w:rsidP="001C350C">
      <w:pPr>
        <w:spacing w:line="360" w:lineRule="auto"/>
        <w:jc w:val="both"/>
        <w:rPr>
          <w:rFonts w:ascii="Arial" w:hAnsi="Arial" w:cs="Arial"/>
        </w:rPr>
      </w:pPr>
    </w:p>
    <w:p w14:paraId="67D693B6" w14:textId="16BDD65E" w:rsidR="008677AA" w:rsidRDefault="00F1469B" w:rsidP="001C350C">
      <w:pPr>
        <w:spacing w:line="360" w:lineRule="auto"/>
        <w:jc w:val="both"/>
        <w:rPr>
          <w:rFonts w:ascii="Arial" w:hAnsi="Arial" w:cs="Arial"/>
        </w:rPr>
      </w:pPr>
      <w:r w:rsidRPr="001C350C">
        <w:rPr>
          <w:rFonts w:ascii="Arial" w:hAnsi="Arial" w:cs="Arial"/>
        </w:rPr>
        <w:t xml:space="preserve">Errington v </w:t>
      </w:r>
      <w:r w:rsidRPr="001C350C">
        <w:rPr>
          <w:rFonts w:ascii="Arial" w:hAnsi="Arial" w:cs="Arial"/>
        </w:rPr>
        <w:t>Errington &amp; Woods (1952) 1 KB 290</w:t>
      </w:r>
    </w:p>
    <w:p w14:paraId="0BD5A3A7" w14:textId="1DF3E66E" w:rsidR="00761773" w:rsidRDefault="00761773" w:rsidP="001C350C">
      <w:pPr>
        <w:spacing w:line="360" w:lineRule="auto"/>
        <w:jc w:val="both"/>
        <w:rPr>
          <w:rFonts w:ascii="Arial" w:hAnsi="Arial" w:cs="Arial"/>
        </w:rPr>
      </w:pPr>
    </w:p>
    <w:p w14:paraId="30DBDC9C" w14:textId="499FB809" w:rsidR="00761773" w:rsidRPr="001C350C" w:rsidRDefault="00F1469B" w:rsidP="001C350C">
      <w:pPr>
        <w:spacing w:line="360" w:lineRule="auto"/>
        <w:jc w:val="both"/>
        <w:rPr>
          <w:rFonts w:ascii="Arial" w:hAnsi="Arial" w:cs="Arial"/>
        </w:rPr>
      </w:pPr>
      <w:r>
        <w:rPr>
          <w:rFonts w:ascii="Arial" w:hAnsi="Arial" w:cs="Arial"/>
        </w:rPr>
        <w:t>Grant v Bragg (2009) EWCA Civ 1228.</w:t>
      </w:r>
    </w:p>
    <w:p w14:paraId="1FFE2B34" w14:textId="74CC230F" w:rsidR="00546591" w:rsidRPr="001C350C" w:rsidRDefault="00546591" w:rsidP="001C350C">
      <w:pPr>
        <w:spacing w:line="360" w:lineRule="auto"/>
        <w:jc w:val="both"/>
        <w:rPr>
          <w:rFonts w:ascii="Arial" w:hAnsi="Arial" w:cs="Arial"/>
        </w:rPr>
      </w:pPr>
    </w:p>
    <w:p w14:paraId="5669E6FE" w14:textId="29269D3C" w:rsidR="00546591" w:rsidRPr="001C350C" w:rsidRDefault="00F1469B" w:rsidP="001C350C">
      <w:pPr>
        <w:spacing w:line="360" w:lineRule="auto"/>
        <w:jc w:val="both"/>
        <w:rPr>
          <w:rFonts w:ascii="Arial" w:hAnsi="Arial" w:cs="Arial"/>
        </w:rPr>
      </w:pPr>
      <w:r w:rsidRPr="001C350C">
        <w:rPr>
          <w:rFonts w:ascii="Arial" w:hAnsi="Arial" w:cs="Arial"/>
        </w:rPr>
        <w:t>Harvey v Facey (1893) AC 552</w:t>
      </w:r>
    </w:p>
    <w:p w14:paraId="35DCE9C2" w14:textId="77777777" w:rsidR="00D13301" w:rsidRPr="001C350C" w:rsidRDefault="00D13301" w:rsidP="001C350C">
      <w:pPr>
        <w:spacing w:line="360" w:lineRule="auto"/>
        <w:jc w:val="both"/>
        <w:rPr>
          <w:rFonts w:ascii="Arial" w:hAnsi="Arial" w:cs="Arial"/>
        </w:rPr>
      </w:pPr>
    </w:p>
    <w:p w14:paraId="14AF809B" w14:textId="209C3F3E" w:rsidR="00E67414"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H.Dakin &amp; Co Ltd V Lee (1916) 1 KB 566</w:t>
      </w:r>
    </w:p>
    <w:p w14:paraId="2532EFB0" w14:textId="2E21F553" w:rsidR="00566EA0" w:rsidRDefault="00566EA0" w:rsidP="001C350C">
      <w:pPr>
        <w:spacing w:line="360" w:lineRule="auto"/>
        <w:jc w:val="both"/>
        <w:rPr>
          <w:rFonts w:ascii="Arial" w:hAnsi="Arial" w:cs="Arial"/>
          <w:color w:val="000000" w:themeColor="text1"/>
        </w:rPr>
      </w:pPr>
    </w:p>
    <w:p w14:paraId="67CD4871" w14:textId="47F5E559" w:rsidR="00566EA0" w:rsidRPr="001C350C" w:rsidRDefault="00F1469B" w:rsidP="001C350C">
      <w:pPr>
        <w:spacing w:line="360" w:lineRule="auto"/>
        <w:jc w:val="both"/>
        <w:rPr>
          <w:rFonts w:ascii="Arial" w:hAnsi="Arial" w:cs="Arial"/>
          <w:color w:val="000000" w:themeColor="text1"/>
        </w:rPr>
      </w:pPr>
      <w:r>
        <w:rPr>
          <w:rFonts w:ascii="Arial" w:hAnsi="Arial" w:cs="Arial"/>
          <w:color w:val="000000" w:themeColor="text1"/>
        </w:rPr>
        <w:t>Hyde v Wrench (1840) 49 ER 132</w:t>
      </w:r>
    </w:p>
    <w:p w14:paraId="018FE275" w14:textId="07EF5456" w:rsidR="008D6C34" w:rsidRPr="001C350C" w:rsidRDefault="008D6C34" w:rsidP="001C350C">
      <w:pPr>
        <w:spacing w:line="360" w:lineRule="auto"/>
        <w:jc w:val="both"/>
        <w:rPr>
          <w:rFonts w:ascii="Arial" w:hAnsi="Arial" w:cs="Arial"/>
        </w:rPr>
      </w:pPr>
    </w:p>
    <w:p w14:paraId="038312B5" w14:textId="132D868B" w:rsidR="008D6C34"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Mondial Shipping and Chartering BV v Astarte Shipping Ltd (1995) CLC 1011</w:t>
      </w:r>
    </w:p>
    <w:p w14:paraId="1A39AE1C" w14:textId="31D91F9F" w:rsidR="00F45A6C" w:rsidRPr="001C350C" w:rsidRDefault="00F45A6C" w:rsidP="001C350C">
      <w:pPr>
        <w:spacing w:line="360" w:lineRule="auto"/>
        <w:jc w:val="both"/>
        <w:rPr>
          <w:rFonts w:ascii="Arial" w:hAnsi="Arial" w:cs="Arial"/>
          <w:color w:val="000000" w:themeColor="text1"/>
        </w:rPr>
      </w:pPr>
    </w:p>
    <w:p w14:paraId="719EDA1F" w14:textId="5DAF1A4C" w:rsidR="00F45A6C"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Pao On V Lau Yiu Long (1980) AC 614</w:t>
      </w:r>
    </w:p>
    <w:p w14:paraId="2190B7FE" w14:textId="47EF51B5" w:rsidR="005F4C43" w:rsidRPr="001C350C" w:rsidRDefault="005F4C43" w:rsidP="001C350C">
      <w:pPr>
        <w:spacing w:line="360" w:lineRule="auto"/>
        <w:jc w:val="both"/>
        <w:rPr>
          <w:rFonts w:ascii="Arial" w:hAnsi="Arial" w:cs="Arial"/>
          <w:color w:val="000000" w:themeColor="text1"/>
        </w:rPr>
      </w:pPr>
    </w:p>
    <w:p w14:paraId="431E5CB4" w14:textId="03BC938A" w:rsidR="005F4C43" w:rsidRPr="001C350C"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t>Partridge v Crittenden (1968) 1 WLR 1204</w:t>
      </w:r>
    </w:p>
    <w:p w14:paraId="28EDAA67" w14:textId="40AEE8DD" w:rsidR="00C70D3D" w:rsidRPr="001C350C" w:rsidRDefault="00C70D3D" w:rsidP="001C350C">
      <w:pPr>
        <w:spacing w:line="360" w:lineRule="auto"/>
        <w:jc w:val="both"/>
        <w:rPr>
          <w:rFonts w:ascii="Arial" w:hAnsi="Arial" w:cs="Arial"/>
          <w:color w:val="000000" w:themeColor="text1"/>
        </w:rPr>
      </w:pPr>
    </w:p>
    <w:p w14:paraId="01C5F89E" w14:textId="5D3F11D4" w:rsidR="00E67414" w:rsidRDefault="00F1469B" w:rsidP="001C350C">
      <w:pPr>
        <w:spacing w:line="360" w:lineRule="auto"/>
        <w:jc w:val="both"/>
        <w:rPr>
          <w:rFonts w:ascii="Arial" w:hAnsi="Arial" w:cs="Arial"/>
        </w:rPr>
      </w:pPr>
      <w:r w:rsidRPr="001C350C">
        <w:rPr>
          <w:rFonts w:ascii="Arial" w:hAnsi="Arial" w:cs="Arial"/>
        </w:rPr>
        <w:t>Re McArdle (1951) Ch 669</w:t>
      </w:r>
    </w:p>
    <w:p w14:paraId="579BE2A2" w14:textId="12523AEB" w:rsidR="00124499" w:rsidRDefault="00124499" w:rsidP="001C350C">
      <w:pPr>
        <w:spacing w:line="360" w:lineRule="auto"/>
        <w:jc w:val="both"/>
        <w:rPr>
          <w:rFonts w:ascii="Arial" w:hAnsi="Arial" w:cs="Arial"/>
        </w:rPr>
      </w:pPr>
    </w:p>
    <w:p w14:paraId="77AB0995" w14:textId="3AA2A1DE" w:rsidR="00124499" w:rsidRDefault="00F1469B" w:rsidP="001C350C">
      <w:pPr>
        <w:spacing w:line="360" w:lineRule="auto"/>
        <w:jc w:val="both"/>
        <w:rPr>
          <w:rFonts w:ascii="Arial" w:hAnsi="Arial" w:cs="Arial"/>
        </w:rPr>
      </w:pPr>
      <w:r>
        <w:rPr>
          <w:rFonts w:ascii="Arial" w:hAnsi="Arial" w:cs="Arial"/>
        </w:rPr>
        <w:t>Re Moore &amp; Co Ltd and Landauer &amp;</w:t>
      </w:r>
      <w:r w:rsidR="00E119FE">
        <w:rPr>
          <w:rFonts w:ascii="Arial" w:hAnsi="Arial" w:cs="Arial"/>
        </w:rPr>
        <w:t xml:space="preserve"> Co (1921) 2 KB 519</w:t>
      </w:r>
    </w:p>
    <w:p w14:paraId="0C28822A" w14:textId="091647CC" w:rsidR="00E52CE5" w:rsidRDefault="00E52CE5" w:rsidP="001C350C">
      <w:pPr>
        <w:spacing w:line="360" w:lineRule="auto"/>
        <w:jc w:val="both"/>
        <w:rPr>
          <w:rFonts w:ascii="Arial" w:hAnsi="Arial" w:cs="Arial"/>
        </w:rPr>
      </w:pPr>
    </w:p>
    <w:p w14:paraId="36CD1BFA" w14:textId="32943F51" w:rsidR="00E52CE5" w:rsidRDefault="00F1469B" w:rsidP="001C350C">
      <w:pPr>
        <w:spacing w:line="360" w:lineRule="auto"/>
        <w:jc w:val="both"/>
        <w:rPr>
          <w:rFonts w:ascii="Arial" w:hAnsi="Arial" w:cs="Arial"/>
          <w:color w:val="000000" w:themeColor="text1"/>
        </w:rPr>
      </w:pPr>
      <w:r>
        <w:rPr>
          <w:rFonts w:ascii="Arial" w:hAnsi="Arial" w:cs="Arial"/>
          <w:color w:val="000000" w:themeColor="text1"/>
        </w:rPr>
        <w:t>Ritchie v Atkinson (1808) 10 East 295</w:t>
      </w:r>
    </w:p>
    <w:p w14:paraId="7C4DC391" w14:textId="4E548AE9" w:rsidR="002B615E" w:rsidRDefault="002B615E" w:rsidP="001C350C">
      <w:pPr>
        <w:spacing w:line="360" w:lineRule="auto"/>
        <w:jc w:val="both"/>
        <w:rPr>
          <w:rFonts w:ascii="Arial" w:hAnsi="Arial" w:cs="Arial"/>
          <w:color w:val="000000" w:themeColor="text1"/>
        </w:rPr>
      </w:pPr>
    </w:p>
    <w:p w14:paraId="1C61E297" w14:textId="69C82097" w:rsidR="002B615E" w:rsidRPr="001C350C" w:rsidRDefault="00F1469B" w:rsidP="001C350C">
      <w:pPr>
        <w:spacing w:line="360" w:lineRule="auto"/>
        <w:jc w:val="both"/>
        <w:rPr>
          <w:rFonts w:ascii="Arial" w:hAnsi="Arial" w:cs="Arial"/>
        </w:rPr>
      </w:pPr>
      <w:r>
        <w:rPr>
          <w:rFonts w:ascii="Arial" w:hAnsi="Arial" w:cs="Arial"/>
        </w:rPr>
        <w:t xml:space="preserve">Routledge v Grant (1828) 4 </w:t>
      </w:r>
      <w:r w:rsidR="00B83D88">
        <w:rPr>
          <w:rFonts w:ascii="Arial" w:hAnsi="Arial" w:cs="Arial"/>
        </w:rPr>
        <w:t>Bing 653</w:t>
      </w:r>
    </w:p>
    <w:p w14:paraId="64B11B8F" w14:textId="797B1E21" w:rsidR="00594782" w:rsidRPr="001C350C" w:rsidRDefault="00594782" w:rsidP="001C350C">
      <w:pPr>
        <w:spacing w:line="360" w:lineRule="auto"/>
        <w:jc w:val="both"/>
        <w:rPr>
          <w:rFonts w:ascii="Arial" w:hAnsi="Arial" w:cs="Arial"/>
        </w:rPr>
      </w:pPr>
    </w:p>
    <w:p w14:paraId="033FC862" w14:textId="7181111A" w:rsidR="00594782" w:rsidRDefault="00F1469B" w:rsidP="001C350C">
      <w:pPr>
        <w:spacing w:line="360" w:lineRule="auto"/>
        <w:jc w:val="both"/>
        <w:rPr>
          <w:rFonts w:ascii="Arial" w:hAnsi="Arial" w:cs="Arial"/>
          <w:color w:val="000000" w:themeColor="text1"/>
        </w:rPr>
      </w:pPr>
      <w:r w:rsidRPr="001C350C">
        <w:rPr>
          <w:rFonts w:ascii="Arial" w:hAnsi="Arial" w:cs="Arial"/>
          <w:color w:val="000000" w:themeColor="text1"/>
        </w:rPr>
        <w:lastRenderedPageBreak/>
        <w:t xml:space="preserve">Stevenson, </w:t>
      </w:r>
      <w:r w:rsidRPr="001C350C">
        <w:rPr>
          <w:rFonts w:ascii="Arial" w:hAnsi="Arial" w:cs="Arial"/>
          <w:color w:val="000000" w:themeColor="text1"/>
        </w:rPr>
        <w:t>Jacques &amp; Co v McLean (1880) 5 QBD 346</w:t>
      </w:r>
    </w:p>
    <w:p w14:paraId="7F7A0861" w14:textId="07A06DD9" w:rsidR="00E3476F" w:rsidRDefault="00E3476F" w:rsidP="001C350C">
      <w:pPr>
        <w:spacing w:line="360" w:lineRule="auto"/>
        <w:jc w:val="both"/>
        <w:rPr>
          <w:rFonts w:ascii="Arial" w:hAnsi="Arial" w:cs="Arial"/>
          <w:color w:val="000000" w:themeColor="text1"/>
        </w:rPr>
      </w:pPr>
    </w:p>
    <w:p w14:paraId="2BB95185" w14:textId="7D2A4E01" w:rsidR="00E3476F" w:rsidRPr="001C350C" w:rsidRDefault="00F1469B" w:rsidP="001C350C">
      <w:pPr>
        <w:spacing w:line="360" w:lineRule="auto"/>
        <w:jc w:val="both"/>
        <w:rPr>
          <w:rFonts w:ascii="Arial" w:hAnsi="Arial" w:cs="Arial"/>
          <w:color w:val="000000" w:themeColor="text1"/>
        </w:rPr>
      </w:pPr>
      <w:r>
        <w:rPr>
          <w:rFonts w:ascii="Arial" w:hAnsi="Arial" w:cs="Arial"/>
          <w:color w:val="000000" w:themeColor="text1"/>
        </w:rPr>
        <w:t>Sumpter v Hedges (1898) 1 QB 673</w:t>
      </w:r>
    </w:p>
    <w:p w14:paraId="47B49AB7" w14:textId="76A02942" w:rsidR="008D6C34" w:rsidRPr="001C350C" w:rsidRDefault="008D6C34" w:rsidP="001C350C">
      <w:pPr>
        <w:spacing w:line="360" w:lineRule="auto"/>
        <w:jc w:val="both"/>
        <w:rPr>
          <w:rFonts w:ascii="Arial" w:hAnsi="Arial" w:cs="Arial"/>
          <w:color w:val="000000" w:themeColor="text1"/>
        </w:rPr>
      </w:pPr>
    </w:p>
    <w:p w14:paraId="795BAD74" w14:textId="07C2316F" w:rsidR="008D6C34" w:rsidRPr="001C350C" w:rsidRDefault="00F1469B" w:rsidP="001C350C">
      <w:pPr>
        <w:spacing w:line="360" w:lineRule="auto"/>
        <w:jc w:val="both"/>
        <w:rPr>
          <w:rFonts w:ascii="Arial" w:hAnsi="Arial" w:cs="Arial"/>
        </w:rPr>
      </w:pPr>
      <w:r w:rsidRPr="001C350C">
        <w:rPr>
          <w:rFonts w:ascii="Arial" w:hAnsi="Arial" w:cs="Arial"/>
          <w:color w:val="000000" w:themeColor="text1"/>
        </w:rPr>
        <w:t xml:space="preserve">Thomas v BPE Solicitors (2010) </w:t>
      </w:r>
      <w:r w:rsidR="00E3476F">
        <w:rPr>
          <w:rFonts w:ascii="Arial" w:hAnsi="Arial" w:cs="Arial"/>
          <w:color w:val="000000" w:themeColor="text1"/>
        </w:rPr>
        <w:t>EWHC 306 (CH</w:t>
      </w:r>
      <w:r w:rsidR="00E3476F">
        <w:rPr>
          <w:rFonts w:ascii="Arial" w:hAnsi="Arial" w:cs="Arial"/>
        </w:rPr>
        <w:t>)</w:t>
      </w:r>
    </w:p>
    <w:sectPr w:rsidR="008D6C34" w:rsidRPr="001C350C" w:rsidSect="00BD7923">
      <w:pgSz w:w="11900" w:h="16820"/>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E54EF"/>
    <w:multiLevelType w:val="hybridMultilevel"/>
    <w:tmpl w:val="15BE9A40"/>
    <w:lvl w:ilvl="0" w:tplc="3EF822F2">
      <w:start w:val="1"/>
      <w:numFmt w:val="lowerLetter"/>
      <w:lvlText w:val="%1)"/>
      <w:lvlJc w:val="left"/>
      <w:pPr>
        <w:ind w:left="643" w:hanging="360"/>
      </w:pPr>
      <w:rPr>
        <w:rFonts w:hint="default"/>
        <w:color w:val="000000" w:themeColor="text1"/>
      </w:rPr>
    </w:lvl>
    <w:lvl w:ilvl="1" w:tplc="FCD66224" w:tentative="1">
      <w:start w:val="1"/>
      <w:numFmt w:val="lowerLetter"/>
      <w:lvlText w:val="%2."/>
      <w:lvlJc w:val="left"/>
      <w:pPr>
        <w:ind w:left="1440" w:hanging="360"/>
      </w:pPr>
    </w:lvl>
    <w:lvl w:ilvl="2" w:tplc="92184B74" w:tentative="1">
      <w:start w:val="1"/>
      <w:numFmt w:val="lowerRoman"/>
      <w:lvlText w:val="%3."/>
      <w:lvlJc w:val="right"/>
      <w:pPr>
        <w:ind w:left="2160" w:hanging="180"/>
      </w:pPr>
    </w:lvl>
    <w:lvl w:ilvl="3" w:tplc="FF448156" w:tentative="1">
      <w:start w:val="1"/>
      <w:numFmt w:val="decimal"/>
      <w:lvlText w:val="%4."/>
      <w:lvlJc w:val="left"/>
      <w:pPr>
        <w:ind w:left="2880" w:hanging="360"/>
      </w:pPr>
    </w:lvl>
    <w:lvl w:ilvl="4" w:tplc="4E8E2260" w:tentative="1">
      <w:start w:val="1"/>
      <w:numFmt w:val="lowerLetter"/>
      <w:lvlText w:val="%5."/>
      <w:lvlJc w:val="left"/>
      <w:pPr>
        <w:ind w:left="3600" w:hanging="360"/>
      </w:pPr>
    </w:lvl>
    <w:lvl w:ilvl="5" w:tplc="2346B19A" w:tentative="1">
      <w:start w:val="1"/>
      <w:numFmt w:val="lowerRoman"/>
      <w:lvlText w:val="%6."/>
      <w:lvlJc w:val="right"/>
      <w:pPr>
        <w:ind w:left="4320" w:hanging="180"/>
      </w:pPr>
    </w:lvl>
    <w:lvl w:ilvl="6" w:tplc="1678689E" w:tentative="1">
      <w:start w:val="1"/>
      <w:numFmt w:val="decimal"/>
      <w:lvlText w:val="%7."/>
      <w:lvlJc w:val="left"/>
      <w:pPr>
        <w:ind w:left="5040" w:hanging="360"/>
      </w:pPr>
    </w:lvl>
    <w:lvl w:ilvl="7" w:tplc="EC9A8644" w:tentative="1">
      <w:start w:val="1"/>
      <w:numFmt w:val="lowerLetter"/>
      <w:lvlText w:val="%8."/>
      <w:lvlJc w:val="left"/>
      <w:pPr>
        <w:ind w:left="5760" w:hanging="360"/>
      </w:pPr>
    </w:lvl>
    <w:lvl w:ilvl="8" w:tplc="756C4878" w:tentative="1">
      <w:start w:val="1"/>
      <w:numFmt w:val="lowerRoman"/>
      <w:lvlText w:val="%9."/>
      <w:lvlJc w:val="right"/>
      <w:pPr>
        <w:ind w:left="6480" w:hanging="180"/>
      </w:pPr>
    </w:lvl>
  </w:abstractNum>
  <w:abstractNum w:abstractNumId="1" w15:restartNumberingAfterBreak="0">
    <w:nsid w:val="5C671D88"/>
    <w:multiLevelType w:val="hybridMultilevel"/>
    <w:tmpl w:val="957AE64C"/>
    <w:lvl w:ilvl="0" w:tplc="F0DE3B48">
      <w:start w:val="1"/>
      <w:numFmt w:val="decimal"/>
      <w:lvlText w:val="%1)"/>
      <w:lvlJc w:val="left"/>
      <w:pPr>
        <w:ind w:left="720" w:hanging="360"/>
      </w:pPr>
      <w:rPr>
        <w:rFonts w:hint="default"/>
      </w:rPr>
    </w:lvl>
    <w:lvl w:ilvl="1" w:tplc="8862AE58" w:tentative="1">
      <w:start w:val="1"/>
      <w:numFmt w:val="lowerLetter"/>
      <w:lvlText w:val="%2."/>
      <w:lvlJc w:val="left"/>
      <w:pPr>
        <w:ind w:left="1440" w:hanging="360"/>
      </w:pPr>
    </w:lvl>
    <w:lvl w:ilvl="2" w:tplc="19B81F18" w:tentative="1">
      <w:start w:val="1"/>
      <w:numFmt w:val="lowerRoman"/>
      <w:lvlText w:val="%3."/>
      <w:lvlJc w:val="right"/>
      <w:pPr>
        <w:ind w:left="2160" w:hanging="180"/>
      </w:pPr>
    </w:lvl>
    <w:lvl w:ilvl="3" w:tplc="48A425D2" w:tentative="1">
      <w:start w:val="1"/>
      <w:numFmt w:val="decimal"/>
      <w:lvlText w:val="%4."/>
      <w:lvlJc w:val="left"/>
      <w:pPr>
        <w:ind w:left="2880" w:hanging="360"/>
      </w:pPr>
    </w:lvl>
    <w:lvl w:ilvl="4" w:tplc="4FC8FD1A" w:tentative="1">
      <w:start w:val="1"/>
      <w:numFmt w:val="lowerLetter"/>
      <w:lvlText w:val="%5."/>
      <w:lvlJc w:val="left"/>
      <w:pPr>
        <w:ind w:left="3600" w:hanging="360"/>
      </w:pPr>
    </w:lvl>
    <w:lvl w:ilvl="5" w:tplc="72745166" w:tentative="1">
      <w:start w:val="1"/>
      <w:numFmt w:val="lowerRoman"/>
      <w:lvlText w:val="%6."/>
      <w:lvlJc w:val="right"/>
      <w:pPr>
        <w:ind w:left="4320" w:hanging="180"/>
      </w:pPr>
    </w:lvl>
    <w:lvl w:ilvl="6" w:tplc="14D8F840" w:tentative="1">
      <w:start w:val="1"/>
      <w:numFmt w:val="decimal"/>
      <w:lvlText w:val="%7."/>
      <w:lvlJc w:val="left"/>
      <w:pPr>
        <w:ind w:left="5040" w:hanging="360"/>
      </w:pPr>
    </w:lvl>
    <w:lvl w:ilvl="7" w:tplc="354066EA" w:tentative="1">
      <w:start w:val="1"/>
      <w:numFmt w:val="lowerLetter"/>
      <w:lvlText w:val="%8."/>
      <w:lvlJc w:val="left"/>
      <w:pPr>
        <w:ind w:left="5760" w:hanging="360"/>
      </w:pPr>
    </w:lvl>
    <w:lvl w:ilvl="8" w:tplc="8DFCA1EA" w:tentative="1">
      <w:start w:val="1"/>
      <w:numFmt w:val="lowerRoman"/>
      <w:lvlText w:val="%9."/>
      <w:lvlJc w:val="right"/>
      <w:pPr>
        <w:ind w:left="6480" w:hanging="180"/>
      </w:pPr>
    </w:lvl>
  </w:abstractNum>
  <w:abstractNum w:abstractNumId="2" w15:restartNumberingAfterBreak="0">
    <w:nsid w:val="698E2D6E"/>
    <w:multiLevelType w:val="hybridMultilevel"/>
    <w:tmpl w:val="15BE9A40"/>
    <w:lvl w:ilvl="0" w:tplc="61C8D3F2">
      <w:start w:val="1"/>
      <w:numFmt w:val="lowerLetter"/>
      <w:lvlText w:val="%1)"/>
      <w:lvlJc w:val="left"/>
      <w:pPr>
        <w:ind w:left="720" w:hanging="360"/>
      </w:pPr>
      <w:rPr>
        <w:rFonts w:hint="default"/>
        <w:color w:val="000000" w:themeColor="text1"/>
      </w:rPr>
    </w:lvl>
    <w:lvl w:ilvl="1" w:tplc="621ADDD4" w:tentative="1">
      <w:start w:val="1"/>
      <w:numFmt w:val="lowerLetter"/>
      <w:lvlText w:val="%2."/>
      <w:lvlJc w:val="left"/>
      <w:pPr>
        <w:ind w:left="1440" w:hanging="360"/>
      </w:pPr>
    </w:lvl>
    <w:lvl w:ilvl="2" w:tplc="A8F8BD84" w:tentative="1">
      <w:start w:val="1"/>
      <w:numFmt w:val="lowerRoman"/>
      <w:lvlText w:val="%3."/>
      <w:lvlJc w:val="right"/>
      <w:pPr>
        <w:ind w:left="2160" w:hanging="180"/>
      </w:pPr>
    </w:lvl>
    <w:lvl w:ilvl="3" w:tplc="15F26986" w:tentative="1">
      <w:start w:val="1"/>
      <w:numFmt w:val="decimal"/>
      <w:lvlText w:val="%4."/>
      <w:lvlJc w:val="left"/>
      <w:pPr>
        <w:ind w:left="2880" w:hanging="360"/>
      </w:pPr>
    </w:lvl>
    <w:lvl w:ilvl="4" w:tplc="CB64533E" w:tentative="1">
      <w:start w:val="1"/>
      <w:numFmt w:val="lowerLetter"/>
      <w:lvlText w:val="%5."/>
      <w:lvlJc w:val="left"/>
      <w:pPr>
        <w:ind w:left="3600" w:hanging="360"/>
      </w:pPr>
    </w:lvl>
    <w:lvl w:ilvl="5" w:tplc="08C61424" w:tentative="1">
      <w:start w:val="1"/>
      <w:numFmt w:val="lowerRoman"/>
      <w:lvlText w:val="%6."/>
      <w:lvlJc w:val="right"/>
      <w:pPr>
        <w:ind w:left="4320" w:hanging="180"/>
      </w:pPr>
    </w:lvl>
    <w:lvl w:ilvl="6" w:tplc="1E0274F0" w:tentative="1">
      <w:start w:val="1"/>
      <w:numFmt w:val="decimal"/>
      <w:lvlText w:val="%7."/>
      <w:lvlJc w:val="left"/>
      <w:pPr>
        <w:ind w:left="5040" w:hanging="360"/>
      </w:pPr>
    </w:lvl>
    <w:lvl w:ilvl="7" w:tplc="B2064466" w:tentative="1">
      <w:start w:val="1"/>
      <w:numFmt w:val="lowerLetter"/>
      <w:lvlText w:val="%8."/>
      <w:lvlJc w:val="left"/>
      <w:pPr>
        <w:ind w:left="5760" w:hanging="360"/>
      </w:pPr>
    </w:lvl>
    <w:lvl w:ilvl="8" w:tplc="633C7A98"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414"/>
    <w:rsid w:val="000237B7"/>
    <w:rsid w:val="000B4B29"/>
    <w:rsid w:val="000D50AD"/>
    <w:rsid w:val="0010663F"/>
    <w:rsid w:val="00124499"/>
    <w:rsid w:val="00165CEA"/>
    <w:rsid w:val="001C350C"/>
    <w:rsid w:val="002658DE"/>
    <w:rsid w:val="002B615E"/>
    <w:rsid w:val="002B726D"/>
    <w:rsid w:val="00316C51"/>
    <w:rsid w:val="003E0DE2"/>
    <w:rsid w:val="00451616"/>
    <w:rsid w:val="0049789A"/>
    <w:rsid w:val="004F7CAF"/>
    <w:rsid w:val="00512ED6"/>
    <w:rsid w:val="00546591"/>
    <w:rsid w:val="00550FD1"/>
    <w:rsid w:val="00566EA0"/>
    <w:rsid w:val="00594782"/>
    <w:rsid w:val="005F4C43"/>
    <w:rsid w:val="00676D60"/>
    <w:rsid w:val="006D4984"/>
    <w:rsid w:val="00734C16"/>
    <w:rsid w:val="00740051"/>
    <w:rsid w:val="00761773"/>
    <w:rsid w:val="007C637A"/>
    <w:rsid w:val="008677AA"/>
    <w:rsid w:val="00875122"/>
    <w:rsid w:val="008D2859"/>
    <w:rsid w:val="008D6C34"/>
    <w:rsid w:val="008E57F9"/>
    <w:rsid w:val="0096266D"/>
    <w:rsid w:val="009724AB"/>
    <w:rsid w:val="009833E1"/>
    <w:rsid w:val="009F093D"/>
    <w:rsid w:val="00A44C22"/>
    <w:rsid w:val="00A82960"/>
    <w:rsid w:val="00A95C20"/>
    <w:rsid w:val="00AB0988"/>
    <w:rsid w:val="00AD46A2"/>
    <w:rsid w:val="00B03D19"/>
    <w:rsid w:val="00B25CAA"/>
    <w:rsid w:val="00B83D88"/>
    <w:rsid w:val="00BD5D27"/>
    <w:rsid w:val="00BD7923"/>
    <w:rsid w:val="00C52475"/>
    <w:rsid w:val="00C60025"/>
    <w:rsid w:val="00C70D3D"/>
    <w:rsid w:val="00C83369"/>
    <w:rsid w:val="00C83BED"/>
    <w:rsid w:val="00D13301"/>
    <w:rsid w:val="00D44762"/>
    <w:rsid w:val="00D92A56"/>
    <w:rsid w:val="00E119FE"/>
    <w:rsid w:val="00E261AB"/>
    <w:rsid w:val="00E33F7E"/>
    <w:rsid w:val="00E3476F"/>
    <w:rsid w:val="00E3589D"/>
    <w:rsid w:val="00E52CE5"/>
    <w:rsid w:val="00E67414"/>
    <w:rsid w:val="00EC19D0"/>
    <w:rsid w:val="00ED557A"/>
    <w:rsid w:val="00F05103"/>
    <w:rsid w:val="00F1469B"/>
    <w:rsid w:val="00F1664A"/>
    <w:rsid w:val="00F35F22"/>
    <w:rsid w:val="00F45A6C"/>
    <w:rsid w:val="00F7072D"/>
    <w:rsid w:val="00F7196F"/>
    <w:rsid w:val="00F86FA8"/>
    <w:rsid w:val="00F90EFF"/>
    <w:rsid w:val="00F9541A"/>
    <w:rsid w:val="00FA0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4A8444"/>
  <w15:chartTrackingRefBased/>
  <w15:docId w15:val="{5FAD1528-04DD-0B48-91BD-EDBFA29FF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74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Teresa Anne Kan (2017444)</dc:creator>
  <cp:lastModifiedBy>Teresa Kan (2017444)</cp:lastModifiedBy>
  <cp:revision>2</cp:revision>
  <dcterms:created xsi:type="dcterms:W3CDTF">2022-03-03T16:46:00Z</dcterms:created>
  <dcterms:modified xsi:type="dcterms:W3CDTF">2022-03-03T16:46:00Z</dcterms:modified>
</cp:coreProperties>
</file>