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A2E737" w14:textId="77777777" w:rsidR="00CC2E80" w:rsidRPr="003B7AB0" w:rsidRDefault="003D6C16">
      <w:pPr>
        <w:jc w:val="center"/>
        <w:rPr>
          <w:b/>
          <w:bCs/>
          <w:color w:val="000000" w:themeColor="text1"/>
          <w:sz w:val="40"/>
          <w:szCs w:val="40"/>
        </w:rPr>
      </w:pPr>
      <w:r w:rsidRPr="003B7AB0">
        <w:rPr>
          <w:b/>
          <w:bCs/>
          <w:color w:val="000000" w:themeColor="text1"/>
          <w:sz w:val="40"/>
          <w:szCs w:val="40"/>
        </w:rPr>
        <w:t xml:space="preserve">BSC Health and social care </w:t>
      </w:r>
    </w:p>
    <w:p w14:paraId="7A8D17F2" w14:textId="77777777" w:rsidR="00CC2E80" w:rsidRPr="003B7AB0" w:rsidRDefault="003D6C16">
      <w:pPr>
        <w:jc w:val="center"/>
        <w:rPr>
          <w:b/>
          <w:bCs/>
          <w:color w:val="000000" w:themeColor="text1"/>
          <w:sz w:val="40"/>
          <w:szCs w:val="40"/>
        </w:rPr>
      </w:pPr>
      <w:r w:rsidRPr="003B7AB0">
        <w:rPr>
          <w:b/>
          <w:bCs/>
          <w:color w:val="000000" w:themeColor="text1"/>
          <w:sz w:val="40"/>
          <w:szCs w:val="40"/>
        </w:rPr>
        <w:t>BMHP5014</w:t>
      </w:r>
    </w:p>
    <w:p w14:paraId="11DC9F92" w14:textId="77777777" w:rsidR="00CC2E80" w:rsidRPr="003B7AB0" w:rsidRDefault="003D6C16">
      <w:pPr>
        <w:jc w:val="center"/>
        <w:rPr>
          <w:b/>
          <w:bCs/>
          <w:color w:val="000000" w:themeColor="text1"/>
          <w:sz w:val="36"/>
          <w:szCs w:val="36"/>
        </w:rPr>
      </w:pPr>
      <w:r w:rsidRPr="003B7AB0">
        <w:rPr>
          <w:b/>
          <w:bCs/>
          <w:color w:val="000000" w:themeColor="text1"/>
          <w:sz w:val="36"/>
          <w:szCs w:val="36"/>
        </w:rPr>
        <w:t>Module: Changemakers: Creativity and Value Creation</w:t>
      </w:r>
    </w:p>
    <w:p w14:paraId="57E252DE" w14:textId="77777777" w:rsidR="00CC2E80" w:rsidRPr="003B7AB0" w:rsidRDefault="003D6C16">
      <w:pPr>
        <w:jc w:val="center"/>
        <w:rPr>
          <w:b/>
          <w:bCs/>
          <w:color w:val="000000" w:themeColor="text1"/>
          <w:sz w:val="36"/>
          <w:szCs w:val="36"/>
        </w:rPr>
      </w:pPr>
      <w:r w:rsidRPr="003B7AB0">
        <w:rPr>
          <w:b/>
          <w:bCs/>
          <w:color w:val="000000" w:themeColor="text1"/>
          <w:sz w:val="36"/>
          <w:szCs w:val="36"/>
        </w:rPr>
        <w:t>Trust the Facts: A Community Campaign to Reduce Vaccine Hesitancy in the UK</w:t>
      </w:r>
    </w:p>
    <w:p w14:paraId="2091FCA5" w14:textId="77777777" w:rsidR="00CC2E80" w:rsidRPr="003B7AB0" w:rsidRDefault="003D6C16">
      <w:pPr>
        <w:jc w:val="center"/>
        <w:rPr>
          <w:b/>
          <w:bCs/>
          <w:i/>
          <w:iCs/>
          <w:color w:val="000000" w:themeColor="text1"/>
        </w:rPr>
      </w:pPr>
      <w:r w:rsidRPr="003B7AB0">
        <w:rPr>
          <w:b/>
          <w:bCs/>
          <w:i/>
          <w:iCs/>
          <w:color w:val="000000" w:themeColor="text1"/>
        </w:rPr>
        <w:t>Building confidence through credible information, community voices, and digital engagement</w:t>
      </w:r>
    </w:p>
    <w:p w14:paraId="1B96124C" w14:textId="77777777" w:rsidR="00CC2E80" w:rsidRPr="003B7AB0" w:rsidRDefault="00CC2E80">
      <w:pPr>
        <w:rPr>
          <w:color w:val="000000" w:themeColor="text1"/>
        </w:rPr>
      </w:pPr>
    </w:p>
    <w:p w14:paraId="6748A49B" w14:textId="77777777" w:rsidR="00CC2E80" w:rsidRPr="003B7AB0" w:rsidRDefault="003D6C16">
      <w:pPr>
        <w:jc w:val="center"/>
        <w:rPr>
          <w:b/>
          <w:bCs/>
          <w:color w:val="000000" w:themeColor="text1"/>
        </w:rPr>
      </w:pPr>
      <w:r w:rsidRPr="003B7AB0">
        <w:rPr>
          <w:b/>
          <w:bCs/>
          <w:color w:val="000000" w:themeColor="text1"/>
        </w:rPr>
        <w:t>Component 2 – Academic Poster &amp; Written Pitch</w:t>
      </w:r>
    </w:p>
    <w:p w14:paraId="68DFB495" w14:textId="77777777" w:rsidR="00CC2E80" w:rsidRPr="003B7AB0" w:rsidRDefault="00CC2E80">
      <w:pPr>
        <w:jc w:val="center"/>
        <w:rPr>
          <w:b/>
          <w:bCs/>
          <w:color w:val="000000" w:themeColor="text1"/>
        </w:rPr>
      </w:pPr>
    </w:p>
    <w:p w14:paraId="691FB602" w14:textId="77777777" w:rsidR="00CC2E80" w:rsidRPr="003B7AB0" w:rsidRDefault="003D6C16">
      <w:pPr>
        <w:jc w:val="center"/>
        <w:rPr>
          <w:color w:val="000000" w:themeColor="text1"/>
        </w:rPr>
      </w:pPr>
      <w:r w:rsidRPr="003B7AB0">
        <w:rPr>
          <w:color w:val="000000" w:themeColor="text1"/>
        </w:rPr>
        <w:t>Student Number: 2407750</w:t>
      </w:r>
    </w:p>
    <w:p w14:paraId="00964A90" w14:textId="77777777" w:rsidR="00CC2E80" w:rsidRPr="003B7AB0" w:rsidRDefault="003D6C16">
      <w:pPr>
        <w:jc w:val="center"/>
        <w:rPr>
          <w:color w:val="000000" w:themeColor="text1"/>
        </w:rPr>
      </w:pPr>
      <w:r w:rsidRPr="003B7AB0">
        <w:rPr>
          <w:color w:val="000000" w:themeColor="text1"/>
        </w:rPr>
        <w:t xml:space="preserve">Student Name: Mohammed Mobeen Ali </w:t>
      </w:r>
    </w:p>
    <w:p w14:paraId="20B73601" w14:textId="77777777" w:rsidR="00CC2E80" w:rsidRPr="003B7AB0" w:rsidRDefault="003D6C16">
      <w:pPr>
        <w:jc w:val="center"/>
        <w:rPr>
          <w:color w:val="000000" w:themeColor="text1"/>
        </w:rPr>
      </w:pPr>
      <w:r w:rsidRPr="003B7AB0">
        <w:rPr>
          <w:color w:val="000000" w:themeColor="text1"/>
        </w:rPr>
        <w:t>Tutor Details: Parese Ahmed</w:t>
      </w:r>
    </w:p>
    <w:p w14:paraId="2F9F86FA" w14:textId="77777777" w:rsidR="00CC2E80" w:rsidRPr="003B7AB0" w:rsidRDefault="003D6C16">
      <w:pPr>
        <w:jc w:val="center"/>
        <w:rPr>
          <w:color w:val="000000" w:themeColor="text1"/>
        </w:rPr>
      </w:pPr>
      <w:r w:rsidRPr="003B7AB0">
        <w:rPr>
          <w:color w:val="000000" w:themeColor="text1"/>
        </w:rPr>
        <w:t>Written Assignment (Report)</w:t>
      </w:r>
    </w:p>
    <w:p w14:paraId="1609F628" w14:textId="77777777" w:rsidR="00CC2E80" w:rsidRPr="003B7AB0" w:rsidRDefault="003D6C16">
      <w:pPr>
        <w:jc w:val="center"/>
        <w:rPr>
          <w:color w:val="000000" w:themeColor="text1"/>
        </w:rPr>
      </w:pPr>
      <w:r w:rsidRPr="003B7AB0">
        <w:rPr>
          <w:color w:val="000000" w:themeColor="text1"/>
        </w:rPr>
        <w:t>Submission Date:02April 2026</w:t>
      </w:r>
      <w:r w:rsidRPr="003B7AB0">
        <w:rPr>
          <w:color w:val="000000" w:themeColor="text1"/>
        </w:rPr>
        <w:br w:type="page"/>
      </w:r>
    </w:p>
    <w:p w14:paraId="173529BF" w14:textId="77777777" w:rsidR="00CC2E80" w:rsidRPr="003B7AB0" w:rsidRDefault="003D6C16">
      <w:pPr>
        <w:pBdr>
          <w:top w:val="nil"/>
          <w:left w:val="nil"/>
          <w:bottom w:val="nil"/>
          <w:right w:val="nil"/>
          <w:between w:val="nil"/>
        </w:pBdr>
        <w:spacing w:before="240" w:after="0"/>
        <w:jc w:val="center"/>
        <w:rPr>
          <w:b/>
          <w:bCs/>
          <w:color w:val="000000" w:themeColor="text1"/>
          <w:sz w:val="32"/>
          <w:szCs w:val="32"/>
          <w:u w:val="single"/>
        </w:rPr>
      </w:pPr>
      <w:r w:rsidRPr="003B7AB0">
        <w:rPr>
          <w:b/>
          <w:bCs/>
          <w:color w:val="000000" w:themeColor="text1"/>
          <w:sz w:val="32"/>
          <w:szCs w:val="32"/>
          <w:u w:val="single"/>
        </w:rPr>
        <w:t>Table of Contents</w:t>
      </w:r>
    </w:p>
    <w:sdt>
      <w:sdtPr>
        <w:rPr>
          <w:color w:val="000000" w:themeColor="text1"/>
        </w:rPr>
        <w:id w:val="-2088944086"/>
        <w:docPartObj>
          <w:docPartGallery w:val="Table of Contents"/>
          <w:docPartUnique/>
        </w:docPartObj>
      </w:sdtPr>
      <w:sdtEndPr/>
      <w:sdtContent>
        <w:p w14:paraId="6D8F51F9" w14:textId="77777777" w:rsidR="00CC2E80" w:rsidRPr="003B7AB0" w:rsidRDefault="003D6C16">
          <w:pPr>
            <w:pBdr>
              <w:top w:val="nil"/>
              <w:left w:val="nil"/>
              <w:bottom w:val="nil"/>
              <w:right w:val="nil"/>
              <w:between w:val="nil"/>
            </w:pBdr>
            <w:tabs>
              <w:tab w:val="right" w:pos="9350"/>
            </w:tabs>
            <w:spacing w:after="100"/>
            <w:rPr>
              <w:rFonts w:ascii="Calibri" w:eastAsia="Calibri" w:hAnsi="Calibri" w:cs="Calibri"/>
              <w:color w:val="000000" w:themeColor="text1"/>
            </w:rPr>
          </w:pPr>
          <w:r w:rsidRPr="003B7AB0">
            <w:rPr>
              <w:color w:val="000000" w:themeColor="text1"/>
            </w:rPr>
            <w:fldChar w:fldCharType="begin"/>
          </w:r>
          <w:r w:rsidRPr="003B7AB0">
            <w:rPr>
              <w:color w:val="000000" w:themeColor="text1"/>
            </w:rPr>
            <w:instrText xml:space="preserve"> TOC \h \u \z \t "Heading 1,1,Heading 2,2,Heading 3,3,"</w:instrText>
          </w:r>
          <w:r w:rsidRPr="003B7AB0">
            <w:rPr>
              <w:color w:val="000000" w:themeColor="text1"/>
            </w:rPr>
            <w:fldChar w:fldCharType="separate"/>
          </w:r>
          <w:hyperlink w:anchor="_4wonksuus2lg">
            <w:r w:rsidR="00CC2E80" w:rsidRPr="003B7AB0">
              <w:rPr>
                <w:color w:val="000000" w:themeColor="text1"/>
              </w:rPr>
              <w:t>Main Poster</w:t>
            </w:r>
            <w:r w:rsidR="00CC2E80" w:rsidRPr="003B7AB0">
              <w:rPr>
                <w:color w:val="000000" w:themeColor="text1"/>
              </w:rPr>
              <w:tab/>
              <w:t>3</w:t>
            </w:r>
          </w:hyperlink>
        </w:p>
        <w:p w14:paraId="2E48ADE3" w14:textId="77777777" w:rsidR="00CC2E80" w:rsidRPr="003B7AB0" w:rsidRDefault="00CC2E80">
          <w:pPr>
            <w:pBdr>
              <w:top w:val="nil"/>
              <w:left w:val="nil"/>
              <w:bottom w:val="nil"/>
              <w:right w:val="nil"/>
              <w:between w:val="nil"/>
            </w:pBdr>
            <w:tabs>
              <w:tab w:val="right" w:pos="9350"/>
            </w:tabs>
            <w:spacing w:after="100"/>
            <w:rPr>
              <w:rFonts w:ascii="Calibri" w:eastAsia="Calibri" w:hAnsi="Calibri" w:cs="Calibri"/>
              <w:color w:val="000000" w:themeColor="text1"/>
            </w:rPr>
          </w:pPr>
          <w:hyperlink w:anchor="_w5xmf1h3352m">
            <w:r w:rsidRPr="003B7AB0">
              <w:rPr>
                <w:color w:val="000000" w:themeColor="text1"/>
              </w:rPr>
              <w:t>1) Opening: Issue + Proposed Innovation</w:t>
            </w:r>
            <w:r w:rsidRPr="003B7AB0">
              <w:rPr>
                <w:color w:val="000000" w:themeColor="text1"/>
              </w:rPr>
              <w:tab/>
              <w:t>4</w:t>
            </w:r>
          </w:hyperlink>
        </w:p>
        <w:p w14:paraId="3543B967" w14:textId="77777777" w:rsidR="00CC2E80" w:rsidRPr="003B7AB0" w:rsidRDefault="00CC2E80">
          <w:pPr>
            <w:pBdr>
              <w:top w:val="nil"/>
              <w:left w:val="nil"/>
              <w:bottom w:val="nil"/>
              <w:right w:val="nil"/>
              <w:between w:val="nil"/>
            </w:pBdr>
            <w:tabs>
              <w:tab w:val="right" w:pos="9350"/>
            </w:tabs>
            <w:spacing w:after="100"/>
            <w:rPr>
              <w:rFonts w:ascii="Calibri" w:eastAsia="Calibri" w:hAnsi="Calibri" w:cs="Calibri"/>
              <w:color w:val="000000" w:themeColor="text1"/>
            </w:rPr>
          </w:pPr>
          <w:hyperlink w:anchor="_y4vfnhgohp6s">
            <w:r w:rsidRPr="003B7AB0">
              <w:rPr>
                <w:color w:val="000000" w:themeColor="text1"/>
              </w:rPr>
              <w:t>2) Innovation Description: Key Components + How it Works</w:t>
            </w:r>
            <w:r w:rsidRPr="003B7AB0">
              <w:rPr>
                <w:color w:val="000000" w:themeColor="text1"/>
              </w:rPr>
              <w:tab/>
              <w:t>4</w:t>
            </w:r>
          </w:hyperlink>
        </w:p>
        <w:p w14:paraId="022C7964" w14:textId="77777777" w:rsidR="00CC2E80" w:rsidRPr="003B7AB0" w:rsidRDefault="00CC2E80">
          <w:pPr>
            <w:pBdr>
              <w:top w:val="nil"/>
              <w:left w:val="nil"/>
              <w:bottom w:val="nil"/>
              <w:right w:val="nil"/>
              <w:between w:val="nil"/>
            </w:pBdr>
            <w:tabs>
              <w:tab w:val="right" w:pos="9350"/>
            </w:tabs>
            <w:spacing w:after="100"/>
            <w:rPr>
              <w:rFonts w:ascii="Calibri" w:eastAsia="Calibri" w:hAnsi="Calibri" w:cs="Calibri"/>
              <w:color w:val="000000" w:themeColor="text1"/>
            </w:rPr>
          </w:pPr>
          <w:hyperlink w:anchor="_hlaebr2lfjoe">
            <w:r w:rsidRPr="003B7AB0">
              <w:rPr>
                <w:color w:val="000000" w:themeColor="text1"/>
              </w:rPr>
              <w:t>3) Expected Impact + Relevance Now</w:t>
            </w:r>
            <w:r w:rsidRPr="003B7AB0">
              <w:rPr>
                <w:color w:val="000000" w:themeColor="text1"/>
              </w:rPr>
              <w:tab/>
              <w:t>4</w:t>
            </w:r>
          </w:hyperlink>
        </w:p>
        <w:p w14:paraId="7F39A40D" w14:textId="77777777" w:rsidR="00CC2E80" w:rsidRPr="003B7AB0" w:rsidRDefault="00CC2E80">
          <w:pPr>
            <w:pBdr>
              <w:top w:val="nil"/>
              <w:left w:val="nil"/>
              <w:bottom w:val="nil"/>
              <w:right w:val="nil"/>
              <w:between w:val="nil"/>
            </w:pBdr>
            <w:tabs>
              <w:tab w:val="right" w:pos="9350"/>
            </w:tabs>
            <w:spacing w:after="100"/>
            <w:rPr>
              <w:rFonts w:ascii="Calibri" w:eastAsia="Calibri" w:hAnsi="Calibri" w:cs="Calibri"/>
              <w:color w:val="000000" w:themeColor="text1"/>
            </w:rPr>
          </w:pPr>
          <w:hyperlink w:anchor="_3nnze5vcw1gi">
            <w:r w:rsidRPr="003B7AB0">
              <w:rPr>
                <w:color w:val="000000" w:themeColor="text1"/>
              </w:rPr>
              <w:t>4) Implementation Plan + Timeline</w:t>
            </w:r>
            <w:r w:rsidRPr="003B7AB0">
              <w:rPr>
                <w:color w:val="000000" w:themeColor="text1"/>
              </w:rPr>
              <w:tab/>
              <w:t>5</w:t>
            </w:r>
          </w:hyperlink>
        </w:p>
        <w:p w14:paraId="615785CD" w14:textId="77777777" w:rsidR="00CC2E80" w:rsidRPr="003B7AB0" w:rsidRDefault="00CC2E80">
          <w:pPr>
            <w:pBdr>
              <w:top w:val="nil"/>
              <w:left w:val="nil"/>
              <w:bottom w:val="nil"/>
              <w:right w:val="nil"/>
              <w:between w:val="nil"/>
            </w:pBdr>
            <w:tabs>
              <w:tab w:val="right" w:pos="9350"/>
            </w:tabs>
            <w:spacing w:after="100"/>
            <w:rPr>
              <w:rFonts w:ascii="Calibri" w:eastAsia="Calibri" w:hAnsi="Calibri" w:cs="Calibri"/>
              <w:color w:val="000000" w:themeColor="text1"/>
            </w:rPr>
          </w:pPr>
          <w:hyperlink w:anchor="_hs338yngfugu">
            <w:r w:rsidRPr="003B7AB0">
              <w:rPr>
                <w:color w:val="000000" w:themeColor="text1"/>
              </w:rPr>
              <w:t>5) Value + Feasibility + Barriers + Solutions</w:t>
            </w:r>
            <w:r w:rsidRPr="003B7AB0">
              <w:rPr>
                <w:color w:val="000000" w:themeColor="text1"/>
              </w:rPr>
              <w:tab/>
              <w:t>6</w:t>
            </w:r>
          </w:hyperlink>
        </w:p>
        <w:p w14:paraId="75B4FCC9" w14:textId="77777777" w:rsidR="00CC2E80" w:rsidRPr="003B7AB0" w:rsidRDefault="00CC2E80">
          <w:pPr>
            <w:pBdr>
              <w:top w:val="nil"/>
              <w:left w:val="nil"/>
              <w:bottom w:val="nil"/>
              <w:right w:val="nil"/>
              <w:between w:val="nil"/>
            </w:pBdr>
            <w:tabs>
              <w:tab w:val="right" w:pos="9350"/>
            </w:tabs>
            <w:spacing w:after="100"/>
            <w:rPr>
              <w:rFonts w:ascii="Calibri" w:eastAsia="Calibri" w:hAnsi="Calibri" w:cs="Calibri"/>
              <w:color w:val="000000" w:themeColor="text1"/>
            </w:rPr>
          </w:pPr>
          <w:hyperlink w:anchor="_jbd1o4uu1u52">
            <w:r w:rsidRPr="003B7AB0">
              <w:rPr>
                <w:color w:val="000000" w:themeColor="text1"/>
              </w:rPr>
              <w:t>6) Call to Action</w:t>
            </w:r>
            <w:r w:rsidRPr="003B7AB0">
              <w:rPr>
                <w:color w:val="000000" w:themeColor="text1"/>
              </w:rPr>
              <w:tab/>
              <w:t>6</w:t>
            </w:r>
          </w:hyperlink>
        </w:p>
        <w:p w14:paraId="3B5299C4" w14:textId="77777777" w:rsidR="00CC2E80" w:rsidRPr="003B7AB0" w:rsidRDefault="00CC2E80">
          <w:pPr>
            <w:pBdr>
              <w:top w:val="nil"/>
              <w:left w:val="nil"/>
              <w:bottom w:val="nil"/>
              <w:right w:val="nil"/>
              <w:between w:val="nil"/>
            </w:pBdr>
            <w:tabs>
              <w:tab w:val="right" w:pos="9350"/>
            </w:tabs>
            <w:spacing w:after="100"/>
            <w:rPr>
              <w:rFonts w:ascii="Calibri" w:eastAsia="Calibri" w:hAnsi="Calibri" w:cs="Calibri"/>
              <w:color w:val="000000" w:themeColor="text1"/>
            </w:rPr>
          </w:pPr>
          <w:hyperlink w:anchor="_ow6ubl1v066k">
            <w:r w:rsidRPr="003B7AB0">
              <w:rPr>
                <w:color w:val="000000" w:themeColor="text1"/>
              </w:rPr>
              <w:t>7) Reference List</w:t>
            </w:r>
            <w:r w:rsidRPr="003B7AB0">
              <w:rPr>
                <w:color w:val="000000" w:themeColor="text1"/>
              </w:rPr>
              <w:tab/>
              <w:t>7</w:t>
            </w:r>
          </w:hyperlink>
        </w:p>
        <w:p w14:paraId="6AE1B9A9" w14:textId="77777777" w:rsidR="00CC2E80" w:rsidRPr="003B7AB0" w:rsidRDefault="003D6C16">
          <w:pPr>
            <w:rPr>
              <w:color w:val="000000" w:themeColor="text1"/>
            </w:rPr>
          </w:pPr>
          <w:r w:rsidRPr="003B7AB0">
            <w:rPr>
              <w:color w:val="000000" w:themeColor="text1"/>
            </w:rPr>
            <w:fldChar w:fldCharType="end"/>
          </w:r>
        </w:p>
      </w:sdtContent>
    </w:sdt>
    <w:p w14:paraId="709C70D8" w14:textId="77777777" w:rsidR="00CC2E80" w:rsidRPr="003B7AB0" w:rsidRDefault="003D6C16">
      <w:pPr>
        <w:spacing w:line="259" w:lineRule="auto"/>
        <w:jc w:val="left"/>
        <w:rPr>
          <w:b/>
          <w:bCs/>
          <w:color w:val="000000" w:themeColor="text1"/>
        </w:rPr>
      </w:pPr>
      <w:r w:rsidRPr="003B7AB0">
        <w:rPr>
          <w:color w:val="000000" w:themeColor="text1"/>
        </w:rPr>
        <w:br w:type="page"/>
      </w:r>
    </w:p>
    <w:p w14:paraId="3CA1F067" w14:textId="77777777" w:rsidR="00CC2E80" w:rsidRPr="003B7AB0" w:rsidRDefault="003D6C16">
      <w:pPr>
        <w:pStyle w:val="Heading1"/>
        <w:jc w:val="center"/>
        <w:rPr>
          <w:color w:val="000000" w:themeColor="text1"/>
          <w:sz w:val="36"/>
          <w:szCs w:val="36"/>
          <w:u w:val="single"/>
        </w:rPr>
      </w:pPr>
      <w:bookmarkStart w:id="0" w:name="_4wonksuus2lg" w:colFirst="0" w:colLast="0"/>
      <w:bookmarkEnd w:id="0"/>
      <w:r w:rsidRPr="003B7AB0">
        <w:rPr>
          <w:color w:val="000000" w:themeColor="text1"/>
          <w:sz w:val="36"/>
          <w:szCs w:val="36"/>
          <w:u w:val="single"/>
        </w:rPr>
        <w:t>Main Poster</w:t>
      </w:r>
    </w:p>
    <w:p w14:paraId="2B90627B" w14:textId="77777777" w:rsidR="00CC2E80" w:rsidRPr="003B7AB0" w:rsidRDefault="00CC2E80">
      <w:pPr>
        <w:rPr>
          <w:color w:val="000000" w:themeColor="text1"/>
        </w:rPr>
      </w:pPr>
    </w:p>
    <w:p w14:paraId="5D1ED1F6" w14:textId="77777777" w:rsidR="00CC2E80" w:rsidRPr="003B7AB0" w:rsidRDefault="00CC2E80">
      <w:pPr>
        <w:rPr>
          <w:color w:val="000000" w:themeColor="text1"/>
        </w:rPr>
      </w:pPr>
    </w:p>
    <w:p w14:paraId="0269BCF0" w14:textId="77777777" w:rsidR="00CC2E80" w:rsidRPr="003B7AB0" w:rsidRDefault="003D6C16">
      <w:pPr>
        <w:rPr>
          <w:color w:val="000000" w:themeColor="text1"/>
        </w:rPr>
      </w:pPr>
      <w:r w:rsidRPr="003B7AB0">
        <w:rPr>
          <w:noProof/>
          <w:color w:val="000000" w:themeColor="text1"/>
        </w:rPr>
        <w:drawing>
          <wp:inline distT="0" distB="0" distL="0" distR="0" wp14:anchorId="204F28B5" wp14:editId="17D958FC">
            <wp:extent cx="5943600" cy="420243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5943600" cy="4202430"/>
                    </a:xfrm>
                    <a:prstGeom prst="rect">
                      <a:avLst/>
                    </a:prstGeom>
                    <a:ln/>
                  </pic:spPr>
                </pic:pic>
              </a:graphicData>
            </a:graphic>
          </wp:inline>
        </w:drawing>
      </w:r>
    </w:p>
    <w:p w14:paraId="2D81EC40" w14:textId="77777777" w:rsidR="00CC2E80" w:rsidRPr="003B7AB0" w:rsidRDefault="00CC2E80">
      <w:pPr>
        <w:rPr>
          <w:color w:val="000000" w:themeColor="text1"/>
        </w:rPr>
      </w:pPr>
    </w:p>
    <w:p w14:paraId="6C511B68" w14:textId="77777777" w:rsidR="00CC2E80" w:rsidRPr="003B7AB0" w:rsidRDefault="003D6C16">
      <w:pPr>
        <w:spacing w:line="259" w:lineRule="auto"/>
        <w:jc w:val="left"/>
        <w:rPr>
          <w:b/>
          <w:bCs/>
          <w:color w:val="000000" w:themeColor="text1"/>
        </w:rPr>
      </w:pPr>
      <w:r w:rsidRPr="003B7AB0">
        <w:rPr>
          <w:color w:val="000000" w:themeColor="text1"/>
        </w:rPr>
        <w:br w:type="page"/>
      </w:r>
    </w:p>
    <w:p w14:paraId="7E95528C" w14:textId="77777777" w:rsidR="00CC2E80" w:rsidRPr="003B7AB0" w:rsidRDefault="003D6C16">
      <w:pPr>
        <w:pStyle w:val="Heading1"/>
        <w:rPr>
          <w:color w:val="000000" w:themeColor="text1"/>
        </w:rPr>
      </w:pPr>
      <w:bookmarkStart w:id="1" w:name="_w5xmf1h3352m" w:colFirst="0" w:colLast="0"/>
      <w:bookmarkEnd w:id="1"/>
      <w:r w:rsidRPr="003B7AB0">
        <w:rPr>
          <w:color w:val="000000" w:themeColor="text1"/>
        </w:rPr>
        <w:t>1) Opening: Issue + Proposed Innovation</w:t>
      </w:r>
    </w:p>
    <w:p w14:paraId="418CC91C" w14:textId="77777777" w:rsidR="00CC2E80" w:rsidRPr="003B7AB0" w:rsidRDefault="003D6C16">
      <w:pPr>
        <w:rPr>
          <w:color w:val="000000" w:themeColor="text1"/>
        </w:rPr>
      </w:pPr>
      <w:r w:rsidRPr="003B7AB0">
        <w:rPr>
          <w:color w:val="000000" w:themeColor="text1"/>
        </w:rPr>
        <w:t xml:space="preserve">I am proposing a UK community health campaign called </w:t>
      </w:r>
      <w:r w:rsidRPr="003B7AB0">
        <w:rPr>
          <w:b/>
          <w:bCs/>
          <w:color w:val="000000" w:themeColor="text1"/>
        </w:rPr>
        <w:t>“Trust the Facts”</w:t>
      </w:r>
      <w:r w:rsidRPr="003B7AB0">
        <w:rPr>
          <w:color w:val="000000" w:themeColor="text1"/>
        </w:rPr>
        <w:t xml:space="preserve"> to reduce vaccine hesitancy driven by misinformation and declining public confidence. Vaccine hesitancy remains a serious public health concern because delayed or refused vaccination can increase the risk of vaccine-preventable disease outbreaks and worsen health inequalities (NHS, 2023). Evidence shows that misinformation, particularly online, strongly influences vaccine attitudes and trust. “Trust the Facts” will use credible messaging, trusted community voices and accessible digital com</w:t>
      </w:r>
      <w:r w:rsidRPr="003B7AB0">
        <w:rPr>
          <w:color w:val="000000" w:themeColor="text1"/>
        </w:rPr>
        <w:t>munication to improve vaccine confidence and support informed decision-making across local UK communities.</w:t>
      </w:r>
    </w:p>
    <w:p w14:paraId="510C0193" w14:textId="77777777" w:rsidR="00CC2E80" w:rsidRPr="003B7AB0" w:rsidRDefault="003D6C16">
      <w:pPr>
        <w:pStyle w:val="Heading1"/>
        <w:rPr>
          <w:color w:val="000000" w:themeColor="text1"/>
        </w:rPr>
      </w:pPr>
      <w:bookmarkStart w:id="2" w:name="_y4vfnhgohp6s" w:colFirst="0" w:colLast="0"/>
      <w:bookmarkEnd w:id="2"/>
      <w:r w:rsidRPr="003B7AB0">
        <w:rPr>
          <w:color w:val="000000" w:themeColor="text1"/>
        </w:rPr>
        <w:t>2) Innovation Description: Key Components + How it Works</w:t>
      </w:r>
    </w:p>
    <w:p w14:paraId="54A54C67" w14:textId="77777777" w:rsidR="00CC2E80" w:rsidRPr="003B7AB0" w:rsidRDefault="003D6C16">
      <w:pPr>
        <w:rPr>
          <w:color w:val="000000" w:themeColor="text1"/>
        </w:rPr>
      </w:pPr>
      <w:r w:rsidRPr="003B7AB0">
        <w:rPr>
          <w:color w:val="000000" w:themeColor="text1"/>
        </w:rPr>
        <w:t>“Trust the Facts” is a digital communication that integrates with community participation and provision of reliable, supportive, and easily understandable information about vaccines. The campaign will take the same “Myth vs Fact” approach in which a common misinformation is handled with respect and clear explanations and evidence-based messages. This style does not decide; it is rather supportive to help people to meditate about issues and to make wise decisions.</w:t>
      </w:r>
    </w:p>
    <w:p w14:paraId="6470E9C0" w14:textId="77777777" w:rsidR="00CC2E80" w:rsidRPr="003B7AB0" w:rsidRDefault="003D6C16">
      <w:pPr>
        <w:rPr>
          <w:color w:val="000000" w:themeColor="text1"/>
        </w:rPr>
      </w:pPr>
      <w:r w:rsidRPr="003B7AB0">
        <w:rPr>
          <w:color w:val="000000" w:themeColor="text1"/>
        </w:rPr>
        <w:t>Digital campaign will contain short videos, infographic posts, and brief “fact-check” messages posted via such platforms as Instagram and Facebook. The use of social media is justified by the fact that it is the place where misinformation gets most popular, and it is the place where a lot of young adults and parents get health information (Tuten and Solomon, 2017). Also, QR codes will enable the community members to be connected to reliable content hubs.</w:t>
      </w:r>
    </w:p>
    <w:p w14:paraId="5AC45EE3" w14:textId="77777777" w:rsidR="00CC2E80" w:rsidRPr="003B7AB0" w:rsidRDefault="003D6C16">
      <w:pPr>
        <w:rPr>
          <w:color w:val="000000" w:themeColor="text1"/>
        </w:rPr>
      </w:pPr>
      <w:r w:rsidRPr="003B7AB0">
        <w:rPr>
          <w:color w:val="000000" w:themeColor="text1"/>
        </w:rPr>
        <w:t>The community element involves drop-in question and answer sessions that can be provided within pharmacies, GP-linked community rooms and community centres, assisted by nurses, pharmacists and trained community representatives to assist. The collaboration with medical workers enhances the level of credibility and gives individuals the chance to pose questions in a supportive and respectful environment (MacDonald, 2015). It will also involve community leaders to increase its trust and cultural relevance.</w:t>
      </w:r>
    </w:p>
    <w:p w14:paraId="3A791922" w14:textId="77777777" w:rsidR="00CC2E80" w:rsidRPr="003B7AB0" w:rsidRDefault="003D6C16">
      <w:pPr>
        <w:pStyle w:val="Heading1"/>
        <w:rPr>
          <w:color w:val="000000" w:themeColor="text1"/>
        </w:rPr>
      </w:pPr>
      <w:bookmarkStart w:id="3" w:name="_hlaebr2lfjoe" w:colFirst="0" w:colLast="0"/>
      <w:bookmarkEnd w:id="3"/>
      <w:r w:rsidRPr="003B7AB0">
        <w:rPr>
          <w:color w:val="000000" w:themeColor="text1"/>
        </w:rPr>
        <w:t>3) Expected Impact + Relevance Now</w:t>
      </w:r>
    </w:p>
    <w:p w14:paraId="52C6120E" w14:textId="77777777" w:rsidR="00CC2E80" w:rsidRPr="003B7AB0" w:rsidRDefault="003D6C16">
      <w:pPr>
        <w:rPr>
          <w:color w:val="000000" w:themeColor="text1"/>
        </w:rPr>
      </w:pPr>
      <w:r w:rsidRPr="003B7AB0">
        <w:rPr>
          <w:color w:val="000000" w:themeColor="text1"/>
        </w:rPr>
        <w:t>It is believed that the working effect of the “Trust the Facts” is the enhancement of vaccine confidence, decrease of the beliefs in false information, and more willingness to use vaccination services. It has been demonstrated that vaccine hesitancy is influenced by trust, social factors and exposure to information, so that trustful communication and conducive discussion can enhance the decision-making (CIPD, 2022). The campaign will enable knowledge improvement and emotional reassurance, which are critical</w:t>
      </w:r>
      <w:r w:rsidRPr="003B7AB0">
        <w:rPr>
          <w:color w:val="000000" w:themeColor="text1"/>
        </w:rPr>
        <w:t xml:space="preserve"> in behaviour change by merging digital communication with the chance to discuss locally (MacDonald, 2015).</w:t>
      </w:r>
    </w:p>
    <w:p w14:paraId="13AF81B9" w14:textId="77777777" w:rsidR="00CC2E80" w:rsidRPr="003B7AB0" w:rsidRDefault="003D6C16">
      <w:pPr>
        <w:rPr>
          <w:color w:val="000000" w:themeColor="text1"/>
        </w:rPr>
      </w:pPr>
      <w:r w:rsidRPr="003B7AB0">
        <w:rPr>
          <w:color w:val="000000" w:themeColor="text1"/>
        </w:rPr>
        <w:t xml:space="preserve">Such a new technology is required at this point in time since the spread of misinformation via social media remains fast and once people lose their trust it may impact future vaccination programmes and community health interaction (Hind and Moss, 2020). Another role of building trust is to ensure vulnerable communities and enhance resilience in the health of the population. The objective of “Trust the Facts” is to establish community-level confidence through the normalisation of vaccination as a collective </w:t>
      </w:r>
      <w:r w:rsidRPr="003B7AB0">
        <w:rPr>
          <w:color w:val="000000" w:themeColor="text1"/>
        </w:rPr>
        <w:t>protective practice, fear reduction, and informed decision-making.</w:t>
      </w:r>
    </w:p>
    <w:p w14:paraId="4F10597E" w14:textId="77777777" w:rsidR="00CC2E80" w:rsidRPr="003B7AB0" w:rsidRDefault="003D6C16">
      <w:pPr>
        <w:pStyle w:val="Heading1"/>
        <w:rPr>
          <w:color w:val="000000" w:themeColor="text1"/>
        </w:rPr>
      </w:pPr>
      <w:bookmarkStart w:id="4" w:name="_3nnze5vcw1gi" w:colFirst="0" w:colLast="0"/>
      <w:bookmarkEnd w:id="4"/>
      <w:r w:rsidRPr="003B7AB0">
        <w:rPr>
          <w:color w:val="000000" w:themeColor="text1"/>
        </w:rPr>
        <w:t xml:space="preserve">4) Implementation Plan + Timeline </w:t>
      </w:r>
    </w:p>
    <w:p w14:paraId="414614F5" w14:textId="77777777" w:rsidR="00CC2E80" w:rsidRPr="003B7AB0" w:rsidRDefault="003D6C16">
      <w:pPr>
        <w:rPr>
          <w:color w:val="000000" w:themeColor="text1"/>
        </w:rPr>
      </w:pPr>
      <w:r w:rsidRPr="003B7AB0">
        <w:rPr>
          <w:color w:val="000000" w:themeColor="text1"/>
        </w:rPr>
        <w:t xml:space="preserve">The campaign will be implemented through four structured stages: </w:t>
      </w:r>
      <w:r w:rsidRPr="003B7AB0">
        <w:rPr>
          <w:b/>
          <w:bCs/>
          <w:color w:val="000000" w:themeColor="text1"/>
        </w:rPr>
        <w:t>design, testing, launch and evaluation</w:t>
      </w:r>
      <w:r w:rsidRPr="003B7AB0">
        <w:rPr>
          <w:color w:val="000000" w:themeColor="text1"/>
        </w:rPr>
        <w:t>.</w:t>
      </w:r>
    </w:p>
    <w:p w14:paraId="389EE135" w14:textId="77777777" w:rsidR="00CC2E80" w:rsidRPr="003B7AB0" w:rsidRDefault="003D6C16">
      <w:pPr>
        <w:rPr>
          <w:color w:val="000000" w:themeColor="text1"/>
        </w:rPr>
      </w:pPr>
      <w:r w:rsidRPr="003B7AB0">
        <w:rPr>
          <w:b/>
          <w:bCs/>
          <w:color w:val="000000" w:themeColor="text1"/>
        </w:rPr>
        <w:t>Weeks 1–2 (Design):</w:t>
      </w:r>
      <w:r w:rsidRPr="003B7AB0">
        <w:rPr>
          <w:color w:val="000000" w:themeColor="text1"/>
        </w:rPr>
        <w:t xml:space="preserve"> I will identify the most widespread local vaccine myths based on the feedback of people in the community and consult the partners, and design campaign materials, including social media posts, flyers and brief videos. I will also ensure that I enter into agreements with pharmacies, GP practices and community leaders to assist in delivery.</w:t>
      </w:r>
    </w:p>
    <w:p w14:paraId="42327ECD" w14:textId="77777777" w:rsidR="00CC2E80" w:rsidRPr="003B7AB0" w:rsidRDefault="003D6C16">
      <w:pPr>
        <w:rPr>
          <w:color w:val="000000" w:themeColor="text1"/>
        </w:rPr>
      </w:pPr>
      <w:r w:rsidRPr="003B7AB0">
        <w:rPr>
          <w:b/>
          <w:bCs/>
          <w:color w:val="000000" w:themeColor="text1"/>
        </w:rPr>
        <w:t>Weeks 3–4 (Testing):</w:t>
      </w:r>
      <w:r w:rsidRPr="003B7AB0">
        <w:rPr>
          <w:color w:val="000000" w:themeColor="text1"/>
        </w:rPr>
        <w:t xml:space="preserve"> Messages will be piloted with a small group of community members to check whether wording is clear, respectful and culturally acceptable. Campaign materials need to be refined which will be finalised based on the feedback as well as the weekly posting schedule and monthly question and answer session will be finalised.</w:t>
      </w:r>
    </w:p>
    <w:p w14:paraId="2637626E" w14:textId="77777777" w:rsidR="00CC2E80" w:rsidRPr="003B7AB0" w:rsidRDefault="003D6C16">
      <w:pPr>
        <w:rPr>
          <w:color w:val="000000" w:themeColor="text1"/>
        </w:rPr>
      </w:pPr>
      <w:r w:rsidRPr="003B7AB0">
        <w:rPr>
          <w:b/>
          <w:bCs/>
          <w:color w:val="000000" w:themeColor="text1"/>
        </w:rPr>
        <w:t>Weeks 5–8 (Launch):</w:t>
      </w:r>
      <w:r w:rsidRPr="003B7AB0">
        <w:rPr>
          <w:color w:val="000000" w:themeColor="text1"/>
        </w:rPr>
        <w:t xml:space="preserve"> The campaign will include running weekly digital posts on selected platforms and will be accompanied by posters with QR-codes in social places. Question and answer sessions will be conducted in person monthly in order to answer questions directly and build trust.</w:t>
      </w:r>
    </w:p>
    <w:p w14:paraId="35C7D547" w14:textId="77777777" w:rsidR="00CC2E80" w:rsidRPr="003B7AB0" w:rsidRDefault="003D6C16">
      <w:pPr>
        <w:rPr>
          <w:color w:val="000000" w:themeColor="text1"/>
        </w:rPr>
      </w:pPr>
      <w:r w:rsidRPr="003B7AB0">
        <w:rPr>
          <w:color w:val="000000" w:themeColor="text1"/>
        </w:rPr>
        <w:t>This will demand resources in terms of design tools, printing expenses, employee time during sessions and survey tools. In case of gathering feedback, I will make sure that the feedback is anonymous and is managed in a responsible way according to the UK data protection standards, and I will use ethical communication that will not impose on people but will help avoid stigma (NHS, 2023).</w:t>
      </w:r>
    </w:p>
    <w:p w14:paraId="4E4DCAED" w14:textId="77777777" w:rsidR="00CC2E80" w:rsidRPr="003B7AB0" w:rsidRDefault="003D6C16">
      <w:pPr>
        <w:pStyle w:val="Heading1"/>
        <w:rPr>
          <w:color w:val="000000" w:themeColor="text1"/>
        </w:rPr>
      </w:pPr>
      <w:bookmarkStart w:id="5" w:name="_hs338yngfugu" w:colFirst="0" w:colLast="0"/>
      <w:bookmarkEnd w:id="5"/>
      <w:r w:rsidRPr="003B7AB0">
        <w:rPr>
          <w:color w:val="000000" w:themeColor="text1"/>
        </w:rPr>
        <w:t>5) Value + Feasibility + Barriers + Solutions</w:t>
      </w:r>
    </w:p>
    <w:p w14:paraId="196EC08A" w14:textId="77777777" w:rsidR="00CC2E80" w:rsidRPr="003B7AB0" w:rsidRDefault="003D6C16">
      <w:pPr>
        <w:rPr>
          <w:color w:val="000000" w:themeColor="text1"/>
        </w:rPr>
      </w:pPr>
      <w:r w:rsidRPr="003B7AB0">
        <w:rPr>
          <w:color w:val="000000" w:themeColor="text1"/>
        </w:rPr>
        <w:t>“Trust the Facts” is practical as it utilizes the actual community environments like pharmacies and social media networks, which are low-cost and accessible. Misinformation and lack of trust in institutions and social peer influence are the major obstacles (Lockyer et al., 2021). These will be addressed by credible healthcare messages, local community collaboration and regular myth-correction messages presented in a respectful way. The campaign can be expanded, serving many regions, translating the material</w:t>
      </w:r>
      <w:r w:rsidRPr="003B7AB0">
        <w:rPr>
          <w:color w:val="000000" w:themeColor="text1"/>
        </w:rPr>
        <w:t>s as required, and modifying the content to new trends of misinformation. In the long run, it may turn out to be a replicable campaign pattern of subsequent health programmes.</w:t>
      </w:r>
    </w:p>
    <w:p w14:paraId="48DD2AD3" w14:textId="77777777" w:rsidR="00CC2E80" w:rsidRPr="003B7AB0" w:rsidRDefault="003D6C16">
      <w:pPr>
        <w:pStyle w:val="Heading1"/>
        <w:rPr>
          <w:color w:val="000000" w:themeColor="text1"/>
        </w:rPr>
      </w:pPr>
      <w:bookmarkStart w:id="6" w:name="_jbd1o4uu1u52" w:colFirst="0" w:colLast="0"/>
      <w:bookmarkEnd w:id="6"/>
      <w:r w:rsidRPr="003B7AB0">
        <w:rPr>
          <w:color w:val="000000" w:themeColor="text1"/>
        </w:rPr>
        <w:t>6) Call to Action</w:t>
      </w:r>
    </w:p>
    <w:p w14:paraId="67C0BF6F" w14:textId="77777777" w:rsidR="00CC2E80" w:rsidRPr="003B7AB0" w:rsidRDefault="003D6C16">
      <w:pPr>
        <w:rPr>
          <w:color w:val="000000" w:themeColor="text1"/>
        </w:rPr>
      </w:pPr>
      <w:r w:rsidRPr="003B7AB0">
        <w:rPr>
          <w:color w:val="000000" w:themeColor="text1"/>
        </w:rPr>
        <w:t>I am looking to be supported to pilot “Trust the Facts” in one of the local UK communities in collaboration with GP practices and pharmacies. I will introduce a four-stage campaign with your approval and measure the results by means of engagement and confidence. Towards unity, there will be more trust and safeguarding of health among people.</w:t>
      </w:r>
    </w:p>
    <w:p w14:paraId="687CFCE8" w14:textId="77777777" w:rsidR="00CC2E80" w:rsidRPr="003B7AB0" w:rsidRDefault="003D6C16">
      <w:pPr>
        <w:spacing w:line="259" w:lineRule="auto"/>
        <w:jc w:val="left"/>
        <w:rPr>
          <w:color w:val="000000" w:themeColor="text1"/>
        </w:rPr>
      </w:pPr>
      <w:r w:rsidRPr="003B7AB0">
        <w:rPr>
          <w:color w:val="000000" w:themeColor="text1"/>
        </w:rPr>
        <w:br w:type="page"/>
      </w:r>
    </w:p>
    <w:p w14:paraId="1DFF4C97" w14:textId="77777777" w:rsidR="00CC2E80" w:rsidRPr="003B7AB0" w:rsidRDefault="003D6C16">
      <w:pPr>
        <w:pStyle w:val="Heading1"/>
        <w:rPr>
          <w:color w:val="000000" w:themeColor="text1"/>
        </w:rPr>
      </w:pPr>
      <w:bookmarkStart w:id="7" w:name="_ow6ubl1v066k" w:colFirst="0" w:colLast="0"/>
      <w:bookmarkEnd w:id="7"/>
      <w:r w:rsidRPr="003B7AB0">
        <w:rPr>
          <w:color w:val="000000" w:themeColor="text1"/>
        </w:rPr>
        <w:t>7) Reference List</w:t>
      </w:r>
    </w:p>
    <w:p w14:paraId="6629FD71" w14:textId="77777777" w:rsidR="00CC2E80" w:rsidRPr="003B7AB0" w:rsidRDefault="003D6C16">
      <w:pPr>
        <w:rPr>
          <w:color w:val="000000" w:themeColor="text1"/>
        </w:rPr>
      </w:pPr>
      <w:r w:rsidRPr="003B7AB0">
        <w:rPr>
          <w:color w:val="000000" w:themeColor="text1"/>
        </w:rPr>
        <w:t xml:space="preserve">CIPD (2022) </w:t>
      </w:r>
      <w:r w:rsidRPr="003B7AB0">
        <w:rPr>
          <w:i/>
          <w:iCs/>
          <w:color w:val="000000" w:themeColor="text1"/>
        </w:rPr>
        <w:t>Effective leadership: A practical guide</w:t>
      </w:r>
      <w:r w:rsidRPr="003B7AB0">
        <w:rPr>
          <w:color w:val="000000" w:themeColor="text1"/>
        </w:rPr>
        <w:t xml:space="preserve">. London: Chartered Institute of Personnel and Development. Available at: </w:t>
      </w:r>
      <w:hyperlink r:id="rId5">
        <w:r w:rsidR="00CC2E80" w:rsidRPr="003B7AB0">
          <w:rPr>
            <w:color w:val="000000" w:themeColor="text1"/>
            <w:u w:val="single"/>
          </w:rPr>
          <w:t>https://www.cipd.co.uk/</w:t>
        </w:r>
      </w:hyperlink>
    </w:p>
    <w:p w14:paraId="73ECC7EA" w14:textId="77777777" w:rsidR="00CC2E80" w:rsidRPr="003B7AB0" w:rsidRDefault="003D6C16">
      <w:pPr>
        <w:rPr>
          <w:color w:val="000000" w:themeColor="text1"/>
        </w:rPr>
      </w:pPr>
      <w:r w:rsidRPr="003B7AB0">
        <w:rPr>
          <w:color w:val="000000" w:themeColor="text1"/>
        </w:rPr>
        <w:t xml:space="preserve">Hind, D. and Moss, S. (2020) </w:t>
      </w:r>
      <w:r w:rsidRPr="003B7AB0">
        <w:rPr>
          <w:i/>
          <w:iCs/>
          <w:color w:val="000000" w:themeColor="text1"/>
        </w:rPr>
        <w:t>Entrepreneurship and Innovation in Healthcare and Social Care</w:t>
      </w:r>
      <w:r w:rsidRPr="003B7AB0">
        <w:rPr>
          <w:color w:val="000000" w:themeColor="text1"/>
        </w:rPr>
        <w:t>. London: Routledge.</w:t>
      </w:r>
    </w:p>
    <w:p w14:paraId="5DBE637A" w14:textId="77777777" w:rsidR="00CC2E80" w:rsidRPr="003B7AB0" w:rsidRDefault="003D6C16">
      <w:pPr>
        <w:rPr>
          <w:color w:val="000000" w:themeColor="text1"/>
        </w:rPr>
      </w:pPr>
      <w:r w:rsidRPr="003B7AB0">
        <w:rPr>
          <w:color w:val="000000" w:themeColor="text1"/>
        </w:rPr>
        <w:t xml:space="preserve">Lockyer, B., Islam, S., Rahman, A., Dickerson, J., Pickett, K., Sheldon, T., Wright, J., McEachan, R. and Bradford Institute for Health Research COVID-19 Scientific Advisory Group (2021) ‘Understanding COVID-19 misinformation and vaccine hesitancy in context: Findings from a qualitative study involving citizens in Bradford, UK’, </w:t>
      </w:r>
      <w:r w:rsidRPr="003B7AB0">
        <w:rPr>
          <w:i/>
          <w:iCs/>
          <w:color w:val="000000" w:themeColor="text1"/>
        </w:rPr>
        <w:t>Health Expectations</w:t>
      </w:r>
      <w:r w:rsidRPr="003B7AB0">
        <w:rPr>
          <w:color w:val="000000" w:themeColor="text1"/>
        </w:rPr>
        <w:t>, 24(4), pp. 1158–1167.</w:t>
      </w:r>
    </w:p>
    <w:p w14:paraId="6BFB28BE" w14:textId="77777777" w:rsidR="00CC2E80" w:rsidRPr="003B7AB0" w:rsidRDefault="003D6C16">
      <w:pPr>
        <w:rPr>
          <w:color w:val="000000" w:themeColor="text1"/>
        </w:rPr>
      </w:pPr>
      <w:r w:rsidRPr="003B7AB0">
        <w:rPr>
          <w:color w:val="000000" w:themeColor="text1"/>
        </w:rPr>
        <w:t xml:space="preserve">MacDonald, N.E. (2015) ‘Vaccine hesitancy: Definition, scope and determinants’, </w:t>
      </w:r>
      <w:r w:rsidRPr="003B7AB0">
        <w:rPr>
          <w:i/>
          <w:iCs/>
          <w:color w:val="000000" w:themeColor="text1"/>
        </w:rPr>
        <w:t>Vaccine</w:t>
      </w:r>
      <w:r w:rsidRPr="003B7AB0">
        <w:rPr>
          <w:color w:val="000000" w:themeColor="text1"/>
        </w:rPr>
        <w:t>, 33(34), pp. 4161–4164.</w:t>
      </w:r>
    </w:p>
    <w:p w14:paraId="1D56F0AB" w14:textId="77777777" w:rsidR="00CC2E80" w:rsidRPr="003B7AB0" w:rsidRDefault="003D6C16">
      <w:pPr>
        <w:rPr>
          <w:color w:val="000000" w:themeColor="text1"/>
        </w:rPr>
      </w:pPr>
      <w:r w:rsidRPr="003B7AB0">
        <w:rPr>
          <w:color w:val="000000" w:themeColor="text1"/>
        </w:rPr>
        <w:t xml:space="preserve">NHS (2023) </w:t>
      </w:r>
      <w:r w:rsidRPr="003B7AB0">
        <w:rPr>
          <w:i/>
          <w:iCs/>
          <w:color w:val="000000" w:themeColor="text1"/>
        </w:rPr>
        <w:t>Dementia: Symptoms and diagnosis</w:t>
      </w:r>
      <w:r w:rsidRPr="003B7AB0">
        <w:rPr>
          <w:color w:val="000000" w:themeColor="text1"/>
        </w:rPr>
        <w:t xml:space="preserve">. National Health Service. Available at: </w:t>
      </w:r>
      <w:hyperlink r:id="rId6">
        <w:r w:rsidR="00CC2E80" w:rsidRPr="003B7AB0">
          <w:rPr>
            <w:color w:val="000000" w:themeColor="text1"/>
            <w:u w:val="single"/>
          </w:rPr>
          <w:t>https://www.nhs.uk/conditions/dementia/</w:t>
        </w:r>
      </w:hyperlink>
    </w:p>
    <w:p w14:paraId="2B5B9C7A" w14:textId="77777777" w:rsidR="00CC2E80" w:rsidRPr="003B7AB0" w:rsidRDefault="003D6C16">
      <w:pPr>
        <w:rPr>
          <w:color w:val="000000" w:themeColor="text1"/>
        </w:rPr>
      </w:pPr>
      <w:r w:rsidRPr="003B7AB0">
        <w:rPr>
          <w:color w:val="000000" w:themeColor="text1"/>
        </w:rPr>
        <w:t xml:space="preserve">Tuten, T.L. and Solomon, M.R. (2017) </w:t>
      </w:r>
      <w:r w:rsidRPr="003B7AB0">
        <w:rPr>
          <w:i/>
          <w:iCs/>
          <w:color w:val="000000" w:themeColor="text1"/>
        </w:rPr>
        <w:t>Social Media Marketing</w:t>
      </w:r>
      <w:r w:rsidRPr="003B7AB0">
        <w:rPr>
          <w:color w:val="000000" w:themeColor="text1"/>
        </w:rPr>
        <w:t>. 3rd edn. London: SAGE Publications.</w:t>
      </w:r>
    </w:p>
    <w:p w14:paraId="748EAB51" w14:textId="77777777" w:rsidR="00CC2E80" w:rsidRPr="003B7AB0" w:rsidRDefault="00CC2E80">
      <w:pPr>
        <w:rPr>
          <w:color w:val="000000" w:themeColor="text1"/>
        </w:rPr>
      </w:pPr>
    </w:p>
    <w:sectPr w:rsidR="00CC2E80" w:rsidRPr="003B7AB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124F25B4-8D4F-49E7-AE77-FE4361591466}"/>
    <w:embedItalic r:id="rId2" w:fontKey="{23A85626-4EE7-48F4-BC61-5801E9A7F947}"/>
  </w:font>
  <w:font w:name="Cambria">
    <w:panose1 w:val="02040503050406030204"/>
    <w:charset w:val="00"/>
    <w:family w:val="roman"/>
    <w:pitch w:val="variable"/>
    <w:sig w:usb0="E00006FF" w:usb1="420024FF" w:usb2="02000000" w:usb3="00000000" w:csb0="0000019F" w:csb1="00000000"/>
    <w:embedRegular r:id="rId3" w:fontKey="{CD77D569-7550-49A1-A5A1-B1D8CDDD746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2E80"/>
    <w:rsid w:val="00174D01"/>
    <w:rsid w:val="003B7AB0"/>
    <w:rsid w:val="003D6C16"/>
    <w:rsid w:val="005164E9"/>
    <w:rsid w:val="00CC2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349CC"/>
  <w15:docId w15:val="{C3EE613B-3518-48D7-A38C-196BD1038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bCs/>
    </w:rPr>
  </w:style>
  <w:style w:type="paragraph" w:styleId="Heading2">
    <w:name w:val="heading 2"/>
    <w:basedOn w:val="Normal"/>
    <w:next w:val="Normal"/>
    <w:uiPriority w:val="9"/>
    <w:semiHidden/>
    <w:unhideWhenUsed/>
    <w:qFormat/>
    <w:pPr>
      <w:keepNext/>
      <w:keepLines/>
      <w:spacing w:before="160" w:after="80"/>
      <w:outlineLvl w:val="1"/>
    </w:pPr>
    <w:rPr>
      <w:rFonts w:ascii="Calibri" w:eastAsia="Calibri" w:hAnsi="Calibri" w:cs="Calibri"/>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ascii="Calibri" w:eastAsia="Calibri" w:hAnsi="Calibri" w:cs="Calibri"/>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ascii="Calibri" w:eastAsia="Calibri" w:hAnsi="Calibri" w:cs="Calibri"/>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after="0"/>
      <w:outlineLvl w:val="5"/>
    </w:pPr>
    <w:rPr>
      <w:rFonts w:ascii="Calibri" w:eastAsia="Calibri" w:hAnsi="Calibri" w:cs="Calibri"/>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rFonts w:ascii="Calibri" w:eastAsia="Calibri" w:hAnsi="Calibri" w:cs="Calibri"/>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nhs.uk/conditions/dementia/" TargetMode="External" /><Relationship Id="rId5" Type="http://schemas.openxmlformats.org/officeDocument/2006/relationships/hyperlink" Target="https://www.cipd.co.uk/" TargetMode="External" /><Relationship Id="rId4" Type="http://schemas.openxmlformats.org/officeDocument/2006/relationships/image" Target="media/image1.png"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1230</Words>
  <Characters>7013</Characters>
  <Application>Microsoft Office Word</Application>
  <DocSecurity>0</DocSecurity>
  <Lines>58</Lines>
  <Paragraphs>16</Paragraphs>
  <ScaleCrop>false</ScaleCrop>
  <Company/>
  <LinksUpToDate>false</LinksUpToDate>
  <CharactersWithSpaces>8227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Mursaleen Ali</cp:lastModifiedBy>
  <cp:revision>2</cp:revision>
  <dcterms:created xsi:type="dcterms:W3CDTF">2026-03-02T16:47:00Z</dcterms:created>
  <dcterms:modified xsi:type="dcterms:W3CDTF">2026-03-02T16:47:00Z</dcterms:modified>
</cp:coreProperties>
</file>