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1CDD2" w14:textId="376451B2" w:rsidR="00525E05" w:rsidRDefault="00525E05" w:rsidP="00525E05">
      <w:pPr>
        <w:pStyle w:val="Heading1"/>
        <w:jc w:val="center"/>
        <w:rPr>
          <w:i/>
          <w:iCs/>
        </w:rPr>
      </w:pPr>
      <w:r>
        <w:t xml:space="preserve">Critical commentary on </w:t>
      </w:r>
      <w:r>
        <w:rPr>
          <w:i/>
          <w:iCs/>
        </w:rPr>
        <w:t>Deidamia Achilli</w:t>
      </w:r>
    </w:p>
    <w:p w14:paraId="060268B3" w14:textId="623ABC61" w:rsidR="00525E05" w:rsidRPr="00525E05" w:rsidRDefault="00525E05" w:rsidP="00525E05">
      <w:pPr>
        <w:pStyle w:val="Heading1"/>
        <w:jc w:val="center"/>
      </w:pPr>
      <w:r>
        <w:t>Assessment level 5</w:t>
      </w:r>
    </w:p>
    <w:p w14:paraId="4F97D413" w14:textId="77777777" w:rsidR="00525E05" w:rsidRPr="00525E05" w:rsidRDefault="00525E05" w:rsidP="00525E05"/>
    <w:p w14:paraId="3BC92EF1" w14:textId="2BF8E624" w:rsidR="008B5EEC" w:rsidRDefault="00AD004C" w:rsidP="00525E05">
      <w:pPr>
        <w:ind w:firstLine="720"/>
      </w:pPr>
      <w:r w:rsidRPr="00AD004C">
        <w:t xml:space="preserve">Deidamia Achilli is another key, nonetheless relatively neglected example of eleventh-century literary and manuscript culture. In taking place an anonymous medieval poem, it demonstrates that 11th century writers employed their own stylistic skills to incorporate what they had inherited through their work. The unidentifiable voice lends itself to examining what happens to the mind in the larger tradition of the eleventh century without the constraints of an author’s biography. Reading lines 9-38 of the poem allows us to trace the medieval writer’s creation of Deidamia’s lament as well as how it locates Deidamia’s voice in the corpus of women’s </w:t>
      </w:r>
      <w:proofErr w:type="spellStart"/>
      <w:r w:rsidRPr="00AD004C">
        <w:t>epistolaries</w:t>
      </w:r>
      <w:proofErr w:type="spellEnd"/>
      <w:r w:rsidRPr="00AD004C">
        <w:t xml:space="preserve">. For Deidamia Achilli to be fully visible, we must contextualize it within the wide classical tradition that birthed it. Heroides provides the basis of the epistle tradition with which the medieval poet is involved and which he appropriates. Simultaneously Statius’ </w:t>
      </w:r>
      <w:proofErr w:type="spellStart"/>
      <w:r w:rsidRPr="00AD004C">
        <w:t>Achilleid</w:t>
      </w:r>
      <w:proofErr w:type="spellEnd"/>
      <w:r w:rsidRPr="00AD004C">
        <w:t xml:space="preserve"> offers a completely different classical representation of Deidamia’s tale, by stressing other aspects of her character and condition rather than the Heroides. The medieval poet is masterful with each one of these great classical texts; he writes in each and in a different way altogether. We observe here intertextual dialogical exchanges where the poet reads very well, and the many ways medieval writers formed their relationship with classical sovereignty. The opening line of the passage above, "</w:t>
      </w:r>
      <w:proofErr w:type="spellStart"/>
      <w:r w:rsidRPr="00AD004C">
        <w:t>Legitimam</w:t>
      </w:r>
      <w:proofErr w:type="spellEnd"/>
      <w:r w:rsidRPr="00AD004C">
        <w:t xml:space="preserve"> </w:t>
      </w:r>
      <w:proofErr w:type="spellStart"/>
      <w:r w:rsidRPr="00AD004C">
        <w:t>nuptam</w:t>
      </w:r>
      <w:proofErr w:type="spellEnd"/>
      <w:r w:rsidRPr="00AD004C">
        <w:t xml:space="preserve"> </w:t>
      </w:r>
      <w:proofErr w:type="spellStart"/>
      <w:r w:rsidRPr="00AD004C">
        <w:t>si</w:t>
      </w:r>
      <w:proofErr w:type="spellEnd"/>
      <w:r w:rsidRPr="00AD004C">
        <w:t xml:space="preserve"> </w:t>
      </w:r>
      <w:proofErr w:type="spellStart"/>
      <w:r w:rsidRPr="00AD004C">
        <w:t>dici</w:t>
      </w:r>
      <w:proofErr w:type="spellEnd"/>
      <w:r w:rsidRPr="00AD004C">
        <w:t xml:space="preserve"> </w:t>
      </w:r>
      <w:proofErr w:type="spellStart"/>
      <w:r w:rsidRPr="00AD004C">
        <w:t>fas</w:t>
      </w:r>
      <w:proofErr w:type="spellEnd"/>
      <w:r w:rsidRPr="00AD004C">
        <w:t xml:space="preserve"> sit </w:t>
      </w:r>
      <w:proofErr w:type="spellStart"/>
      <w:r w:rsidRPr="00AD004C">
        <w:t>amicam</w:t>
      </w:r>
      <w:proofErr w:type="spellEnd"/>
      <w:r w:rsidRPr="00AD004C">
        <w:t>", reveals the dominant issue of legitimacy with which these lines grapple immediately. This is reminiscent of the searching questioning in Heroides 3, in which Briseis also asks about her status, the authenticity of her statements. This ambiguity relates to the distinction between "casta" (chaste) and marriage and non-marriage (extramarital relationships) and highlights the vulnerability of what Deidamia is doing. And this is the choice of the medieval poet to focus on this question, this suggests such a heightened understanding of the intricacies of the marriage, some elements of which Classical sources have left intentionally vague, leaving a narrative blank from which the medieval poet intentionally makes use via Deidamia’s original perspective. This is not simply a textual curiosity, but a core problem inherited and negotiated by the medieval poet. Through starting with a question, as opposed to a statement, the medieval poet indicates that legitimacy is its own battleground in dispute. The conditional phrasing—”</w:t>
      </w:r>
      <w:proofErr w:type="spellStart"/>
      <w:r w:rsidRPr="00AD004C">
        <w:t>si</w:t>
      </w:r>
      <w:proofErr w:type="spellEnd"/>
      <w:r w:rsidRPr="00AD004C">
        <w:t xml:space="preserve"> </w:t>
      </w:r>
      <w:proofErr w:type="spellStart"/>
      <w:r w:rsidRPr="00AD004C">
        <w:t>dici</w:t>
      </w:r>
      <w:proofErr w:type="spellEnd"/>
      <w:r w:rsidRPr="00AD004C">
        <w:t xml:space="preserve"> </w:t>
      </w:r>
      <w:proofErr w:type="spellStart"/>
      <w:r w:rsidRPr="00AD004C">
        <w:t>fas</w:t>
      </w:r>
      <w:proofErr w:type="spellEnd"/>
      <w:r w:rsidRPr="00AD004C">
        <w:t xml:space="preserve"> sit” (if it is permitted to say)—creates a note of legal and social uncertainty that is more than romantic. Deidamia’s union with Achilles, wrapped in the context of his disguise and her own complicity, does not get the public approbation </w:t>
      </w:r>
      <w:r w:rsidRPr="00AD004C">
        <w:lastRenderedPageBreak/>
        <w:t xml:space="preserve">and ceremonial approval that typically attests to the status of a woman. And how the medieval poet engaged this ambiguity, both advanced classical source material and its viewers, with questions about marriage legitimacy and consent, as well as female honor, shows how the medieval poem understood these dynamics. In recovering Deidamia’s voice through these lines, the medieval poet turns Classical silence into medieval speech, using the very ambiguities that Classical texts left unresolved as the basis for a brand new and uniquely medieval reading of her complaint. To be sure, one of the great things the Deidamia Achilli achieved was the independent voice it creates that stood in opposition to the near erasure Deidamia received from Classical sources. The medieval poet constructs a feminine complaint in lines 9-38 that draws on, as well as differs, from Ovidian conventions, and in doing so, in complex and purposeful ways. The use of first-person perspective for this purpose is strategically deployed to reinforce Deidamia’s power and interiority in </w:t>
      </w:r>
      <w:proofErr w:type="gramStart"/>
      <w:r w:rsidRPr="00AD004C">
        <w:t>a manner in which</w:t>
      </w:r>
      <w:proofErr w:type="gramEnd"/>
      <w:r w:rsidRPr="00AD004C">
        <w:t xml:space="preserve"> classical texts have tended to suppress female figures. The medieval poet contests the silencing of women’s voice that defines most Classical writing by giving Deidamia a voice. This reclaimed voice is a decisive break from the tradition. In this way, Deidamia is a figure more of a thing of desire and maternal interest than an agent with her own perspective and real criticisms, like that of Statius to the </w:t>
      </w:r>
      <w:proofErr w:type="spellStart"/>
      <w:r w:rsidRPr="00AD004C">
        <w:t>Achilleid</w:t>
      </w:r>
      <w:proofErr w:type="spellEnd"/>
      <w:r w:rsidRPr="00AD004C">
        <w:t>. To put her complaint in the center of the narrative is to redirect the whole of the story: the poem that is medieval in character. Where Classical sources tended to leave female characters marginalised in their own narratives, the Deidamia Achilli stresses her centrality and her entitlement to voice her own suffering and claims. The first-person voice dominating Lines 9-38 serves as both a literary device and doctrine and a statement of principle. In this voice, Deidamia expresses not only anguish but logical arguments about her own right (though also about her man’s duty as well) and indeed her husband’s social station in life. The formal imperatives that appear in the text that mark these lines – for example 'Mitte' (send); '</w:t>
      </w:r>
      <w:proofErr w:type="spellStart"/>
      <w:r w:rsidRPr="00AD004C">
        <w:t>veni</w:t>
      </w:r>
      <w:proofErr w:type="spellEnd"/>
      <w:r w:rsidRPr="00AD004C">
        <w:t xml:space="preserve">' (come) – are not simply appeals but claims to rightful power—and thus an assertion of the authority granted. To wit, an abandoned wife of a man has in the medieval understanding legitimate claims ahead of him that supersede personal cravings for her or even military responsibilities. </w:t>
      </w:r>
      <w:proofErr w:type="gramStart"/>
      <w:r w:rsidRPr="00AD004C">
        <w:t>Thus</w:t>
      </w:r>
      <w:proofErr w:type="gramEnd"/>
      <w:r w:rsidRPr="00AD004C">
        <w:t xml:space="preserve"> the medieval poet's rendering of Deidamia's voice expresses an ethical as well as social philosophy in which marital obligations and feminine claims override masculine desires for glory. Moreover, the authenticity of the emotions contained within Deidamia's first-person narration gives the poem an emotional depth which makes it different from earlier classes of poetry. Instead of writing a stylized figure of feminine lamentation, we are left with a woman struggling with real uncertainty about her own status, her husband’s commitment—for all the right reasons—and her future. This psychological realism achieves Deidamia through the deliberate choice of detail and tone modulation, giving her a depth of character </w:t>
      </w:r>
      <w:proofErr w:type="gramStart"/>
      <w:r w:rsidRPr="00AD004C">
        <w:t>so as to</w:t>
      </w:r>
      <w:proofErr w:type="gramEnd"/>
      <w:r w:rsidRPr="00AD004C">
        <w:t xml:space="preserve"> evoke character sympathy. The investments of a medieval poet in Deidamia's viewpoint, though not always outwardly </w:t>
      </w:r>
      <w:r w:rsidRPr="00AD004C">
        <w:lastRenderedPageBreak/>
        <w:t xml:space="preserve">overt, imply a belief that the inner lives and emotional experiences of women are worth paying serious literary attention to. Achilles is part of the lineage through Aeacus, so that is a backdrop for comprehension of lines 9-38. Thus, Achilles' genealogical standing brings with it expectations of honor, skill and duty that influence the trajectory of his relationship with Deidamia. As the great-grandson of Aeacus, a man of righteous justice and divine grace, Achilles receives not just martial prowess but a tangled web of familial duties and social obligations. In the medieval poem, the poet is keenly aware of Achilles as </w:t>
      </w:r>
      <w:proofErr w:type="gramStart"/>
      <w:r w:rsidRPr="00AD004C">
        <w:t>an</w:t>
      </w:r>
      <w:proofErr w:type="gramEnd"/>
      <w:r w:rsidRPr="00AD004C">
        <w:t xml:space="preserve"> warrior and a lover, one of the central struggles informing the poem. The tension between his identity as a legendary hero whose path is one of military glory and his role as a husband whose duty to a wife is the engine of the whole story pivots on this basis. Allusions to this inherited honor and duty indicate that the poem’s discussion of marital duty is bound up in relations of noble ancestry and masculine essence. The medieval poet insinuates that the pure nobility is not simply </w:t>
      </w:r>
      <w:proofErr w:type="gramStart"/>
      <w:r w:rsidRPr="00AD004C">
        <w:t>martial, but</w:t>
      </w:r>
      <w:proofErr w:type="gramEnd"/>
      <w:r w:rsidRPr="00AD004C">
        <w:t xml:space="preserve"> also encompasses the domestic duties of duty and honouring conjugal relationship. With a nod to Achilles' distinguished lineage, the poem implicitly suggests that he abandons Deidamia not as a personal failure, but as a betrayal to the nobility that belongs to his forebears, who have their own aristocratic precepts and manners in store. The genealogical framework therefore serves as a device in which the medieval poet takes up masculine priorities and argues that true honor means the blending of both martial and domestic virtues. The absence of Achilles in person organizes the whole complaint which forms lines 9-38. In this context, the rhetorical strategies the medieval poet employs in response to this absence underscore the emotional and practical implications of Achilles' departure. The imperative forms ‘Mitte’ and ’</w:t>
      </w:r>
      <w:proofErr w:type="spellStart"/>
      <w:r w:rsidRPr="00AD004C">
        <w:t>veni</w:t>
      </w:r>
      <w:proofErr w:type="spellEnd"/>
      <w:r w:rsidRPr="00AD004C">
        <w:t xml:space="preserve">’ stand not only as requests but also as urgent summonses that emphasize Deidamia’s anguish and her rightful demand upon her husband. The conflict between marital duty and military duty, particularly, has </w:t>
      </w:r>
      <w:proofErr w:type="gramStart"/>
      <w:r w:rsidRPr="00AD004C">
        <w:t>particular resonance</w:t>
      </w:r>
      <w:proofErr w:type="gramEnd"/>
      <w:r w:rsidRPr="00AD004C">
        <w:t xml:space="preserve"> in medieval literature given the poem implicitly critiquing the prioritization of warfare over domestic and conjugal duties placed upon masculine duty. This poem derives its very materiality from the eleventh century in which the work exists and its historical moment it was written, with it profoundly influencing how the medieval poet interprets Classical texts about marriage and gender. But the poem’s acknowledgment of a woman’s rights over demands from warrior cultures is a quiet, but important, attack on masculine principles. The medieval poet’s apparent dislike of the abandonment of Achilles implies the reappraisal of Classical values, such that the demands of marriage and </w:t>
      </w:r>
      <w:proofErr w:type="spellStart"/>
      <w:r w:rsidRPr="00AD004C">
        <w:t>homemakerhood</w:t>
      </w:r>
      <w:proofErr w:type="spellEnd"/>
      <w:r w:rsidRPr="00AD004C">
        <w:t xml:space="preserve"> are prioritised rather than the demands of martial status. This reinterpretation shows how much medieval writers could contest and reframe the Classical texts that they inherited. In addressing the very Heroides tradition, the Deidamia Achilli uses incredible intertextuality. The opening device mirrors Heroides 1, Penelope’s letter to Ulysses, in terms of providing instant echo in the complaint of another abandoned wife. L9–38 we hear the same Statian language and Ovidian rhetorical tactics, </w:t>
      </w:r>
      <w:r w:rsidRPr="00AD004C">
        <w:lastRenderedPageBreak/>
        <w:t>as well as proof that the poet reading and adapting Classical norms are intelligent and considered. The medieval poet uses these conventions and manipulates them according to them in a manner conducive to the specific features and purposes of the Deidamia narrative. The rhetoric of L9-38 is a result of the use of repetition, imperative and emotion. Now the voice is turned from formal petition to command that matches Deidamia's emotional escalates. The syntax and the diction work together to convey both her desperation and her authority, creating a very complex portrait of a woman whose legitimate claims for justice are being denied. And the emotional impact of this line helps us feel how Achilles’ absence makes the burden of sadness very keen indeed. The ambiguity between “</w:t>
      </w:r>
      <w:proofErr w:type="spellStart"/>
      <w:r w:rsidRPr="00AD004C">
        <w:t>coniunx</w:t>
      </w:r>
      <w:proofErr w:type="spellEnd"/>
      <w:r w:rsidRPr="00AD004C">
        <w:t>” (wife) and “</w:t>
      </w:r>
      <w:proofErr w:type="spellStart"/>
      <w:r w:rsidRPr="00AD004C">
        <w:t>amica</w:t>
      </w:r>
      <w:proofErr w:type="spellEnd"/>
      <w:r w:rsidRPr="00AD004C">
        <w:t xml:space="preserve">” (love/mistress) show how precarious Deidamia’s status might be. This medieval poet recognizes Deidamia's ambivalent history: Her marriage to Achilles was performed in circumstances that might (or arguably may not) have been recognized as problematic by a medieval audience. Explaining those ambivalences, the poem invites significant inquiries into female status and legitimacy, whether a woman’s marital status is contingent upon public ritual and legal sanction, whether consent operates in ambiguous and precarious situations and if a woman is held to an honorable position when consent is contingent upon the legality of her union, or depends upon virtue and fidelity of herself. Further, the poem critiques the connection to the legal existence for a woman in relation to her moral power to insist on her husband standing; thus, does Deidamia’s absent recognized sex act affect her right to request her husband’s presence and protection? By asking these questions in Deidamia's own voice, the medieval poet indicates that legitimate women cannot be founded on external validation alone; as such they must give account for the woman's own point of view and the rightness of their claims too. The distinction between wife and mistress, though conceptually obvious, is a much more fraught </w:t>
      </w:r>
      <w:proofErr w:type="gramStart"/>
      <w:r w:rsidRPr="00AD004C">
        <w:t>one in reality</w:t>
      </w:r>
      <w:proofErr w:type="gramEnd"/>
      <w:r w:rsidRPr="00AD004C">
        <w:t>. Lines 9-38 of the Deidamia Achilli form a key episode in the poem's larger project of reauthoring and reclaiming a Classical tale through a medieval lens. The medieval poet’s innovation in the Achilles literary tradition is not simply slavish imitation but creative transformation—the sensitive employment of Classical materials for a different purpose, using Classical resources selectively.</w:t>
      </w:r>
    </w:p>
    <w:p w14:paraId="30824514" w14:textId="77777777" w:rsidR="00525E05" w:rsidRDefault="00525E05" w:rsidP="00525E05">
      <w:pPr>
        <w:ind w:firstLine="720"/>
      </w:pPr>
    </w:p>
    <w:p w14:paraId="5273B622" w14:textId="77777777" w:rsidR="00525E05" w:rsidRDefault="00525E05" w:rsidP="00525E05">
      <w:pPr>
        <w:pStyle w:val="Heading2"/>
      </w:pPr>
      <w:r>
        <w:t xml:space="preserve">References </w:t>
      </w:r>
    </w:p>
    <w:p w14:paraId="3C1F2073" w14:textId="77777777" w:rsidR="00525E05" w:rsidRDefault="00525E05" w:rsidP="00525E05">
      <w:proofErr w:type="spellStart"/>
      <w:r>
        <w:t>Hatzantonis</w:t>
      </w:r>
      <w:proofErr w:type="spellEnd"/>
      <w:r>
        <w:t xml:space="preserve">, E. (1991) ‘Review of Achillies: </w:t>
      </w:r>
      <w:r>
        <w:rPr>
          <w:i/>
          <w:iCs/>
        </w:rPr>
        <w:t xml:space="preserve">Paradigms of the War Hero from Homer to the Middle Ages by </w:t>
      </w:r>
      <w:r>
        <w:t xml:space="preserve">Katherine Callen King’, </w:t>
      </w:r>
      <w:r>
        <w:rPr>
          <w:i/>
          <w:iCs/>
        </w:rPr>
        <w:t xml:space="preserve">Comparative Literature, 43(3), pp. 292-294. </w:t>
      </w:r>
      <w:r>
        <w:t xml:space="preserve">Available at: </w:t>
      </w:r>
      <w:hyperlink r:id="rId4" w:history="1">
        <w:r w:rsidRPr="000D685A">
          <w:rPr>
            <w:rStyle w:val="Hyperlink"/>
          </w:rPr>
          <w:t>https://www.jstor.org/stable/1770669</w:t>
        </w:r>
      </w:hyperlink>
    </w:p>
    <w:p w14:paraId="07F1631B" w14:textId="77777777" w:rsidR="00525E05" w:rsidRDefault="00525E05" w:rsidP="00525E05">
      <w:pPr>
        <w:ind w:firstLine="720"/>
      </w:pPr>
    </w:p>
    <w:sectPr w:rsidR="00525E0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C5E"/>
    <w:rsid w:val="00525E05"/>
    <w:rsid w:val="00532C5E"/>
    <w:rsid w:val="006D6915"/>
    <w:rsid w:val="008B5EEC"/>
    <w:rsid w:val="00AD004C"/>
    <w:rsid w:val="00DA340C"/>
    <w:rsid w:val="00F66F0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F5EFE"/>
  <w15:chartTrackingRefBased/>
  <w15:docId w15:val="{F006E534-8055-499E-8455-FCFA90B89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2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2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C5E"/>
    <w:rPr>
      <w:rFonts w:eastAsiaTheme="majorEastAsia" w:cstheme="majorBidi"/>
      <w:color w:val="272727" w:themeColor="text1" w:themeTint="D8"/>
    </w:rPr>
  </w:style>
  <w:style w:type="paragraph" w:styleId="Title">
    <w:name w:val="Title"/>
    <w:basedOn w:val="Normal"/>
    <w:next w:val="Normal"/>
    <w:link w:val="TitleChar"/>
    <w:uiPriority w:val="10"/>
    <w:qFormat/>
    <w:rsid w:val="00532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C5E"/>
    <w:pPr>
      <w:spacing w:before="160"/>
      <w:jc w:val="center"/>
    </w:pPr>
    <w:rPr>
      <w:i/>
      <w:iCs/>
      <w:color w:val="404040" w:themeColor="text1" w:themeTint="BF"/>
    </w:rPr>
  </w:style>
  <w:style w:type="character" w:customStyle="1" w:styleId="QuoteChar">
    <w:name w:val="Quote Char"/>
    <w:basedOn w:val="DefaultParagraphFont"/>
    <w:link w:val="Quote"/>
    <w:uiPriority w:val="29"/>
    <w:rsid w:val="00532C5E"/>
    <w:rPr>
      <w:i/>
      <w:iCs/>
      <w:color w:val="404040" w:themeColor="text1" w:themeTint="BF"/>
    </w:rPr>
  </w:style>
  <w:style w:type="paragraph" w:styleId="ListParagraph">
    <w:name w:val="List Paragraph"/>
    <w:basedOn w:val="Normal"/>
    <w:uiPriority w:val="34"/>
    <w:qFormat/>
    <w:rsid w:val="00532C5E"/>
    <w:pPr>
      <w:ind w:left="720"/>
      <w:contextualSpacing/>
    </w:pPr>
  </w:style>
  <w:style w:type="character" w:styleId="IntenseEmphasis">
    <w:name w:val="Intense Emphasis"/>
    <w:basedOn w:val="DefaultParagraphFont"/>
    <w:uiPriority w:val="21"/>
    <w:qFormat/>
    <w:rsid w:val="00532C5E"/>
    <w:rPr>
      <w:i/>
      <w:iCs/>
      <w:color w:val="0F4761" w:themeColor="accent1" w:themeShade="BF"/>
    </w:rPr>
  </w:style>
  <w:style w:type="paragraph" w:styleId="IntenseQuote">
    <w:name w:val="Intense Quote"/>
    <w:basedOn w:val="Normal"/>
    <w:next w:val="Normal"/>
    <w:link w:val="IntenseQuoteChar"/>
    <w:uiPriority w:val="30"/>
    <w:qFormat/>
    <w:rsid w:val="00532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C5E"/>
    <w:rPr>
      <w:i/>
      <w:iCs/>
      <w:color w:val="0F4761" w:themeColor="accent1" w:themeShade="BF"/>
    </w:rPr>
  </w:style>
  <w:style w:type="character" w:styleId="IntenseReference">
    <w:name w:val="Intense Reference"/>
    <w:basedOn w:val="DefaultParagraphFont"/>
    <w:uiPriority w:val="32"/>
    <w:qFormat/>
    <w:rsid w:val="00532C5E"/>
    <w:rPr>
      <w:b/>
      <w:bCs/>
      <w:smallCaps/>
      <w:color w:val="0F4761" w:themeColor="accent1" w:themeShade="BF"/>
      <w:spacing w:val="5"/>
    </w:rPr>
  </w:style>
  <w:style w:type="character" w:styleId="Hyperlink">
    <w:name w:val="Hyperlink"/>
    <w:basedOn w:val="DefaultParagraphFont"/>
    <w:uiPriority w:val="99"/>
    <w:unhideWhenUsed/>
    <w:rsid w:val="00525E0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jstor.org/stable/17706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beauchamp</dc:creator>
  <cp:keywords/>
  <dc:description/>
  <cp:lastModifiedBy>brett beauchamp</cp:lastModifiedBy>
  <cp:revision>1</cp:revision>
  <dcterms:created xsi:type="dcterms:W3CDTF">2026-02-09T00:24:00Z</dcterms:created>
  <dcterms:modified xsi:type="dcterms:W3CDTF">2026-02-09T01:24:00Z</dcterms:modified>
</cp:coreProperties>
</file>