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E02B8" w14:textId="77777777" w:rsidR="00BC39D1" w:rsidRPr="00B94F53" w:rsidRDefault="00BC39D1" w:rsidP="0043628E">
      <w:pPr>
        <w:pStyle w:val="Heading4"/>
        <w:rPr>
          <w:rFonts w:ascii="Times New Roman" w:hAnsi="Times New Roman" w:cs="Times New Roman"/>
          <w:i w:val="0"/>
          <w:iCs w:val="0"/>
        </w:rPr>
      </w:pPr>
    </w:p>
    <w:p w14:paraId="0602DCA1" w14:textId="71FD17E1" w:rsidR="00057FCA" w:rsidRPr="00B94F53" w:rsidRDefault="00057FCA">
      <w:pPr>
        <w:spacing w:before="60" w:after="30"/>
        <w:jc w:val="center"/>
        <w:rPr>
          <w:rFonts w:ascii="Times New Roman" w:hAnsi="Times New Roman" w:cs="Times New Roman"/>
          <w:b/>
          <w:bCs/>
          <w:sz w:val="24"/>
          <w:szCs w:val="24"/>
        </w:rPr>
      </w:pPr>
      <w:r w:rsidRPr="00B94F53">
        <w:rPr>
          <w:rFonts w:ascii="Times New Roman" w:hAnsi="Times New Roman" w:cs="Times New Roman"/>
          <w:noProof/>
          <w:szCs w:val="24"/>
          <w:lang w:val="en-US" w:eastAsia="en-US"/>
        </w:rPr>
        <w:drawing>
          <wp:inline distT="0" distB="0" distL="0" distR="0" wp14:anchorId="158A17AA" wp14:editId="516DE8F5">
            <wp:extent cx="3505200" cy="1104900"/>
            <wp:effectExtent l="0" t="0" r="0" b="0"/>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505200" cy="1104900"/>
                    </a:xfrm>
                    <a:prstGeom prst="rect">
                      <a:avLst/>
                    </a:prstGeom>
                    <a:noFill/>
                  </pic:spPr>
                </pic:pic>
              </a:graphicData>
            </a:graphic>
          </wp:inline>
        </w:drawing>
      </w:r>
    </w:p>
    <w:p w14:paraId="66DA208C" w14:textId="77777777" w:rsidR="00057FCA" w:rsidRPr="00B94F53" w:rsidRDefault="00057FCA">
      <w:pPr>
        <w:spacing w:before="60" w:after="30"/>
        <w:jc w:val="center"/>
        <w:rPr>
          <w:rFonts w:ascii="Times New Roman" w:hAnsi="Times New Roman" w:cs="Times New Roman"/>
          <w:b/>
          <w:bCs/>
          <w:sz w:val="24"/>
          <w:szCs w:val="24"/>
        </w:rPr>
      </w:pPr>
    </w:p>
    <w:p w14:paraId="36FF198F" w14:textId="77777777" w:rsidR="00BD3FFE" w:rsidRPr="00B94F53" w:rsidRDefault="00BD3FFE" w:rsidP="00BD3FFE">
      <w:pPr>
        <w:spacing w:before="480" w:after="60"/>
        <w:jc w:val="center"/>
        <w:rPr>
          <w:rFonts w:ascii="Times New Roman" w:hAnsi="Times New Roman" w:cs="Times New Roman"/>
          <w:sz w:val="40"/>
          <w:szCs w:val="40"/>
        </w:rPr>
      </w:pPr>
      <w:r w:rsidRPr="00B94F53">
        <w:rPr>
          <w:rFonts w:ascii="Times New Roman" w:hAnsi="Times New Roman" w:cs="Times New Roman"/>
          <w:b/>
          <w:bCs/>
          <w:sz w:val="40"/>
          <w:szCs w:val="40"/>
        </w:rPr>
        <w:t>Master of Business Administration</w:t>
      </w:r>
    </w:p>
    <w:p w14:paraId="37363E41" w14:textId="77777777" w:rsidR="00BD3FFE" w:rsidRPr="00B94F53" w:rsidRDefault="00BD3FFE" w:rsidP="00057FCA">
      <w:pPr>
        <w:spacing w:before="60" w:after="30" w:line="360" w:lineRule="auto"/>
        <w:jc w:val="center"/>
        <w:rPr>
          <w:rFonts w:ascii="Times New Roman" w:hAnsi="Times New Roman" w:cs="Times New Roman"/>
          <w:b/>
          <w:bCs/>
          <w:sz w:val="24"/>
          <w:szCs w:val="24"/>
        </w:rPr>
      </w:pPr>
    </w:p>
    <w:p w14:paraId="6FCD9E91" w14:textId="77777777" w:rsidR="00E8662B" w:rsidRPr="00B94F53" w:rsidRDefault="00E8662B" w:rsidP="00E8662B">
      <w:pPr>
        <w:spacing w:before="20" w:after="2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Student Name: Kamal Hussain</w:t>
      </w:r>
    </w:p>
    <w:p w14:paraId="3E490E4C" w14:textId="77777777" w:rsidR="00E8662B" w:rsidRPr="00B94F53" w:rsidRDefault="00E8662B" w:rsidP="00E8662B">
      <w:pPr>
        <w:spacing w:before="20" w:after="2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Student Number: 2503973</w:t>
      </w:r>
    </w:p>
    <w:p w14:paraId="13B64990" w14:textId="77777777" w:rsidR="00E8662B" w:rsidRPr="00B94F53" w:rsidRDefault="00E8662B" w:rsidP="00E8662B">
      <w:pPr>
        <w:spacing w:before="20" w:after="2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Module Code: LCMB7035</w:t>
      </w:r>
    </w:p>
    <w:p w14:paraId="5330C585" w14:textId="77777777" w:rsidR="00E8662B" w:rsidRPr="00B94F53" w:rsidRDefault="00E8662B" w:rsidP="00E8662B">
      <w:pPr>
        <w:spacing w:before="20" w:after="20" w:line="360" w:lineRule="auto"/>
        <w:jc w:val="center"/>
        <w:rPr>
          <w:rFonts w:ascii="Times New Roman" w:hAnsi="Times New Roman" w:cs="Times New Roman"/>
          <w:b/>
          <w:bCs/>
          <w:sz w:val="30"/>
          <w:szCs w:val="30"/>
        </w:rPr>
      </w:pPr>
      <w:r w:rsidRPr="00B94F53">
        <w:rPr>
          <w:rFonts w:ascii="Times New Roman" w:hAnsi="Times New Roman" w:cs="Times New Roman"/>
          <w:b/>
          <w:bCs/>
          <w:sz w:val="30"/>
          <w:szCs w:val="30"/>
        </w:rPr>
        <w:t>Module Name: Dissertation</w:t>
      </w:r>
    </w:p>
    <w:p w14:paraId="11165F9A" w14:textId="77777777" w:rsidR="00E8662B" w:rsidRPr="00B94F53" w:rsidRDefault="00E8662B" w:rsidP="00E8662B">
      <w:pPr>
        <w:spacing w:before="20" w:after="20" w:line="360" w:lineRule="auto"/>
        <w:jc w:val="center"/>
        <w:rPr>
          <w:rFonts w:ascii="Times New Roman" w:hAnsi="Times New Roman" w:cs="Times New Roman"/>
          <w:b/>
          <w:bCs/>
          <w:color w:val="000000"/>
          <w:sz w:val="30"/>
          <w:szCs w:val="30"/>
          <w:shd w:val="clear" w:color="auto" w:fill="FFFFFF"/>
        </w:rPr>
      </w:pPr>
      <w:r w:rsidRPr="00B94F53">
        <w:rPr>
          <w:rFonts w:ascii="Times New Roman" w:hAnsi="Times New Roman" w:cs="Times New Roman"/>
          <w:b/>
          <w:bCs/>
          <w:color w:val="000000"/>
          <w:sz w:val="30"/>
          <w:szCs w:val="30"/>
          <w:shd w:val="clear" w:color="auto" w:fill="FFFFFF"/>
        </w:rPr>
        <w:t xml:space="preserve">Supervisor: Dr Abdi Rahman </w:t>
      </w:r>
    </w:p>
    <w:p w14:paraId="225E5A15" w14:textId="77777777" w:rsidR="00E8662B" w:rsidRPr="00B94F53" w:rsidRDefault="00E8662B" w:rsidP="00E8662B">
      <w:pPr>
        <w:spacing w:before="20" w:after="20" w:line="360" w:lineRule="auto"/>
        <w:jc w:val="center"/>
        <w:rPr>
          <w:rFonts w:ascii="Times New Roman" w:hAnsi="Times New Roman" w:cs="Times New Roman"/>
          <w:sz w:val="30"/>
          <w:szCs w:val="30"/>
        </w:rPr>
      </w:pPr>
      <w:r w:rsidRPr="00B94F53">
        <w:rPr>
          <w:rFonts w:ascii="Times New Roman" w:hAnsi="Times New Roman" w:cs="Times New Roman"/>
          <w:b/>
          <w:bCs/>
          <w:color w:val="000000"/>
          <w:sz w:val="30"/>
          <w:szCs w:val="30"/>
          <w:shd w:val="clear" w:color="auto" w:fill="FFFFFF"/>
        </w:rPr>
        <w:t>Lecturer: Dr Masud Ibrahim</w:t>
      </w:r>
    </w:p>
    <w:p w14:paraId="07B22B67" w14:textId="77777777" w:rsidR="00E8662B" w:rsidRPr="00B94F53" w:rsidRDefault="00E8662B" w:rsidP="00E8662B">
      <w:pPr>
        <w:spacing w:before="30" w:after="240" w:line="360" w:lineRule="auto"/>
        <w:rPr>
          <w:rFonts w:ascii="Times New Roman" w:hAnsi="Times New Roman" w:cs="Times New Roman"/>
          <w:sz w:val="30"/>
          <w:szCs w:val="30"/>
        </w:rPr>
      </w:pPr>
    </w:p>
    <w:p w14:paraId="101A73CE" w14:textId="61D96214" w:rsidR="00E8662B" w:rsidRPr="00B94F53" w:rsidRDefault="00466143" w:rsidP="00E8662B">
      <w:pPr>
        <w:spacing w:before="60" w:after="6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Title:</w:t>
      </w:r>
    </w:p>
    <w:p w14:paraId="14E6D449" w14:textId="622A6967" w:rsidR="00057FCA" w:rsidRPr="00B94F53" w:rsidRDefault="00057FCA" w:rsidP="00E8662B">
      <w:pPr>
        <w:spacing w:before="60" w:after="6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E-Commerce Integration in International Banking and Remittance: A Comparative Analysis of Marketing, Financial, and Human Capital Strategies of Sonali Bank in the UK and Bangladesh</w:t>
      </w:r>
    </w:p>
    <w:p w14:paraId="2E983F6C" w14:textId="77777777" w:rsidR="00BD3FFE" w:rsidRPr="00B94F53" w:rsidRDefault="00BD3FFE">
      <w:pPr>
        <w:spacing w:before="240" w:after="60"/>
        <w:jc w:val="center"/>
        <w:rPr>
          <w:rFonts w:ascii="Times New Roman" w:hAnsi="Times New Roman" w:cs="Times New Roman"/>
          <w:b/>
          <w:bCs/>
          <w:sz w:val="30"/>
          <w:szCs w:val="30"/>
        </w:rPr>
      </w:pPr>
    </w:p>
    <w:p w14:paraId="2FDD384E" w14:textId="6E0073B3" w:rsidR="00B60E1E" w:rsidRPr="00B94F53" w:rsidRDefault="00E8662B">
      <w:pPr>
        <w:spacing w:before="30" w:after="60"/>
        <w:jc w:val="center"/>
        <w:rPr>
          <w:rFonts w:ascii="Times New Roman" w:hAnsi="Times New Roman" w:cs="Times New Roman"/>
          <w:b/>
          <w:bCs/>
          <w:sz w:val="30"/>
          <w:szCs w:val="30"/>
        </w:rPr>
      </w:pPr>
      <w:r w:rsidRPr="00B94F53">
        <w:rPr>
          <w:rFonts w:ascii="Times New Roman" w:hAnsi="Times New Roman" w:cs="Times New Roman"/>
          <w:b/>
          <w:bCs/>
          <w:color w:val="000000"/>
          <w:sz w:val="30"/>
          <w:szCs w:val="30"/>
          <w:shd w:val="clear" w:color="auto" w:fill="FFFFFF"/>
        </w:rPr>
        <w:t>Submission Deadline: 28-08-2026</w:t>
      </w:r>
    </w:p>
    <w:p w14:paraId="79986331" w14:textId="77777777" w:rsidR="00D4086A" w:rsidRPr="00B94F53" w:rsidRDefault="00D4086A" w:rsidP="00D4086A">
      <w:pPr>
        <w:rPr>
          <w:rFonts w:ascii="Times New Roman" w:hAnsi="Times New Roman" w:cs="Times New Roman"/>
        </w:rPr>
      </w:pPr>
    </w:p>
    <w:p w14:paraId="410CC5EE" w14:textId="77777777" w:rsidR="00BD3FFE" w:rsidRPr="00B94F53" w:rsidRDefault="00BD3FFE">
      <w:pPr>
        <w:rPr>
          <w:rFonts w:ascii="Times New Roman" w:hAnsi="Times New Roman" w:cs="Times New Roman"/>
          <w:b/>
          <w:sz w:val="26"/>
        </w:rPr>
      </w:pPr>
      <w:r w:rsidRPr="00B94F53">
        <w:rPr>
          <w:rFonts w:ascii="Times New Roman" w:hAnsi="Times New Roman" w:cs="Times New Roman"/>
          <w:b/>
          <w:sz w:val="26"/>
        </w:rPr>
        <w:br w:type="page"/>
      </w:r>
    </w:p>
    <w:p w14:paraId="662234DA" w14:textId="2CDEC521" w:rsidR="00D4086A" w:rsidRPr="00B94F53" w:rsidRDefault="00BD3FFE" w:rsidP="00D4086A">
      <w:pPr>
        <w:rPr>
          <w:rFonts w:ascii="Times New Roman" w:hAnsi="Times New Roman" w:cs="Times New Roman"/>
          <w:sz w:val="40"/>
          <w:szCs w:val="40"/>
        </w:rPr>
      </w:pPr>
      <w:r w:rsidRPr="00B94F53">
        <w:rPr>
          <w:rFonts w:ascii="Times New Roman" w:hAnsi="Times New Roman" w:cs="Times New Roman"/>
          <w:b/>
          <w:sz w:val="40"/>
          <w:szCs w:val="40"/>
        </w:rPr>
        <w:lastRenderedPageBreak/>
        <w:t>Declaration</w:t>
      </w:r>
    </w:p>
    <w:p w14:paraId="49527852" w14:textId="77777777" w:rsidR="00D4086A" w:rsidRPr="00B94F53" w:rsidRDefault="00D4086A" w:rsidP="00D4086A">
      <w:pPr>
        <w:rPr>
          <w:rFonts w:ascii="Times New Roman" w:hAnsi="Times New Roman" w:cs="Times New Roman"/>
        </w:rPr>
      </w:pPr>
    </w:p>
    <w:p w14:paraId="7BDEB58E" w14:textId="77777777" w:rsidR="00D4086A" w:rsidRPr="00B94F53" w:rsidRDefault="00D4086A" w:rsidP="00BD3FFE">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I hereby declare that this dissertation is the sole work of Kamal Hussain and that this dissertation has not been submitted, in whole or in part for any other degree or qualification.</w:t>
      </w:r>
    </w:p>
    <w:p w14:paraId="77153618" w14:textId="77777777" w:rsidR="00BD3FFE" w:rsidRPr="00B94F53" w:rsidRDefault="00BD3FFE" w:rsidP="00BD3FFE">
      <w:pPr>
        <w:spacing w:line="360" w:lineRule="auto"/>
        <w:rPr>
          <w:rFonts w:ascii="Times New Roman" w:hAnsi="Times New Roman" w:cs="Times New Roman"/>
        </w:rPr>
      </w:pPr>
    </w:p>
    <w:p w14:paraId="03C91BE0" w14:textId="03FC58CB" w:rsidR="00BD3FFE" w:rsidRPr="00B94F53" w:rsidRDefault="00E8662B" w:rsidP="00BD3FFE">
      <w:pPr>
        <w:spacing w:line="360" w:lineRule="auto"/>
        <w:rPr>
          <w:rFonts w:ascii="Times New Roman" w:hAnsi="Times New Roman" w:cs="Times New Roman"/>
        </w:rPr>
      </w:pPr>
      <w:r w:rsidRPr="00B94F53">
        <w:rPr>
          <w:rFonts w:ascii="Times New Roman" w:hAnsi="Times New Roman" w:cs="Times New Roman"/>
        </w:rPr>
        <w:t xml:space="preserve">                  </w:t>
      </w:r>
      <w:r w:rsidRPr="00B94F53">
        <w:rPr>
          <w:rFonts w:ascii="Times New Roman" w:hAnsi="Times New Roman" w:cs="Times New Roman"/>
          <w:noProof/>
        </w:rPr>
        <w:drawing>
          <wp:inline distT="0" distB="0" distL="0" distR="0" wp14:anchorId="02E713EE" wp14:editId="75F43D11">
            <wp:extent cx="289445" cy="1594260"/>
            <wp:effectExtent l="0" t="0" r="0" b="0"/>
            <wp:docPr id="1530965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0110" t="7539" r="51551" b="6557"/>
                    <a:stretch>
                      <a:fillRect/>
                    </a:stretch>
                  </pic:blipFill>
                  <pic:spPr bwMode="auto">
                    <a:xfrm rot="5400000">
                      <a:off x="0" y="0"/>
                      <a:ext cx="304142" cy="1675213"/>
                    </a:xfrm>
                    <a:prstGeom prst="rect">
                      <a:avLst/>
                    </a:prstGeom>
                    <a:noFill/>
                    <a:ln>
                      <a:noFill/>
                    </a:ln>
                    <a:extLst>
                      <a:ext uri="{53640926-AAD7-44D8-BBD7-CCE9431645EC}">
                        <a14:shadowObscured xmlns:a14="http://schemas.microsoft.com/office/drawing/2010/main"/>
                      </a:ext>
                    </a:extLst>
                  </pic:spPr>
                </pic:pic>
              </a:graphicData>
            </a:graphic>
          </wp:inline>
        </w:drawing>
      </w:r>
    </w:p>
    <w:p w14:paraId="29E80BA3" w14:textId="33C01564" w:rsidR="00D4086A" w:rsidRPr="00B94F53" w:rsidRDefault="00D4086A" w:rsidP="00BD3FFE">
      <w:pPr>
        <w:spacing w:line="480" w:lineRule="auto"/>
        <w:rPr>
          <w:rFonts w:ascii="Times New Roman" w:hAnsi="Times New Roman" w:cs="Times New Roman"/>
        </w:rPr>
      </w:pPr>
      <w:r w:rsidRPr="00B94F53">
        <w:rPr>
          <w:rFonts w:ascii="Times New Roman" w:hAnsi="Times New Roman" w:cs="Times New Roman"/>
        </w:rPr>
        <w:t xml:space="preserve">Signature: </w:t>
      </w:r>
      <w:r w:rsidRPr="00B94F53">
        <w:rPr>
          <w:rFonts w:ascii="Times New Roman" w:hAnsi="Times New Roman" w:cs="Times New Roman"/>
          <w:u w:val="single"/>
        </w:rPr>
        <w:t>..........................................................</w:t>
      </w:r>
    </w:p>
    <w:p w14:paraId="46133A37" w14:textId="10C8B8A7" w:rsidR="00D4086A" w:rsidRPr="00B94F53" w:rsidRDefault="00D4086A" w:rsidP="00BD3FFE">
      <w:pPr>
        <w:spacing w:line="480" w:lineRule="auto"/>
        <w:rPr>
          <w:rFonts w:ascii="Times New Roman" w:hAnsi="Times New Roman" w:cs="Times New Roman"/>
        </w:rPr>
      </w:pPr>
      <w:r w:rsidRPr="00B94F53">
        <w:rPr>
          <w:rFonts w:ascii="Times New Roman" w:hAnsi="Times New Roman" w:cs="Times New Roman"/>
        </w:rPr>
        <w:t xml:space="preserve">Date: </w:t>
      </w:r>
      <w:r w:rsidR="00E8662B" w:rsidRPr="00B94F53">
        <w:rPr>
          <w:rFonts w:ascii="Times New Roman" w:hAnsi="Times New Roman" w:cs="Times New Roman"/>
          <w:u w:val="single"/>
        </w:rPr>
        <w:t>20-08-2026</w:t>
      </w:r>
    </w:p>
    <w:p w14:paraId="6AAD2D30" w14:textId="77777777" w:rsidR="00D4086A" w:rsidRPr="00B94F53" w:rsidRDefault="00D4086A" w:rsidP="00D4086A">
      <w:pPr>
        <w:rPr>
          <w:rFonts w:ascii="Times New Roman" w:hAnsi="Times New Roman" w:cs="Times New Roman"/>
        </w:rPr>
      </w:pPr>
    </w:p>
    <w:p w14:paraId="27A040FD" w14:textId="77777777" w:rsidR="00BD3FFE" w:rsidRPr="00B94F53" w:rsidRDefault="00BD3FFE">
      <w:pPr>
        <w:rPr>
          <w:rFonts w:ascii="Times New Roman" w:hAnsi="Times New Roman" w:cs="Times New Roman"/>
          <w:b/>
          <w:sz w:val="26"/>
        </w:rPr>
      </w:pPr>
      <w:r w:rsidRPr="00B94F53">
        <w:rPr>
          <w:rFonts w:ascii="Times New Roman" w:hAnsi="Times New Roman" w:cs="Times New Roman"/>
          <w:b/>
          <w:sz w:val="26"/>
        </w:rPr>
        <w:br w:type="page"/>
      </w:r>
    </w:p>
    <w:p w14:paraId="10AB8925" w14:textId="712B5561" w:rsidR="00D4086A" w:rsidRPr="00B94F53" w:rsidRDefault="00BD3FFE" w:rsidP="00D4086A">
      <w:pPr>
        <w:rPr>
          <w:rFonts w:ascii="Times New Roman" w:hAnsi="Times New Roman" w:cs="Times New Roman"/>
          <w:sz w:val="40"/>
          <w:szCs w:val="40"/>
        </w:rPr>
      </w:pPr>
      <w:r w:rsidRPr="00B94F53">
        <w:rPr>
          <w:rFonts w:ascii="Times New Roman" w:hAnsi="Times New Roman" w:cs="Times New Roman"/>
          <w:b/>
          <w:sz w:val="40"/>
          <w:szCs w:val="40"/>
        </w:rPr>
        <w:lastRenderedPageBreak/>
        <w:t>Acknowledgement</w:t>
      </w:r>
    </w:p>
    <w:p w14:paraId="1FB909D7" w14:textId="77777777" w:rsidR="00D4086A" w:rsidRPr="00B94F53" w:rsidRDefault="00D4086A" w:rsidP="00D4086A">
      <w:pPr>
        <w:rPr>
          <w:rFonts w:ascii="Times New Roman" w:hAnsi="Times New Roman" w:cs="Times New Roman"/>
        </w:rPr>
      </w:pPr>
    </w:p>
    <w:p w14:paraId="18BB35D4" w14:textId="77777777" w:rsidR="00D4086A" w:rsidRPr="00B94F53" w:rsidRDefault="00D4086A" w:rsidP="00BD3FFE">
      <w:pPr>
        <w:spacing w:line="360" w:lineRule="auto"/>
        <w:jc w:val="both"/>
        <w:rPr>
          <w:rFonts w:ascii="Times New Roman" w:hAnsi="Times New Roman" w:cs="Times New Roman"/>
          <w:sz w:val="24"/>
        </w:rPr>
      </w:pPr>
      <w:r w:rsidRPr="00B94F53">
        <w:rPr>
          <w:rFonts w:ascii="Times New Roman" w:hAnsi="Times New Roman" w:cs="Times New Roman"/>
          <w:sz w:val="24"/>
        </w:rPr>
        <w:t>I would like to thank my supervisor for his guidance and support throughout this dissertation. I would also like to thank my family and friends who have always supported me and cheered me on throughout my MBA program.</w:t>
      </w:r>
    </w:p>
    <w:p w14:paraId="610CCCBF" w14:textId="77777777" w:rsidR="00D4086A" w:rsidRPr="00B94F53" w:rsidRDefault="00D4086A" w:rsidP="00D4086A">
      <w:pPr>
        <w:rPr>
          <w:rFonts w:ascii="Times New Roman" w:hAnsi="Times New Roman" w:cs="Times New Roman"/>
        </w:rPr>
      </w:pPr>
    </w:p>
    <w:p w14:paraId="7202C054" w14:textId="77777777" w:rsidR="00B60E1E" w:rsidRPr="00B94F53" w:rsidRDefault="00B60E1E" w:rsidP="00B60E1E">
      <w:pPr>
        <w:spacing w:before="30" w:after="60"/>
        <w:jc w:val="both"/>
        <w:rPr>
          <w:rFonts w:ascii="Times New Roman" w:hAnsi="Times New Roman" w:cs="Times New Roman"/>
        </w:rPr>
      </w:pPr>
    </w:p>
    <w:p w14:paraId="3B7C99DE" w14:textId="34D0AB86" w:rsidR="00534A7A" w:rsidRPr="00B94F53" w:rsidRDefault="00466143" w:rsidP="003639F9">
      <w:pPr>
        <w:rPr>
          <w:rFonts w:ascii="Times New Roman" w:hAnsi="Times New Roman" w:cs="Times New Roman"/>
        </w:rPr>
      </w:pPr>
      <w:r w:rsidRPr="00B94F53">
        <w:rPr>
          <w:rFonts w:ascii="Times New Roman" w:hAnsi="Times New Roman" w:cs="Times New Roman"/>
        </w:rPr>
        <w:br w:type="page"/>
      </w:r>
    </w:p>
    <w:p w14:paraId="1F26827B" w14:textId="43494F15" w:rsidR="00BC39D1" w:rsidRPr="00B94F53" w:rsidRDefault="00466143" w:rsidP="00BD3FFE">
      <w:pPr>
        <w:jc w:val="center"/>
        <w:rPr>
          <w:rFonts w:ascii="Times New Roman" w:hAnsi="Times New Roman" w:cs="Times New Roman"/>
          <w:b/>
          <w:sz w:val="28"/>
        </w:rPr>
      </w:pPr>
      <w:r w:rsidRPr="00B94F53">
        <w:rPr>
          <w:rFonts w:ascii="Times New Roman" w:hAnsi="Times New Roman" w:cs="Times New Roman"/>
          <w:b/>
          <w:sz w:val="28"/>
        </w:rPr>
        <w:lastRenderedPageBreak/>
        <w:t>Table of Contents</w:t>
      </w:r>
    </w:p>
    <w:sdt>
      <w:sdtPr>
        <w:rPr>
          <w:rFonts w:ascii="Times New Roman" w:eastAsia="Arial" w:hAnsi="Times New Roman" w:cs="Times New Roman"/>
          <w:bCs w:val="0"/>
          <w:color w:val="auto"/>
          <w:sz w:val="22"/>
          <w:szCs w:val="22"/>
          <w:lang w:val="en-GB" w:eastAsia="en-GB"/>
        </w:rPr>
        <w:id w:val="-1861653697"/>
        <w:docPartObj>
          <w:docPartGallery w:val="Table of Contents"/>
          <w:docPartUnique/>
        </w:docPartObj>
      </w:sdtPr>
      <w:sdtEndPr>
        <w:rPr>
          <w:noProof/>
        </w:rPr>
      </w:sdtEndPr>
      <w:sdtContent>
        <w:p w14:paraId="051FDC0E" w14:textId="6E2CA0DC" w:rsidR="00057FCA" w:rsidRPr="00B94F53" w:rsidRDefault="00057FCA" w:rsidP="00045607">
          <w:pPr>
            <w:pStyle w:val="TOCHeading"/>
            <w:rPr>
              <w:rFonts w:ascii="Times New Roman" w:hAnsi="Times New Roman" w:cs="Times New Roman"/>
            </w:rPr>
          </w:pPr>
        </w:p>
        <w:p w14:paraId="7396C612" w14:textId="2920D2F3" w:rsidR="00BD3FFE" w:rsidRPr="00B94F53" w:rsidRDefault="00057FCA">
          <w:pPr>
            <w:pStyle w:val="TOC1"/>
            <w:tabs>
              <w:tab w:val="right" w:leader="dot" w:pos="9016"/>
            </w:tabs>
            <w:rPr>
              <w:rFonts w:ascii="Times New Roman" w:eastAsiaTheme="minorEastAsia" w:hAnsi="Times New Roman" w:cs="Times New Roman"/>
              <w:noProof/>
              <w:lang w:val="en-US" w:eastAsia="en-US"/>
            </w:rPr>
          </w:pPr>
          <w:r w:rsidRPr="00B94F53">
            <w:rPr>
              <w:rFonts w:ascii="Times New Roman" w:hAnsi="Times New Roman" w:cs="Times New Roman"/>
            </w:rPr>
            <w:fldChar w:fldCharType="begin"/>
          </w:r>
          <w:r w:rsidRPr="00B94F53">
            <w:rPr>
              <w:rFonts w:ascii="Times New Roman" w:hAnsi="Times New Roman" w:cs="Times New Roman"/>
            </w:rPr>
            <w:instrText xml:space="preserve"> TOC \o "1-3" \h \z \u </w:instrText>
          </w:r>
          <w:r w:rsidRPr="00B94F53">
            <w:rPr>
              <w:rFonts w:ascii="Times New Roman" w:hAnsi="Times New Roman" w:cs="Times New Roman"/>
            </w:rPr>
            <w:fldChar w:fldCharType="separate"/>
          </w:r>
          <w:hyperlink w:anchor="_Toc238117793" w:history="1">
            <w:r w:rsidR="00BD3FFE" w:rsidRPr="00B94F53">
              <w:rPr>
                <w:rStyle w:val="Hyperlink"/>
                <w:rFonts w:ascii="Times New Roman" w:hAnsi="Times New Roman" w:cs="Times New Roman"/>
                <w:noProof/>
              </w:rPr>
              <w:t>C</w:t>
            </w:r>
            <w:r w:rsidR="00B94F53" w:rsidRPr="00B94F53">
              <w:rPr>
                <w:rStyle w:val="Hyperlink"/>
                <w:rFonts w:ascii="Times New Roman" w:hAnsi="Times New Roman" w:cs="Times New Roman"/>
                <w:noProof/>
              </w:rPr>
              <w:t>hapter</w:t>
            </w:r>
            <w:r w:rsidR="00BD3FFE" w:rsidRPr="00B94F53">
              <w:rPr>
                <w:rStyle w:val="Hyperlink"/>
                <w:rFonts w:ascii="Times New Roman" w:hAnsi="Times New Roman" w:cs="Times New Roman"/>
                <w:noProof/>
              </w:rPr>
              <w:t xml:space="preserve"> O</w:t>
            </w:r>
            <w:r w:rsidR="00B94F53" w:rsidRPr="00B94F53">
              <w:rPr>
                <w:rStyle w:val="Hyperlink"/>
                <w:rFonts w:ascii="Times New Roman" w:hAnsi="Times New Roman" w:cs="Times New Roman"/>
                <w:noProof/>
              </w:rPr>
              <w:t>ne</w:t>
            </w:r>
            <w:r w:rsidR="00BD3FFE" w:rsidRPr="00B94F53">
              <w:rPr>
                <w:rStyle w:val="Hyperlink"/>
                <w:rFonts w:ascii="Times New Roman" w:hAnsi="Times New Roman" w:cs="Times New Roman"/>
                <w:noProof/>
              </w:rPr>
              <w:t>: I</w:t>
            </w:r>
            <w:r w:rsidR="00B94F53" w:rsidRPr="00B94F53">
              <w:rPr>
                <w:rStyle w:val="Hyperlink"/>
                <w:rFonts w:ascii="Times New Roman" w:hAnsi="Times New Roman" w:cs="Times New Roman"/>
                <w:noProof/>
              </w:rPr>
              <w:t>ntroduction</w:t>
            </w:r>
            <w:r w:rsidR="00BD3FFE" w:rsidRPr="00B94F53">
              <w:rPr>
                <w:rFonts w:ascii="Times New Roman" w:hAnsi="Times New Roman" w:cs="Times New Roman"/>
                <w:noProof/>
                <w:webHidden/>
              </w:rPr>
              <w:tab/>
            </w:r>
            <w:r w:rsidR="00BD3FFE" w:rsidRPr="00B94F53">
              <w:rPr>
                <w:rFonts w:ascii="Times New Roman" w:hAnsi="Times New Roman" w:cs="Times New Roman"/>
                <w:noProof/>
                <w:webHidden/>
              </w:rPr>
              <w:fldChar w:fldCharType="begin"/>
            </w:r>
            <w:r w:rsidR="00BD3FFE" w:rsidRPr="00B94F53">
              <w:rPr>
                <w:rFonts w:ascii="Times New Roman" w:hAnsi="Times New Roman" w:cs="Times New Roman"/>
                <w:noProof/>
                <w:webHidden/>
              </w:rPr>
              <w:instrText xml:space="preserve"> PAGEREF _Toc238117793 \h </w:instrText>
            </w:r>
            <w:r w:rsidR="00BD3FFE" w:rsidRPr="00B94F53">
              <w:rPr>
                <w:rFonts w:ascii="Times New Roman" w:hAnsi="Times New Roman" w:cs="Times New Roman"/>
                <w:noProof/>
                <w:webHidden/>
              </w:rPr>
            </w:r>
            <w:r w:rsidR="00BD3FFE" w:rsidRPr="00B94F53">
              <w:rPr>
                <w:rFonts w:ascii="Times New Roman" w:hAnsi="Times New Roman" w:cs="Times New Roman"/>
                <w:noProof/>
                <w:webHidden/>
              </w:rPr>
              <w:fldChar w:fldCharType="separate"/>
            </w:r>
            <w:r w:rsidR="00F8565C">
              <w:rPr>
                <w:rFonts w:ascii="Times New Roman" w:hAnsi="Times New Roman" w:cs="Times New Roman"/>
                <w:noProof/>
                <w:webHidden/>
              </w:rPr>
              <w:t>1</w:t>
            </w:r>
            <w:r w:rsidR="00BD3FFE" w:rsidRPr="00B94F53">
              <w:rPr>
                <w:rFonts w:ascii="Times New Roman" w:hAnsi="Times New Roman" w:cs="Times New Roman"/>
                <w:noProof/>
                <w:webHidden/>
              </w:rPr>
              <w:fldChar w:fldCharType="end"/>
            </w:r>
          </w:hyperlink>
        </w:p>
        <w:p w14:paraId="7A399221" w14:textId="1B6C9D6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4" w:history="1">
            <w:r w:rsidRPr="00B94F53">
              <w:rPr>
                <w:rStyle w:val="Hyperlink"/>
                <w:rFonts w:ascii="Times New Roman" w:hAnsi="Times New Roman" w:cs="Times New Roman"/>
                <w:noProof/>
              </w:rPr>
              <w:t>1.1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w:t>
            </w:r>
            <w:r w:rsidRPr="00B94F53">
              <w:rPr>
                <w:rFonts w:ascii="Times New Roman" w:hAnsi="Times New Roman" w:cs="Times New Roman"/>
                <w:noProof/>
                <w:webHidden/>
              </w:rPr>
              <w:fldChar w:fldCharType="end"/>
            </w:r>
          </w:hyperlink>
        </w:p>
        <w:p w14:paraId="0DA7E3EB" w14:textId="73C5EF0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5" w:history="1">
            <w:r w:rsidRPr="00B94F53">
              <w:rPr>
                <w:rStyle w:val="Hyperlink"/>
                <w:rFonts w:ascii="Times New Roman" w:hAnsi="Times New Roman" w:cs="Times New Roman"/>
                <w:noProof/>
              </w:rPr>
              <w:t>1.2 Background of the Study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w:t>
            </w:r>
            <w:r w:rsidRPr="00B94F53">
              <w:rPr>
                <w:rFonts w:ascii="Times New Roman" w:hAnsi="Times New Roman" w:cs="Times New Roman"/>
                <w:noProof/>
                <w:webHidden/>
              </w:rPr>
              <w:fldChar w:fldCharType="end"/>
            </w:r>
          </w:hyperlink>
        </w:p>
        <w:p w14:paraId="7CDF5F72" w14:textId="3633AB8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6" w:history="1">
            <w:r w:rsidRPr="00B94F53">
              <w:rPr>
                <w:rStyle w:val="Hyperlink"/>
                <w:rFonts w:ascii="Times New Roman" w:hAnsi="Times New Roman" w:cs="Times New Roman"/>
                <w:noProof/>
              </w:rPr>
              <w:t>1.3 Statement of the Problem</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7</w:t>
            </w:r>
            <w:r w:rsidRPr="00B94F53">
              <w:rPr>
                <w:rFonts w:ascii="Times New Roman" w:hAnsi="Times New Roman" w:cs="Times New Roman"/>
                <w:noProof/>
                <w:webHidden/>
              </w:rPr>
              <w:fldChar w:fldCharType="end"/>
            </w:r>
          </w:hyperlink>
        </w:p>
        <w:p w14:paraId="205D97A5" w14:textId="24607734"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7" w:history="1">
            <w:r w:rsidRPr="00B94F53">
              <w:rPr>
                <w:rStyle w:val="Hyperlink"/>
                <w:rFonts w:ascii="Times New Roman" w:hAnsi="Times New Roman" w:cs="Times New Roman"/>
                <w:noProof/>
              </w:rPr>
              <w:t>1.4 Rationale of the Research</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7</w:t>
            </w:r>
            <w:r w:rsidRPr="00B94F53">
              <w:rPr>
                <w:rFonts w:ascii="Times New Roman" w:hAnsi="Times New Roman" w:cs="Times New Roman"/>
                <w:noProof/>
                <w:webHidden/>
              </w:rPr>
              <w:fldChar w:fldCharType="end"/>
            </w:r>
          </w:hyperlink>
        </w:p>
        <w:p w14:paraId="418F58E7" w14:textId="6387135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8" w:history="1">
            <w:r w:rsidRPr="00B94F53">
              <w:rPr>
                <w:rStyle w:val="Hyperlink"/>
                <w:rFonts w:ascii="Times New Roman" w:hAnsi="Times New Roman" w:cs="Times New Roman"/>
                <w:noProof/>
              </w:rPr>
              <w:t>1.5 Research Question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8</w:t>
            </w:r>
            <w:r w:rsidRPr="00B94F53">
              <w:rPr>
                <w:rFonts w:ascii="Times New Roman" w:hAnsi="Times New Roman" w:cs="Times New Roman"/>
                <w:noProof/>
                <w:webHidden/>
              </w:rPr>
              <w:fldChar w:fldCharType="end"/>
            </w:r>
          </w:hyperlink>
        </w:p>
        <w:p w14:paraId="33526618" w14:textId="2D621CC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9" w:history="1">
            <w:r w:rsidRPr="00B94F53">
              <w:rPr>
                <w:rStyle w:val="Hyperlink"/>
                <w:rFonts w:ascii="Times New Roman" w:hAnsi="Times New Roman" w:cs="Times New Roman"/>
                <w:noProof/>
              </w:rPr>
              <w:t>1.6 Research Aim</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9</w:t>
            </w:r>
            <w:r w:rsidRPr="00B94F53">
              <w:rPr>
                <w:rFonts w:ascii="Times New Roman" w:hAnsi="Times New Roman" w:cs="Times New Roman"/>
                <w:noProof/>
                <w:webHidden/>
              </w:rPr>
              <w:fldChar w:fldCharType="end"/>
            </w:r>
          </w:hyperlink>
        </w:p>
        <w:p w14:paraId="7B2367D4" w14:textId="602CD98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0" w:history="1">
            <w:r w:rsidRPr="00B94F53">
              <w:rPr>
                <w:rStyle w:val="Hyperlink"/>
                <w:rFonts w:ascii="Times New Roman" w:hAnsi="Times New Roman" w:cs="Times New Roman"/>
                <w:noProof/>
              </w:rPr>
              <w:t>1.7 Research Objectives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9</w:t>
            </w:r>
            <w:r w:rsidRPr="00B94F53">
              <w:rPr>
                <w:rFonts w:ascii="Times New Roman" w:hAnsi="Times New Roman" w:cs="Times New Roman"/>
                <w:noProof/>
                <w:webHidden/>
              </w:rPr>
              <w:fldChar w:fldCharType="end"/>
            </w:r>
          </w:hyperlink>
        </w:p>
        <w:p w14:paraId="18532A4D" w14:textId="58CD406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1" w:history="1">
            <w:r w:rsidRPr="00B94F53">
              <w:rPr>
                <w:rStyle w:val="Hyperlink"/>
                <w:rFonts w:ascii="Times New Roman" w:hAnsi="Times New Roman" w:cs="Times New Roman"/>
                <w:noProof/>
              </w:rPr>
              <w:t>1.8 Significance of the Study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9</w:t>
            </w:r>
            <w:r w:rsidRPr="00B94F53">
              <w:rPr>
                <w:rFonts w:ascii="Times New Roman" w:hAnsi="Times New Roman" w:cs="Times New Roman"/>
                <w:noProof/>
                <w:webHidden/>
              </w:rPr>
              <w:fldChar w:fldCharType="end"/>
            </w:r>
          </w:hyperlink>
        </w:p>
        <w:p w14:paraId="498A903B" w14:textId="11A6D74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2" w:history="1">
            <w:r w:rsidRPr="00B94F53">
              <w:rPr>
                <w:rStyle w:val="Hyperlink"/>
                <w:rFonts w:ascii="Times New Roman" w:hAnsi="Times New Roman" w:cs="Times New Roman"/>
                <w:noProof/>
              </w:rPr>
              <w:t>1.9 Summary of the Chapter</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_Toc238117802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10</w:t>
            </w:r>
            <w:r w:rsidRPr="00B94F53">
              <w:rPr>
                <w:rFonts w:ascii="Times New Roman" w:hAnsi="Times New Roman" w:cs="Times New Roman"/>
                <w:noProof/>
                <w:webHidden/>
              </w:rPr>
              <w:fldChar w:fldCharType="end"/>
            </w:r>
          </w:hyperlink>
        </w:p>
        <w:p w14:paraId="63CC137A" w14:textId="4CFA1113"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03" w:history="1">
            <w:r w:rsidRPr="00B94F53">
              <w:rPr>
                <w:rStyle w:val="Hyperlink"/>
                <w:rFonts w:ascii="Times New Roman" w:hAnsi="Times New Roman" w:cs="Times New Roman"/>
                <w:noProof/>
              </w:rPr>
              <w:t>Chapter Two: Literature Review</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11</w:t>
            </w:r>
            <w:r w:rsidRPr="00B94F53">
              <w:rPr>
                <w:rFonts w:ascii="Times New Roman" w:hAnsi="Times New Roman" w:cs="Times New Roman"/>
                <w:noProof/>
                <w:webHidden/>
              </w:rPr>
              <w:fldChar w:fldCharType="end"/>
            </w:r>
          </w:hyperlink>
        </w:p>
        <w:p w14:paraId="27142CAD" w14:textId="166C2506"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4" w:history="1">
            <w:r w:rsidRPr="00B94F53">
              <w:rPr>
                <w:rStyle w:val="Hyperlink"/>
                <w:rFonts w:ascii="Times New Roman" w:hAnsi="Times New Roman" w:cs="Times New Roman"/>
                <w:noProof/>
              </w:rPr>
              <w:t>2.1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11</w:t>
            </w:r>
            <w:r w:rsidRPr="00B94F53">
              <w:rPr>
                <w:rFonts w:ascii="Times New Roman" w:hAnsi="Times New Roman" w:cs="Times New Roman"/>
                <w:noProof/>
                <w:webHidden/>
              </w:rPr>
              <w:fldChar w:fldCharType="end"/>
            </w:r>
          </w:hyperlink>
        </w:p>
        <w:p w14:paraId="4C02BE44" w14:textId="372D2C1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5" w:history="1">
            <w:r w:rsidRPr="00B94F53">
              <w:rPr>
                <w:rStyle w:val="Hyperlink"/>
                <w:rFonts w:ascii="Times New Roman" w:hAnsi="Times New Roman" w:cs="Times New Roman"/>
                <w:noProof/>
              </w:rPr>
              <w:t>2.2 Literature Search Strategy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11</w:t>
            </w:r>
            <w:r w:rsidRPr="00B94F53">
              <w:rPr>
                <w:rFonts w:ascii="Times New Roman" w:hAnsi="Times New Roman" w:cs="Times New Roman"/>
                <w:noProof/>
                <w:webHidden/>
              </w:rPr>
              <w:fldChar w:fldCharType="end"/>
            </w:r>
          </w:hyperlink>
        </w:p>
        <w:p w14:paraId="204A133E" w14:textId="549522B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6" w:history="1">
            <w:r w:rsidRPr="00B94F53">
              <w:rPr>
                <w:rStyle w:val="Hyperlink"/>
                <w:rFonts w:ascii="Times New Roman" w:hAnsi="Times New Roman" w:cs="Times New Roman"/>
                <w:noProof/>
              </w:rPr>
              <w:t>2.3 Literature Review</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12</w:t>
            </w:r>
            <w:r w:rsidRPr="00B94F53">
              <w:rPr>
                <w:rFonts w:ascii="Times New Roman" w:hAnsi="Times New Roman" w:cs="Times New Roman"/>
                <w:noProof/>
                <w:webHidden/>
              </w:rPr>
              <w:fldChar w:fldCharType="end"/>
            </w:r>
          </w:hyperlink>
        </w:p>
        <w:p w14:paraId="54D0F183" w14:textId="03F4D618" w:rsidR="00BD3FFE" w:rsidRPr="00B94F53" w:rsidRDefault="00BD3FFE" w:rsidP="00B94F53">
          <w:pPr>
            <w:pStyle w:val="TOC3"/>
            <w:rPr>
              <w:rFonts w:eastAsiaTheme="minorEastAsia"/>
              <w:i w:val="0"/>
              <w:iCs w:val="0"/>
              <w:lang w:val="en-US" w:eastAsia="en-US"/>
            </w:rPr>
          </w:pPr>
          <w:hyperlink w:anchor="_Toc238117807" w:history="1">
            <w:r w:rsidRPr="00B94F53">
              <w:rPr>
                <w:rStyle w:val="Hyperlink"/>
                <w:i w:val="0"/>
                <w:iCs w:val="0"/>
              </w:rPr>
              <w:t>2.3.1 E-Commerce Integration in International Banking: Concepts and Evolution</w:t>
            </w:r>
            <w:r w:rsidRPr="00B94F53">
              <w:rPr>
                <w:i w:val="0"/>
                <w:iCs w:val="0"/>
                <w:webHidden/>
              </w:rPr>
              <w:tab/>
            </w:r>
            <w:r w:rsidRPr="00B94F53">
              <w:rPr>
                <w:i w:val="0"/>
                <w:iCs w:val="0"/>
                <w:webHidden/>
              </w:rPr>
              <w:fldChar w:fldCharType="begin"/>
            </w:r>
            <w:r w:rsidRPr="00B94F53">
              <w:rPr>
                <w:i w:val="0"/>
                <w:iCs w:val="0"/>
                <w:webHidden/>
              </w:rPr>
              <w:instrText xml:space="preserve"> PAGEREF _Toc238117807 \h </w:instrText>
            </w:r>
            <w:r w:rsidRPr="00B94F53">
              <w:rPr>
                <w:i w:val="0"/>
                <w:iCs w:val="0"/>
                <w:webHidden/>
              </w:rPr>
            </w:r>
            <w:r w:rsidRPr="00B94F53">
              <w:rPr>
                <w:i w:val="0"/>
                <w:iCs w:val="0"/>
                <w:webHidden/>
              </w:rPr>
              <w:fldChar w:fldCharType="separate"/>
            </w:r>
            <w:r w:rsidR="00F8565C">
              <w:rPr>
                <w:i w:val="0"/>
                <w:iCs w:val="0"/>
                <w:webHidden/>
              </w:rPr>
              <w:t>12</w:t>
            </w:r>
            <w:r w:rsidRPr="00B94F53">
              <w:rPr>
                <w:i w:val="0"/>
                <w:iCs w:val="0"/>
                <w:webHidden/>
              </w:rPr>
              <w:fldChar w:fldCharType="end"/>
            </w:r>
          </w:hyperlink>
        </w:p>
        <w:p w14:paraId="6ECE0D12" w14:textId="748A41D6" w:rsidR="00BD3FFE" w:rsidRPr="00B94F53" w:rsidRDefault="00BD3FFE" w:rsidP="00B94F53">
          <w:pPr>
            <w:pStyle w:val="TOC3"/>
            <w:rPr>
              <w:rFonts w:eastAsiaTheme="minorEastAsia"/>
              <w:i w:val="0"/>
              <w:iCs w:val="0"/>
              <w:lang w:val="en-US" w:eastAsia="en-US"/>
            </w:rPr>
          </w:pPr>
          <w:hyperlink w:anchor="_Toc238117808" w:history="1">
            <w:r w:rsidRPr="00B94F53">
              <w:rPr>
                <w:rStyle w:val="Hyperlink"/>
                <w:i w:val="0"/>
                <w:iCs w:val="0"/>
              </w:rPr>
              <w:t>2.3.2 Theoretical Foundations: Uppsala Model and Resource-Based View</w:t>
            </w:r>
            <w:r w:rsidRPr="00B94F53">
              <w:rPr>
                <w:i w:val="0"/>
                <w:iCs w:val="0"/>
                <w:webHidden/>
              </w:rPr>
              <w:tab/>
            </w:r>
            <w:r w:rsidRPr="00B94F53">
              <w:rPr>
                <w:i w:val="0"/>
                <w:iCs w:val="0"/>
                <w:webHidden/>
              </w:rPr>
              <w:fldChar w:fldCharType="begin"/>
            </w:r>
            <w:r w:rsidRPr="00B94F53">
              <w:rPr>
                <w:i w:val="0"/>
                <w:iCs w:val="0"/>
                <w:webHidden/>
              </w:rPr>
              <w:instrText xml:space="preserve"> PAGEREF _Toc238117808 \h </w:instrText>
            </w:r>
            <w:r w:rsidRPr="00B94F53">
              <w:rPr>
                <w:i w:val="0"/>
                <w:iCs w:val="0"/>
                <w:webHidden/>
              </w:rPr>
            </w:r>
            <w:r w:rsidRPr="00B94F53">
              <w:rPr>
                <w:i w:val="0"/>
                <w:iCs w:val="0"/>
                <w:webHidden/>
              </w:rPr>
              <w:fldChar w:fldCharType="separate"/>
            </w:r>
            <w:r w:rsidR="00F8565C">
              <w:rPr>
                <w:i w:val="0"/>
                <w:iCs w:val="0"/>
                <w:webHidden/>
              </w:rPr>
              <w:t>14</w:t>
            </w:r>
            <w:r w:rsidRPr="00B94F53">
              <w:rPr>
                <w:i w:val="0"/>
                <w:iCs w:val="0"/>
                <w:webHidden/>
              </w:rPr>
              <w:fldChar w:fldCharType="end"/>
            </w:r>
          </w:hyperlink>
        </w:p>
        <w:p w14:paraId="71D86D9D" w14:textId="63B550DA" w:rsidR="00BD3FFE" w:rsidRPr="00B94F53" w:rsidRDefault="00BD3FFE" w:rsidP="00B94F53">
          <w:pPr>
            <w:pStyle w:val="TOC3"/>
            <w:rPr>
              <w:rFonts w:eastAsiaTheme="minorEastAsia"/>
              <w:i w:val="0"/>
              <w:iCs w:val="0"/>
              <w:lang w:val="en-US" w:eastAsia="en-US"/>
            </w:rPr>
          </w:pPr>
          <w:hyperlink w:anchor="_Toc238117809" w:history="1">
            <w:r w:rsidRPr="00B94F53">
              <w:rPr>
                <w:rStyle w:val="Hyperlink"/>
                <w:i w:val="0"/>
                <w:iCs w:val="0"/>
              </w:rPr>
              <w:t>2.3.3 Digital Marketing and Localisation Strategies of Sonali Bank</w:t>
            </w:r>
            <w:r w:rsidRPr="00B94F53">
              <w:rPr>
                <w:i w:val="0"/>
                <w:iCs w:val="0"/>
                <w:webHidden/>
              </w:rPr>
              <w:tab/>
            </w:r>
            <w:r w:rsidRPr="00B94F53">
              <w:rPr>
                <w:i w:val="0"/>
                <w:iCs w:val="0"/>
                <w:webHidden/>
              </w:rPr>
              <w:fldChar w:fldCharType="begin"/>
            </w:r>
            <w:r w:rsidRPr="00B94F53">
              <w:rPr>
                <w:i w:val="0"/>
                <w:iCs w:val="0"/>
                <w:webHidden/>
              </w:rPr>
              <w:instrText xml:space="preserve"> PAGEREF _Toc238117809 \h </w:instrText>
            </w:r>
            <w:r w:rsidRPr="00B94F53">
              <w:rPr>
                <w:i w:val="0"/>
                <w:iCs w:val="0"/>
                <w:webHidden/>
              </w:rPr>
            </w:r>
            <w:r w:rsidRPr="00B94F53">
              <w:rPr>
                <w:i w:val="0"/>
                <w:iCs w:val="0"/>
                <w:webHidden/>
              </w:rPr>
              <w:fldChar w:fldCharType="separate"/>
            </w:r>
            <w:r w:rsidR="00F8565C">
              <w:rPr>
                <w:i w:val="0"/>
                <w:iCs w:val="0"/>
                <w:webHidden/>
              </w:rPr>
              <w:t>15</w:t>
            </w:r>
            <w:r w:rsidRPr="00B94F53">
              <w:rPr>
                <w:i w:val="0"/>
                <w:iCs w:val="0"/>
                <w:webHidden/>
              </w:rPr>
              <w:fldChar w:fldCharType="end"/>
            </w:r>
          </w:hyperlink>
        </w:p>
        <w:p w14:paraId="16F20677" w14:textId="4FC592EF" w:rsidR="00BD3FFE" w:rsidRPr="00B94F53" w:rsidRDefault="00BD3FFE" w:rsidP="00B94F53">
          <w:pPr>
            <w:pStyle w:val="TOC3"/>
            <w:rPr>
              <w:rFonts w:eastAsiaTheme="minorEastAsia"/>
              <w:i w:val="0"/>
              <w:iCs w:val="0"/>
              <w:lang w:val="en-US" w:eastAsia="en-US"/>
            </w:rPr>
          </w:pPr>
          <w:hyperlink w:anchor="_Toc238117810" w:history="1">
            <w:r w:rsidRPr="00B94F53">
              <w:rPr>
                <w:rStyle w:val="Hyperlink"/>
                <w:i w:val="0"/>
                <w:iCs w:val="0"/>
              </w:rPr>
              <w:t>2.3.4 Financial Strategy, Currency Risk and Remittance Architecture</w:t>
            </w:r>
            <w:r w:rsidRPr="00B94F53">
              <w:rPr>
                <w:i w:val="0"/>
                <w:iCs w:val="0"/>
                <w:webHidden/>
              </w:rPr>
              <w:tab/>
            </w:r>
            <w:r w:rsidRPr="00B94F53">
              <w:rPr>
                <w:i w:val="0"/>
                <w:iCs w:val="0"/>
                <w:webHidden/>
              </w:rPr>
              <w:fldChar w:fldCharType="begin"/>
            </w:r>
            <w:r w:rsidRPr="00B94F53">
              <w:rPr>
                <w:i w:val="0"/>
                <w:iCs w:val="0"/>
                <w:webHidden/>
              </w:rPr>
              <w:instrText xml:space="preserve"> PAGEREF _Toc238117810 \h </w:instrText>
            </w:r>
            <w:r w:rsidRPr="00B94F53">
              <w:rPr>
                <w:i w:val="0"/>
                <w:iCs w:val="0"/>
                <w:webHidden/>
              </w:rPr>
            </w:r>
            <w:r w:rsidRPr="00B94F53">
              <w:rPr>
                <w:i w:val="0"/>
                <w:iCs w:val="0"/>
                <w:webHidden/>
              </w:rPr>
              <w:fldChar w:fldCharType="separate"/>
            </w:r>
            <w:r w:rsidR="00F8565C">
              <w:rPr>
                <w:i w:val="0"/>
                <w:iCs w:val="0"/>
                <w:webHidden/>
              </w:rPr>
              <w:t>16</w:t>
            </w:r>
            <w:r w:rsidRPr="00B94F53">
              <w:rPr>
                <w:i w:val="0"/>
                <w:iCs w:val="0"/>
                <w:webHidden/>
              </w:rPr>
              <w:fldChar w:fldCharType="end"/>
            </w:r>
          </w:hyperlink>
        </w:p>
        <w:p w14:paraId="5DEEC265" w14:textId="09F0E58B" w:rsidR="00BD3FFE" w:rsidRPr="00B94F53" w:rsidRDefault="00BD3FFE" w:rsidP="00B94F53">
          <w:pPr>
            <w:pStyle w:val="TOC3"/>
            <w:rPr>
              <w:rFonts w:eastAsiaTheme="minorEastAsia"/>
              <w:i w:val="0"/>
              <w:iCs w:val="0"/>
              <w:lang w:val="en-US" w:eastAsia="en-US"/>
            </w:rPr>
          </w:pPr>
          <w:hyperlink w:anchor="_Toc238117811" w:history="1">
            <w:r w:rsidRPr="00B94F53">
              <w:rPr>
                <w:rStyle w:val="Hyperlink"/>
                <w:i w:val="0"/>
                <w:iCs w:val="0"/>
              </w:rPr>
              <w:t>2.3.5 Human Capital and Strategic HRM in State-Owned Banking</w:t>
            </w:r>
            <w:r w:rsidRPr="00B94F53">
              <w:rPr>
                <w:i w:val="0"/>
                <w:iCs w:val="0"/>
                <w:webHidden/>
              </w:rPr>
              <w:tab/>
            </w:r>
            <w:r w:rsidRPr="00B94F53">
              <w:rPr>
                <w:i w:val="0"/>
                <w:iCs w:val="0"/>
                <w:webHidden/>
              </w:rPr>
              <w:fldChar w:fldCharType="begin"/>
            </w:r>
            <w:r w:rsidRPr="00B94F53">
              <w:rPr>
                <w:i w:val="0"/>
                <w:iCs w:val="0"/>
                <w:webHidden/>
              </w:rPr>
              <w:instrText xml:space="preserve"> PAGEREF _Toc238117811 \h </w:instrText>
            </w:r>
            <w:r w:rsidRPr="00B94F53">
              <w:rPr>
                <w:i w:val="0"/>
                <w:iCs w:val="0"/>
                <w:webHidden/>
              </w:rPr>
            </w:r>
            <w:r w:rsidRPr="00B94F53">
              <w:rPr>
                <w:i w:val="0"/>
                <w:iCs w:val="0"/>
                <w:webHidden/>
              </w:rPr>
              <w:fldChar w:fldCharType="separate"/>
            </w:r>
            <w:r w:rsidR="00F8565C">
              <w:rPr>
                <w:i w:val="0"/>
                <w:iCs w:val="0"/>
                <w:webHidden/>
              </w:rPr>
              <w:t>18</w:t>
            </w:r>
            <w:r w:rsidRPr="00B94F53">
              <w:rPr>
                <w:i w:val="0"/>
                <w:iCs w:val="0"/>
                <w:webHidden/>
              </w:rPr>
              <w:fldChar w:fldCharType="end"/>
            </w:r>
          </w:hyperlink>
        </w:p>
        <w:p w14:paraId="2BA47B41" w14:textId="6EFEE080" w:rsidR="00BD3FFE" w:rsidRPr="00B94F53" w:rsidRDefault="00BD3FFE" w:rsidP="00B94F53">
          <w:pPr>
            <w:pStyle w:val="TOC3"/>
            <w:rPr>
              <w:rFonts w:eastAsiaTheme="minorEastAsia"/>
              <w:i w:val="0"/>
              <w:iCs w:val="0"/>
              <w:lang w:val="en-US" w:eastAsia="en-US"/>
            </w:rPr>
          </w:pPr>
          <w:hyperlink w:anchor="_Toc238117812" w:history="1">
            <w:r w:rsidRPr="00B94F53">
              <w:rPr>
                <w:rStyle w:val="Hyperlink"/>
                <w:i w:val="0"/>
                <w:iCs w:val="0"/>
              </w:rPr>
              <w:t>2.3.6 State Ownership and Institutional Constraints</w:t>
            </w:r>
            <w:r w:rsidRPr="00B94F53">
              <w:rPr>
                <w:i w:val="0"/>
                <w:iCs w:val="0"/>
                <w:webHidden/>
              </w:rPr>
              <w:tab/>
            </w:r>
            <w:r w:rsidRPr="00B94F53">
              <w:rPr>
                <w:i w:val="0"/>
                <w:iCs w:val="0"/>
                <w:webHidden/>
              </w:rPr>
              <w:fldChar w:fldCharType="begin"/>
            </w:r>
            <w:r w:rsidRPr="00B94F53">
              <w:rPr>
                <w:i w:val="0"/>
                <w:iCs w:val="0"/>
                <w:webHidden/>
              </w:rPr>
              <w:instrText xml:space="preserve"> PAGEREF _Toc238117812 \h </w:instrText>
            </w:r>
            <w:r w:rsidRPr="00B94F53">
              <w:rPr>
                <w:i w:val="0"/>
                <w:iCs w:val="0"/>
                <w:webHidden/>
              </w:rPr>
            </w:r>
            <w:r w:rsidRPr="00B94F53">
              <w:rPr>
                <w:i w:val="0"/>
                <w:iCs w:val="0"/>
                <w:webHidden/>
              </w:rPr>
              <w:fldChar w:fldCharType="separate"/>
            </w:r>
            <w:r w:rsidR="00F8565C">
              <w:rPr>
                <w:i w:val="0"/>
                <w:iCs w:val="0"/>
                <w:webHidden/>
              </w:rPr>
              <w:t>19</w:t>
            </w:r>
            <w:r w:rsidRPr="00B94F53">
              <w:rPr>
                <w:i w:val="0"/>
                <w:iCs w:val="0"/>
                <w:webHidden/>
              </w:rPr>
              <w:fldChar w:fldCharType="end"/>
            </w:r>
          </w:hyperlink>
        </w:p>
        <w:p w14:paraId="601928EE" w14:textId="785F2221" w:rsidR="00BD3FFE" w:rsidRPr="00B94F53" w:rsidRDefault="00BD3FFE" w:rsidP="00B94F53">
          <w:pPr>
            <w:pStyle w:val="TOC3"/>
            <w:rPr>
              <w:rFonts w:eastAsiaTheme="minorEastAsia"/>
              <w:i w:val="0"/>
              <w:iCs w:val="0"/>
              <w:lang w:val="en-US" w:eastAsia="en-US"/>
            </w:rPr>
          </w:pPr>
          <w:hyperlink w:anchor="_Toc238117813" w:history="1">
            <w:r w:rsidRPr="00B94F53">
              <w:rPr>
                <w:rStyle w:val="Hyperlink"/>
                <w:i w:val="0"/>
                <w:iCs w:val="0"/>
              </w:rPr>
              <w:t>2.3.7 Empirical Studies</w:t>
            </w:r>
            <w:r w:rsidRPr="00B94F53">
              <w:rPr>
                <w:i w:val="0"/>
                <w:iCs w:val="0"/>
                <w:webHidden/>
              </w:rPr>
              <w:tab/>
            </w:r>
            <w:r w:rsidRPr="00B94F53">
              <w:rPr>
                <w:i w:val="0"/>
                <w:iCs w:val="0"/>
                <w:webHidden/>
              </w:rPr>
              <w:fldChar w:fldCharType="begin"/>
            </w:r>
            <w:r w:rsidRPr="00B94F53">
              <w:rPr>
                <w:i w:val="0"/>
                <w:iCs w:val="0"/>
                <w:webHidden/>
              </w:rPr>
              <w:instrText xml:space="preserve"> PAGEREF _Toc238117813 \h </w:instrText>
            </w:r>
            <w:r w:rsidRPr="00B94F53">
              <w:rPr>
                <w:i w:val="0"/>
                <w:iCs w:val="0"/>
                <w:webHidden/>
              </w:rPr>
            </w:r>
            <w:r w:rsidRPr="00B94F53">
              <w:rPr>
                <w:i w:val="0"/>
                <w:iCs w:val="0"/>
                <w:webHidden/>
              </w:rPr>
              <w:fldChar w:fldCharType="separate"/>
            </w:r>
            <w:r w:rsidR="00F8565C">
              <w:rPr>
                <w:i w:val="0"/>
                <w:iCs w:val="0"/>
                <w:webHidden/>
              </w:rPr>
              <w:t>19</w:t>
            </w:r>
            <w:r w:rsidRPr="00B94F53">
              <w:rPr>
                <w:i w:val="0"/>
                <w:iCs w:val="0"/>
                <w:webHidden/>
              </w:rPr>
              <w:fldChar w:fldCharType="end"/>
            </w:r>
          </w:hyperlink>
        </w:p>
        <w:p w14:paraId="404414C4" w14:textId="0D16103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4" w:history="1">
            <w:r w:rsidRPr="00B94F53">
              <w:rPr>
                <w:rStyle w:val="Hyperlink"/>
                <w:rFonts w:ascii="Times New Roman" w:hAnsi="Times New Roman" w:cs="Times New Roman"/>
                <w:noProof/>
              </w:rPr>
              <w:t>2.4 Gaps in Literature</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21</w:t>
            </w:r>
            <w:r w:rsidRPr="00B94F53">
              <w:rPr>
                <w:rFonts w:ascii="Times New Roman" w:hAnsi="Times New Roman" w:cs="Times New Roman"/>
                <w:noProof/>
                <w:webHidden/>
              </w:rPr>
              <w:fldChar w:fldCharType="end"/>
            </w:r>
          </w:hyperlink>
        </w:p>
        <w:p w14:paraId="0EDD8909" w14:textId="01D468A3"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5" w:history="1">
            <w:r w:rsidRPr="00B94F53">
              <w:rPr>
                <w:rStyle w:val="Hyperlink"/>
                <w:rFonts w:ascii="Times New Roman" w:hAnsi="Times New Roman" w:cs="Times New Roman"/>
                <w:noProof/>
              </w:rPr>
              <w:t>2.5 Theoretical Framework</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23</w:t>
            </w:r>
            <w:r w:rsidRPr="00B94F53">
              <w:rPr>
                <w:rFonts w:ascii="Times New Roman" w:hAnsi="Times New Roman" w:cs="Times New Roman"/>
                <w:noProof/>
                <w:webHidden/>
              </w:rPr>
              <w:fldChar w:fldCharType="end"/>
            </w:r>
          </w:hyperlink>
        </w:p>
        <w:p w14:paraId="63DECBF9" w14:textId="64CF4420"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6" w:history="1">
            <w:r w:rsidRPr="00B94F53">
              <w:rPr>
                <w:rStyle w:val="Hyperlink"/>
                <w:rFonts w:ascii="Times New Roman" w:hAnsi="Times New Roman" w:cs="Times New Roman"/>
                <w:noProof/>
              </w:rPr>
              <w:t>2.6 Summary of the Chapter</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25</w:t>
            </w:r>
            <w:r w:rsidRPr="00B94F53">
              <w:rPr>
                <w:rFonts w:ascii="Times New Roman" w:hAnsi="Times New Roman" w:cs="Times New Roman"/>
                <w:noProof/>
                <w:webHidden/>
              </w:rPr>
              <w:fldChar w:fldCharType="end"/>
            </w:r>
          </w:hyperlink>
        </w:p>
        <w:p w14:paraId="75440804" w14:textId="0C65AD70"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17" w:history="1">
            <w:r w:rsidRPr="00B94F53">
              <w:rPr>
                <w:rStyle w:val="Hyperlink"/>
                <w:rFonts w:ascii="Times New Roman" w:hAnsi="Times New Roman" w:cs="Times New Roman"/>
                <w:noProof/>
              </w:rPr>
              <w:t>Chapter Three: Research Methodology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27</w:t>
            </w:r>
            <w:r w:rsidRPr="00B94F53">
              <w:rPr>
                <w:rFonts w:ascii="Times New Roman" w:hAnsi="Times New Roman" w:cs="Times New Roman"/>
                <w:noProof/>
                <w:webHidden/>
              </w:rPr>
              <w:fldChar w:fldCharType="end"/>
            </w:r>
          </w:hyperlink>
        </w:p>
        <w:p w14:paraId="4DF46542" w14:textId="09E8A872"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8" w:history="1">
            <w:r w:rsidRPr="00B94F53">
              <w:rPr>
                <w:rStyle w:val="Hyperlink"/>
                <w:rFonts w:ascii="Times New Roman" w:hAnsi="Times New Roman" w:cs="Times New Roman"/>
                <w:noProof/>
              </w:rPr>
              <w:t>3.1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27</w:t>
            </w:r>
            <w:r w:rsidRPr="00B94F53">
              <w:rPr>
                <w:rFonts w:ascii="Times New Roman" w:hAnsi="Times New Roman" w:cs="Times New Roman"/>
                <w:noProof/>
                <w:webHidden/>
              </w:rPr>
              <w:fldChar w:fldCharType="end"/>
            </w:r>
          </w:hyperlink>
        </w:p>
        <w:p w14:paraId="33DD6CB8" w14:textId="72AAE4C5"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9" w:history="1">
            <w:r w:rsidRPr="00B94F53">
              <w:rPr>
                <w:rStyle w:val="Hyperlink"/>
                <w:rFonts w:ascii="Times New Roman" w:hAnsi="Times New Roman" w:cs="Times New Roman"/>
                <w:noProof/>
              </w:rPr>
              <w:t>3.2 Research Philosophy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27</w:t>
            </w:r>
            <w:r w:rsidRPr="00B94F53">
              <w:rPr>
                <w:rFonts w:ascii="Times New Roman" w:hAnsi="Times New Roman" w:cs="Times New Roman"/>
                <w:noProof/>
                <w:webHidden/>
              </w:rPr>
              <w:fldChar w:fldCharType="end"/>
            </w:r>
          </w:hyperlink>
        </w:p>
        <w:p w14:paraId="50A09D38" w14:textId="55A3B60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0" w:history="1">
            <w:r w:rsidRPr="00B94F53">
              <w:rPr>
                <w:rStyle w:val="Hyperlink"/>
                <w:rFonts w:ascii="Times New Roman" w:hAnsi="Times New Roman" w:cs="Times New Roman"/>
                <w:noProof/>
              </w:rPr>
              <w:t>3.3 Research Approach</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29</w:t>
            </w:r>
            <w:r w:rsidRPr="00B94F53">
              <w:rPr>
                <w:rFonts w:ascii="Times New Roman" w:hAnsi="Times New Roman" w:cs="Times New Roman"/>
                <w:noProof/>
                <w:webHidden/>
              </w:rPr>
              <w:fldChar w:fldCharType="end"/>
            </w:r>
          </w:hyperlink>
        </w:p>
        <w:p w14:paraId="3CBC4709" w14:textId="00CA06F4"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1" w:history="1">
            <w:r w:rsidRPr="00B94F53">
              <w:rPr>
                <w:rStyle w:val="Hyperlink"/>
                <w:rFonts w:ascii="Times New Roman" w:hAnsi="Times New Roman" w:cs="Times New Roman"/>
                <w:noProof/>
              </w:rPr>
              <w:t>3.4 Research Design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29</w:t>
            </w:r>
            <w:r w:rsidRPr="00B94F53">
              <w:rPr>
                <w:rFonts w:ascii="Times New Roman" w:hAnsi="Times New Roman" w:cs="Times New Roman"/>
                <w:noProof/>
                <w:webHidden/>
              </w:rPr>
              <w:fldChar w:fldCharType="end"/>
            </w:r>
          </w:hyperlink>
        </w:p>
        <w:p w14:paraId="1DFDE802" w14:textId="17F122F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2" w:history="1">
            <w:r w:rsidRPr="00B94F53">
              <w:rPr>
                <w:rStyle w:val="Hyperlink"/>
                <w:rFonts w:ascii="Times New Roman" w:hAnsi="Times New Roman" w:cs="Times New Roman"/>
                <w:noProof/>
              </w:rPr>
              <w:t>3.5 Data Collection Method</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_Toc238117822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29</w:t>
            </w:r>
            <w:r w:rsidRPr="00B94F53">
              <w:rPr>
                <w:rFonts w:ascii="Times New Roman" w:hAnsi="Times New Roman" w:cs="Times New Roman"/>
                <w:noProof/>
                <w:webHidden/>
              </w:rPr>
              <w:fldChar w:fldCharType="end"/>
            </w:r>
          </w:hyperlink>
        </w:p>
        <w:p w14:paraId="30BA4FFF" w14:textId="0956B5E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3" w:history="1">
            <w:r w:rsidRPr="00B94F53">
              <w:rPr>
                <w:rStyle w:val="Hyperlink"/>
                <w:rFonts w:ascii="Times New Roman" w:hAnsi="Times New Roman" w:cs="Times New Roman"/>
                <w:noProof/>
              </w:rPr>
              <w:t>3.6 Sampling Strategy and Document Selection Criteria</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30</w:t>
            </w:r>
            <w:r w:rsidRPr="00B94F53">
              <w:rPr>
                <w:rFonts w:ascii="Times New Roman" w:hAnsi="Times New Roman" w:cs="Times New Roman"/>
                <w:noProof/>
                <w:webHidden/>
              </w:rPr>
              <w:fldChar w:fldCharType="end"/>
            </w:r>
          </w:hyperlink>
        </w:p>
        <w:p w14:paraId="769BB71C" w14:textId="19903E1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4" w:history="1">
            <w:r w:rsidRPr="00B94F53">
              <w:rPr>
                <w:rStyle w:val="Hyperlink"/>
                <w:rFonts w:ascii="Times New Roman" w:hAnsi="Times New Roman" w:cs="Times New Roman"/>
                <w:noProof/>
              </w:rPr>
              <w:t>3.7 Data Analysis Method</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31</w:t>
            </w:r>
            <w:r w:rsidRPr="00B94F53">
              <w:rPr>
                <w:rFonts w:ascii="Times New Roman" w:hAnsi="Times New Roman" w:cs="Times New Roman"/>
                <w:noProof/>
                <w:webHidden/>
              </w:rPr>
              <w:fldChar w:fldCharType="end"/>
            </w:r>
          </w:hyperlink>
        </w:p>
        <w:p w14:paraId="4ECCA655" w14:textId="754C15B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5" w:history="1">
            <w:r w:rsidRPr="00B94F53">
              <w:rPr>
                <w:rStyle w:val="Hyperlink"/>
                <w:rFonts w:ascii="Times New Roman" w:hAnsi="Times New Roman" w:cs="Times New Roman"/>
                <w:noProof/>
              </w:rPr>
              <w:t>3.8 Reliability, Validity and Trustworthiness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32</w:t>
            </w:r>
            <w:r w:rsidRPr="00B94F53">
              <w:rPr>
                <w:rFonts w:ascii="Times New Roman" w:hAnsi="Times New Roman" w:cs="Times New Roman"/>
                <w:noProof/>
                <w:webHidden/>
              </w:rPr>
              <w:fldChar w:fldCharType="end"/>
            </w:r>
          </w:hyperlink>
        </w:p>
        <w:p w14:paraId="1C15D9C8" w14:textId="26A58443"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6" w:history="1">
            <w:r w:rsidRPr="00B94F53">
              <w:rPr>
                <w:rStyle w:val="Hyperlink"/>
                <w:rFonts w:ascii="Times New Roman" w:hAnsi="Times New Roman" w:cs="Times New Roman"/>
                <w:noProof/>
              </w:rPr>
              <w:t>3.9 Ethical Considerations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32</w:t>
            </w:r>
            <w:r w:rsidRPr="00B94F53">
              <w:rPr>
                <w:rFonts w:ascii="Times New Roman" w:hAnsi="Times New Roman" w:cs="Times New Roman"/>
                <w:noProof/>
                <w:webHidden/>
              </w:rPr>
              <w:fldChar w:fldCharType="end"/>
            </w:r>
          </w:hyperlink>
        </w:p>
        <w:p w14:paraId="0D508B67" w14:textId="04A7E2E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7" w:history="1">
            <w:r w:rsidRPr="00B94F53">
              <w:rPr>
                <w:rStyle w:val="Hyperlink"/>
                <w:rFonts w:ascii="Times New Roman" w:hAnsi="Times New Roman" w:cs="Times New Roman"/>
                <w:noProof/>
              </w:rPr>
              <w:t>3.10 Limitations of the Methodology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32</w:t>
            </w:r>
            <w:r w:rsidRPr="00B94F53">
              <w:rPr>
                <w:rFonts w:ascii="Times New Roman" w:hAnsi="Times New Roman" w:cs="Times New Roman"/>
                <w:noProof/>
                <w:webHidden/>
              </w:rPr>
              <w:fldChar w:fldCharType="end"/>
            </w:r>
          </w:hyperlink>
        </w:p>
        <w:p w14:paraId="6600954E" w14:textId="1935B3CC"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8" w:history="1">
            <w:r w:rsidRPr="00B94F53">
              <w:rPr>
                <w:rStyle w:val="Hyperlink"/>
                <w:rFonts w:ascii="Times New Roman" w:hAnsi="Times New Roman" w:cs="Times New Roman"/>
                <w:noProof/>
              </w:rPr>
              <w:t>3.11 Summary of the Chapter</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33</w:t>
            </w:r>
            <w:r w:rsidRPr="00B94F53">
              <w:rPr>
                <w:rFonts w:ascii="Times New Roman" w:hAnsi="Times New Roman" w:cs="Times New Roman"/>
                <w:noProof/>
                <w:webHidden/>
              </w:rPr>
              <w:fldChar w:fldCharType="end"/>
            </w:r>
          </w:hyperlink>
        </w:p>
        <w:p w14:paraId="3F6CB597" w14:textId="181D117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9" w:history="1">
            <w:r w:rsidRPr="00B94F53">
              <w:rPr>
                <w:rStyle w:val="Hyperlink"/>
                <w:rFonts w:ascii="Times New Roman" w:hAnsi="Times New Roman" w:cs="Times New Roman"/>
                <w:noProof/>
              </w:rPr>
              <w:t>Chapter Four: Findings and Analysis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34</w:t>
            </w:r>
            <w:r w:rsidRPr="00B94F53">
              <w:rPr>
                <w:rFonts w:ascii="Times New Roman" w:hAnsi="Times New Roman" w:cs="Times New Roman"/>
                <w:noProof/>
                <w:webHidden/>
              </w:rPr>
              <w:fldChar w:fldCharType="end"/>
            </w:r>
          </w:hyperlink>
        </w:p>
        <w:p w14:paraId="487F3D0B" w14:textId="708570F2"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30" w:history="1">
            <w:r w:rsidRPr="00B94F53">
              <w:rPr>
                <w:rStyle w:val="Hyperlink"/>
                <w:rFonts w:ascii="Times New Roman" w:hAnsi="Times New Roman" w:cs="Times New Roman"/>
                <w:noProof/>
              </w:rPr>
              <w:t>4.1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_Toc238117830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34</w:t>
            </w:r>
            <w:r w:rsidRPr="00B94F53">
              <w:rPr>
                <w:rFonts w:ascii="Times New Roman" w:hAnsi="Times New Roman" w:cs="Times New Roman"/>
                <w:noProof/>
                <w:webHidden/>
              </w:rPr>
              <w:fldChar w:fldCharType="end"/>
            </w:r>
          </w:hyperlink>
        </w:p>
        <w:p w14:paraId="5455AB02" w14:textId="0B460DD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31" w:history="1">
            <w:r w:rsidRPr="00B94F53">
              <w:rPr>
                <w:rStyle w:val="Hyperlink"/>
                <w:rFonts w:ascii="Times New Roman" w:hAnsi="Times New Roman" w:cs="Times New Roman"/>
                <w:noProof/>
              </w:rPr>
              <w:t>4.2 Marketing Strategy and Digital Localisation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_Toc238117831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34</w:t>
            </w:r>
            <w:r w:rsidRPr="00B94F53">
              <w:rPr>
                <w:rFonts w:ascii="Times New Roman" w:hAnsi="Times New Roman" w:cs="Times New Roman"/>
                <w:noProof/>
                <w:webHidden/>
              </w:rPr>
              <w:fldChar w:fldCharType="end"/>
            </w:r>
          </w:hyperlink>
        </w:p>
        <w:p w14:paraId="758E47A9" w14:textId="2C7A3B16" w:rsidR="00BD3FFE" w:rsidRPr="00B94F53" w:rsidRDefault="00BD3FFE" w:rsidP="00B94F53">
          <w:pPr>
            <w:pStyle w:val="TOC3"/>
            <w:rPr>
              <w:rFonts w:eastAsiaTheme="minorEastAsia"/>
              <w:i w:val="0"/>
              <w:iCs w:val="0"/>
              <w:lang w:val="en-US" w:eastAsia="en-US"/>
            </w:rPr>
          </w:pPr>
          <w:hyperlink w:anchor="_Toc238117832" w:history="1">
            <w:r w:rsidRPr="00B94F53">
              <w:rPr>
                <w:rStyle w:val="Hyperlink"/>
                <w:i w:val="0"/>
                <w:iCs w:val="0"/>
              </w:rPr>
              <w:t>4.2.1 Regulatory Divergence as a Primary Marketing Constraint</w:t>
            </w:r>
            <w:r w:rsidRPr="00B94F53">
              <w:rPr>
                <w:i w:val="0"/>
                <w:iCs w:val="0"/>
                <w:webHidden/>
              </w:rPr>
              <w:tab/>
            </w:r>
            <w:r w:rsidRPr="00B94F53">
              <w:rPr>
                <w:i w:val="0"/>
                <w:iCs w:val="0"/>
                <w:webHidden/>
              </w:rPr>
              <w:fldChar w:fldCharType="begin"/>
            </w:r>
            <w:r w:rsidRPr="00B94F53">
              <w:rPr>
                <w:i w:val="0"/>
                <w:iCs w:val="0"/>
                <w:webHidden/>
              </w:rPr>
              <w:instrText xml:space="preserve"> PAGEREF _Toc238117832 \h </w:instrText>
            </w:r>
            <w:r w:rsidRPr="00B94F53">
              <w:rPr>
                <w:i w:val="0"/>
                <w:iCs w:val="0"/>
                <w:webHidden/>
              </w:rPr>
            </w:r>
            <w:r w:rsidRPr="00B94F53">
              <w:rPr>
                <w:i w:val="0"/>
                <w:iCs w:val="0"/>
                <w:webHidden/>
              </w:rPr>
              <w:fldChar w:fldCharType="separate"/>
            </w:r>
            <w:r w:rsidR="00F8565C">
              <w:rPr>
                <w:i w:val="0"/>
                <w:iCs w:val="0"/>
                <w:webHidden/>
              </w:rPr>
              <w:t>34</w:t>
            </w:r>
            <w:r w:rsidRPr="00B94F53">
              <w:rPr>
                <w:i w:val="0"/>
                <w:iCs w:val="0"/>
                <w:webHidden/>
              </w:rPr>
              <w:fldChar w:fldCharType="end"/>
            </w:r>
          </w:hyperlink>
        </w:p>
        <w:p w14:paraId="6E6019B9" w14:textId="1D100E24" w:rsidR="00BD3FFE" w:rsidRPr="00B94F53" w:rsidRDefault="00BD3FFE" w:rsidP="00B94F53">
          <w:pPr>
            <w:pStyle w:val="TOC3"/>
            <w:rPr>
              <w:rFonts w:eastAsiaTheme="minorEastAsia"/>
              <w:i w:val="0"/>
              <w:iCs w:val="0"/>
              <w:lang w:val="en-US" w:eastAsia="en-US"/>
            </w:rPr>
          </w:pPr>
          <w:hyperlink w:anchor="_Toc238117833" w:history="1">
            <w:r w:rsidRPr="00B94F53">
              <w:rPr>
                <w:rStyle w:val="Hyperlink"/>
                <w:i w:val="0"/>
                <w:iCs w:val="0"/>
              </w:rPr>
              <w:t>4.2.2 Platform Strategy and the Mobile-First Divide</w:t>
            </w:r>
            <w:r w:rsidRPr="00B94F53">
              <w:rPr>
                <w:i w:val="0"/>
                <w:iCs w:val="0"/>
                <w:webHidden/>
              </w:rPr>
              <w:tab/>
            </w:r>
            <w:r w:rsidRPr="00B94F53">
              <w:rPr>
                <w:i w:val="0"/>
                <w:iCs w:val="0"/>
                <w:webHidden/>
              </w:rPr>
              <w:fldChar w:fldCharType="begin"/>
            </w:r>
            <w:r w:rsidRPr="00B94F53">
              <w:rPr>
                <w:i w:val="0"/>
                <w:iCs w:val="0"/>
                <w:webHidden/>
              </w:rPr>
              <w:instrText xml:space="preserve"> PAGEREF _Toc238117833 \h </w:instrText>
            </w:r>
            <w:r w:rsidRPr="00B94F53">
              <w:rPr>
                <w:i w:val="0"/>
                <w:iCs w:val="0"/>
                <w:webHidden/>
              </w:rPr>
            </w:r>
            <w:r w:rsidRPr="00B94F53">
              <w:rPr>
                <w:i w:val="0"/>
                <w:iCs w:val="0"/>
                <w:webHidden/>
              </w:rPr>
              <w:fldChar w:fldCharType="separate"/>
            </w:r>
            <w:r w:rsidR="00F8565C">
              <w:rPr>
                <w:i w:val="0"/>
                <w:iCs w:val="0"/>
                <w:webHidden/>
              </w:rPr>
              <w:t>35</w:t>
            </w:r>
            <w:r w:rsidRPr="00B94F53">
              <w:rPr>
                <w:i w:val="0"/>
                <w:iCs w:val="0"/>
                <w:webHidden/>
              </w:rPr>
              <w:fldChar w:fldCharType="end"/>
            </w:r>
          </w:hyperlink>
        </w:p>
        <w:p w14:paraId="77C7CDCF" w14:textId="3984B19C" w:rsidR="00BD3FFE" w:rsidRPr="00B94F53" w:rsidRDefault="00BD3FFE" w:rsidP="00B94F53">
          <w:pPr>
            <w:pStyle w:val="TOC3"/>
            <w:rPr>
              <w:rFonts w:eastAsiaTheme="minorEastAsia"/>
              <w:i w:val="0"/>
              <w:iCs w:val="0"/>
              <w:lang w:val="en-US" w:eastAsia="en-US"/>
            </w:rPr>
          </w:pPr>
          <w:hyperlink w:anchor="_Toc238117834" w:history="1">
            <w:r w:rsidRPr="00B94F53">
              <w:rPr>
                <w:rStyle w:val="Hyperlink"/>
                <w:i w:val="0"/>
                <w:iCs w:val="0"/>
              </w:rPr>
              <w:t>4.2.3 Brand Trust as an Underutilised Strategic Asset</w:t>
            </w:r>
            <w:r w:rsidRPr="00B94F53">
              <w:rPr>
                <w:i w:val="0"/>
                <w:iCs w:val="0"/>
                <w:webHidden/>
              </w:rPr>
              <w:tab/>
            </w:r>
            <w:r w:rsidRPr="00B94F53">
              <w:rPr>
                <w:i w:val="0"/>
                <w:iCs w:val="0"/>
                <w:webHidden/>
              </w:rPr>
              <w:fldChar w:fldCharType="begin"/>
            </w:r>
            <w:r w:rsidRPr="00B94F53">
              <w:rPr>
                <w:i w:val="0"/>
                <w:iCs w:val="0"/>
                <w:webHidden/>
              </w:rPr>
              <w:instrText xml:space="preserve"> PAGEREF _Toc238117834 \h </w:instrText>
            </w:r>
            <w:r w:rsidRPr="00B94F53">
              <w:rPr>
                <w:i w:val="0"/>
                <w:iCs w:val="0"/>
                <w:webHidden/>
              </w:rPr>
            </w:r>
            <w:r w:rsidRPr="00B94F53">
              <w:rPr>
                <w:i w:val="0"/>
                <w:iCs w:val="0"/>
                <w:webHidden/>
              </w:rPr>
              <w:fldChar w:fldCharType="separate"/>
            </w:r>
            <w:r w:rsidR="00F8565C">
              <w:rPr>
                <w:i w:val="0"/>
                <w:iCs w:val="0"/>
                <w:webHidden/>
              </w:rPr>
              <w:t>35</w:t>
            </w:r>
            <w:r w:rsidRPr="00B94F53">
              <w:rPr>
                <w:i w:val="0"/>
                <w:iCs w:val="0"/>
                <w:webHidden/>
              </w:rPr>
              <w:fldChar w:fldCharType="end"/>
            </w:r>
          </w:hyperlink>
        </w:p>
        <w:p w14:paraId="472F64ED" w14:textId="6A66CFD4"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35" w:history="1">
            <w:r w:rsidRPr="00B94F53">
              <w:rPr>
                <w:rStyle w:val="Hyperlink"/>
                <w:rFonts w:ascii="Times New Roman" w:hAnsi="Times New Roman" w:cs="Times New Roman"/>
                <w:noProof/>
              </w:rPr>
              <w:t>4.3 Financial Strategy, Currency Risk and Payment Architecture</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_Toc238117835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36</w:t>
            </w:r>
            <w:r w:rsidRPr="00B94F53">
              <w:rPr>
                <w:rFonts w:ascii="Times New Roman" w:hAnsi="Times New Roman" w:cs="Times New Roman"/>
                <w:noProof/>
                <w:webHidden/>
              </w:rPr>
              <w:fldChar w:fldCharType="end"/>
            </w:r>
          </w:hyperlink>
        </w:p>
        <w:p w14:paraId="003FB324" w14:textId="330A4619" w:rsidR="00BD3FFE" w:rsidRPr="00B94F53" w:rsidRDefault="00BD3FFE" w:rsidP="00B94F53">
          <w:pPr>
            <w:pStyle w:val="TOC3"/>
            <w:rPr>
              <w:rFonts w:eastAsiaTheme="minorEastAsia"/>
              <w:i w:val="0"/>
              <w:iCs w:val="0"/>
              <w:lang w:val="en-US" w:eastAsia="en-US"/>
            </w:rPr>
          </w:pPr>
          <w:hyperlink w:anchor="_Toc238117836" w:history="1">
            <w:r w:rsidRPr="00B94F53">
              <w:rPr>
                <w:rStyle w:val="Hyperlink"/>
                <w:i w:val="0"/>
                <w:iCs w:val="0"/>
              </w:rPr>
              <w:t>4.3.1 Dual Payment Architecture and Interoperability Challenges</w:t>
            </w:r>
            <w:r w:rsidRPr="00B94F53">
              <w:rPr>
                <w:i w:val="0"/>
                <w:iCs w:val="0"/>
                <w:webHidden/>
              </w:rPr>
              <w:tab/>
            </w:r>
            <w:r w:rsidRPr="00B94F53">
              <w:rPr>
                <w:i w:val="0"/>
                <w:iCs w:val="0"/>
                <w:webHidden/>
              </w:rPr>
              <w:fldChar w:fldCharType="begin"/>
            </w:r>
            <w:r w:rsidRPr="00B94F53">
              <w:rPr>
                <w:i w:val="0"/>
                <w:iCs w:val="0"/>
                <w:webHidden/>
              </w:rPr>
              <w:instrText xml:space="preserve"> PAGEREF _Toc238117836 \h </w:instrText>
            </w:r>
            <w:r w:rsidRPr="00B94F53">
              <w:rPr>
                <w:i w:val="0"/>
                <w:iCs w:val="0"/>
                <w:webHidden/>
              </w:rPr>
            </w:r>
            <w:r w:rsidRPr="00B94F53">
              <w:rPr>
                <w:i w:val="0"/>
                <w:iCs w:val="0"/>
                <w:webHidden/>
              </w:rPr>
              <w:fldChar w:fldCharType="separate"/>
            </w:r>
            <w:r w:rsidR="00F8565C">
              <w:rPr>
                <w:i w:val="0"/>
                <w:iCs w:val="0"/>
                <w:webHidden/>
              </w:rPr>
              <w:t>36</w:t>
            </w:r>
            <w:r w:rsidRPr="00B94F53">
              <w:rPr>
                <w:i w:val="0"/>
                <w:iCs w:val="0"/>
                <w:webHidden/>
              </w:rPr>
              <w:fldChar w:fldCharType="end"/>
            </w:r>
          </w:hyperlink>
        </w:p>
        <w:p w14:paraId="26C813CB" w14:textId="79486EC2" w:rsidR="00BD3FFE" w:rsidRPr="00B94F53" w:rsidRDefault="00BD3FFE" w:rsidP="00B94F53">
          <w:pPr>
            <w:pStyle w:val="TOC3"/>
            <w:rPr>
              <w:rFonts w:eastAsiaTheme="minorEastAsia"/>
              <w:i w:val="0"/>
              <w:iCs w:val="0"/>
              <w:lang w:val="en-US" w:eastAsia="en-US"/>
            </w:rPr>
          </w:pPr>
          <w:hyperlink w:anchor="_Toc238117837" w:history="1">
            <w:r w:rsidRPr="00B94F53">
              <w:rPr>
                <w:rStyle w:val="Hyperlink"/>
                <w:i w:val="0"/>
                <w:iCs w:val="0"/>
              </w:rPr>
              <w:t>4.3.2 Remittance Pricing Pressures</w:t>
            </w:r>
            <w:r w:rsidRPr="00B94F53">
              <w:rPr>
                <w:i w:val="0"/>
                <w:iCs w:val="0"/>
                <w:webHidden/>
              </w:rPr>
              <w:tab/>
            </w:r>
            <w:r w:rsidRPr="00B94F53">
              <w:rPr>
                <w:i w:val="0"/>
                <w:iCs w:val="0"/>
                <w:webHidden/>
              </w:rPr>
              <w:fldChar w:fldCharType="begin"/>
            </w:r>
            <w:r w:rsidRPr="00B94F53">
              <w:rPr>
                <w:i w:val="0"/>
                <w:iCs w:val="0"/>
                <w:webHidden/>
              </w:rPr>
              <w:instrText xml:space="preserve"> PAGEREF _Toc238117837 \h </w:instrText>
            </w:r>
            <w:r w:rsidRPr="00B94F53">
              <w:rPr>
                <w:i w:val="0"/>
                <w:iCs w:val="0"/>
                <w:webHidden/>
              </w:rPr>
            </w:r>
            <w:r w:rsidRPr="00B94F53">
              <w:rPr>
                <w:i w:val="0"/>
                <w:iCs w:val="0"/>
                <w:webHidden/>
              </w:rPr>
              <w:fldChar w:fldCharType="separate"/>
            </w:r>
            <w:r w:rsidR="00F8565C">
              <w:rPr>
                <w:i w:val="0"/>
                <w:iCs w:val="0"/>
                <w:webHidden/>
              </w:rPr>
              <w:t>36</w:t>
            </w:r>
            <w:r w:rsidRPr="00B94F53">
              <w:rPr>
                <w:i w:val="0"/>
                <w:iCs w:val="0"/>
                <w:webHidden/>
              </w:rPr>
              <w:fldChar w:fldCharType="end"/>
            </w:r>
          </w:hyperlink>
        </w:p>
        <w:p w14:paraId="64AC1090" w14:textId="66916D00" w:rsidR="00BD3FFE" w:rsidRPr="00B94F53" w:rsidRDefault="00BD3FFE" w:rsidP="00B94F53">
          <w:pPr>
            <w:pStyle w:val="TOC3"/>
            <w:rPr>
              <w:rFonts w:eastAsiaTheme="minorEastAsia"/>
              <w:i w:val="0"/>
              <w:iCs w:val="0"/>
              <w:lang w:val="en-US" w:eastAsia="en-US"/>
            </w:rPr>
          </w:pPr>
          <w:hyperlink w:anchor="_Toc238117838" w:history="1">
            <w:r w:rsidRPr="00B94F53">
              <w:rPr>
                <w:rStyle w:val="Hyperlink"/>
                <w:i w:val="0"/>
                <w:iCs w:val="0"/>
              </w:rPr>
              <w:t>4.3.3 Currency Hedging Limitations</w:t>
            </w:r>
            <w:r w:rsidRPr="00B94F53">
              <w:rPr>
                <w:i w:val="0"/>
                <w:iCs w:val="0"/>
                <w:webHidden/>
              </w:rPr>
              <w:tab/>
            </w:r>
            <w:r w:rsidRPr="00B94F53">
              <w:rPr>
                <w:i w:val="0"/>
                <w:iCs w:val="0"/>
                <w:webHidden/>
              </w:rPr>
              <w:fldChar w:fldCharType="begin"/>
            </w:r>
            <w:r w:rsidRPr="00B94F53">
              <w:rPr>
                <w:i w:val="0"/>
                <w:iCs w:val="0"/>
                <w:webHidden/>
              </w:rPr>
              <w:instrText xml:space="preserve"> PAGEREF _Toc238117838 \h </w:instrText>
            </w:r>
            <w:r w:rsidRPr="00B94F53">
              <w:rPr>
                <w:i w:val="0"/>
                <w:iCs w:val="0"/>
                <w:webHidden/>
              </w:rPr>
            </w:r>
            <w:r w:rsidRPr="00B94F53">
              <w:rPr>
                <w:i w:val="0"/>
                <w:iCs w:val="0"/>
                <w:webHidden/>
              </w:rPr>
              <w:fldChar w:fldCharType="separate"/>
            </w:r>
            <w:r w:rsidR="00F8565C">
              <w:rPr>
                <w:i w:val="0"/>
                <w:iCs w:val="0"/>
                <w:webHidden/>
              </w:rPr>
              <w:t>38</w:t>
            </w:r>
            <w:r w:rsidRPr="00B94F53">
              <w:rPr>
                <w:i w:val="0"/>
                <w:iCs w:val="0"/>
                <w:webHidden/>
              </w:rPr>
              <w:fldChar w:fldCharType="end"/>
            </w:r>
          </w:hyperlink>
        </w:p>
        <w:p w14:paraId="380446EB" w14:textId="484FD75E"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39" w:history="1">
            <w:r w:rsidRPr="00B94F53">
              <w:rPr>
                <w:rStyle w:val="Hyperlink"/>
                <w:rFonts w:ascii="Times New Roman" w:hAnsi="Times New Roman" w:cs="Times New Roman"/>
                <w:noProof/>
              </w:rPr>
              <w:t>4.4 Human Capital and Strategic HRM</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_Toc238117839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39</w:t>
            </w:r>
            <w:r w:rsidRPr="00B94F53">
              <w:rPr>
                <w:rFonts w:ascii="Times New Roman" w:hAnsi="Times New Roman" w:cs="Times New Roman"/>
                <w:noProof/>
                <w:webHidden/>
              </w:rPr>
              <w:fldChar w:fldCharType="end"/>
            </w:r>
          </w:hyperlink>
        </w:p>
        <w:p w14:paraId="172180B6" w14:textId="26187BB9" w:rsidR="00BD3FFE" w:rsidRPr="00B94F53" w:rsidRDefault="00BD3FFE" w:rsidP="00B94F53">
          <w:pPr>
            <w:pStyle w:val="TOC3"/>
            <w:rPr>
              <w:rFonts w:eastAsiaTheme="minorEastAsia"/>
              <w:i w:val="0"/>
              <w:iCs w:val="0"/>
              <w:lang w:val="en-US" w:eastAsia="en-US"/>
            </w:rPr>
          </w:pPr>
          <w:hyperlink w:anchor="_Toc238117840" w:history="1">
            <w:r w:rsidRPr="00B94F53">
              <w:rPr>
                <w:rStyle w:val="Hyperlink"/>
                <w:i w:val="0"/>
                <w:iCs w:val="0"/>
              </w:rPr>
              <w:t>4.4.1 The UK Digital Talent Gap</w:t>
            </w:r>
            <w:r w:rsidRPr="00B94F53">
              <w:rPr>
                <w:i w:val="0"/>
                <w:iCs w:val="0"/>
                <w:webHidden/>
              </w:rPr>
              <w:tab/>
            </w:r>
            <w:r w:rsidRPr="00B94F53">
              <w:rPr>
                <w:i w:val="0"/>
                <w:iCs w:val="0"/>
                <w:webHidden/>
              </w:rPr>
              <w:fldChar w:fldCharType="begin"/>
            </w:r>
            <w:r w:rsidRPr="00B94F53">
              <w:rPr>
                <w:i w:val="0"/>
                <w:iCs w:val="0"/>
                <w:webHidden/>
              </w:rPr>
              <w:instrText xml:space="preserve"> PAGEREF _Toc238117840 \h </w:instrText>
            </w:r>
            <w:r w:rsidRPr="00B94F53">
              <w:rPr>
                <w:i w:val="0"/>
                <w:iCs w:val="0"/>
                <w:webHidden/>
              </w:rPr>
            </w:r>
            <w:r w:rsidRPr="00B94F53">
              <w:rPr>
                <w:i w:val="0"/>
                <w:iCs w:val="0"/>
                <w:webHidden/>
              </w:rPr>
              <w:fldChar w:fldCharType="separate"/>
            </w:r>
            <w:r w:rsidR="00F8565C">
              <w:rPr>
                <w:i w:val="0"/>
                <w:iCs w:val="0"/>
                <w:webHidden/>
              </w:rPr>
              <w:t>39</w:t>
            </w:r>
            <w:r w:rsidRPr="00B94F53">
              <w:rPr>
                <w:i w:val="0"/>
                <w:iCs w:val="0"/>
                <w:webHidden/>
              </w:rPr>
              <w:fldChar w:fldCharType="end"/>
            </w:r>
          </w:hyperlink>
        </w:p>
        <w:p w14:paraId="7B5389B3" w14:textId="6C047AD8" w:rsidR="00BD3FFE" w:rsidRPr="00B94F53" w:rsidRDefault="00BD3FFE" w:rsidP="00B94F53">
          <w:pPr>
            <w:pStyle w:val="TOC3"/>
            <w:rPr>
              <w:rFonts w:eastAsiaTheme="minorEastAsia"/>
              <w:i w:val="0"/>
              <w:iCs w:val="0"/>
              <w:lang w:val="en-US" w:eastAsia="en-US"/>
            </w:rPr>
          </w:pPr>
          <w:hyperlink w:anchor="_Toc238117841" w:history="1">
            <w:r w:rsidRPr="00B94F53">
              <w:rPr>
                <w:rStyle w:val="Hyperlink"/>
                <w:i w:val="0"/>
                <w:iCs w:val="0"/>
              </w:rPr>
              <w:t>4.4.2 Workforce Rigidity in Bangladesh</w:t>
            </w:r>
            <w:r w:rsidRPr="00B94F53">
              <w:rPr>
                <w:i w:val="0"/>
                <w:iCs w:val="0"/>
                <w:webHidden/>
              </w:rPr>
              <w:tab/>
            </w:r>
            <w:r w:rsidRPr="00B94F53">
              <w:rPr>
                <w:i w:val="0"/>
                <w:iCs w:val="0"/>
                <w:webHidden/>
              </w:rPr>
              <w:fldChar w:fldCharType="begin"/>
            </w:r>
            <w:r w:rsidRPr="00B94F53">
              <w:rPr>
                <w:i w:val="0"/>
                <w:iCs w:val="0"/>
                <w:webHidden/>
              </w:rPr>
              <w:instrText xml:space="preserve"> PAGEREF _Toc238117841 \h </w:instrText>
            </w:r>
            <w:r w:rsidRPr="00B94F53">
              <w:rPr>
                <w:i w:val="0"/>
                <w:iCs w:val="0"/>
                <w:webHidden/>
              </w:rPr>
            </w:r>
            <w:r w:rsidRPr="00B94F53">
              <w:rPr>
                <w:i w:val="0"/>
                <w:iCs w:val="0"/>
                <w:webHidden/>
              </w:rPr>
              <w:fldChar w:fldCharType="separate"/>
            </w:r>
            <w:r w:rsidR="00F8565C">
              <w:rPr>
                <w:i w:val="0"/>
                <w:iCs w:val="0"/>
                <w:webHidden/>
              </w:rPr>
              <w:t>39</w:t>
            </w:r>
            <w:r w:rsidRPr="00B94F53">
              <w:rPr>
                <w:i w:val="0"/>
                <w:iCs w:val="0"/>
                <w:webHidden/>
              </w:rPr>
              <w:fldChar w:fldCharType="end"/>
            </w:r>
          </w:hyperlink>
        </w:p>
        <w:p w14:paraId="4ED69216" w14:textId="311D9996" w:rsidR="00BD3FFE" w:rsidRPr="00B94F53" w:rsidRDefault="00BD3FFE" w:rsidP="00B94F53">
          <w:pPr>
            <w:pStyle w:val="TOC3"/>
            <w:rPr>
              <w:rFonts w:eastAsiaTheme="minorEastAsia"/>
              <w:i w:val="0"/>
              <w:iCs w:val="0"/>
              <w:lang w:val="en-US" w:eastAsia="en-US"/>
            </w:rPr>
          </w:pPr>
          <w:hyperlink w:anchor="_Toc238117842" w:history="1">
            <w:r w:rsidRPr="00B94F53">
              <w:rPr>
                <w:rStyle w:val="Hyperlink"/>
                <w:i w:val="0"/>
                <w:iCs w:val="0"/>
              </w:rPr>
              <w:t>4.4.3 Digital Upskilling and Institutional Inertia</w:t>
            </w:r>
            <w:r w:rsidRPr="00B94F53">
              <w:rPr>
                <w:i w:val="0"/>
                <w:iCs w:val="0"/>
                <w:webHidden/>
              </w:rPr>
              <w:tab/>
            </w:r>
            <w:r w:rsidRPr="00B94F53">
              <w:rPr>
                <w:i w:val="0"/>
                <w:iCs w:val="0"/>
                <w:webHidden/>
              </w:rPr>
              <w:fldChar w:fldCharType="begin"/>
            </w:r>
            <w:r w:rsidRPr="00B94F53">
              <w:rPr>
                <w:i w:val="0"/>
                <w:iCs w:val="0"/>
                <w:webHidden/>
              </w:rPr>
              <w:instrText xml:space="preserve"> PAGEREF _Toc238117842 \h </w:instrText>
            </w:r>
            <w:r w:rsidRPr="00B94F53">
              <w:rPr>
                <w:i w:val="0"/>
                <w:iCs w:val="0"/>
                <w:webHidden/>
              </w:rPr>
            </w:r>
            <w:r w:rsidRPr="00B94F53">
              <w:rPr>
                <w:i w:val="0"/>
                <w:iCs w:val="0"/>
                <w:webHidden/>
              </w:rPr>
              <w:fldChar w:fldCharType="separate"/>
            </w:r>
            <w:r w:rsidR="00F8565C">
              <w:rPr>
                <w:i w:val="0"/>
                <w:iCs w:val="0"/>
                <w:webHidden/>
              </w:rPr>
              <w:t>40</w:t>
            </w:r>
            <w:r w:rsidRPr="00B94F53">
              <w:rPr>
                <w:i w:val="0"/>
                <w:iCs w:val="0"/>
                <w:webHidden/>
              </w:rPr>
              <w:fldChar w:fldCharType="end"/>
            </w:r>
          </w:hyperlink>
        </w:p>
        <w:p w14:paraId="18AF2BCA" w14:textId="4C579D44"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3" w:history="1">
            <w:r w:rsidRPr="00B94F53">
              <w:rPr>
                <w:rStyle w:val="Hyperlink"/>
                <w:rFonts w:ascii="Times New Roman" w:hAnsi="Times New Roman" w:cs="Times New Roman"/>
                <w:noProof/>
              </w:rPr>
              <w:t>4.5 Cross-Cutting Theme: State Ownership as a Moderating Constraint</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40</w:t>
            </w:r>
            <w:r w:rsidRPr="00B94F53">
              <w:rPr>
                <w:rFonts w:ascii="Times New Roman" w:hAnsi="Times New Roman" w:cs="Times New Roman"/>
                <w:noProof/>
                <w:webHidden/>
              </w:rPr>
              <w:fldChar w:fldCharType="end"/>
            </w:r>
          </w:hyperlink>
        </w:p>
        <w:p w14:paraId="132F970A" w14:textId="07B6F34F"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44" w:history="1">
            <w:r w:rsidRPr="00B94F53">
              <w:rPr>
                <w:rStyle w:val="Hyperlink"/>
                <w:rFonts w:ascii="Times New Roman" w:hAnsi="Times New Roman" w:cs="Times New Roman"/>
                <w:noProof/>
              </w:rPr>
              <w:t>Chapter Five: Discussion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42</w:t>
            </w:r>
            <w:r w:rsidRPr="00B94F53">
              <w:rPr>
                <w:rFonts w:ascii="Times New Roman" w:hAnsi="Times New Roman" w:cs="Times New Roman"/>
                <w:noProof/>
                <w:webHidden/>
              </w:rPr>
              <w:fldChar w:fldCharType="end"/>
            </w:r>
          </w:hyperlink>
        </w:p>
        <w:p w14:paraId="23C20605" w14:textId="07792473"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5" w:history="1">
            <w:r w:rsidRPr="00B94F53">
              <w:rPr>
                <w:rStyle w:val="Hyperlink"/>
                <w:rFonts w:ascii="Times New Roman" w:hAnsi="Times New Roman" w:cs="Times New Roman"/>
                <w:noProof/>
              </w:rPr>
              <w:t>5.1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42</w:t>
            </w:r>
            <w:r w:rsidRPr="00B94F53">
              <w:rPr>
                <w:rFonts w:ascii="Times New Roman" w:hAnsi="Times New Roman" w:cs="Times New Roman"/>
                <w:noProof/>
                <w:webHidden/>
              </w:rPr>
              <w:fldChar w:fldCharType="end"/>
            </w:r>
          </w:hyperlink>
        </w:p>
        <w:p w14:paraId="656DA7CF" w14:textId="22530FD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6" w:history="1">
            <w:r w:rsidRPr="00B94F53">
              <w:rPr>
                <w:rStyle w:val="Hyperlink"/>
                <w:rFonts w:ascii="Times New Roman" w:hAnsi="Times New Roman" w:cs="Times New Roman"/>
                <w:noProof/>
              </w:rPr>
              <w:t>5.2 Discussion in Relation to the Uppsala Internationalisation Model</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42</w:t>
            </w:r>
            <w:r w:rsidRPr="00B94F53">
              <w:rPr>
                <w:rFonts w:ascii="Times New Roman" w:hAnsi="Times New Roman" w:cs="Times New Roman"/>
                <w:noProof/>
                <w:webHidden/>
              </w:rPr>
              <w:fldChar w:fldCharType="end"/>
            </w:r>
          </w:hyperlink>
        </w:p>
        <w:p w14:paraId="3ACBA0AB" w14:textId="6ADF6540"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7" w:history="1">
            <w:r w:rsidRPr="00B94F53">
              <w:rPr>
                <w:rStyle w:val="Hyperlink"/>
                <w:rFonts w:ascii="Times New Roman" w:hAnsi="Times New Roman" w:cs="Times New Roman"/>
                <w:noProof/>
              </w:rPr>
              <w:t>5.3 Discussion in Relation to the Resource-Based View</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43</w:t>
            </w:r>
            <w:r w:rsidRPr="00B94F53">
              <w:rPr>
                <w:rFonts w:ascii="Times New Roman" w:hAnsi="Times New Roman" w:cs="Times New Roman"/>
                <w:noProof/>
                <w:webHidden/>
              </w:rPr>
              <w:fldChar w:fldCharType="end"/>
            </w:r>
          </w:hyperlink>
        </w:p>
        <w:p w14:paraId="30DF8C40" w14:textId="3ACDF3F6"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8" w:history="1">
            <w:r w:rsidRPr="00B94F53">
              <w:rPr>
                <w:rStyle w:val="Hyperlink"/>
                <w:rFonts w:ascii="Times New Roman" w:hAnsi="Times New Roman" w:cs="Times New Roman"/>
                <w:noProof/>
              </w:rPr>
              <w:t>5.4 Integrated Discussion: Bringing Uppsala and the RBV Together — The Central Role of State Ownership</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43</w:t>
            </w:r>
            <w:r w:rsidRPr="00B94F53">
              <w:rPr>
                <w:rFonts w:ascii="Times New Roman" w:hAnsi="Times New Roman" w:cs="Times New Roman"/>
                <w:noProof/>
                <w:webHidden/>
              </w:rPr>
              <w:fldChar w:fldCharType="end"/>
            </w:r>
          </w:hyperlink>
        </w:p>
        <w:p w14:paraId="0B143BB6" w14:textId="0FCDDC47" w:rsidR="00BD3FFE" w:rsidRPr="00B94F53" w:rsidRDefault="00BD3FFE" w:rsidP="00B94F53">
          <w:pPr>
            <w:pStyle w:val="TOC3"/>
            <w:rPr>
              <w:rFonts w:eastAsiaTheme="minorEastAsia"/>
              <w:i w:val="0"/>
              <w:iCs w:val="0"/>
              <w:lang w:val="en-US" w:eastAsia="en-US"/>
            </w:rPr>
          </w:pPr>
          <w:hyperlink w:anchor="_Toc238117849" w:history="1">
            <w:r w:rsidRPr="00B94F53">
              <w:rPr>
                <w:rStyle w:val="Hyperlink"/>
                <w:i w:val="0"/>
                <w:iCs w:val="0"/>
              </w:rPr>
              <w:t>5.4.1 Two Frameworks, One Structural Moderator</w:t>
            </w:r>
            <w:r w:rsidRPr="00B94F53">
              <w:rPr>
                <w:i w:val="0"/>
                <w:iCs w:val="0"/>
                <w:webHidden/>
              </w:rPr>
              <w:tab/>
            </w:r>
            <w:r w:rsidRPr="00B94F53">
              <w:rPr>
                <w:i w:val="0"/>
                <w:iCs w:val="0"/>
                <w:webHidden/>
              </w:rPr>
              <w:fldChar w:fldCharType="begin"/>
            </w:r>
            <w:r w:rsidRPr="00B94F53">
              <w:rPr>
                <w:i w:val="0"/>
                <w:iCs w:val="0"/>
                <w:webHidden/>
              </w:rPr>
              <w:instrText xml:space="preserve"> PAGEREF _Toc238117849 \h </w:instrText>
            </w:r>
            <w:r w:rsidRPr="00B94F53">
              <w:rPr>
                <w:i w:val="0"/>
                <w:iCs w:val="0"/>
                <w:webHidden/>
              </w:rPr>
            </w:r>
            <w:r w:rsidRPr="00B94F53">
              <w:rPr>
                <w:i w:val="0"/>
                <w:iCs w:val="0"/>
                <w:webHidden/>
              </w:rPr>
              <w:fldChar w:fldCharType="separate"/>
            </w:r>
            <w:r w:rsidR="00F8565C">
              <w:rPr>
                <w:i w:val="0"/>
                <w:iCs w:val="0"/>
                <w:webHidden/>
              </w:rPr>
              <w:t>43</w:t>
            </w:r>
            <w:r w:rsidRPr="00B94F53">
              <w:rPr>
                <w:i w:val="0"/>
                <w:iCs w:val="0"/>
                <w:webHidden/>
              </w:rPr>
              <w:fldChar w:fldCharType="end"/>
            </w:r>
          </w:hyperlink>
        </w:p>
        <w:p w14:paraId="22435B08" w14:textId="453B7757" w:rsidR="00BD3FFE" w:rsidRPr="00B94F53" w:rsidRDefault="00BD3FFE" w:rsidP="00B94F53">
          <w:pPr>
            <w:pStyle w:val="TOC3"/>
            <w:rPr>
              <w:rFonts w:eastAsiaTheme="minorEastAsia"/>
              <w:i w:val="0"/>
              <w:iCs w:val="0"/>
              <w:lang w:val="en-US" w:eastAsia="en-US"/>
            </w:rPr>
          </w:pPr>
          <w:hyperlink w:anchor="_Toc238117850" w:history="1">
            <w:r w:rsidRPr="00B94F53">
              <w:rPr>
                <w:rStyle w:val="Hyperlink"/>
                <w:i w:val="0"/>
                <w:iCs w:val="0"/>
              </w:rPr>
              <w:t>5.4.2 The Three Mechanisms by Which State Ownership Slows Reconfiguration</w:t>
            </w:r>
            <w:r w:rsidRPr="00B94F53">
              <w:rPr>
                <w:i w:val="0"/>
                <w:iCs w:val="0"/>
                <w:webHidden/>
              </w:rPr>
              <w:tab/>
            </w:r>
            <w:r w:rsidRPr="00B94F53">
              <w:rPr>
                <w:i w:val="0"/>
                <w:iCs w:val="0"/>
                <w:webHidden/>
              </w:rPr>
              <w:fldChar w:fldCharType="begin"/>
            </w:r>
            <w:r w:rsidRPr="00B94F53">
              <w:rPr>
                <w:i w:val="0"/>
                <w:iCs w:val="0"/>
                <w:webHidden/>
              </w:rPr>
              <w:instrText xml:space="preserve"> PAGEREF _Toc238117850 \h </w:instrText>
            </w:r>
            <w:r w:rsidRPr="00B94F53">
              <w:rPr>
                <w:i w:val="0"/>
                <w:iCs w:val="0"/>
                <w:webHidden/>
              </w:rPr>
            </w:r>
            <w:r w:rsidRPr="00B94F53">
              <w:rPr>
                <w:i w:val="0"/>
                <w:iCs w:val="0"/>
                <w:webHidden/>
              </w:rPr>
              <w:fldChar w:fldCharType="separate"/>
            </w:r>
            <w:r w:rsidR="00F8565C">
              <w:rPr>
                <w:i w:val="0"/>
                <w:iCs w:val="0"/>
                <w:webHidden/>
              </w:rPr>
              <w:t>44</w:t>
            </w:r>
            <w:r w:rsidRPr="00B94F53">
              <w:rPr>
                <w:i w:val="0"/>
                <w:iCs w:val="0"/>
                <w:webHidden/>
              </w:rPr>
              <w:fldChar w:fldCharType="end"/>
            </w:r>
          </w:hyperlink>
        </w:p>
        <w:p w14:paraId="0D08184D" w14:textId="735516E7" w:rsidR="00BD3FFE" w:rsidRPr="00B94F53" w:rsidRDefault="00BD3FFE" w:rsidP="00B94F53">
          <w:pPr>
            <w:pStyle w:val="TOC3"/>
            <w:rPr>
              <w:rFonts w:eastAsiaTheme="minorEastAsia"/>
              <w:i w:val="0"/>
              <w:iCs w:val="0"/>
              <w:lang w:val="en-US" w:eastAsia="en-US"/>
            </w:rPr>
          </w:pPr>
          <w:hyperlink w:anchor="_Toc238117851" w:history="1">
            <w:r w:rsidRPr="00B94F53">
              <w:rPr>
                <w:rStyle w:val="Hyperlink"/>
                <w:i w:val="0"/>
                <w:iCs w:val="0"/>
              </w:rPr>
              <w:t>5.4.3 Comparison with Standard Chartered Bank: Unconstrained Dynamic Capabilities in the Same Corridor</w:t>
            </w:r>
            <w:r w:rsidRPr="00B94F53">
              <w:rPr>
                <w:i w:val="0"/>
                <w:iCs w:val="0"/>
                <w:webHidden/>
              </w:rPr>
              <w:tab/>
            </w:r>
            <w:r w:rsidRPr="00B94F53">
              <w:rPr>
                <w:i w:val="0"/>
                <w:iCs w:val="0"/>
                <w:webHidden/>
              </w:rPr>
              <w:fldChar w:fldCharType="begin"/>
            </w:r>
            <w:r w:rsidRPr="00B94F53">
              <w:rPr>
                <w:i w:val="0"/>
                <w:iCs w:val="0"/>
                <w:webHidden/>
              </w:rPr>
              <w:instrText xml:space="preserve"> PAGEREF _Toc238117851 \h </w:instrText>
            </w:r>
            <w:r w:rsidRPr="00B94F53">
              <w:rPr>
                <w:i w:val="0"/>
                <w:iCs w:val="0"/>
                <w:webHidden/>
              </w:rPr>
            </w:r>
            <w:r w:rsidRPr="00B94F53">
              <w:rPr>
                <w:i w:val="0"/>
                <w:iCs w:val="0"/>
                <w:webHidden/>
              </w:rPr>
              <w:fldChar w:fldCharType="separate"/>
            </w:r>
            <w:r w:rsidR="00F8565C">
              <w:rPr>
                <w:i w:val="0"/>
                <w:iCs w:val="0"/>
                <w:webHidden/>
              </w:rPr>
              <w:t>45</w:t>
            </w:r>
            <w:r w:rsidRPr="00B94F53">
              <w:rPr>
                <w:i w:val="0"/>
                <w:iCs w:val="0"/>
                <w:webHidden/>
              </w:rPr>
              <w:fldChar w:fldCharType="end"/>
            </w:r>
          </w:hyperlink>
        </w:p>
        <w:p w14:paraId="0A990603" w14:textId="5AA5B674" w:rsidR="00BD3FFE" w:rsidRPr="00B94F53" w:rsidRDefault="00BD3FFE" w:rsidP="00B94F53">
          <w:pPr>
            <w:pStyle w:val="TOC3"/>
            <w:rPr>
              <w:rFonts w:eastAsiaTheme="minorEastAsia"/>
              <w:i w:val="0"/>
              <w:iCs w:val="0"/>
              <w:lang w:val="en-US" w:eastAsia="en-US"/>
            </w:rPr>
          </w:pPr>
          <w:hyperlink w:anchor="_Toc238117852" w:history="1">
            <w:r w:rsidRPr="00B94F53">
              <w:rPr>
                <w:rStyle w:val="Hyperlink"/>
                <w:i w:val="0"/>
                <w:iCs w:val="0"/>
              </w:rPr>
              <w:t>5.4.4 Comparison with bKash: The Fintech Extreme</w:t>
            </w:r>
            <w:r w:rsidRPr="00B94F53">
              <w:rPr>
                <w:i w:val="0"/>
                <w:iCs w:val="0"/>
                <w:webHidden/>
              </w:rPr>
              <w:tab/>
            </w:r>
            <w:r w:rsidRPr="00B94F53">
              <w:rPr>
                <w:i w:val="0"/>
                <w:iCs w:val="0"/>
                <w:webHidden/>
              </w:rPr>
              <w:fldChar w:fldCharType="begin"/>
            </w:r>
            <w:r w:rsidRPr="00B94F53">
              <w:rPr>
                <w:i w:val="0"/>
                <w:iCs w:val="0"/>
                <w:webHidden/>
              </w:rPr>
              <w:instrText xml:space="preserve"> PAGEREF _Toc238117852 \h </w:instrText>
            </w:r>
            <w:r w:rsidRPr="00B94F53">
              <w:rPr>
                <w:i w:val="0"/>
                <w:iCs w:val="0"/>
                <w:webHidden/>
              </w:rPr>
            </w:r>
            <w:r w:rsidRPr="00B94F53">
              <w:rPr>
                <w:i w:val="0"/>
                <w:iCs w:val="0"/>
                <w:webHidden/>
              </w:rPr>
              <w:fldChar w:fldCharType="separate"/>
            </w:r>
            <w:r w:rsidR="00F8565C">
              <w:rPr>
                <w:i w:val="0"/>
                <w:iCs w:val="0"/>
                <w:webHidden/>
              </w:rPr>
              <w:t>46</w:t>
            </w:r>
            <w:r w:rsidRPr="00B94F53">
              <w:rPr>
                <w:i w:val="0"/>
                <w:iCs w:val="0"/>
                <w:webHidden/>
              </w:rPr>
              <w:fldChar w:fldCharType="end"/>
            </w:r>
          </w:hyperlink>
        </w:p>
        <w:p w14:paraId="2B8851DF" w14:textId="096FC3B8" w:rsidR="00BD3FFE" w:rsidRPr="00B94F53" w:rsidRDefault="00BD3FFE" w:rsidP="00B94F53">
          <w:pPr>
            <w:pStyle w:val="TOC3"/>
            <w:rPr>
              <w:rFonts w:eastAsiaTheme="minorEastAsia"/>
              <w:i w:val="0"/>
              <w:iCs w:val="0"/>
              <w:lang w:val="en-US" w:eastAsia="en-US"/>
            </w:rPr>
          </w:pPr>
          <w:hyperlink w:anchor="_Toc238117853" w:history="1">
            <w:r w:rsidRPr="00B94F53">
              <w:rPr>
                <w:rStyle w:val="Hyperlink"/>
                <w:i w:val="0"/>
                <w:iCs w:val="0"/>
              </w:rPr>
              <w:t>5.4.5 The Positive Asymmetry: What State Ownership Preserves</w:t>
            </w:r>
            <w:r w:rsidRPr="00B94F53">
              <w:rPr>
                <w:i w:val="0"/>
                <w:iCs w:val="0"/>
                <w:webHidden/>
              </w:rPr>
              <w:tab/>
            </w:r>
            <w:r w:rsidRPr="00B94F53">
              <w:rPr>
                <w:i w:val="0"/>
                <w:iCs w:val="0"/>
                <w:webHidden/>
              </w:rPr>
              <w:fldChar w:fldCharType="begin"/>
            </w:r>
            <w:r w:rsidRPr="00B94F53">
              <w:rPr>
                <w:i w:val="0"/>
                <w:iCs w:val="0"/>
                <w:webHidden/>
              </w:rPr>
              <w:instrText xml:space="preserve"> PAGEREF _Toc238117853 \h </w:instrText>
            </w:r>
            <w:r w:rsidRPr="00B94F53">
              <w:rPr>
                <w:i w:val="0"/>
                <w:iCs w:val="0"/>
                <w:webHidden/>
              </w:rPr>
            </w:r>
            <w:r w:rsidRPr="00B94F53">
              <w:rPr>
                <w:i w:val="0"/>
                <w:iCs w:val="0"/>
                <w:webHidden/>
              </w:rPr>
              <w:fldChar w:fldCharType="separate"/>
            </w:r>
            <w:r w:rsidR="00F8565C">
              <w:rPr>
                <w:i w:val="0"/>
                <w:iCs w:val="0"/>
                <w:webHidden/>
              </w:rPr>
              <w:t>47</w:t>
            </w:r>
            <w:r w:rsidRPr="00B94F53">
              <w:rPr>
                <w:i w:val="0"/>
                <w:iCs w:val="0"/>
                <w:webHidden/>
              </w:rPr>
              <w:fldChar w:fldCharType="end"/>
            </w:r>
          </w:hyperlink>
        </w:p>
        <w:p w14:paraId="27B99501" w14:textId="6254A98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4" w:history="1">
            <w:r w:rsidRPr="00B94F53">
              <w:rPr>
                <w:rStyle w:val="Hyperlink"/>
                <w:rFonts w:ascii="Times New Roman" w:hAnsi="Times New Roman" w:cs="Times New Roman"/>
                <w:noProof/>
              </w:rPr>
              <w:t>5.5 Answering the Research Questions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48</w:t>
            </w:r>
            <w:r w:rsidRPr="00B94F53">
              <w:rPr>
                <w:rFonts w:ascii="Times New Roman" w:hAnsi="Times New Roman" w:cs="Times New Roman"/>
                <w:noProof/>
                <w:webHidden/>
              </w:rPr>
              <w:fldChar w:fldCharType="end"/>
            </w:r>
          </w:hyperlink>
        </w:p>
        <w:p w14:paraId="15961BA9" w14:textId="155A59E7"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55" w:history="1">
            <w:r w:rsidRPr="00B94F53">
              <w:rPr>
                <w:rStyle w:val="Hyperlink"/>
                <w:rFonts w:ascii="Times New Roman" w:hAnsi="Times New Roman" w:cs="Times New Roman"/>
                <w:noProof/>
              </w:rPr>
              <w:t>Chapter Six: Conclusion and Recommendations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50</w:t>
            </w:r>
            <w:r w:rsidRPr="00B94F53">
              <w:rPr>
                <w:rFonts w:ascii="Times New Roman" w:hAnsi="Times New Roman" w:cs="Times New Roman"/>
                <w:noProof/>
                <w:webHidden/>
              </w:rPr>
              <w:fldChar w:fldCharType="end"/>
            </w:r>
          </w:hyperlink>
        </w:p>
        <w:p w14:paraId="3AAFE322" w14:textId="67F6F7E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6" w:history="1">
            <w:r w:rsidRPr="00B94F53">
              <w:rPr>
                <w:rStyle w:val="Hyperlink"/>
                <w:rFonts w:ascii="Times New Roman" w:hAnsi="Times New Roman" w:cs="Times New Roman"/>
                <w:noProof/>
              </w:rPr>
              <w:t>6.1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50</w:t>
            </w:r>
            <w:r w:rsidRPr="00B94F53">
              <w:rPr>
                <w:rFonts w:ascii="Times New Roman" w:hAnsi="Times New Roman" w:cs="Times New Roman"/>
                <w:noProof/>
                <w:webHidden/>
              </w:rPr>
              <w:fldChar w:fldCharType="end"/>
            </w:r>
          </w:hyperlink>
        </w:p>
        <w:p w14:paraId="08A966CC" w14:textId="77FCA1C6"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7" w:history="1">
            <w:r w:rsidRPr="00B94F53">
              <w:rPr>
                <w:rStyle w:val="Hyperlink"/>
                <w:rFonts w:ascii="Times New Roman" w:hAnsi="Times New Roman" w:cs="Times New Roman"/>
                <w:noProof/>
              </w:rPr>
              <w:t>6.2 Summary of Key Findings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50</w:t>
            </w:r>
            <w:r w:rsidRPr="00B94F53">
              <w:rPr>
                <w:rFonts w:ascii="Times New Roman" w:hAnsi="Times New Roman" w:cs="Times New Roman"/>
                <w:noProof/>
                <w:webHidden/>
              </w:rPr>
              <w:fldChar w:fldCharType="end"/>
            </w:r>
          </w:hyperlink>
        </w:p>
        <w:p w14:paraId="65D9529C" w14:textId="7C5F5ADD"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8" w:history="1">
            <w:r w:rsidRPr="00B94F53">
              <w:rPr>
                <w:rStyle w:val="Hyperlink"/>
                <w:rFonts w:ascii="Times New Roman" w:hAnsi="Times New Roman" w:cs="Times New Roman"/>
                <w:noProof/>
              </w:rPr>
              <w:t>6.2.1 Marketing Strategy and Digital Localisation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50</w:t>
            </w:r>
            <w:r w:rsidRPr="00B94F53">
              <w:rPr>
                <w:rFonts w:ascii="Times New Roman" w:hAnsi="Times New Roman" w:cs="Times New Roman"/>
                <w:noProof/>
                <w:webHidden/>
              </w:rPr>
              <w:fldChar w:fldCharType="end"/>
            </w:r>
          </w:hyperlink>
        </w:p>
        <w:p w14:paraId="5D4314D8" w14:textId="07F1F58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9" w:history="1">
            <w:r w:rsidRPr="00B94F53">
              <w:rPr>
                <w:rStyle w:val="Hyperlink"/>
                <w:rFonts w:ascii="Times New Roman" w:hAnsi="Times New Roman" w:cs="Times New Roman"/>
                <w:noProof/>
              </w:rPr>
              <w:t>6.2.2 Financial Strategy, Currency Risk and Payment Architecture</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51</w:t>
            </w:r>
            <w:r w:rsidRPr="00B94F53">
              <w:rPr>
                <w:rFonts w:ascii="Times New Roman" w:hAnsi="Times New Roman" w:cs="Times New Roman"/>
                <w:noProof/>
                <w:webHidden/>
              </w:rPr>
              <w:fldChar w:fldCharType="end"/>
            </w:r>
          </w:hyperlink>
        </w:p>
        <w:p w14:paraId="71838B11" w14:textId="65A620A5"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0" w:history="1">
            <w:r w:rsidRPr="00B94F53">
              <w:rPr>
                <w:rStyle w:val="Hyperlink"/>
                <w:rFonts w:ascii="Times New Roman" w:hAnsi="Times New Roman" w:cs="Times New Roman"/>
                <w:noProof/>
              </w:rPr>
              <w:t>6.2.3 Human Capital and Strategic Human Resource Management</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51</w:t>
            </w:r>
            <w:r w:rsidRPr="00B94F53">
              <w:rPr>
                <w:rFonts w:ascii="Times New Roman" w:hAnsi="Times New Roman" w:cs="Times New Roman"/>
                <w:noProof/>
                <w:webHidden/>
              </w:rPr>
              <w:fldChar w:fldCharType="end"/>
            </w:r>
          </w:hyperlink>
        </w:p>
        <w:p w14:paraId="5E7AFAE4" w14:textId="428E8EBA"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1" w:history="1">
            <w:r w:rsidRPr="00B94F53">
              <w:rPr>
                <w:rStyle w:val="Hyperlink"/>
                <w:rFonts w:ascii="Times New Roman" w:hAnsi="Times New Roman" w:cs="Times New Roman"/>
                <w:noProof/>
              </w:rPr>
              <w:t>6.3 Achievement of the Research Aim and Objectives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51</w:t>
            </w:r>
            <w:r w:rsidRPr="00B94F53">
              <w:rPr>
                <w:rFonts w:ascii="Times New Roman" w:hAnsi="Times New Roman" w:cs="Times New Roman"/>
                <w:noProof/>
                <w:webHidden/>
              </w:rPr>
              <w:fldChar w:fldCharType="end"/>
            </w:r>
          </w:hyperlink>
        </w:p>
        <w:p w14:paraId="2EF7F670" w14:textId="4605EE7A"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2" w:history="1">
            <w:r w:rsidRPr="00B94F53">
              <w:rPr>
                <w:rStyle w:val="Hyperlink"/>
                <w:rFonts w:ascii="Times New Roman" w:hAnsi="Times New Roman" w:cs="Times New Roman"/>
                <w:noProof/>
              </w:rPr>
              <w:t>6.4 Theoretical Contribution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_Toc238117862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52</w:t>
            </w:r>
            <w:r w:rsidRPr="00B94F53">
              <w:rPr>
                <w:rFonts w:ascii="Times New Roman" w:hAnsi="Times New Roman" w:cs="Times New Roman"/>
                <w:noProof/>
                <w:webHidden/>
              </w:rPr>
              <w:fldChar w:fldCharType="end"/>
            </w:r>
          </w:hyperlink>
        </w:p>
        <w:p w14:paraId="79B5F8F5" w14:textId="28F64DB2"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3" w:history="1">
            <w:r w:rsidRPr="00B94F53">
              <w:rPr>
                <w:rStyle w:val="Hyperlink"/>
                <w:rFonts w:ascii="Times New Roman" w:hAnsi="Times New Roman" w:cs="Times New Roman"/>
                <w:noProof/>
              </w:rPr>
              <w:t>6.5 Practical Contribution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52</w:t>
            </w:r>
            <w:r w:rsidRPr="00B94F53">
              <w:rPr>
                <w:rFonts w:ascii="Times New Roman" w:hAnsi="Times New Roman" w:cs="Times New Roman"/>
                <w:noProof/>
                <w:webHidden/>
              </w:rPr>
              <w:fldChar w:fldCharType="end"/>
            </w:r>
          </w:hyperlink>
        </w:p>
        <w:p w14:paraId="551CB9C7" w14:textId="676B7B62"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4" w:history="1">
            <w:r w:rsidRPr="00B94F53">
              <w:rPr>
                <w:rStyle w:val="Hyperlink"/>
                <w:rFonts w:ascii="Times New Roman" w:hAnsi="Times New Roman" w:cs="Times New Roman"/>
                <w:noProof/>
              </w:rPr>
              <w:t>6.6 Recommendations for Sonali Bank</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53</w:t>
            </w:r>
            <w:r w:rsidRPr="00B94F53">
              <w:rPr>
                <w:rFonts w:ascii="Times New Roman" w:hAnsi="Times New Roman" w:cs="Times New Roman"/>
                <w:noProof/>
                <w:webHidden/>
              </w:rPr>
              <w:fldChar w:fldCharType="end"/>
            </w:r>
          </w:hyperlink>
        </w:p>
        <w:p w14:paraId="4A0FDAFD" w14:textId="55D4715D" w:rsidR="00BD3FFE" w:rsidRPr="00B94F53" w:rsidRDefault="00BD3FFE" w:rsidP="00B94F53">
          <w:pPr>
            <w:pStyle w:val="TOC3"/>
            <w:rPr>
              <w:rFonts w:eastAsiaTheme="minorEastAsia"/>
              <w:i w:val="0"/>
              <w:iCs w:val="0"/>
              <w:lang w:val="en-US" w:eastAsia="en-US"/>
            </w:rPr>
          </w:pPr>
          <w:hyperlink w:anchor="_Toc238117865" w:history="1">
            <w:r w:rsidRPr="00B94F53">
              <w:rPr>
                <w:rStyle w:val="Hyperlink"/>
                <w:i w:val="0"/>
                <w:iCs w:val="0"/>
              </w:rPr>
              <w:t>6.6.1 Marketing and Digital Localisation</w:t>
            </w:r>
            <w:r w:rsidRPr="00B94F53">
              <w:rPr>
                <w:i w:val="0"/>
                <w:iCs w:val="0"/>
                <w:webHidden/>
              </w:rPr>
              <w:tab/>
            </w:r>
            <w:r w:rsidRPr="00B94F53">
              <w:rPr>
                <w:i w:val="0"/>
                <w:iCs w:val="0"/>
                <w:webHidden/>
              </w:rPr>
              <w:fldChar w:fldCharType="begin"/>
            </w:r>
            <w:r w:rsidRPr="00B94F53">
              <w:rPr>
                <w:i w:val="0"/>
                <w:iCs w:val="0"/>
                <w:webHidden/>
              </w:rPr>
              <w:instrText xml:space="preserve"> PAGEREF _Toc238117865 \h </w:instrText>
            </w:r>
            <w:r w:rsidRPr="00B94F53">
              <w:rPr>
                <w:i w:val="0"/>
                <w:iCs w:val="0"/>
                <w:webHidden/>
              </w:rPr>
            </w:r>
            <w:r w:rsidRPr="00B94F53">
              <w:rPr>
                <w:i w:val="0"/>
                <w:iCs w:val="0"/>
                <w:webHidden/>
              </w:rPr>
              <w:fldChar w:fldCharType="separate"/>
            </w:r>
            <w:r w:rsidR="00F8565C">
              <w:rPr>
                <w:i w:val="0"/>
                <w:iCs w:val="0"/>
                <w:webHidden/>
              </w:rPr>
              <w:t>53</w:t>
            </w:r>
            <w:r w:rsidRPr="00B94F53">
              <w:rPr>
                <w:i w:val="0"/>
                <w:iCs w:val="0"/>
                <w:webHidden/>
              </w:rPr>
              <w:fldChar w:fldCharType="end"/>
            </w:r>
          </w:hyperlink>
        </w:p>
        <w:p w14:paraId="5D50F1A0" w14:textId="588D56EB" w:rsidR="00BD3FFE" w:rsidRPr="00B94F53" w:rsidRDefault="00BD3FFE" w:rsidP="00B94F53">
          <w:pPr>
            <w:pStyle w:val="TOC3"/>
            <w:rPr>
              <w:rFonts w:eastAsiaTheme="minorEastAsia"/>
              <w:i w:val="0"/>
              <w:iCs w:val="0"/>
              <w:lang w:val="en-US" w:eastAsia="en-US"/>
            </w:rPr>
          </w:pPr>
          <w:hyperlink w:anchor="_Toc238117866" w:history="1">
            <w:r w:rsidRPr="00B94F53">
              <w:rPr>
                <w:rStyle w:val="Hyperlink"/>
                <w:i w:val="0"/>
                <w:iCs w:val="0"/>
              </w:rPr>
              <w:t>6.6.2 Financial Strategy and Risk Management</w:t>
            </w:r>
            <w:r w:rsidRPr="00B94F53">
              <w:rPr>
                <w:i w:val="0"/>
                <w:iCs w:val="0"/>
                <w:webHidden/>
              </w:rPr>
              <w:tab/>
            </w:r>
            <w:r w:rsidRPr="00B94F53">
              <w:rPr>
                <w:i w:val="0"/>
                <w:iCs w:val="0"/>
                <w:webHidden/>
              </w:rPr>
              <w:fldChar w:fldCharType="begin"/>
            </w:r>
            <w:r w:rsidRPr="00B94F53">
              <w:rPr>
                <w:i w:val="0"/>
                <w:iCs w:val="0"/>
                <w:webHidden/>
              </w:rPr>
              <w:instrText xml:space="preserve"> PAGEREF _Toc238117866 \h </w:instrText>
            </w:r>
            <w:r w:rsidRPr="00B94F53">
              <w:rPr>
                <w:i w:val="0"/>
                <w:iCs w:val="0"/>
                <w:webHidden/>
              </w:rPr>
            </w:r>
            <w:r w:rsidRPr="00B94F53">
              <w:rPr>
                <w:i w:val="0"/>
                <w:iCs w:val="0"/>
                <w:webHidden/>
              </w:rPr>
              <w:fldChar w:fldCharType="separate"/>
            </w:r>
            <w:r w:rsidR="00F8565C">
              <w:rPr>
                <w:i w:val="0"/>
                <w:iCs w:val="0"/>
                <w:webHidden/>
              </w:rPr>
              <w:t>53</w:t>
            </w:r>
            <w:r w:rsidRPr="00B94F53">
              <w:rPr>
                <w:i w:val="0"/>
                <w:iCs w:val="0"/>
                <w:webHidden/>
              </w:rPr>
              <w:fldChar w:fldCharType="end"/>
            </w:r>
          </w:hyperlink>
        </w:p>
        <w:p w14:paraId="05527F8A" w14:textId="70E10575" w:rsidR="00BD3FFE" w:rsidRPr="00B94F53" w:rsidRDefault="00BD3FFE" w:rsidP="00B94F53">
          <w:pPr>
            <w:pStyle w:val="TOC3"/>
            <w:rPr>
              <w:rFonts w:eastAsiaTheme="minorEastAsia"/>
              <w:i w:val="0"/>
              <w:iCs w:val="0"/>
              <w:lang w:val="en-US" w:eastAsia="en-US"/>
            </w:rPr>
          </w:pPr>
          <w:hyperlink w:anchor="_Toc238117867" w:history="1">
            <w:r w:rsidRPr="00B94F53">
              <w:rPr>
                <w:rStyle w:val="Hyperlink"/>
                <w:i w:val="0"/>
                <w:iCs w:val="0"/>
              </w:rPr>
              <w:t>6.6.3 Human Capital and Talent Management</w:t>
            </w:r>
            <w:r w:rsidRPr="00B94F53">
              <w:rPr>
                <w:i w:val="0"/>
                <w:iCs w:val="0"/>
                <w:webHidden/>
              </w:rPr>
              <w:tab/>
            </w:r>
            <w:r w:rsidRPr="00B94F53">
              <w:rPr>
                <w:i w:val="0"/>
                <w:iCs w:val="0"/>
                <w:webHidden/>
              </w:rPr>
              <w:fldChar w:fldCharType="begin"/>
            </w:r>
            <w:r w:rsidRPr="00B94F53">
              <w:rPr>
                <w:i w:val="0"/>
                <w:iCs w:val="0"/>
                <w:webHidden/>
              </w:rPr>
              <w:instrText xml:space="preserve"> PAGEREF _Toc238117867 \h </w:instrText>
            </w:r>
            <w:r w:rsidRPr="00B94F53">
              <w:rPr>
                <w:i w:val="0"/>
                <w:iCs w:val="0"/>
                <w:webHidden/>
              </w:rPr>
            </w:r>
            <w:r w:rsidRPr="00B94F53">
              <w:rPr>
                <w:i w:val="0"/>
                <w:iCs w:val="0"/>
                <w:webHidden/>
              </w:rPr>
              <w:fldChar w:fldCharType="separate"/>
            </w:r>
            <w:r w:rsidR="00F8565C">
              <w:rPr>
                <w:i w:val="0"/>
                <w:iCs w:val="0"/>
                <w:webHidden/>
              </w:rPr>
              <w:t>53</w:t>
            </w:r>
            <w:r w:rsidRPr="00B94F53">
              <w:rPr>
                <w:i w:val="0"/>
                <w:iCs w:val="0"/>
                <w:webHidden/>
              </w:rPr>
              <w:fldChar w:fldCharType="end"/>
            </w:r>
          </w:hyperlink>
        </w:p>
        <w:p w14:paraId="48F380A3" w14:textId="0E375CC7" w:rsidR="00BD3FFE" w:rsidRPr="00B94F53" w:rsidRDefault="00BD3FFE" w:rsidP="00B94F53">
          <w:pPr>
            <w:pStyle w:val="TOC3"/>
            <w:rPr>
              <w:rFonts w:eastAsiaTheme="minorEastAsia"/>
              <w:i w:val="0"/>
              <w:iCs w:val="0"/>
              <w:lang w:val="en-US" w:eastAsia="en-US"/>
            </w:rPr>
          </w:pPr>
          <w:hyperlink w:anchor="_Toc238117868" w:history="1">
            <w:r w:rsidRPr="00B94F53">
              <w:rPr>
                <w:rStyle w:val="Hyperlink"/>
                <w:i w:val="0"/>
                <w:iCs w:val="0"/>
              </w:rPr>
              <w:t>6.6.4 Cross-Domain Integration</w:t>
            </w:r>
            <w:r w:rsidRPr="00B94F53">
              <w:rPr>
                <w:i w:val="0"/>
                <w:iCs w:val="0"/>
                <w:webHidden/>
              </w:rPr>
              <w:tab/>
            </w:r>
            <w:r w:rsidRPr="00B94F53">
              <w:rPr>
                <w:i w:val="0"/>
                <w:iCs w:val="0"/>
                <w:webHidden/>
              </w:rPr>
              <w:fldChar w:fldCharType="begin"/>
            </w:r>
            <w:r w:rsidRPr="00B94F53">
              <w:rPr>
                <w:i w:val="0"/>
                <w:iCs w:val="0"/>
                <w:webHidden/>
              </w:rPr>
              <w:instrText xml:space="preserve"> PAGEREF _Toc238117868 \h </w:instrText>
            </w:r>
            <w:r w:rsidRPr="00B94F53">
              <w:rPr>
                <w:i w:val="0"/>
                <w:iCs w:val="0"/>
                <w:webHidden/>
              </w:rPr>
            </w:r>
            <w:r w:rsidRPr="00B94F53">
              <w:rPr>
                <w:i w:val="0"/>
                <w:iCs w:val="0"/>
                <w:webHidden/>
              </w:rPr>
              <w:fldChar w:fldCharType="separate"/>
            </w:r>
            <w:r w:rsidR="00F8565C">
              <w:rPr>
                <w:i w:val="0"/>
                <w:iCs w:val="0"/>
                <w:webHidden/>
              </w:rPr>
              <w:t>53</w:t>
            </w:r>
            <w:r w:rsidRPr="00B94F53">
              <w:rPr>
                <w:i w:val="0"/>
                <w:iCs w:val="0"/>
                <w:webHidden/>
              </w:rPr>
              <w:fldChar w:fldCharType="end"/>
            </w:r>
          </w:hyperlink>
        </w:p>
        <w:p w14:paraId="409ACD33" w14:textId="129F558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9" w:history="1">
            <w:r w:rsidRPr="00B94F53">
              <w:rPr>
                <w:rStyle w:val="Hyperlink"/>
                <w:rFonts w:ascii="Times New Roman" w:hAnsi="Times New Roman" w:cs="Times New Roman"/>
                <w:noProof/>
              </w:rPr>
              <w:t>6.7 Recommendations for Policymakers and Regulators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53</w:t>
            </w:r>
            <w:r w:rsidRPr="00B94F53">
              <w:rPr>
                <w:rFonts w:ascii="Times New Roman" w:hAnsi="Times New Roman" w:cs="Times New Roman"/>
                <w:noProof/>
                <w:webHidden/>
              </w:rPr>
              <w:fldChar w:fldCharType="end"/>
            </w:r>
          </w:hyperlink>
        </w:p>
        <w:p w14:paraId="0DBEEB28" w14:textId="588C03AA"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70" w:history="1">
            <w:r w:rsidRPr="00B94F53">
              <w:rPr>
                <w:rStyle w:val="Hyperlink"/>
                <w:rFonts w:ascii="Times New Roman" w:hAnsi="Times New Roman" w:cs="Times New Roman"/>
                <w:noProof/>
              </w:rPr>
              <w:t>6.8 Limitations of the Study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54</w:t>
            </w:r>
            <w:r w:rsidRPr="00B94F53">
              <w:rPr>
                <w:rFonts w:ascii="Times New Roman" w:hAnsi="Times New Roman" w:cs="Times New Roman"/>
                <w:noProof/>
                <w:webHidden/>
              </w:rPr>
              <w:fldChar w:fldCharType="end"/>
            </w:r>
          </w:hyperlink>
        </w:p>
        <w:p w14:paraId="705017E6" w14:textId="6DA070E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71" w:history="1">
            <w:r w:rsidRPr="00B94F53">
              <w:rPr>
                <w:rStyle w:val="Hyperlink"/>
                <w:rFonts w:ascii="Times New Roman" w:hAnsi="Times New Roman" w:cs="Times New Roman"/>
                <w:noProof/>
              </w:rPr>
              <w:t>6.9 Suggestions for Future Research</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54</w:t>
            </w:r>
            <w:r w:rsidRPr="00B94F53">
              <w:rPr>
                <w:rFonts w:ascii="Times New Roman" w:hAnsi="Times New Roman" w:cs="Times New Roman"/>
                <w:noProof/>
                <w:webHidden/>
              </w:rPr>
              <w:fldChar w:fldCharType="end"/>
            </w:r>
          </w:hyperlink>
        </w:p>
        <w:p w14:paraId="4BB1BF80" w14:textId="30969B9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72" w:history="1">
            <w:r w:rsidRPr="00B94F53">
              <w:rPr>
                <w:rStyle w:val="Hyperlink"/>
                <w:rFonts w:ascii="Times New Roman" w:hAnsi="Times New Roman" w:cs="Times New Roman"/>
                <w:noProof/>
              </w:rPr>
              <w:t>6.10 Concluding Remarks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_Toc238117872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55</w:t>
            </w:r>
            <w:r w:rsidRPr="00B94F53">
              <w:rPr>
                <w:rFonts w:ascii="Times New Roman" w:hAnsi="Times New Roman" w:cs="Times New Roman"/>
                <w:noProof/>
                <w:webHidden/>
              </w:rPr>
              <w:fldChar w:fldCharType="end"/>
            </w:r>
          </w:hyperlink>
        </w:p>
        <w:p w14:paraId="7D0C6F88" w14:textId="115234E6"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73" w:history="1">
            <w:r w:rsidRPr="00B94F53">
              <w:rPr>
                <w:rStyle w:val="Hyperlink"/>
                <w:rFonts w:ascii="Times New Roman" w:hAnsi="Times New Roman" w:cs="Times New Roman"/>
                <w:noProof/>
              </w:rPr>
              <w:t>Reference</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56</w:t>
            </w:r>
            <w:r w:rsidRPr="00B94F53">
              <w:rPr>
                <w:rFonts w:ascii="Times New Roman" w:hAnsi="Times New Roman" w:cs="Times New Roman"/>
                <w:noProof/>
                <w:webHidden/>
              </w:rPr>
              <w:fldChar w:fldCharType="end"/>
            </w:r>
          </w:hyperlink>
        </w:p>
        <w:p w14:paraId="611FB309" w14:textId="5E3968BF"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74" w:history="1">
            <w:r w:rsidRPr="00B94F53">
              <w:rPr>
                <w:rStyle w:val="Hyperlink"/>
                <w:rFonts w:ascii="Times New Roman" w:hAnsi="Times New Roman" w:cs="Times New Roman"/>
                <w:noProof/>
              </w:rPr>
              <w:t>Appendices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60</w:t>
            </w:r>
            <w:r w:rsidRPr="00B94F53">
              <w:rPr>
                <w:rFonts w:ascii="Times New Roman" w:hAnsi="Times New Roman" w:cs="Times New Roman"/>
                <w:noProof/>
                <w:webHidden/>
              </w:rPr>
              <w:fldChar w:fldCharType="end"/>
            </w:r>
          </w:hyperlink>
        </w:p>
        <w:p w14:paraId="3249A934" w14:textId="09B6DA4F" w:rsidR="00057FCA" w:rsidRPr="00B94F53" w:rsidRDefault="00057FCA">
          <w:pPr>
            <w:rPr>
              <w:rFonts w:ascii="Times New Roman" w:hAnsi="Times New Roman" w:cs="Times New Roman"/>
            </w:rPr>
          </w:pPr>
          <w:r w:rsidRPr="00B94F53">
            <w:rPr>
              <w:rFonts w:ascii="Times New Roman" w:hAnsi="Times New Roman" w:cs="Times New Roman"/>
              <w:b/>
              <w:bCs/>
              <w:noProof/>
            </w:rPr>
            <w:fldChar w:fldCharType="end"/>
          </w:r>
        </w:p>
      </w:sdtContent>
    </w:sdt>
    <w:p w14:paraId="1B3F53D3" w14:textId="77777777" w:rsidR="00057FCA" w:rsidRPr="00B94F53" w:rsidRDefault="00057FCA">
      <w:pPr>
        <w:rPr>
          <w:rFonts w:ascii="Times New Roman" w:hAnsi="Times New Roman" w:cs="Times New Roman"/>
        </w:rPr>
      </w:pPr>
    </w:p>
    <w:p w14:paraId="2233E332" w14:textId="77777777" w:rsidR="00057FCA" w:rsidRPr="00B94F53" w:rsidRDefault="00057FCA">
      <w:pPr>
        <w:rPr>
          <w:rFonts w:ascii="Times New Roman" w:hAnsi="Times New Roman" w:cs="Times New Roman"/>
        </w:rPr>
      </w:pPr>
    </w:p>
    <w:p w14:paraId="77FB62E7" w14:textId="77777777" w:rsidR="00057FCA" w:rsidRPr="00B94F53" w:rsidRDefault="00057FCA">
      <w:pPr>
        <w:rPr>
          <w:rFonts w:ascii="Times New Roman" w:hAnsi="Times New Roman" w:cs="Times New Roman"/>
        </w:rPr>
      </w:pPr>
    </w:p>
    <w:p w14:paraId="4CA576D7" w14:textId="77777777" w:rsidR="002651E4" w:rsidRPr="00B94F53" w:rsidRDefault="002651E4">
      <w:pPr>
        <w:rPr>
          <w:rFonts w:ascii="Times New Roman" w:hAnsi="Times New Roman" w:cs="Times New Roman"/>
        </w:rPr>
      </w:pPr>
    </w:p>
    <w:p w14:paraId="090D0063" w14:textId="77777777" w:rsidR="002651E4" w:rsidRPr="00B94F53" w:rsidRDefault="002651E4">
      <w:pPr>
        <w:rPr>
          <w:rFonts w:ascii="Times New Roman" w:hAnsi="Times New Roman" w:cs="Times New Roman"/>
        </w:rPr>
      </w:pPr>
    </w:p>
    <w:p w14:paraId="3D3F6D03" w14:textId="77777777" w:rsidR="002651E4" w:rsidRPr="00B94F53" w:rsidRDefault="002651E4">
      <w:pPr>
        <w:rPr>
          <w:rFonts w:ascii="Times New Roman" w:hAnsi="Times New Roman" w:cs="Times New Roman"/>
        </w:rPr>
      </w:pPr>
    </w:p>
    <w:p w14:paraId="24EED482" w14:textId="77777777" w:rsidR="002651E4" w:rsidRPr="00B94F53" w:rsidRDefault="002651E4">
      <w:pPr>
        <w:rPr>
          <w:rFonts w:ascii="Times New Roman" w:hAnsi="Times New Roman" w:cs="Times New Roman"/>
        </w:rPr>
      </w:pPr>
    </w:p>
    <w:p w14:paraId="3B58CDB1" w14:textId="77777777" w:rsidR="002651E4" w:rsidRPr="00B94F53" w:rsidRDefault="002651E4">
      <w:pPr>
        <w:rPr>
          <w:rFonts w:ascii="Times New Roman" w:hAnsi="Times New Roman" w:cs="Times New Roman"/>
        </w:rPr>
      </w:pPr>
    </w:p>
    <w:p w14:paraId="6AEE948B" w14:textId="77777777" w:rsidR="002651E4" w:rsidRPr="00B94F53" w:rsidRDefault="002651E4">
      <w:pPr>
        <w:rPr>
          <w:rFonts w:ascii="Times New Roman" w:hAnsi="Times New Roman" w:cs="Times New Roman"/>
        </w:rPr>
      </w:pPr>
    </w:p>
    <w:p w14:paraId="7C6F4B96" w14:textId="77777777" w:rsidR="002651E4" w:rsidRPr="00B94F53" w:rsidRDefault="002651E4">
      <w:pPr>
        <w:rPr>
          <w:rFonts w:ascii="Times New Roman" w:hAnsi="Times New Roman" w:cs="Times New Roman"/>
        </w:rPr>
      </w:pPr>
    </w:p>
    <w:p w14:paraId="0E3B0F97" w14:textId="77777777" w:rsidR="002651E4" w:rsidRPr="00B94F53" w:rsidRDefault="002651E4">
      <w:pPr>
        <w:rPr>
          <w:rFonts w:ascii="Times New Roman" w:hAnsi="Times New Roman" w:cs="Times New Roman"/>
        </w:rPr>
      </w:pPr>
    </w:p>
    <w:p w14:paraId="2C1E01F5" w14:textId="77777777" w:rsidR="002651E4" w:rsidRPr="00B94F53" w:rsidRDefault="002651E4">
      <w:pPr>
        <w:rPr>
          <w:rFonts w:ascii="Times New Roman" w:hAnsi="Times New Roman" w:cs="Times New Roman"/>
        </w:rPr>
      </w:pPr>
    </w:p>
    <w:p w14:paraId="60AF2B14" w14:textId="77777777" w:rsidR="002651E4" w:rsidRPr="00B94F53" w:rsidRDefault="002651E4">
      <w:pPr>
        <w:rPr>
          <w:rFonts w:ascii="Times New Roman" w:hAnsi="Times New Roman" w:cs="Times New Roman"/>
        </w:rPr>
      </w:pPr>
    </w:p>
    <w:p w14:paraId="1EC2EDC8" w14:textId="77777777" w:rsidR="002651E4" w:rsidRPr="00B94F53" w:rsidRDefault="002651E4">
      <w:pPr>
        <w:rPr>
          <w:rFonts w:ascii="Times New Roman" w:hAnsi="Times New Roman" w:cs="Times New Roman"/>
        </w:rPr>
      </w:pPr>
    </w:p>
    <w:p w14:paraId="322DDA61" w14:textId="77777777" w:rsidR="002651E4" w:rsidRPr="00B94F53" w:rsidRDefault="002651E4">
      <w:pPr>
        <w:rPr>
          <w:rFonts w:ascii="Times New Roman" w:hAnsi="Times New Roman" w:cs="Times New Roman"/>
        </w:rPr>
      </w:pPr>
    </w:p>
    <w:p w14:paraId="677F3647" w14:textId="77777777" w:rsidR="002651E4" w:rsidRPr="00B94F53" w:rsidRDefault="002651E4">
      <w:pPr>
        <w:rPr>
          <w:rFonts w:ascii="Times New Roman" w:hAnsi="Times New Roman" w:cs="Times New Roman"/>
        </w:rPr>
      </w:pPr>
    </w:p>
    <w:p w14:paraId="67FABC03" w14:textId="77777777" w:rsidR="002651E4" w:rsidRPr="00B94F53" w:rsidRDefault="002651E4">
      <w:pPr>
        <w:rPr>
          <w:rFonts w:ascii="Times New Roman" w:hAnsi="Times New Roman" w:cs="Times New Roman"/>
        </w:rPr>
      </w:pPr>
    </w:p>
    <w:p w14:paraId="6F6C37CF" w14:textId="77777777" w:rsidR="002651E4" w:rsidRPr="00B94F53" w:rsidRDefault="002651E4">
      <w:pPr>
        <w:rPr>
          <w:rFonts w:ascii="Times New Roman" w:hAnsi="Times New Roman" w:cs="Times New Roman"/>
        </w:rPr>
      </w:pPr>
    </w:p>
    <w:p w14:paraId="6953C4A7" w14:textId="77777777" w:rsidR="002651E4" w:rsidRPr="00B94F53" w:rsidRDefault="002651E4">
      <w:pPr>
        <w:rPr>
          <w:rFonts w:ascii="Times New Roman" w:hAnsi="Times New Roman" w:cs="Times New Roman"/>
        </w:rPr>
      </w:pPr>
    </w:p>
    <w:p w14:paraId="60A68DD9" w14:textId="77777777" w:rsidR="002651E4" w:rsidRPr="00B94F53" w:rsidRDefault="002651E4">
      <w:pPr>
        <w:rPr>
          <w:rFonts w:ascii="Times New Roman" w:hAnsi="Times New Roman" w:cs="Times New Roman"/>
        </w:rPr>
      </w:pPr>
    </w:p>
    <w:p w14:paraId="477E1917" w14:textId="77777777" w:rsidR="002651E4" w:rsidRPr="00B94F53" w:rsidRDefault="002651E4">
      <w:pPr>
        <w:rPr>
          <w:rFonts w:ascii="Times New Roman" w:hAnsi="Times New Roman" w:cs="Times New Roman"/>
        </w:rPr>
      </w:pPr>
    </w:p>
    <w:p w14:paraId="3B5A1CDF" w14:textId="77777777" w:rsidR="002651E4" w:rsidRPr="00B94F53" w:rsidRDefault="002651E4">
      <w:pPr>
        <w:rPr>
          <w:rFonts w:ascii="Times New Roman" w:hAnsi="Times New Roman" w:cs="Times New Roman"/>
        </w:rPr>
      </w:pPr>
    </w:p>
    <w:p w14:paraId="5F46586F" w14:textId="77777777" w:rsidR="002651E4" w:rsidRPr="00B94F53" w:rsidRDefault="002651E4">
      <w:pPr>
        <w:rPr>
          <w:rFonts w:ascii="Times New Roman" w:hAnsi="Times New Roman" w:cs="Times New Roman"/>
        </w:rPr>
      </w:pPr>
    </w:p>
    <w:p w14:paraId="3A7B3FE5" w14:textId="77777777" w:rsidR="002651E4" w:rsidRPr="00B94F53" w:rsidRDefault="002651E4">
      <w:pPr>
        <w:rPr>
          <w:rFonts w:ascii="Times New Roman" w:hAnsi="Times New Roman" w:cs="Times New Roman"/>
        </w:rPr>
      </w:pPr>
    </w:p>
    <w:p w14:paraId="6597D20A" w14:textId="77777777" w:rsidR="002651E4" w:rsidRPr="00B94F53" w:rsidRDefault="002651E4">
      <w:pPr>
        <w:rPr>
          <w:rFonts w:ascii="Times New Roman" w:hAnsi="Times New Roman" w:cs="Times New Roman"/>
        </w:rPr>
      </w:pPr>
    </w:p>
    <w:p w14:paraId="1DF36F24" w14:textId="77777777" w:rsidR="002651E4" w:rsidRPr="00B94F53" w:rsidRDefault="002651E4">
      <w:pPr>
        <w:rPr>
          <w:rFonts w:ascii="Times New Roman" w:hAnsi="Times New Roman" w:cs="Times New Roman"/>
        </w:rPr>
      </w:pPr>
    </w:p>
    <w:p w14:paraId="31A7123D" w14:textId="77777777" w:rsidR="002651E4" w:rsidRPr="00B94F53" w:rsidRDefault="002651E4">
      <w:pPr>
        <w:rPr>
          <w:rFonts w:ascii="Times New Roman" w:hAnsi="Times New Roman" w:cs="Times New Roman"/>
        </w:rPr>
      </w:pPr>
    </w:p>
    <w:p w14:paraId="74CB60FC" w14:textId="77777777" w:rsidR="002651E4" w:rsidRPr="00B94F53" w:rsidRDefault="002651E4">
      <w:pPr>
        <w:rPr>
          <w:rFonts w:ascii="Times New Roman" w:hAnsi="Times New Roman" w:cs="Times New Roman"/>
        </w:rPr>
      </w:pPr>
    </w:p>
    <w:p w14:paraId="7D1565C6" w14:textId="77777777" w:rsidR="002651E4" w:rsidRPr="00B94F53" w:rsidRDefault="002651E4">
      <w:pPr>
        <w:rPr>
          <w:rFonts w:ascii="Times New Roman" w:hAnsi="Times New Roman" w:cs="Times New Roman"/>
        </w:rPr>
      </w:pPr>
    </w:p>
    <w:p w14:paraId="28A073E5" w14:textId="77777777" w:rsidR="002651E4" w:rsidRPr="00B94F53" w:rsidRDefault="002651E4">
      <w:pPr>
        <w:rPr>
          <w:rFonts w:ascii="Times New Roman" w:hAnsi="Times New Roman" w:cs="Times New Roman"/>
        </w:rPr>
      </w:pPr>
    </w:p>
    <w:p w14:paraId="20BF2DBF" w14:textId="77777777" w:rsidR="002651E4" w:rsidRPr="00B94F53" w:rsidRDefault="002651E4">
      <w:pPr>
        <w:rPr>
          <w:rFonts w:ascii="Times New Roman" w:hAnsi="Times New Roman" w:cs="Times New Roman"/>
        </w:rPr>
      </w:pPr>
    </w:p>
    <w:p w14:paraId="0DBAB4E5" w14:textId="77777777" w:rsidR="002651E4" w:rsidRPr="00B94F53" w:rsidRDefault="002651E4">
      <w:pPr>
        <w:rPr>
          <w:rFonts w:ascii="Times New Roman" w:hAnsi="Times New Roman" w:cs="Times New Roman"/>
        </w:rPr>
      </w:pPr>
    </w:p>
    <w:p w14:paraId="5EE6E9F5" w14:textId="77777777" w:rsidR="002651E4" w:rsidRPr="00B94F53" w:rsidRDefault="002651E4">
      <w:pPr>
        <w:rPr>
          <w:rFonts w:ascii="Times New Roman" w:hAnsi="Times New Roman" w:cs="Times New Roman"/>
        </w:rPr>
      </w:pPr>
    </w:p>
    <w:p w14:paraId="2E44B598" w14:textId="77777777" w:rsidR="002651E4" w:rsidRPr="00B94F53" w:rsidRDefault="002651E4">
      <w:pPr>
        <w:rPr>
          <w:rFonts w:ascii="Times New Roman" w:hAnsi="Times New Roman" w:cs="Times New Roman"/>
        </w:rPr>
      </w:pPr>
    </w:p>
    <w:p w14:paraId="5A17C402" w14:textId="77777777" w:rsidR="002651E4" w:rsidRPr="00B94F53" w:rsidRDefault="002651E4">
      <w:pPr>
        <w:rPr>
          <w:rFonts w:ascii="Times New Roman" w:hAnsi="Times New Roman" w:cs="Times New Roman"/>
        </w:rPr>
      </w:pPr>
    </w:p>
    <w:p w14:paraId="6760190B" w14:textId="77777777" w:rsidR="002651E4" w:rsidRPr="00B94F53" w:rsidRDefault="002651E4">
      <w:pPr>
        <w:rPr>
          <w:rFonts w:ascii="Times New Roman" w:hAnsi="Times New Roman" w:cs="Times New Roman"/>
        </w:rPr>
      </w:pPr>
    </w:p>
    <w:p w14:paraId="5D8F20BE" w14:textId="77777777" w:rsidR="002651E4" w:rsidRPr="00B94F53" w:rsidRDefault="002651E4">
      <w:pPr>
        <w:rPr>
          <w:rFonts w:ascii="Times New Roman" w:hAnsi="Times New Roman" w:cs="Times New Roman"/>
        </w:rPr>
      </w:pPr>
    </w:p>
    <w:p w14:paraId="72155BB2" w14:textId="77777777" w:rsidR="00BD3FFE" w:rsidRPr="00B94F53" w:rsidRDefault="00BD3FFE">
      <w:pPr>
        <w:rPr>
          <w:rFonts w:ascii="Times New Roman" w:hAnsi="Times New Roman" w:cs="Times New Roman"/>
        </w:rPr>
      </w:pPr>
    </w:p>
    <w:p w14:paraId="386BB25A" w14:textId="77777777" w:rsidR="00BD3FFE" w:rsidRPr="00B94F53" w:rsidRDefault="00BD3FFE">
      <w:pPr>
        <w:rPr>
          <w:rFonts w:ascii="Times New Roman" w:hAnsi="Times New Roman" w:cs="Times New Roman"/>
        </w:rPr>
      </w:pPr>
    </w:p>
    <w:p w14:paraId="677A8607" w14:textId="77777777" w:rsidR="00BD3FFE" w:rsidRPr="00B94F53" w:rsidRDefault="00BD3FFE">
      <w:pPr>
        <w:rPr>
          <w:rFonts w:ascii="Times New Roman" w:hAnsi="Times New Roman" w:cs="Times New Roman"/>
        </w:rPr>
      </w:pPr>
    </w:p>
    <w:p w14:paraId="16A5F5BF" w14:textId="77777777" w:rsidR="00BD3FFE" w:rsidRPr="00B94F53" w:rsidRDefault="00BD3FFE">
      <w:pPr>
        <w:rPr>
          <w:rFonts w:ascii="Times New Roman" w:hAnsi="Times New Roman" w:cs="Times New Roman"/>
        </w:rPr>
      </w:pPr>
    </w:p>
    <w:p w14:paraId="7310B719" w14:textId="77777777" w:rsidR="00057FCA" w:rsidRPr="00B94F53" w:rsidRDefault="00057FCA">
      <w:pPr>
        <w:rPr>
          <w:rFonts w:ascii="Times New Roman" w:hAnsi="Times New Roman" w:cs="Times New Roman"/>
        </w:rPr>
      </w:pPr>
    </w:p>
    <w:p w14:paraId="18243936" w14:textId="77777777" w:rsidR="00BD3FFE" w:rsidRPr="00B94F53" w:rsidRDefault="00BD3FFE">
      <w:pPr>
        <w:rPr>
          <w:rFonts w:ascii="Times New Roman" w:hAnsi="Times New Roman" w:cs="Times New Roman"/>
        </w:rPr>
      </w:pPr>
    </w:p>
    <w:p w14:paraId="29C87BB7" w14:textId="77777777" w:rsidR="00BD3FFE" w:rsidRPr="00B94F53" w:rsidRDefault="00BD3FFE">
      <w:pPr>
        <w:rPr>
          <w:rFonts w:ascii="Times New Roman" w:hAnsi="Times New Roman" w:cs="Times New Roman"/>
        </w:rPr>
      </w:pPr>
    </w:p>
    <w:p w14:paraId="48E6C02E" w14:textId="77777777" w:rsidR="00675D5A" w:rsidRDefault="00675D5A" w:rsidP="00BD3FFE">
      <w:pPr>
        <w:spacing w:line="360" w:lineRule="auto"/>
        <w:jc w:val="center"/>
        <w:rPr>
          <w:rFonts w:ascii="Times New Roman" w:hAnsi="Times New Roman" w:cs="Times New Roman"/>
          <w:b/>
          <w:sz w:val="28"/>
        </w:rPr>
      </w:pPr>
    </w:p>
    <w:p w14:paraId="3B848916" w14:textId="127FB8F1" w:rsidR="003639F9" w:rsidRPr="00B94F53" w:rsidRDefault="003639F9" w:rsidP="00BD3FFE">
      <w:pPr>
        <w:spacing w:line="360" w:lineRule="auto"/>
        <w:jc w:val="center"/>
        <w:rPr>
          <w:rFonts w:ascii="Times New Roman" w:hAnsi="Times New Roman" w:cs="Times New Roman"/>
        </w:rPr>
      </w:pPr>
      <w:r w:rsidRPr="00B94F53">
        <w:rPr>
          <w:rFonts w:ascii="Times New Roman" w:hAnsi="Times New Roman" w:cs="Times New Roman"/>
          <w:b/>
          <w:sz w:val="28"/>
        </w:rPr>
        <w:t>List of Tables</w:t>
      </w:r>
    </w:p>
    <w:tbl>
      <w:tblPr>
        <w:tblW w:w="9488" w:type="dxa"/>
        <w:shd w:val="clear" w:color="auto" w:fill="FFFFFF"/>
        <w:tblCellMar>
          <w:top w:w="15" w:type="dxa"/>
          <w:left w:w="15" w:type="dxa"/>
          <w:bottom w:w="15" w:type="dxa"/>
          <w:right w:w="15" w:type="dxa"/>
        </w:tblCellMar>
        <w:tblLook w:val="04A0" w:firstRow="1" w:lastRow="0" w:firstColumn="1" w:lastColumn="0" w:noHBand="0" w:noVBand="1"/>
      </w:tblPr>
      <w:tblGrid>
        <w:gridCol w:w="1485"/>
        <w:gridCol w:w="7056"/>
        <w:gridCol w:w="947"/>
      </w:tblGrid>
      <w:tr w:rsidR="00934C2C" w:rsidRPr="00B94F53" w14:paraId="2130242B" w14:textId="77777777" w:rsidTr="00934C2C">
        <w:trPr>
          <w:trHeight w:val="787"/>
          <w:tblHeader/>
        </w:trPr>
        <w:tc>
          <w:tcPr>
            <w:tcW w:w="0" w:type="auto"/>
            <w:tcBorders>
              <w:top w:val="nil"/>
            </w:tcBorders>
            <w:shd w:val="clear" w:color="auto" w:fill="FFFFFF"/>
            <w:tcMar>
              <w:top w:w="150" w:type="dxa"/>
              <w:left w:w="0" w:type="dxa"/>
              <w:bottom w:w="150" w:type="dxa"/>
              <w:right w:w="240" w:type="dxa"/>
            </w:tcMar>
            <w:vAlign w:val="center"/>
            <w:hideMark/>
          </w:tcPr>
          <w:p w14:paraId="046F2FDF"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Number</w:t>
            </w:r>
          </w:p>
        </w:tc>
        <w:tc>
          <w:tcPr>
            <w:tcW w:w="0" w:type="auto"/>
            <w:tcBorders>
              <w:top w:val="nil"/>
            </w:tcBorders>
            <w:shd w:val="clear" w:color="auto" w:fill="FFFFFF"/>
            <w:tcMar>
              <w:top w:w="150" w:type="dxa"/>
              <w:left w:w="240" w:type="dxa"/>
              <w:bottom w:w="150" w:type="dxa"/>
              <w:right w:w="240" w:type="dxa"/>
            </w:tcMar>
            <w:vAlign w:val="center"/>
            <w:hideMark/>
          </w:tcPr>
          <w:p w14:paraId="388C4126"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Name</w:t>
            </w:r>
          </w:p>
        </w:tc>
        <w:tc>
          <w:tcPr>
            <w:tcW w:w="0" w:type="auto"/>
            <w:tcBorders>
              <w:top w:val="nil"/>
            </w:tcBorders>
            <w:shd w:val="clear" w:color="auto" w:fill="FFFFFF"/>
            <w:tcMar>
              <w:top w:w="150" w:type="dxa"/>
              <w:left w:w="240" w:type="dxa"/>
              <w:bottom w:w="150" w:type="dxa"/>
              <w:right w:w="240" w:type="dxa"/>
            </w:tcMar>
            <w:vAlign w:val="center"/>
            <w:hideMark/>
          </w:tcPr>
          <w:p w14:paraId="77AC1F0D"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Page</w:t>
            </w:r>
          </w:p>
        </w:tc>
      </w:tr>
      <w:tr w:rsidR="00934C2C" w:rsidRPr="00B94F53" w14:paraId="6E33EE23" w14:textId="77777777" w:rsidTr="00934C2C">
        <w:trPr>
          <w:trHeight w:val="382"/>
        </w:trPr>
        <w:tc>
          <w:tcPr>
            <w:tcW w:w="0" w:type="auto"/>
            <w:shd w:val="clear" w:color="auto" w:fill="FFFFFF"/>
            <w:tcMar>
              <w:top w:w="150" w:type="dxa"/>
              <w:left w:w="0" w:type="dxa"/>
              <w:bottom w:w="150" w:type="dxa"/>
              <w:right w:w="240" w:type="dxa"/>
            </w:tcMar>
            <w:vAlign w:val="center"/>
            <w:hideMark/>
          </w:tcPr>
          <w:p w14:paraId="4EE85592"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1.1</w:t>
            </w:r>
          </w:p>
        </w:tc>
        <w:tc>
          <w:tcPr>
            <w:tcW w:w="0" w:type="auto"/>
            <w:shd w:val="clear" w:color="auto" w:fill="FFFFFF"/>
            <w:tcMar>
              <w:top w:w="150" w:type="dxa"/>
              <w:left w:w="240" w:type="dxa"/>
              <w:bottom w:w="150" w:type="dxa"/>
              <w:right w:w="240" w:type="dxa"/>
            </w:tcMar>
            <w:vAlign w:val="center"/>
            <w:hideMark/>
          </w:tcPr>
          <w:p w14:paraId="4227949C"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Corporate Profile of Sonali Bank PLC</w:t>
            </w:r>
          </w:p>
        </w:tc>
        <w:tc>
          <w:tcPr>
            <w:tcW w:w="0" w:type="auto"/>
            <w:shd w:val="clear" w:color="auto" w:fill="FFFFFF"/>
            <w:tcMar>
              <w:top w:w="150" w:type="dxa"/>
              <w:left w:w="240" w:type="dxa"/>
              <w:bottom w:w="150" w:type="dxa"/>
              <w:right w:w="0" w:type="dxa"/>
            </w:tcMar>
            <w:vAlign w:val="center"/>
            <w:hideMark/>
          </w:tcPr>
          <w:p w14:paraId="037D04F5" w14:textId="324AC71C" w:rsidR="00934C2C" w:rsidRPr="00B94F53" w:rsidRDefault="009F1FE1" w:rsidP="00934C2C">
            <w:pPr>
              <w:spacing w:line="360" w:lineRule="auto"/>
              <w:rPr>
                <w:rFonts w:ascii="Times New Roman" w:hAnsi="Times New Roman" w:cs="Times New Roman"/>
                <w:sz w:val="24"/>
              </w:rPr>
            </w:pPr>
            <w:r>
              <w:rPr>
                <w:rFonts w:ascii="Times New Roman" w:hAnsi="Times New Roman" w:cs="Times New Roman"/>
                <w:sz w:val="24"/>
              </w:rPr>
              <w:t>1</w:t>
            </w:r>
          </w:p>
        </w:tc>
      </w:tr>
      <w:tr w:rsidR="00934C2C" w:rsidRPr="00B94F53" w14:paraId="63A6AC20" w14:textId="77777777" w:rsidTr="00934C2C">
        <w:trPr>
          <w:trHeight w:val="393"/>
        </w:trPr>
        <w:tc>
          <w:tcPr>
            <w:tcW w:w="0" w:type="auto"/>
            <w:shd w:val="clear" w:color="auto" w:fill="FFFFFF"/>
            <w:tcMar>
              <w:top w:w="150" w:type="dxa"/>
              <w:left w:w="0" w:type="dxa"/>
              <w:bottom w:w="150" w:type="dxa"/>
              <w:right w:w="240" w:type="dxa"/>
            </w:tcMar>
            <w:vAlign w:val="center"/>
            <w:hideMark/>
          </w:tcPr>
          <w:p w14:paraId="5943AB53"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1.2</w:t>
            </w:r>
          </w:p>
        </w:tc>
        <w:tc>
          <w:tcPr>
            <w:tcW w:w="0" w:type="auto"/>
            <w:shd w:val="clear" w:color="auto" w:fill="FFFFFF"/>
            <w:tcMar>
              <w:top w:w="150" w:type="dxa"/>
              <w:left w:w="240" w:type="dxa"/>
              <w:bottom w:w="150" w:type="dxa"/>
              <w:right w:w="240" w:type="dxa"/>
            </w:tcMar>
            <w:vAlign w:val="center"/>
            <w:hideMark/>
          </w:tcPr>
          <w:p w14:paraId="14107DAD"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Bangladesh Remittance Inflows (2023–2025)</w:t>
            </w:r>
          </w:p>
        </w:tc>
        <w:tc>
          <w:tcPr>
            <w:tcW w:w="0" w:type="auto"/>
            <w:shd w:val="clear" w:color="auto" w:fill="FFFFFF"/>
            <w:tcMar>
              <w:top w:w="150" w:type="dxa"/>
              <w:left w:w="240" w:type="dxa"/>
              <w:bottom w:w="150" w:type="dxa"/>
              <w:right w:w="0" w:type="dxa"/>
            </w:tcMar>
            <w:vAlign w:val="center"/>
            <w:hideMark/>
          </w:tcPr>
          <w:p w14:paraId="57B20640" w14:textId="1A01108E" w:rsidR="00934C2C" w:rsidRPr="00B94F53" w:rsidRDefault="00F40D58" w:rsidP="00934C2C">
            <w:pPr>
              <w:spacing w:line="360" w:lineRule="auto"/>
              <w:rPr>
                <w:rFonts w:ascii="Times New Roman" w:hAnsi="Times New Roman" w:cs="Times New Roman"/>
                <w:sz w:val="24"/>
              </w:rPr>
            </w:pPr>
            <w:r w:rsidRPr="00B94F53">
              <w:rPr>
                <w:rFonts w:ascii="Times New Roman" w:hAnsi="Times New Roman" w:cs="Times New Roman"/>
                <w:sz w:val="24"/>
              </w:rPr>
              <w:t>3</w:t>
            </w:r>
          </w:p>
        </w:tc>
      </w:tr>
      <w:tr w:rsidR="00934C2C" w:rsidRPr="00B94F53" w14:paraId="1D10D3AF" w14:textId="77777777" w:rsidTr="00934C2C">
        <w:trPr>
          <w:trHeight w:val="382"/>
        </w:trPr>
        <w:tc>
          <w:tcPr>
            <w:tcW w:w="0" w:type="auto"/>
            <w:shd w:val="clear" w:color="auto" w:fill="FFFFFF"/>
            <w:tcMar>
              <w:top w:w="150" w:type="dxa"/>
              <w:left w:w="0" w:type="dxa"/>
              <w:bottom w:w="150" w:type="dxa"/>
              <w:right w:w="240" w:type="dxa"/>
            </w:tcMar>
            <w:vAlign w:val="center"/>
            <w:hideMark/>
          </w:tcPr>
          <w:p w14:paraId="0C263087"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1.3</w:t>
            </w:r>
          </w:p>
        </w:tc>
        <w:tc>
          <w:tcPr>
            <w:tcW w:w="0" w:type="auto"/>
            <w:shd w:val="clear" w:color="auto" w:fill="FFFFFF"/>
            <w:tcMar>
              <w:top w:w="150" w:type="dxa"/>
              <w:left w:w="240" w:type="dxa"/>
              <w:bottom w:w="150" w:type="dxa"/>
              <w:right w:w="240" w:type="dxa"/>
            </w:tcMar>
            <w:vAlign w:val="center"/>
            <w:hideMark/>
          </w:tcPr>
          <w:p w14:paraId="302069E9"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Corporate Profile of Sonali Bank PLC and its UK Operations</w:t>
            </w:r>
          </w:p>
        </w:tc>
        <w:tc>
          <w:tcPr>
            <w:tcW w:w="0" w:type="auto"/>
            <w:shd w:val="clear" w:color="auto" w:fill="FFFFFF"/>
            <w:tcMar>
              <w:top w:w="150" w:type="dxa"/>
              <w:left w:w="240" w:type="dxa"/>
              <w:bottom w:w="150" w:type="dxa"/>
              <w:right w:w="0" w:type="dxa"/>
            </w:tcMar>
            <w:vAlign w:val="center"/>
            <w:hideMark/>
          </w:tcPr>
          <w:p w14:paraId="668BD254" w14:textId="3D54A105" w:rsidR="00934C2C" w:rsidRPr="00B94F53" w:rsidRDefault="00F40D58" w:rsidP="00934C2C">
            <w:pPr>
              <w:spacing w:line="360" w:lineRule="auto"/>
              <w:rPr>
                <w:rFonts w:ascii="Times New Roman" w:hAnsi="Times New Roman" w:cs="Times New Roman"/>
                <w:sz w:val="24"/>
              </w:rPr>
            </w:pPr>
            <w:r w:rsidRPr="00B94F53">
              <w:rPr>
                <w:rFonts w:ascii="Times New Roman" w:hAnsi="Times New Roman" w:cs="Times New Roman"/>
                <w:sz w:val="24"/>
              </w:rPr>
              <w:t>6</w:t>
            </w:r>
          </w:p>
        </w:tc>
      </w:tr>
      <w:tr w:rsidR="00934C2C" w:rsidRPr="00B94F53" w14:paraId="57336ADC" w14:textId="77777777" w:rsidTr="00934C2C">
        <w:trPr>
          <w:trHeight w:val="393"/>
        </w:trPr>
        <w:tc>
          <w:tcPr>
            <w:tcW w:w="0" w:type="auto"/>
            <w:shd w:val="clear" w:color="auto" w:fill="FFFFFF"/>
            <w:tcMar>
              <w:top w:w="150" w:type="dxa"/>
              <w:left w:w="0" w:type="dxa"/>
              <w:bottom w:w="150" w:type="dxa"/>
              <w:right w:w="240" w:type="dxa"/>
            </w:tcMar>
            <w:vAlign w:val="center"/>
            <w:hideMark/>
          </w:tcPr>
          <w:p w14:paraId="29959B05"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2.1</w:t>
            </w:r>
          </w:p>
        </w:tc>
        <w:tc>
          <w:tcPr>
            <w:tcW w:w="0" w:type="auto"/>
            <w:shd w:val="clear" w:color="auto" w:fill="FFFFFF"/>
            <w:tcMar>
              <w:top w:w="150" w:type="dxa"/>
              <w:left w:w="240" w:type="dxa"/>
              <w:bottom w:w="150" w:type="dxa"/>
              <w:right w:w="240" w:type="dxa"/>
            </w:tcMar>
            <w:vAlign w:val="center"/>
            <w:hideMark/>
          </w:tcPr>
          <w:p w14:paraId="6B68DC5D"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Comparison of Theoretical Frameworks</w:t>
            </w:r>
          </w:p>
        </w:tc>
        <w:tc>
          <w:tcPr>
            <w:tcW w:w="0" w:type="auto"/>
            <w:shd w:val="clear" w:color="auto" w:fill="FFFFFF"/>
            <w:tcMar>
              <w:top w:w="150" w:type="dxa"/>
              <w:left w:w="240" w:type="dxa"/>
              <w:bottom w:w="150" w:type="dxa"/>
              <w:right w:w="0" w:type="dxa"/>
            </w:tcMar>
            <w:vAlign w:val="center"/>
            <w:hideMark/>
          </w:tcPr>
          <w:p w14:paraId="30DADBEA" w14:textId="6E7C1EA1"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1</w:t>
            </w:r>
            <w:r w:rsidR="00E22C58" w:rsidRPr="00B94F53">
              <w:rPr>
                <w:rFonts w:ascii="Times New Roman" w:hAnsi="Times New Roman" w:cs="Times New Roman"/>
                <w:sz w:val="24"/>
              </w:rPr>
              <w:t>5</w:t>
            </w:r>
          </w:p>
        </w:tc>
      </w:tr>
      <w:tr w:rsidR="00934C2C" w:rsidRPr="00B94F53" w14:paraId="5958D60F" w14:textId="77777777" w:rsidTr="00934C2C">
        <w:trPr>
          <w:trHeight w:val="382"/>
        </w:trPr>
        <w:tc>
          <w:tcPr>
            <w:tcW w:w="0" w:type="auto"/>
            <w:shd w:val="clear" w:color="auto" w:fill="FFFFFF"/>
            <w:tcMar>
              <w:top w:w="150" w:type="dxa"/>
              <w:left w:w="0" w:type="dxa"/>
              <w:bottom w:w="150" w:type="dxa"/>
              <w:right w:w="240" w:type="dxa"/>
            </w:tcMar>
            <w:vAlign w:val="center"/>
            <w:hideMark/>
          </w:tcPr>
          <w:p w14:paraId="6A97655E"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2.2</w:t>
            </w:r>
          </w:p>
        </w:tc>
        <w:tc>
          <w:tcPr>
            <w:tcW w:w="0" w:type="auto"/>
            <w:shd w:val="clear" w:color="auto" w:fill="FFFFFF"/>
            <w:tcMar>
              <w:top w:w="150" w:type="dxa"/>
              <w:left w:w="240" w:type="dxa"/>
              <w:bottom w:w="150" w:type="dxa"/>
              <w:right w:w="240" w:type="dxa"/>
            </w:tcMar>
            <w:vAlign w:val="center"/>
            <w:hideMark/>
          </w:tcPr>
          <w:p w14:paraId="4D18B31F"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Summary of Key Empirical Studies</w:t>
            </w:r>
          </w:p>
        </w:tc>
        <w:tc>
          <w:tcPr>
            <w:tcW w:w="0" w:type="auto"/>
            <w:shd w:val="clear" w:color="auto" w:fill="FFFFFF"/>
            <w:tcMar>
              <w:top w:w="150" w:type="dxa"/>
              <w:left w:w="240" w:type="dxa"/>
              <w:bottom w:w="150" w:type="dxa"/>
              <w:right w:w="0" w:type="dxa"/>
            </w:tcMar>
            <w:vAlign w:val="center"/>
            <w:hideMark/>
          </w:tcPr>
          <w:p w14:paraId="479C7C49" w14:textId="40EE6BF5"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2</w:t>
            </w:r>
            <w:r w:rsidR="009F1FE1">
              <w:rPr>
                <w:rFonts w:ascii="Times New Roman" w:hAnsi="Times New Roman" w:cs="Times New Roman"/>
                <w:sz w:val="24"/>
              </w:rPr>
              <w:t>1</w:t>
            </w:r>
          </w:p>
        </w:tc>
      </w:tr>
      <w:tr w:rsidR="00934C2C" w:rsidRPr="00B94F53" w14:paraId="4F16F655" w14:textId="77777777" w:rsidTr="00934C2C">
        <w:trPr>
          <w:trHeight w:val="393"/>
        </w:trPr>
        <w:tc>
          <w:tcPr>
            <w:tcW w:w="0" w:type="auto"/>
            <w:shd w:val="clear" w:color="auto" w:fill="FFFFFF"/>
            <w:tcMar>
              <w:top w:w="150" w:type="dxa"/>
              <w:left w:w="0" w:type="dxa"/>
              <w:bottom w:w="150" w:type="dxa"/>
              <w:right w:w="240" w:type="dxa"/>
            </w:tcMar>
            <w:vAlign w:val="center"/>
            <w:hideMark/>
          </w:tcPr>
          <w:p w14:paraId="4018D99D"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4.1</w:t>
            </w:r>
          </w:p>
        </w:tc>
        <w:tc>
          <w:tcPr>
            <w:tcW w:w="0" w:type="auto"/>
            <w:shd w:val="clear" w:color="auto" w:fill="FFFFFF"/>
            <w:tcMar>
              <w:top w:w="150" w:type="dxa"/>
              <w:left w:w="240" w:type="dxa"/>
              <w:bottom w:w="150" w:type="dxa"/>
              <w:right w:w="240" w:type="dxa"/>
            </w:tcMar>
            <w:vAlign w:val="center"/>
            <w:hideMark/>
          </w:tcPr>
          <w:p w14:paraId="14611F8C"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Remittance Cost Benchmarks, UK–Bangladesh Corridor</w:t>
            </w:r>
          </w:p>
        </w:tc>
        <w:tc>
          <w:tcPr>
            <w:tcW w:w="0" w:type="auto"/>
            <w:shd w:val="clear" w:color="auto" w:fill="FFFFFF"/>
            <w:tcMar>
              <w:top w:w="150" w:type="dxa"/>
              <w:left w:w="240" w:type="dxa"/>
              <w:bottom w:w="150" w:type="dxa"/>
              <w:right w:w="0" w:type="dxa"/>
            </w:tcMar>
            <w:vAlign w:val="center"/>
            <w:hideMark/>
          </w:tcPr>
          <w:p w14:paraId="6D040A95" w14:textId="2E57B0C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3</w:t>
            </w:r>
            <w:r w:rsidR="009F1FE1">
              <w:rPr>
                <w:rFonts w:ascii="Times New Roman" w:hAnsi="Times New Roman" w:cs="Times New Roman"/>
                <w:sz w:val="24"/>
              </w:rPr>
              <w:t>7</w:t>
            </w:r>
          </w:p>
        </w:tc>
      </w:tr>
      <w:tr w:rsidR="00934C2C" w:rsidRPr="00B94F53" w14:paraId="5F9BED4B" w14:textId="77777777" w:rsidTr="00934C2C">
        <w:trPr>
          <w:trHeight w:val="787"/>
        </w:trPr>
        <w:tc>
          <w:tcPr>
            <w:tcW w:w="0" w:type="auto"/>
            <w:shd w:val="clear" w:color="auto" w:fill="FFFFFF"/>
            <w:tcMar>
              <w:top w:w="150" w:type="dxa"/>
              <w:left w:w="0" w:type="dxa"/>
              <w:bottom w:w="150" w:type="dxa"/>
              <w:right w:w="240" w:type="dxa"/>
            </w:tcMar>
            <w:vAlign w:val="center"/>
            <w:hideMark/>
          </w:tcPr>
          <w:p w14:paraId="3EF4ECA0"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5.1</w:t>
            </w:r>
          </w:p>
        </w:tc>
        <w:tc>
          <w:tcPr>
            <w:tcW w:w="0" w:type="auto"/>
            <w:shd w:val="clear" w:color="auto" w:fill="FFFFFF"/>
            <w:tcMar>
              <w:top w:w="150" w:type="dxa"/>
              <w:left w:w="240" w:type="dxa"/>
              <w:bottom w:w="150" w:type="dxa"/>
              <w:right w:w="240" w:type="dxa"/>
            </w:tcMar>
            <w:vAlign w:val="center"/>
            <w:hideMark/>
          </w:tcPr>
          <w:p w14:paraId="5526967B"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Comparison of Sonali Bank, Standard Chartered and bKash Across Strategic Domains</w:t>
            </w:r>
          </w:p>
        </w:tc>
        <w:tc>
          <w:tcPr>
            <w:tcW w:w="0" w:type="auto"/>
            <w:shd w:val="clear" w:color="auto" w:fill="FFFFFF"/>
            <w:tcMar>
              <w:top w:w="150" w:type="dxa"/>
              <w:left w:w="240" w:type="dxa"/>
              <w:bottom w:w="150" w:type="dxa"/>
              <w:right w:w="0" w:type="dxa"/>
            </w:tcMar>
            <w:vAlign w:val="center"/>
            <w:hideMark/>
          </w:tcPr>
          <w:p w14:paraId="4467DD27" w14:textId="3D5CA79D"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4</w:t>
            </w:r>
            <w:r w:rsidR="009F1FE1">
              <w:rPr>
                <w:rFonts w:ascii="Times New Roman" w:hAnsi="Times New Roman" w:cs="Times New Roman"/>
                <w:sz w:val="24"/>
              </w:rPr>
              <w:t>7</w:t>
            </w:r>
          </w:p>
        </w:tc>
      </w:tr>
    </w:tbl>
    <w:p w14:paraId="2C8BE830" w14:textId="77777777" w:rsidR="003639F9" w:rsidRPr="00B94F53" w:rsidRDefault="003639F9" w:rsidP="00BD3FFE">
      <w:pPr>
        <w:spacing w:line="360" w:lineRule="auto"/>
        <w:rPr>
          <w:rFonts w:ascii="Times New Roman" w:hAnsi="Times New Roman" w:cs="Times New Roman"/>
          <w:sz w:val="24"/>
        </w:rPr>
      </w:pPr>
    </w:p>
    <w:p w14:paraId="0B3EEB22" w14:textId="77777777" w:rsidR="00BD3FFE" w:rsidRPr="00B94F53" w:rsidRDefault="00BD3FFE" w:rsidP="003639F9">
      <w:pPr>
        <w:rPr>
          <w:rFonts w:ascii="Times New Roman" w:hAnsi="Times New Roman" w:cs="Times New Roman"/>
          <w:b/>
          <w:sz w:val="28"/>
        </w:rPr>
      </w:pPr>
    </w:p>
    <w:p w14:paraId="07CF2E0E" w14:textId="77777777" w:rsidR="00BD3FFE" w:rsidRPr="00B94F53" w:rsidRDefault="00BD3FFE" w:rsidP="003639F9">
      <w:pPr>
        <w:rPr>
          <w:rFonts w:ascii="Times New Roman" w:hAnsi="Times New Roman" w:cs="Times New Roman"/>
          <w:b/>
          <w:sz w:val="28"/>
        </w:rPr>
      </w:pPr>
    </w:p>
    <w:p w14:paraId="0E573E73" w14:textId="77777777" w:rsidR="003639F9" w:rsidRPr="00B94F53" w:rsidRDefault="003639F9" w:rsidP="00BD3FFE">
      <w:pPr>
        <w:spacing w:after="240" w:line="360" w:lineRule="auto"/>
        <w:jc w:val="center"/>
        <w:rPr>
          <w:rFonts w:ascii="Times New Roman" w:hAnsi="Times New Roman" w:cs="Times New Roman"/>
        </w:rPr>
      </w:pPr>
      <w:r w:rsidRPr="00B94F53">
        <w:rPr>
          <w:rFonts w:ascii="Times New Roman" w:hAnsi="Times New Roman" w:cs="Times New Roman"/>
          <w:b/>
          <w:sz w:val="28"/>
        </w:rPr>
        <w:t>List of Figures</w:t>
      </w:r>
    </w:p>
    <w:p w14:paraId="4403806B" w14:textId="271F5DA3" w:rsidR="003639F9" w:rsidRPr="00B94F53" w:rsidRDefault="003639F9" w:rsidP="00BD3FFE">
      <w:pPr>
        <w:tabs>
          <w:tab w:val="right" w:leader="dot" w:pos="9072"/>
        </w:tabs>
        <w:spacing w:line="360" w:lineRule="auto"/>
        <w:rPr>
          <w:rFonts w:ascii="Times New Roman" w:hAnsi="Times New Roman" w:cs="Times New Roman"/>
        </w:rPr>
      </w:pPr>
      <w:r w:rsidRPr="00B94F53">
        <w:rPr>
          <w:rFonts w:ascii="Times New Roman" w:hAnsi="Times New Roman" w:cs="Times New Roman"/>
        </w:rPr>
        <w:t>Figure 2.1 Integrated Conceptual Framework for E-Commerce Integration at Sonali Bank across the UK–Bangladesh Corridor</w:t>
      </w:r>
      <w:r w:rsidRPr="00B94F53">
        <w:rPr>
          <w:rFonts w:ascii="Times New Roman" w:hAnsi="Times New Roman" w:cs="Times New Roman"/>
        </w:rPr>
        <w:tab/>
      </w:r>
      <w:r w:rsidR="00D639EC" w:rsidRPr="00B94F53">
        <w:rPr>
          <w:rFonts w:ascii="Times New Roman" w:hAnsi="Times New Roman" w:cs="Times New Roman"/>
        </w:rPr>
        <w:t>1</w:t>
      </w:r>
      <w:r w:rsidR="009F1FE1">
        <w:rPr>
          <w:rFonts w:ascii="Times New Roman" w:hAnsi="Times New Roman" w:cs="Times New Roman"/>
        </w:rPr>
        <w:t>2</w:t>
      </w:r>
    </w:p>
    <w:p w14:paraId="21B6EE52" w14:textId="77777777" w:rsidR="00057FCA" w:rsidRPr="00B94F53" w:rsidRDefault="00057FCA">
      <w:pPr>
        <w:rPr>
          <w:rFonts w:ascii="Times New Roman" w:hAnsi="Times New Roman" w:cs="Times New Roman"/>
        </w:rPr>
      </w:pPr>
    </w:p>
    <w:p w14:paraId="4151E667" w14:textId="77777777" w:rsidR="00057FCA" w:rsidRPr="00B94F53" w:rsidRDefault="00057FCA">
      <w:pPr>
        <w:rPr>
          <w:rFonts w:ascii="Times New Roman" w:hAnsi="Times New Roman" w:cs="Times New Roman"/>
        </w:rPr>
      </w:pPr>
    </w:p>
    <w:p w14:paraId="7E88E797" w14:textId="77777777" w:rsidR="00057FCA" w:rsidRPr="00B94F53" w:rsidRDefault="00057FCA">
      <w:pPr>
        <w:rPr>
          <w:rFonts w:ascii="Times New Roman" w:hAnsi="Times New Roman" w:cs="Times New Roman"/>
        </w:rPr>
      </w:pPr>
    </w:p>
    <w:p w14:paraId="07985A0F" w14:textId="77777777" w:rsidR="00057FCA" w:rsidRPr="00B94F53" w:rsidRDefault="00057FCA">
      <w:pPr>
        <w:rPr>
          <w:rFonts w:ascii="Times New Roman" w:hAnsi="Times New Roman" w:cs="Times New Roman"/>
        </w:rPr>
      </w:pPr>
    </w:p>
    <w:p w14:paraId="402A77CB" w14:textId="77777777" w:rsidR="00057FCA" w:rsidRPr="00B94F53" w:rsidRDefault="00057FCA">
      <w:pPr>
        <w:rPr>
          <w:rFonts w:ascii="Times New Roman" w:hAnsi="Times New Roman" w:cs="Times New Roman"/>
        </w:rPr>
      </w:pPr>
    </w:p>
    <w:p w14:paraId="6AA20848" w14:textId="77777777" w:rsidR="00057FCA" w:rsidRPr="00B94F53" w:rsidRDefault="00057FCA">
      <w:pPr>
        <w:rPr>
          <w:rFonts w:ascii="Times New Roman" w:hAnsi="Times New Roman" w:cs="Times New Roman"/>
        </w:rPr>
      </w:pPr>
    </w:p>
    <w:p w14:paraId="4A82549D" w14:textId="77777777" w:rsidR="00057FCA" w:rsidRPr="00B94F53" w:rsidRDefault="00057FCA">
      <w:pPr>
        <w:rPr>
          <w:rFonts w:ascii="Times New Roman" w:hAnsi="Times New Roman" w:cs="Times New Roman"/>
        </w:rPr>
      </w:pPr>
    </w:p>
    <w:p w14:paraId="414AFF11" w14:textId="77777777" w:rsidR="00057FCA" w:rsidRPr="00B94F53" w:rsidRDefault="00057FCA">
      <w:pPr>
        <w:rPr>
          <w:rFonts w:ascii="Times New Roman" w:hAnsi="Times New Roman" w:cs="Times New Roman"/>
        </w:rPr>
      </w:pPr>
    </w:p>
    <w:p w14:paraId="4B52CE50" w14:textId="77777777" w:rsidR="00B54CE0" w:rsidRPr="00B94F53" w:rsidRDefault="00B54CE0">
      <w:pPr>
        <w:rPr>
          <w:rFonts w:ascii="Times New Roman" w:hAnsi="Times New Roman" w:cs="Times New Roman"/>
        </w:rPr>
      </w:pPr>
    </w:p>
    <w:p w14:paraId="723B5554" w14:textId="77777777" w:rsidR="00B54CE0" w:rsidRPr="00B94F53" w:rsidRDefault="00B54CE0">
      <w:pPr>
        <w:rPr>
          <w:rFonts w:ascii="Times New Roman" w:hAnsi="Times New Roman" w:cs="Times New Roman"/>
        </w:rPr>
      </w:pPr>
    </w:p>
    <w:p w14:paraId="254BAAD7" w14:textId="77777777" w:rsidR="00B54CE0" w:rsidRPr="00B94F53" w:rsidRDefault="00B54CE0">
      <w:pPr>
        <w:rPr>
          <w:rFonts w:ascii="Times New Roman" w:hAnsi="Times New Roman" w:cs="Times New Roman"/>
        </w:rPr>
      </w:pPr>
    </w:p>
    <w:p w14:paraId="25DB5E45" w14:textId="77777777" w:rsidR="00B54CE0" w:rsidRPr="00B94F53" w:rsidRDefault="00B54CE0">
      <w:pPr>
        <w:rPr>
          <w:rFonts w:ascii="Times New Roman" w:hAnsi="Times New Roman" w:cs="Times New Roman"/>
        </w:rPr>
      </w:pPr>
    </w:p>
    <w:p w14:paraId="2FD55CB1" w14:textId="77777777" w:rsidR="00B54CE0" w:rsidRPr="00B94F53" w:rsidRDefault="00B54CE0">
      <w:pPr>
        <w:rPr>
          <w:rFonts w:ascii="Times New Roman" w:hAnsi="Times New Roman" w:cs="Times New Roman"/>
        </w:rPr>
      </w:pPr>
    </w:p>
    <w:p w14:paraId="0AFE3D91" w14:textId="77777777" w:rsidR="002651E4" w:rsidRPr="00B94F53" w:rsidRDefault="002651E4">
      <w:pPr>
        <w:rPr>
          <w:rFonts w:ascii="Times New Roman" w:hAnsi="Times New Roman" w:cs="Times New Roman"/>
        </w:rPr>
      </w:pPr>
    </w:p>
    <w:p w14:paraId="44C35C97" w14:textId="77777777" w:rsidR="002D16B1" w:rsidRPr="00B94F53" w:rsidRDefault="002D16B1">
      <w:pPr>
        <w:rPr>
          <w:rFonts w:ascii="Times New Roman" w:hAnsi="Times New Roman" w:cs="Times New Roman"/>
        </w:rPr>
      </w:pPr>
    </w:p>
    <w:p w14:paraId="6B1C5E80" w14:textId="77777777" w:rsidR="002651E4" w:rsidRPr="00B94F53" w:rsidRDefault="002651E4">
      <w:pPr>
        <w:rPr>
          <w:rFonts w:ascii="Times New Roman" w:hAnsi="Times New Roman" w:cs="Times New Roman"/>
        </w:rPr>
      </w:pPr>
    </w:p>
    <w:p w14:paraId="2C188CAF" w14:textId="77777777" w:rsidR="00A83171" w:rsidRPr="00B94F53" w:rsidRDefault="00A83171">
      <w:pPr>
        <w:rPr>
          <w:rFonts w:ascii="Times New Roman" w:hAnsi="Times New Roman" w:cs="Times New Roman"/>
        </w:rPr>
      </w:pPr>
    </w:p>
    <w:p w14:paraId="37F03E96" w14:textId="77777777" w:rsidR="00675D5A" w:rsidRDefault="00675D5A" w:rsidP="00BD3FFE">
      <w:pPr>
        <w:spacing w:after="240" w:line="360" w:lineRule="auto"/>
        <w:jc w:val="center"/>
        <w:rPr>
          <w:rFonts w:ascii="Times New Roman" w:hAnsi="Times New Roman" w:cs="Times New Roman"/>
          <w:b/>
          <w:sz w:val="28"/>
        </w:rPr>
      </w:pPr>
    </w:p>
    <w:p w14:paraId="3389FBFE" w14:textId="57677B41" w:rsidR="00534A7A" w:rsidRPr="00B94F53" w:rsidRDefault="00534A7A" w:rsidP="00BD3FFE">
      <w:pPr>
        <w:spacing w:after="240" w:line="360" w:lineRule="auto"/>
        <w:jc w:val="center"/>
        <w:rPr>
          <w:rFonts w:ascii="Times New Roman" w:hAnsi="Times New Roman" w:cs="Times New Roman"/>
          <w:b/>
          <w:sz w:val="28"/>
        </w:rPr>
      </w:pPr>
      <w:r w:rsidRPr="00B94F53">
        <w:rPr>
          <w:rFonts w:ascii="Times New Roman" w:hAnsi="Times New Roman" w:cs="Times New Roman"/>
          <w:b/>
          <w:sz w:val="28"/>
        </w:rPr>
        <w:t>Abstract</w:t>
      </w:r>
    </w:p>
    <w:p w14:paraId="4F950CD3" w14:textId="7203B701" w:rsidR="00534A7A" w:rsidRDefault="00534A7A" w:rsidP="00534A7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dissertation explores the integration of e- commerce into the international banking and remittance activities of Sonali Bank, the largest </w:t>
      </w:r>
      <w:r w:rsidR="00221A60" w:rsidRPr="00B94F53">
        <w:rPr>
          <w:rFonts w:ascii="Times New Roman" w:hAnsi="Times New Roman" w:cs="Times New Roman"/>
          <w:sz w:val="24"/>
          <w:szCs w:val="24"/>
        </w:rPr>
        <w:t>state-owned</w:t>
      </w:r>
      <w:r w:rsidRPr="00B94F53">
        <w:rPr>
          <w:rFonts w:ascii="Times New Roman" w:hAnsi="Times New Roman" w:cs="Times New Roman"/>
          <w:sz w:val="24"/>
          <w:szCs w:val="24"/>
        </w:rPr>
        <w:t xml:space="preserve"> commercial bank, of the United Kingdom and Bangladesh. The study compares the bank's marketing, financial and human capital strategies in both markets</w:t>
      </w:r>
      <w:r w:rsidR="00221A60" w:rsidRPr="00B94F53">
        <w:rPr>
          <w:rFonts w:ascii="Times New Roman" w:hAnsi="Times New Roman" w:cs="Times New Roman"/>
          <w:sz w:val="24"/>
          <w:szCs w:val="24"/>
        </w:rPr>
        <w:t>;</w:t>
      </w:r>
      <w:r w:rsidRPr="00B94F53">
        <w:rPr>
          <w:rFonts w:ascii="Times New Roman" w:hAnsi="Times New Roman" w:cs="Times New Roman"/>
          <w:sz w:val="24"/>
          <w:szCs w:val="24"/>
        </w:rPr>
        <w:t xml:space="preserve"> the Uppsala Internationalisation Model and the Resource-Based View are used within an integrated theoretical model. State ownership is considered in the analysis throughout as a moderating institutional condition and not a background characteristic of the case.</w:t>
      </w:r>
    </w:p>
    <w:p w14:paraId="3323153F" w14:textId="77777777" w:rsidR="00CE32D9" w:rsidRPr="00B94F53" w:rsidRDefault="00CE32D9" w:rsidP="00534A7A">
      <w:pPr>
        <w:spacing w:line="360" w:lineRule="auto"/>
        <w:jc w:val="both"/>
        <w:rPr>
          <w:rFonts w:ascii="Times New Roman" w:hAnsi="Times New Roman" w:cs="Times New Roman"/>
          <w:sz w:val="24"/>
          <w:szCs w:val="24"/>
        </w:rPr>
      </w:pPr>
    </w:p>
    <w:p w14:paraId="2419D46B" w14:textId="0D01EA36" w:rsidR="00534A7A" w:rsidRDefault="00534A7A" w:rsidP="00534A7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research is interpretivist with </w:t>
      </w:r>
      <w:r w:rsidR="00221A60" w:rsidRPr="00B94F53">
        <w:rPr>
          <w:rFonts w:ascii="Times New Roman" w:hAnsi="Times New Roman" w:cs="Times New Roman"/>
          <w:sz w:val="24"/>
          <w:szCs w:val="24"/>
        </w:rPr>
        <w:t xml:space="preserve">an </w:t>
      </w:r>
      <w:r w:rsidRPr="00B94F53">
        <w:rPr>
          <w:rFonts w:ascii="Times New Roman" w:hAnsi="Times New Roman" w:cs="Times New Roman"/>
          <w:sz w:val="24"/>
          <w:szCs w:val="24"/>
        </w:rPr>
        <w:t>inductive-qualitative research method using secondary data. A systematic literature review was followed by a documentary analysis in the institutional publications of Sonali Bank, Bangladesh Bank, Financial Conduct Authority, Office for National Statistics, KPMG, World Bank and Chartered Institute of Personnel and Development, according to the Preferred Reporting Items for Systematic Reviews and Meta-Analyses (PRISMA) principles.</w:t>
      </w:r>
    </w:p>
    <w:p w14:paraId="7641F328" w14:textId="77777777" w:rsidR="00CE32D9" w:rsidRPr="00B94F53" w:rsidRDefault="00CE32D9" w:rsidP="00534A7A">
      <w:pPr>
        <w:spacing w:line="360" w:lineRule="auto"/>
        <w:jc w:val="both"/>
        <w:rPr>
          <w:rFonts w:ascii="Times New Roman" w:hAnsi="Times New Roman" w:cs="Times New Roman"/>
          <w:sz w:val="24"/>
          <w:szCs w:val="24"/>
        </w:rPr>
      </w:pPr>
    </w:p>
    <w:p w14:paraId="0DF6D794" w14:textId="53B830C9" w:rsidR="00534A7A" w:rsidRDefault="00534A7A" w:rsidP="00534A7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results indicate that Sonali Bank has two different structural strategic positions instead of a single coherent cross-border strategy. The contrasting regulatory landscape between the UK, which is compliance-based, and Bangladesh, which is more relationship-based, influences marketing communications. Under the continuing pressures of currency risk and pricing, the bank </w:t>
      </w:r>
      <w:r w:rsidR="00786578" w:rsidRPr="00B94F53">
        <w:rPr>
          <w:rFonts w:ascii="Times New Roman" w:hAnsi="Times New Roman" w:cs="Times New Roman"/>
          <w:sz w:val="24"/>
          <w:szCs w:val="24"/>
        </w:rPr>
        <w:t>must</w:t>
      </w:r>
      <w:r w:rsidRPr="00B94F53">
        <w:rPr>
          <w:rFonts w:ascii="Times New Roman" w:hAnsi="Times New Roman" w:cs="Times New Roman"/>
          <w:sz w:val="24"/>
          <w:szCs w:val="24"/>
        </w:rPr>
        <w:t xml:space="preserve"> operate two parallel payment systems: one in the United Kingdom, for settlement via SWIFT and CHAPS, and another in Bangladesh, using mobile transfers via bKash. Pay and recruitment structures in both markets are rigid and civil-service-like, which is a constraint on the bank's ability to attract digital talent.</w:t>
      </w:r>
    </w:p>
    <w:p w14:paraId="19E68F90" w14:textId="77777777" w:rsidR="00CE32D9" w:rsidRPr="00B94F53" w:rsidRDefault="00CE32D9" w:rsidP="00534A7A">
      <w:pPr>
        <w:spacing w:line="360" w:lineRule="auto"/>
        <w:jc w:val="both"/>
        <w:rPr>
          <w:rFonts w:ascii="Times New Roman" w:hAnsi="Times New Roman" w:cs="Times New Roman"/>
          <w:sz w:val="24"/>
          <w:szCs w:val="24"/>
        </w:rPr>
      </w:pPr>
    </w:p>
    <w:p w14:paraId="3D29B46A" w14:textId="389F8ED7" w:rsidR="00534A7A" w:rsidRPr="00B94F53" w:rsidRDefault="00534A7A" w:rsidP="00534A7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keywords associated with the paper are e-commerce integration, international banking, remittance, </w:t>
      </w:r>
      <w:r w:rsidR="00BD3FFE" w:rsidRPr="00B94F53">
        <w:rPr>
          <w:rFonts w:ascii="Times New Roman" w:hAnsi="Times New Roman" w:cs="Times New Roman"/>
          <w:sz w:val="24"/>
          <w:szCs w:val="24"/>
        </w:rPr>
        <w:t>and state</w:t>
      </w:r>
      <w:r w:rsidRPr="00B94F53">
        <w:rPr>
          <w:rFonts w:ascii="Times New Roman" w:hAnsi="Times New Roman" w:cs="Times New Roman"/>
          <w:sz w:val="24"/>
          <w:szCs w:val="24"/>
        </w:rPr>
        <w:t>-owned banks, Uppsala Internationalisation Model, Resource-Based View and Sonali Bank.</w:t>
      </w:r>
    </w:p>
    <w:p w14:paraId="231F4305" w14:textId="77777777" w:rsidR="00221A60" w:rsidRPr="00B94F53" w:rsidRDefault="00221A60" w:rsidP="00534A7A">
      <w:pPr>
        <w:spacing w:line="360" w:lineRule="auto"/>
        <w:jc w:val="both"/>
        <w:rPr>
          <w:rFonts w:ascii="Times New Roman" w:hAnsi="Times New Roman" w:cs="Times New Roman"/>
          <w:sz w:val="24"/>
          <w:szCs w:val="24"/>
        </w:rPr>
      </w:pPr>
    </w:p>
    <w:p w14:paraId="17006387" w14:textId="77777777" w:rsidR="00221A60" w:rsidRPr="00B94F53" w:rsidRDefault="00221A60" w:rsidP="00534A7A">
      <w:pPr>
        <w:spacing w:line="360" w:lineRule="auto"/>
        <w:jc w:val="both"/>
        <w:rPr>
          <w:rFonts w:ascii="Times New Roman" w:hAnsi="Times New Roman" w:cs="Times New Roman"/>
          <w:sz w:val="24"/>
          <w:szCs w:val="24"/>
        </w:rPr>
      </w:pPr>
    </w:p>
    <w:p w14:paraId="30522EA9" w14:textId="77777777" w:rsidR="00BD3FFE" w:rsidRPr="00B94F53" w:rsidRDefault="00BD3FFE" w:rsidP="00793F11">
      <w:pPr>
        <w:pStyle w:val="Heading1"/>
        <w:jc w:val="left"/>
        <w:rPr>
          <w:rFonts w:ascii="Times New Roman" w:hAnsi="Times New Roman" w:cs="Times New Roman"/>
        </w:rPr>
        <w:sectPr w:rsidR="00BD3FFE" w:rsidRPr="00B94F53" w:rsidSect="00BD3FFE">
          <w:footerReference w:type="default" r:id="rId11"/>
          <w:pgSz w:w="11906" w:h="16838"/>
          <w:pgMar w:top="1440" w:right="1440" w:bottom="1440" w:left="1440" w:header="708" w:footer="708" w:gutter="0"/>
          <w:pgNumType w:fmt="lowerRoman"/>
          <w:cols w:space="720"/>
          <w:docGrid w:linePitch="360"/>
        </w:sectPr>
      </w:pPr>
    </w:p>
    <w:p w14:paraId="3F2A136F" w14:textId="77777777" w:rsidR="00675D5A" w:rsidRDefault="00675D5A" w:rsidP="00045607">
      <w:pPr>
        <w:pStyle w:val="Heading1"/>
        <w:rPr>
          <w:rFonts w:ascii="Times New Roman" w:hAnsi="Times New Roman" w:cs="Times New Roman"/>
        </w:rPr>
      </w:pPr>
      <w:bookmarkStart w:id="0" w:name="_Toc238117793"/>
    </w:p>
    <w:p w14:paraId="07A8C8A4" w14:textId="169DCF65" w:rsidR="00BC39D1" w:rsidRPr="00B94F53" w:rsidRDefault="00466143" w:rsidP="00045607">
      <w:pPr>
        <w:pStyle w:val="Heading1"/>
        <w:rPr>
          <w:rFonts w:ascii="Times New Roman" w:hAnsi="Times New Roman" w:cs="Times New Roman"/>
        </w:rPr>
      </w:pPr>
      <w:r w:rsidRPr="00B94F53">
        <w:rPr>
          <w:rFonts w:ascii="Times New Roman" w:hAnsi="Times New Roman" w:cs="Times New Roman"/>
        </w:rPr>
        <w:t>C</w:t>
      </w:r>
      <w:r w:rsidR="00B94F53" w:rsidRPr="00B94F53">
        <w:rPr>
          <w:rFonts w:ascii="Times New Roman" w:hAnsi="Times New Roman" w:cs="Times New Roman"/>
        </w:rPr>
        <w:t>hapter</w:t>
      </w:r>
      <w:r w:rsidRPr="00B94F53">
        <w:rPr>
          <w:rFonts w:ascii="Times New Roman" w:hAnsi="Times New Roman" w:cs="Times New Roman"/>
        </w:rPr>
        <w:t xml:space="preserve"> O</w:t>
      </w:r>
      <w:r w:rsidR="00B94F53" w:rsidRPr="00B94F53">
        <w:rPr>
          <w:rFonts w:ascii="Times New Roman" w:hAnsi="Times New Roman" w:cs="Times New Roman"/>
        </w:rPr>
        <w:t>ne</w:t>
      </w:r>
      <w:r w:rsidRPr="00B94F53">
        <w:rPr>
          <w:rFonts w:ascii="Times New Roman" w:hAnsi="Times New Roman" w:cs="Times New Roman"/>
        </w:rPr>
        <w:t>: I</w:t>
      </w:r>
      <w:r w:rsidR="00B94F53" w:rsidRPr="00B94F53">
        <w:rPr>
          <w:rFonts w:ascii="Times New Roman" w:hAnsi="Times New Roman" w:cs="Times New Roman"/>
        </w:rPr>
        <w:t>ntroduction</w:t>
      </w:r>
      <w:bookmarkEnd w:id="0"/>
    </w:p>
    <w:p w14:paraId="7125E935" w14:textId="77777777" w:rsidR="00BC39D1" w:rsidRPr="00B94F53" w:rsidRDefault="00466143" w:rsidP="00045607">
      <w:pPr>
        <w:pStyle w:val="Heading2"/>
        <w:rPr>
          <w:rFonts w:ascii="Times New Roman" w:hAnsi="Times New Roman" w:cs="Times New Roman"/>
        </w:rPr>
      </w:pPr>
      <w:bookmarkStart w:id="1" w:name="_Toc238117794"/>
      <w:r w:rsidRPr="00B94F53">
        <w:rPr>
          <w:rFonts w:ascii="Times New Roman" w:hAnsi="Times New Roman" w:cs="Times New Roman"/>
        </w:rPr>
        <w:t>1.1 Introduction</w:t>
      </w:r>
      <w:bookmarkEnd w:id="1"/>
    </w:p>
    <w:p w14:paraId="56D6EFB8" w14:textId="77777777" w:rsidR="00226F05" w:rsidRDefault="00226F05"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This chapter presents the research and the evolving strategic role of e-commerce integration in cross-border banking and remittance services, especially when the financial markets in which the banks operate are structurally different, like the United Kingdom and Bangladesh. With the rise of fintech innovation, mobile financial services, and open banking systems, digital financial services are increasingly playing a critical role in banks' cross-border payment, remittance transfer, and customer engagement capabilities (Chaffey and Ellis-Chadwick, 2022; KPMG, 2024).</w:t>
      </w:r>
    </w:p>
    <w:p w14:paraId="3FB377C5" w14:textId="77777777" w:rsidR="00CE32D9" w:rsidRDefault="00CE32D9" w:rsidP="009605C4">
      <w:pPr>
        <w:spacing w:before="120" w:after="120" w:line="360" w:lineRule="auto"/>
        <w:jc w:val="both"/>
        <w:rPr>
          <w:rFonts w:ascii="Times New Roman" w:hAnsi="Times New Roman" w:cs="Times New Roman"/>
          <w:sz w:val="24"/>
          <w:szCs w:val="24"/>
        </w:rPr>
      </w:pPr>
    </w:p>
    <w:p w14:paraId="4FBA5B9D" w14:textId="77777777" w:rsidR="00B94F53" w:rsidRDefault="00226F05"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chapter will also explain the research problem by detailing the strategic challenges which the largest state-owned commercial bank</w:t>
      </w:r>
      <w:r w:rsidR="009605C4" w:rsidRPr="00B94F53">
        <w:rPr>
          <w:rFonts w:ascii="Times New Roman" w:hAnsi="Times New Roman" w:cs="Times New Roman"/>
          <w:sz w:val="24"/>
          <w:szCs w:val="24"/>
        </w:rPr>
        <w:t>,</w:t>
      </w:r>
      <w:r w:rsidRPr="00B94F53">
        <w:rPr>
          <w:rFonts w:ascii="Times New Roman" w:hAnsi="Times New Roman" w:cs="Times New Roman"/>
          <w:sz w:val="24"/>
          <w:szCs w:val="24"/>
        </w:rPr>
        <w:t xml:space="preserve"> Sonali Bank</w:t>
      </w:r>
      <w:r w:rsidR="009605C4" w:rsidRPr="00B94F53">
        <w:rPr>
          <w:rFonts w:ascii="Times New Roman" w:hAnsi="Times New Roman" w:cs="Times New Roman"/>
          <w:sz w:val="24"/>
          <w:szCs w:val="24"/>
        </w:rPr>
        <w:t>,</w:t>
      </w:r>
      <w:r w:rsidRPr="00B94F53">
        <w:rPr>
          <w:rFonts w:ascii="Times New Roman" w:hAnsi="Times New Roman" w:cs="Times New Roman"/>
          <w:sz w:val="24"/>
          <w:szCs w:val="24"/>
        </w:rPr>
        <w:t xml:space="preserve"> is facing in maintaining effective </w:t>
      </w:r>
      <w:r w:rsidR="009605C4" w:rsidRPr="00B94F53">
        <w:rPr>
          <w:rFonts w:ascii="Times New Roman" w:hAnsi="Times New Roman" w:cs="Times New Roman"/>
          <w:sz w:val="24"/>
          <w:szCs w:val="24"/>
        </w:rPr>
        <w:t>e-commerce-integrated</w:t>
      </w:r>
      <w:r w:rsidRPr="00B94F53">
        <w:rPr>
          <w:rFonts w:ascii="Times New Roman" w:hAnsi="Times New Roman" w:cs="Times New Roman"/>
          <w:sz w:val="24"/>
          <w:szCs w:val="24"/>
        </w:rPr>
        <w:t xml:space="preserve"> banking and remittance services in the two regulatory and technological environments </w:t>
      </w:r>
      <w:r w:rsidR="009605C4" w:rsidRPr="00B94F53">
        <w:rPr>
          <w:rFonts w:ascii="Times New Roman" w:hAnsi="Times New Roman" w:cs="Times New Roman"/>
          <w:sz w:val="24"/>
          <w:szCs w:val="24"/>
        </w:rPr>
        <w:t xml:space="preserve">that </w:t>
      </w:r>
      <w:r w:rsidRPr="00B94F53">
        <w:rPr>
          <w:rFonts w:ascii="Times New Roman" w:hAnsi="Times New Roman" w:cs="Times New Roman"/>
          <w:sz w:val="24"/>
          <w:szCs w:val="24"/>
        </w:rPr>
        <w:t>differ significantly (Bangladesh Bank, 2025; ONS, 2025).</w:t>
      </w:r>
    </w:p>
    <w:p w14:paraId="111065EE" w14:textId="77777777" w:rsidR="00CE32D9" w:rsidRDefault="00CE32D9" w:rsidP="009605C4">
      <w:pPr>
        <w:spacing w:before="120" w:after="120" w:line="360" w:lineRule="auto"/>
        <w:jc w:val="both"/>
        <w:rPr>
          <w:rFonts w:ascii="Times New Roman" w:hAnsi="Times New Roman" w:cs="Times New Roman"/>
          <w:sz w:val="24"/>
          <w:szCs w:val="24"/>
        </w:rPr>
      </w:pPr>
    </w:p>
    <w:p w14:paraId="524904FC" w14:textId="3B5972B9" w:rsidR="00226F05" w:rsidRPr="00B94F53" w:rsidRDefault="00226F05"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Moreover, this chapter will justify the study of this area by the lack of research in the field of the role of state-owned banking institutions in bilateral </w:t>
      </w:r>
      <w:r w:rsidR="009605C4" w:rsidRPr="00B94F53">
        <w:rPr>
          <w:rFonts w:ascii="Times New Roman" w:hAnsi="Times New Roman" w:cs="Times New Roman"/>
          <w:sz w:val="24"/>
          <w:szCs w:val="24"/>
        </w:rPr>
        <w:t>e-commerce</w:t>
      </w:r>
      <w:r w:rsidRPr="00B94F53">
        <w:rPr>
          <w:rFonts w:ascii="Times New Roman" w:hAnsi="Times New Roman" w:cs="Times New Roman"/>
          <w:sz w:val="24"/>
          <w:szCs w:val="24"/>
        </w:rPr>
        <w:t xml:space="preserve"> and integration in remittance. The chapter will state the research question, aim and objectives for this investigation. Finally</w:t>
      </w:r>
      <w:r w:rsidR="009605C4" w:rsidRPr="00B94F53">
        <w:rPr>
          <w:rFonts w:ascii="Times New Roman" w:hAnsi="Times New Roman" w:cs="Times New Roman"/>
          <w:sz w:val="24"/>
          <w:szCs w:val="24"/>
        </w:rPr>
        <w:t>,</w:t>
      </w:r>
      <w:r w:rsidRPr="00B94F53">
        <w:rPr>
          <w:rFonts w:ascii="Times New Roman" w:hAnsi="Times New Roman" w:cs="Times New Roman"/>
          <w:sz w:val="24"/>
          <w:szCs w:val="24"/>
        </w:rPr>
        <w:t xml:space="preserve"> the meaning of the study in academic and practical aspects will be discussed</w:t>
      </w:r>
      <w:r w:rsidR="009605C4" w:rsidRPr="00B94F53">
        <w:rPr>
          <w:rFonts w:ascii="Times New Roman" w:hAnsi="Times New Roman" w:cs="Times New Roman"/>
          <w:sz w:val="24"/>
          <w:szCs w:val="24"/>
        </w:rPr>
        <w:t>,</w:t>
      </w:r>
      <w:r w:rsidRPr="00B94F53">
        <w:rPr>
          <w:rFonts w:ascii="Times New Roman" w:hAnsi="Times New Roman" w:cs="Times New Roman"/>
          <w:sz w:val="24"/>
          <w:szCs w:val="24"/>
        </w:rPr>
        <w:t xml:space="preserve"> and thereafter a conclusion of the chapter will be drawn.</w:t>
      </w:r>
    </w:p>
    <w:p w14:paraId="10293992" w14:textId="77777777" w:rsidR="00CE32D9" w:rsidRDefault="00CE32D9" w:rsidP="00045607">
      <w:pPr>
        <w:pStyle w:val="Heading2"/>
        <w:rPr>
          <w:rFonts w:ascii="Times New Roman" w:hAnsi="Times New Roman" w:cs="Times New Roman"/>
        </w:rPr>
      </w:pPr>
      <w:bookmarkStart w:id="2" w:name="_Toc238117795"/>
    </w:p>
    <w:p w14:paraId="77397C58" w14:textId="43CFA63D" w:rsidR="00BC39D1" w:rsidRPr="00B94F53" w:rsidRDefault="00466143" w:rsidP="00045607">
      <w:pPr>
        <w:pStyle w:val="Heading2"/>
        <w:rPr>
          <w:rFonts w:ascii="Times New Roman" w:hAnsi="Times New Roman" w:cs="Times New Roman"/>
        </w:rPr>
      </w:pPr>
      <w:r w:rsidRPr="00B94F53">
        <w:rPr>
          <w:rFonts w:ascii="Times New Roman" w:hAnsi="Times New Roman" w:cs="Times New Roman"/>
        </w:rPr>
        <w:t>1.2 Background of the Study</w:t>
      </w:r>
      <w:bookmarkEnd w:id="2"/>
    </w:p>
    <w:p w14:paraId="3B09D36C" w14:textId="77777777" w:rsidR="003418A4" w:rsidRPr="00B94F53" w:rsidRDefault="003418A4" w:rsidP="00BD3FFE">
      <w:pPr>
        <w:spacing w:line="360" w:lineRule="auto"/>
        <w:rPr>
          <w:rFonts w:ascii="Times New Roman" w:hAnsi="Times New Roman" w:cs="Times New Roman"/>
          <w:sz w:val="24"/>
          <w:szCs w:val="24"/>
        </w:rPr>
      </w:pPr>
      <w:r w:rsidRPr="00B94F53">
        <w:rPr>
          <w:rFonts w:ascii="Times New Roman" w:hAnsi="Times New Roman" w:cs="Times New Roman"/>
          <w:b/>
          <w:bCs/>
          <w:sz w:val="24"/>
          <w:szCs w:val="24"/>
        </w:rPr>
        <w:t>Table 1.1 Corporate Profile of Sonali Bank PLC</w:t>
      </w:r>
    </w:p>
    <w:tbl>
      <w:tblPr>
        <w:tblStyle w:val="TableGridLight"/>
        <w:tblW w:w="8772" w:type="dxa"/>
        <w:tblLook w:val="04A0" w:firstRow="1" w:lastRow="0" w:firstColumn="1" w:lastColumn="0" w:noHBand="0" w:noVBand="1"/>
      </w:tblPr>
      <w:tblGrid>
        <w:gridCol w:w="4014"/>
        <w:gridCol w:w="4758"/>
      </w:tblGrid>
      <w:tr w:rsidR="00BD3FFE" w:rsidRPr="00B94F53" w14:paraId="6CBC0AAA" w14:textId="77777777" w:rsidTr="008E3987">
        <w:trPr>
          <w:trHeight w:val="558"/>
        </w:trPr>
        <w:tc>
          <w:tcPr>
            <w:tcW w:w="0" w:type="auto"/>
            <w:hideMark/>
          </w:tcPr>
          <w:p w14:paraId="0300AAAF"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Indicator</w:t>
            </w:r>
          </w:p>
        </w:tc>
        <w:tc>
          <w:tcPr>
            <w:tcW w:w="0" w:type="auto"/>
            <w:hideMark/>
          </w:tcPr>
          <w:p w14:paraId="4BA0A3E3"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Information</w:t>
            </w:r>
          </w:p>
        </w:tc>
      </w:tr>
      <w:tr w:rsidR="00BD3FFE" w:rsidRPr="00B94F53" w14:paraId="07E7F5A4" w14:textId="77777777" w:rsidTr="008E3987">
        <w:trPr>
          <w:trHeight w:val="558"/>
        </w:trPr>
        <w:tc>
          <w:tcPr>
            <w:tcW w:w="0" w:type="auto"/>
            <w:hideMark/>
          </w:tcPr>
          <w:p w14:paraId="04F20C61"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Established</w:t>
            </w:r>
          </w:p>
        </w:tc>
        <w:tc>
          <w:tcPr>
            <w:tcW w:w="0" w:type="auto"/>
            <w:hideMark/>
          </w:tcPr>
          <w:p w14:paraId="54D19903"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1972</w:t>
            </w:r>
          </w:p>
        </w:tc>
      </w:tr>
      <w:tr w:rsidR="00BD3FFE" w:rsidRPr="00B94F53" w14:paraId="68C6FA93" w14:textId="77777777" w:rsidTr="008E3987">
        <w:trPr>
          <w:trHeight w:val="533"/>
        </w:trPr>
        <w:tc>
          <w:tcPr>
            <w:tcW w:w="0" w:type="auto"/>
            <w:hideMark/>
          </w:tcPr>
          <w:p w14:paraId="68C7371E"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Ownership</w:t>
            </w:r>
          </w:p>
        </w:tc>
        <w:tc>
          <w:tcPr>
            <w:tcW w:w="0" w:type="auto"/>
            <w:hideMark/>
          </w:tcPr>
          <w:p w14:paraId="3D9A6FFC"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Government of Bangladesh</w:t>
            </w:r>
          </w:p>
        </w:tc>
      </w:tr>
      <w:tr w:rsidR="00BD3FFE" w:rsidRPr="00B94F53" w14:paraId="5400E11C" w14:textId="77777777" w:rsidTr="008E3987">
        <w:trPr>
          <w:trHeight w:val="558"/>
        </w:trPr>
        <w:tc>
          <w:tcPr>
            <w:tcW w:w="0" w:type="auto"/>
            <w:hideMark/>
          </w:tcPr>
          <w:p w14:paraId="3487C60D"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lastRenderedPageBreak/>
              <w:t>Headquarters</w:t>
            </w:r>
          </w:p>
        </w:tc>
        <w:tc>
          <w:tcPr>
            <w:tcW w:w="0" w:type="auto"/>
            <w:hideMark/>
          </w:tcPr>
          <w:p w14:paraId="57C5A2BC" w14:textId="77777777" w:rsidR="003418A4" w:rsidRPr="00B94F53" w:rsidRDefault="003418A4" w:rsidP="003418A4">
            <w:pPr>
              <w:rPr>
                <w:rFonts w:ascii="Times New Roman" w:hAnsi="Times New Roman" w:cs="Times New Roman"/>
                <w:sz w:val="24"/>
                <w:szCs w:val="24"/>
              </w:rPr>
            </w:pPr>
            <w:proofErr w:type="spellStart"/>
            <w:r w:rsidRPr="00B94F53">
              <w:rPr>
                <w:rFonts w:ascii="Times New Roman" w:hAnsi="Times New Roman" w:cs="Times New Roman"/>
                <w:sz w:val="24"/>
                <w:szCs w:val="24"/>
              </w:rPr>
              <w:t>Motijheel</w:t>
            </w:r>
            <w:proofErr w:type="spellEnd"/>
            <w:r w:rsidRPr="00B94F53">
              <w:rPr>
                <w:rFonts w:ascii="Times New Roman" w:hAnsi="Times New Roman" w:cs="Times New Roman"/>
                <w:sz w:val="24"/>
                <w:szCs w:val="24"/>
              </w:rPr>
              <w:t>, Dhaka</w:t>
            </w:r>
          </w:p>
        </w:tc>
      </w:tr>
      <w:tr w:rsidR="00BD3FFE" w:rsidRPr="00B94F53" w14:paraId="350606EC" w14:textId="77777777" w:rsidTr="008E3987">
        <w:trPr>
          <w:trHeight w:val="558"/>
        </w:trPr>
        <w:tc>
          <w:tcPr>
            <w:tcW w:w="0" w:type="auto"/>
            <w:hideMark/>
          </w:tcPr>
          <w:p w14:paraId="40C8CEB5"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Total Branches</w:t>
            </w:r>
          </w:p>
        </w:tc>
        <w:tc>
          <w:tcPr>
            <w:tcW w:w="0" w:type="auto"/>
            <w:hideMark/>
          </w:tcPr>
          <w:p w14:paraId="72AEBFEE"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1,235</w:t>
            </w:r>
          </w:p>
        </w:tc>
      </w:tr>
      <w:tr w:rsidR="00BD3FFE" w:rsidRPr="00B94F53" w14:paraId="1A888791" w14:textId="77777777" w:rsidTr="008E3987">
        <w:trPr>
          <w:trHeight w:val="558"/>
        </w:trPr>
        <w:tc>
          <w:tcPr>
            <w:tcW w:w="0" w:type="auto"/>
            <w:hideMark/>
          </w:tcPr>
          <w:p w14:paraId="43445025"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Rural Branches</w:t>
            </w:r>
          </w:p>
        </w:tc>
        <w:tc>
          <w:tcPr>
            <w:tcW w:w="0" w:type="auto"/>
            <w:hideMark/>
          </w:tcPr>
          <w:p w14:paraId="2EC36F10"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697</w:t>
            </w:r>
          </w:p>
        </w:tc>
      </w:tr>
      <w:tr w:rsidR="00BD3FFE" w:rsidRPr="00B94F53" w14:paraId="58F132DB" w14:textId="77777777" w:rsidTr="008E3987">
        <w:trPr>
          <w:trHeight w:val="558"/>
        </w:trPr>
        <w:tc>
          <w:tcPr>
            <w:tcW w:w="0" w:type="auto"/>
            <w:hideMark/>
          </w:tcPr>
          <w:p w14:paraId="02C5757C"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Urban Branches</w:t>
            </w:r>
          </w:p>
        </w:tc>
        <w:tc>
          <w:tcPr>
            <w:tcW w:w="0" w:type="auto"/>
            <w:hideMark/>
          </w:tcPr>
          <w:p w14:paraId="6C38C52D"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536</w:t>
            </w:r>
          </w:p>
        </w:tc>
      </w:tr>
      <w:tr w:rsidR="00BD3FFE" w:rsidRPr="00B94F53" w14:paraId="03CC5A06" w14:textId="77777777" w:rsidTr="008E3987">
        <w:trPr>
          <w:trHeight w:val="558"/>
        </w:trPr>
        <w:tc>
          <w:tcPr>
            <w:tcW w:w="0" w:type="auto"/>
            <w:hideMark/>
          </w:tcPr>
          <w:p w14:paraId="3838CE81"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Foreign Branches</w:t>
            </w:r>
          </w:p>
        </w:tc>
        <w:tc>
          <w:tcPr>
            <w:tcW w:w="0" w:type="auto"/>
            <w:hideMark/>
          </w:tcPr>
          <w:p w14:paraId="7657079F"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2</w:t>
            </w:r>
          </w:p>
        </w:tc>
      </w:tr>
      <w:tr w:rsidR="00BD3FFE" w:rsidRPr="00B94F53" w14:paraId="018ACAF0" w14:textId="77777777" w:rsidTr="008E3987">
        <w:trPr>
          <w:trHeight w:val="533"/>
        </w:trPr>
        <w:tc>
          <w:tcPr>
            <w:tcW w:w="0" w:type="auto"/>
            <w:hideMark/>
          </w:tcPr>
          <w:p w14:paraId="51A64403"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Employees</w:t>
            </w:r>
          </w:p>
        </w:tc>
        <w:tc>
          <w:tcPr>
            <w:tcW w:w="0" w:type="auto"/>
            <w:hideMark/>
          </w:tcPr>
          <w:p w14:paraId="728C0AE4"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18,187</w:t>
            </w:r>
          </w:p>
        </w:tc>
      </w:tr>
      <w:tr w:rsidR="00BD3FFE" w:rsidRPr="00B94F53" w14:paraId="3D972C6F" w14:textId="77777777" w:rsidTr="008E3987">
        <w:trPr>
          <w:trHeight w:val="558"/>
        </w:trPr>
        <w:tc>
          <w:tcPr>
            <w:tcW w:w="0" w:type="auto"/>
            <w:hideMark/>
          </w:tcPr>
          <w:p w14:paraId="44980146"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Representative Offices</w:t>
            </w:r>
          </w:p>
        </w:tc>
        <w:tc>
          <w:tcPr>
            <w:tcW w:w="0" w:type="auto"/>
            <w:hideMark/>
          </w:tcPr>
          <w:p w14:paraId="1675BB17"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3</w:t>
            </w:r>
          </w:p>
        </w:tc>
      </w:tr>
      <w:tr w:rsidR="00BD3FFE" w:rsidRPr="00B94F53" w14:paraId="48DCBBA2" w14:textId="77777777" w:rsidTr="008E3987">
        <w:trPr>
          <w:trHeight w:val="558"/>
        </w:trPr>
        <w:tc>
          <w:tcPr>
            <w:tcW w:w="0" w:type="auto"/>
            <w:hideMark/>
          </w:tcPr>
          <w:p w14:paraId="6B907850"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Correspondent Banks</w:t>
            </w:r>
          </w:p>
        </w:tc>
        <w:tc>
          <w:tcPr>
            <w:tcW w:w="0" w:type="auto"/>
            <w:hideMark/>
          </w:tcPr>
          <w:p w14:paraId="206474AC"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639</w:t>
            </w:r>
          </w:p>
        </w:tc>
      </w:tr>
    </w:tbl>
    <w:p w14:paraId="38C7FF57" w14:textId="751D4C4B" w:rsidR="003418A4" w:rsidRPr="00B94F53" w:rsidRDefault="003418A4" w:rsidP="00BD3FFE">
      <w:pPr>
        <w:spacing w:line="360" w:lineRule="auto"/>
        <w:rPr>
          <w:rFonts w:ascii="Times New Roman" w:hAnsi="Times New Roman" w:cs="Times New Roman"/>
          <w:sz w:val="24"/>
          <w:szCs w:val="24"/>
        </w:rPr>
      </w:pPr>
      <w:r w:rsidRPr="00B94F53">
        <w:rPr>
          <w:rFonts w:ascii="Times New Roman" w:hAnsi="Times New Roman" w:cs="Times New Roman"/>
          <w:b/>
          <w:bCs/>
          <w:sz w:val="24"/>
          <w:szCs w:val="24"/>
        </w:rPr>
        <w:t>Source:</w:t>
      </w:r>
      <w:r w:rsidRPr="00B94F53">
        <w:rPr>
          <w:rFonts w:ascii="Times New Roman" w:hAnsi="Times New Roman" w:cs="Times New Roman"/>
          <w:sz w:val="24"/>
          <w:szCs w:val="24"/>
        </w:rPr>
        <w:t xml:space="preserve"> Sonali Bank PLC Annual Report and Corporate Profile.</w:t>
      </w:r>
    </w:p>
    <w:p w14:paraId="00846B3C" w14:textId="77777777" w:rsidR="00CE32D9" w:rsidRDefault="00CE32D9" w:rsidP="00226F05">
      <w:pPr>
        <w:spacing w:before="120" w:after="120" w:line="360" w:lineRule="auto"/>
        <w:jc w:val="both"/>
        <w:rPr>
          <w:rFonts w:ascii="Times New Roman" w:hAnsi="Times New Roman" w:cs="Times New Roman"/>
          <w:sz w:val="24"/>
          <w:szCs w:val="24"/>
        </w:rPr>
      </w:pPr>
    </w:p>
    <w:p w14:paraId="276AE0AC" w14:textId="6CB896F7"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Over the last decade, e-commerce has experienced unprecedented growth on a global scale, and the volume of cross-border trades in the e-commerce sector is expected to surpass $2 trillion by 2026 (Statista, 2025). The growth has also been accompanied by a parallel transformation in international banking and financial services, where e-commerce integration is not limited to retail platforms, but is a core part of how banks are transforming their remittance services, cross-border payments and engaging the diaspora customer segments (KPMG, 2024).</w:t>
      </w:r>
    </w:p>
    <w:p w14:paraId="03AACE41" w14:textId="77777777" w:rsidR="00CE32D9" w:rsidRDefault="00CE32D9" w:rsidP="00226F05">
      <w:pPr>
        <w:spacing w:before="120" w:after="120" w:line="360" w:lineRule="auto"/>
        <w:jc w:val="both"/>
        <w:rPr>
          <w:rFonts w:ascii="Times New Roman" w:hAnsi="Times New Roman" w:cs="Times New Roman"/>
          <w:sz w:val="24"/>
          <w:szCs w:val="24"/>
        </w:rPr>
      </w:pPr>
    </w:p>
    <w:p w14:paraId="4A39FB4E" w14:textId="255FEF54"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UK has one of the world's most sophisticated digital financial environments. The UK market is defined by high levels of digital and financial literacy, a strong open banking platform, and the Financial Conduct Authority (FCA) which places strong regulatory oversight on the sector (ONS, 2025). All banks that operate in this context have to meet high data protection standards under the UK GDPR, including the need to connect with increasingly complex fintech payment systems like Faster Payments and CHAPS, and ensure that they continue to meet the expectations of digitally savvy consumers, including a large population of the </w:t>
      </w:r>
      <w:r w:rsidR="00CE32D9" w:rsidRPr="00B94F53">
        <w:rPr>
          <w:rFonts w:ascii="Times New Roman" w:hAnsi="Times New Roman" w:cs="Times New Roman"/>
          <w:sz w:val="24"/>
          <w:szCs w:val="24"/>
        </w:rPr>
        <w:t>British Bangladeshi</w:t>
      </w:r>
      <w:r w:rsidRPr="00B94F53">
        <w:rPr>
          <w:rFonts w:ascii="Times New Roman" w:hAnsi="Times New Roman" w:cs="Times New Roman"/>
          <w:sz w:val="24"/>
          <w:szCs w:val="24"/>
        </w:rPr>
        <w:t xml:space="preserve"> expatriate community.</w:t>
      </w:r>
    </w:p>
    <w:p w14:paraId="72DEBE28" w14:textId="77777777" w:rsidR="00CE32D9" w:rsidRDefault="00CE32D9" w:rsidP="00226F05">
      <w:pPr>
        <w:spacing w:before="120" w:after="120" w:line="360" w:lineRule="auto"/>
        <w:jc w:val="both"/>
        <w:rPr>
          <w:rFonts w:ascii="Times New Roman" w:hAnsi="Times New Roman" w:cs="Times New Roman"/>
          <w:sz w:val="24"/>
          <w:szCs w:val="24"/>
        </w:rPr>
      </w:pPr>
    </w:p>
    <w:p w14:paraId="2D6AAA7E" w14:textId="311ED3E9"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In Bangladesh, however, the picture is quite </w:t>
      </w:r>
      <w:r w:rsidR="00CE32D9" w:rsidRPr="00B94F53">
        <w:rPr>
          <w:rFonts w:ascii="Times New Roman" w:hAnsi="Times New Roman" w:cs="Times New Roman"/>
          <w:sz w:val="24"/>
          <w:szCs w:val="24"/>
        </w:rPr>
        <w:t>different,</w:t>
      </w:r>
      <w:r w:rsidRPr="00B94F53">
        <w:rPr>
          <w:rFonts w:ascii="Times New Roman" w:hAnsi="Times New Roman" w:cs="Times New Roman"/>
          <w:sz w:val="24"/>
          <w:szCs w:val="24"/>
        </w:rPr>
        <w:t xml:space="preserve"> and the digital economy is a very dynamic one, defined by a different set of structural conditions. Mobile Financial Services </w:t>
      </w:r>
      <w:r w:rsidRPr="00B94F53">
        <w:rPr>
          <w:rFonts w:ascii="Times New Roman" w:hAnsi="Times New Roman" w:cs="Times New Roman"/>
          <w:sz w:val="24"/>
          <w:szCs w:val="24"/>
        </w:rPr>
        <w:lastRenderedPageBreak/>
        <w:t>(MFS) including bKash and Nagad are the dominant players in the payments market, driven by a mobile-first consumer base with relatively low formal banking adoption and high mobile and digital adoption (Bangladesh Bank, 2025). While foreign exchange regulations, regulatory fragmentation and infrastructural limitations remain in place, government-led digitalisation initiatives have quickened financial sector modernisation, leading to a faster pace of development in the financial services sector.</w:t>
      </w:r>
    </w:p>
    <w:p w14:paraId="1671C7AC"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39C60857" w14:textId="721924B1" w:rsidR="00BA3443"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Sonali Bank, the biggest State-owned commercial bank in Bangladesh, is an interesting institutional frame to explore this research problem. The bank has a wide nationwide retail banking network in Bangladesh and a branch in London for the British and Bangladeshi community in Britain (Sonali Bank Limited, 2024). The dual presence demands a migration to two structurally incompatible regulatory and technological environments: in the UK, it is necessary to do the job in the context of the regulatory requirements of the FCA, as well as the open banking ecosystem; in Bangladesh, the task is to be performed in the context of the regulatory requirements of the Bangladesh Bank, and to work with the mobile ecosystem, which is predominantly ‘</w:t>
      </w:r>
      <w:proofErr w:type="spellStart"/>
      <w:r w:rsidRPr="00B94F53">
        <w:rPr>
          <w:rFonts w:ascii="Times New Roman" w:hAnsi="Times New Roman" w:cs="Times New Roman"/>
          <w:sz w:val="24"/>
          <w:szCs w:val="24"/>
        </w:rPr>
        <w:t>mobi</w:t>
      </w:r>
      <w:proofErr w:type="spellEnd"/>
      <w:r w:rsidRPr="00B94F53">
        <w:rPr>
          <w:rFonts w:ascii="Times New Roman" w:hAnsi="Times New Roman" w:cs="Times New Roman"/>
          <w:sz w:val="24"/>
          <w:szCs w:val="24"/>
        </w:rPr>
        <w:t xml:space="preserve"> first', with systems like bKash. Sonali Bank is also a State-owned bank, therefore has governance and resource allocation limitations compared to privately owned banks in the same bilateral corridor (Boxall and Purcell, 2022).</w:t>
      </w:r>
    </w:p>
    <w:p w14:paraId="4639A4D9"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1AD57144" w14:textId="1ECA3552" w:rsidR="00BC5155" w:rsidRPr="00B94F53" w:rsidRDefault="00BC5155" w:rsidP="00BC5155">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Table 1.2: Bangladesh Remittance Inflows (2023–2025)</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3120"/>
        <w:gridCol w:w="3120"/>
      </w:tblGrid>
      <w:tr w:rsidR="00BD3FFE" w:rsidRPr="00B94F53" w14:paraId="747841FD" w14:textId="77777777">
        <w:trPr>
          <w:tblHeader/>
        </w:trPr>
        <w:tc>
          <w:tcPr>
            <w:tcW w:w="312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48FFFCB2" w14:textId="77777777" w:rsidR="00BA3443" w:rsidRPr="00B94F53" w:rsidRDefault="00BA3443" w:rsidP="00BD3FFE">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Year</w:t>
            </w:r>
          </w:p>
        </w:tc>
        <w:tc>
          <w:tcPr>
            <w:tcW w:w="312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1F8E1E45" w14:textId="77777777" w:rsidR="00BA3443" w:rsidRPr="00B94F53" w:rsidRDefault="00BA3443" w:rsidP="00BD3FFE">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Remittance Inflow (USD bn)</w:t>
            </w:r>
          </w:p>
        </w:tc>
        <w:tc>
          <w:tcPr>
            <w:tcW w:w="312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2A2BFC3C" w14:textId="77777777" w:rsidR="00BA3443" w:rsidRPr="00B94F53" w:rsidRDefault="00BA3443" w:rsidP="00BD3FFE">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Year-on-Year Change</w:t>
            </w:r>
          </w:p>
        </w:tc>
      </w:tr>
      <w:tr w:rsidR="00BD3FFE" w:rsidRPr="00B94F53" w14:paraId="02C0E8FD" w14:textId="77777777">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4888FF4"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2023</w:t>
            </w:r>
          </w:p>
        </w:tc>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6076605"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21.9</w:t>
            </w:r>
          </w:p>
        </w:tc>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24E1BA9D"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w:t>
            </w:r>
          </w:p>
        </w:tc>
      </w:tr>
      <w:tr w:rsidR="00BD3FFE" w:rsidRPr="00B94F53" w14:paraId="66162329" w14:textId="77777777">
        <w:tc>
          <w:tcPr>
            <w:tcW w:w="312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3DB6DE1E"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2024</w:t>
            </w:r>
          </w:p>
        </w:tc>
        <w:tc>
          <w:tcPr>
            <w:tcW w:w="312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2B74052F"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26.9</w:t>
            </w:r>
          </w:p>
        </w:tc>
        <w:tc>
          <w:tcPr>
            <w:tcW w:w="312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1CF7B637"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+22.7%</w:t>
            </w:r>
          </w:p>
        </w:tc>
      </w:tr>
      <w:tr w:rsidR="00BD3FFE" w:rsidRPr="00B94F53" w14:paraId="48EC4243" w14:textId="77777777">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7A4FCB29"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2025</w:t>
            </w:r>
          </w:p>
        </w:tc>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6231D9FB"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32.8</w:t>
            </w:r>
          </w:p>
        </w:tc>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2D845637"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+22.0%</w:t>
            </w:r>
          </w:p>
        </w:tc>
      </w:tr>
    </w:tbl>
    <w:p w14:paraId="506E2AAF" w14:textId="3B384045" w:rsidR="00BA3443" w:rsidRPr="00B94F53" w:rsidRDefault="00BA3443" w:rsidP="00BA3443">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Source: Bangladesh Bank (2025; 2026).</w:t>
      </w:r>
    </w:p>
    <w:p w14:paraId="46BFE191" w14:textId="77777777" w:rsidR="00CE32D9" w:rsidRDefault="00883424"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 </w:t>
      </w:r>
    </w:p>
    <w:p w14:paraId="5C5FF00A" w14:textId="2C76058E" w:rsidR="00883424" w:rsidRDefault="00883424"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The United Arab Emirates and Saudi Arabia are the top remittance providers to Bangladesh, while the United States and the United Kingdom are also significant contributors, as per Bangladesh Bank's statistics (2025). The size and sustainability of the remittance inflows clearly indicate the significance of remittance service as a strategic and national business for Sonali bank and for the country.</w:t>
      </w:r>
    </w:p>
    <w:p w14:paraId="2CF44C0F"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3E685D77" w14:textId="5B1D8E0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Institutional Profile of Sonali Bank</w:t>
      </w:r>
    </w:p>
    <w:p w14:paraId="44D67C44" w14:textId="7777777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History and Ownership</w:t>
      </w:r>
    </w:p>
    <w:p w14:paraId="736A14F7" w14:textId="4BC044D1" w:rsidR="00BD4C8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Sonali Bank PLC was established in 1972 when the then National Bank of Pakistan, Bank of Bahawalpur and Premier Bank branches were merged and nationalised in the newly formed independent Bangladesh (Sonali Bank Limited, 2024). The bank's public mandate, which was given since its inception, goes beyond conventional commercial banking, and involves the mobilization of domestic capital deposits; the financing of trade, and the extension of credit to sectors considered as essential to the reconstruction of a newly sovereign economy. Whilst the Bank is completely owned by the Government of Bangladesh, the Board of Directors is accountable to the Government’s policy goals </w:t>
      </w:r>
      <w:r w:rsidR="001D77AC" w:rsidRPr="00B94F53">
        <w:rPr>
          <w:rFonts w:ascii="Times New Roman" w:hAnsi="Times New Roman" w:cs="Times New Roman"/>
          <w:sz w:val="24"/>
          <w:szCs w:val="24"/>
        </w:rPr>
        <w:t>and</w:t>
      </w:r>
      <w:r w:rsidRPr="00B94F53">
        <w:rPr>
          <w:rFonts w:ascii="Times New Roman" w:hAnsi="Times New Roman" w:cs="Times New Roman"/>
          <w:sz w:val="24"/>
          <w:szCs w:val="24"/>
        </w:rPr>
        <w:t xml:space="preserve"> to conventional banking performance measures, a dual accountability that is repeated when </w:t>
      </w:r>
      <w:r w:rsidR="00AB4650" w:rsidRPr="00B94F53">
        <w:rPr>
          <w:rFonts w:ascii="Times New Roman" w:hAnsi="Times New Roman" w:cs="Times New Roman"/>
          <w:sz w:val="24"/>
          <w:szCs w:val="24"/>
        </w:rPr>
        <w:t>analysing</w:t>
      </w:r>
      <w:r w:rsidRPr="00B94F53">
        <w:rPr>
          <w:rFonts w:ascii="Times New Roman" w:hAnsi="Times New Roman" w:cs="Times New Roman"/>
          <w:sz w:val="24"/>
          <w:szCs w:val="24"/>
        </w:rPr>
        <w:t xml:space="preserve"> the bank's marketing, financial and human capital strategy (Boxall and Purcell, 2022).</w:t>
      </w:r>
    </w:p>
    <w:p w14:paraId="0655CAAA" w14:textId="77777777" w:rsidR="00CE32D9" w:rsidRPr="00B94F53" w:rsidRDefault="00CE32D9" w:rsidP="00BD4C83">
      <w:pPr>
        <w:spacing w:before="120" w:after="120" w:line="360" w:lineRule="auto"/>
        <w:jc w:val="both"/>
        <w:rPr>
          <w:rFonts w:ascii="Times New Roman" w:hAnsi="Times New Roman" w:cs="Times New Roman"/>
          <w:sz w:val="24"/>
          <w:szCs w:val="24"/>
        </w:rPr>
      </w:pPr>
    </w:p>
    <w:p w14:paraId="47B346E2" w14:textId="7777777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Headquarters, Scale and Branch Network.</w:t>
      </w:r>
    </w:p>
    <w:p w14:paraId="1637B7A7" w14:textId="19D64275" w:rsidR="00CE32D9"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bank's head office at Dhaka is situated in </w:t>
      </w:r>
      <w:proofErr w:type="spellStart"/>
      <w:r w:rsidRPr="00B94F53">
        <w:rPr>
          <w:rFonts w:ascii="Times New Roman" w:hAnsi="Times New Roman" w:cs="Times New Roman"/>
          <w:sz w:val="24"/>
          <w:szCs w:val="24"/>
        </w:rPr>
        <w:t>Motijheel</w:t>
      </w:r>
      <w:proofErr w:type="spellEnd"/>
      <w:r w:rsidRPr="00B94F53">
        <w:rPr>
          <w:rFonts w:ascii="Times New Roman" w:hAnsi="Times New Roman" w:cs="Times New Roman"/>
          <w:sz w:val="24"/>
          <w:szCs w:val="24"/>
        </w:rPr>
        <w:t>, the main commercial hub of Dhaka city. Sonali Bank PLC is the largest state-owned commercial bank in Bangladesh with 1235 branches of which 697 are rural and 536 are urban branches, 3 Representative Office, 639 Correspondent Banking Network with around 18187/18257 employees based in the reporting year (Sonali Bank Limited, 2024). This density of presence, which is not found in any of the private banks in Bangladesh, provides Sonali Bank with a unique mix of sophisticated rural and urban reach, and hence challenging organisational and human capital management issues, which are discussed below in Section 2.3.5 and 2.3.6.</w:t>
      </w:r>
    </w:p>
    <w:p w14:paraId="2F08B4EF" w14:textId="77777777" w:rsidR="00CE32D9" w:rsidRDefault="00CE32D9" w:rsidP="00BD4C83">
      <w:pPr>
        <w:spacing w:before="120" w:after="120" w:line="360" w:lineRule="auto"/>
        <w:jc w:val="both"/>
        <w:rPr>
          <w:rFonts w:ascii="Times New Roman" w:hAnsi="Times New Roman" w:cs="Times New Roman"/>
          <w:sz w:val="24"/>
          <w:szCs w:val="24"/>
        </w:rPr>
      </w:pPr>
    </w:p>
    <w:p w14:paraId="4C2D8FED" w14:textId="728D3A76" w:rsidR="00BD4C83" w:rsidRPr="00CE32D9"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United Kingdom Operations</w:t>
      </w:r>
    </w:p>
    <w:p w14:paraId="5569F377" w14:textId="70DCBC31" w:rsidR="00BD4C8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This institutional discontinuity between the previous six-branch retail structure and the current, more focussed SBUK entity is analytically important for this dissertation as it directly illustrates the type of regulatory and governance constraint discussed in the Resource-Based View analysis in Section 2.3.2 and 2.5; a state-owned institution's market position in the UK has been altered, not only through commercial strategy, but also by compliance and governance pressures within the FCA's regulatory framework.</w:t>
      </w:r>
    </w:p>
    <w:p w14:paraId="58204B97" w14:textId="77777777" w:rsidR="00CE32D9" w:rsidRPr="00B94F53" w:rsidRDefault="00CE32D9" w:rsidP="00BD4C83">
      <w:pPr>
        <w:spacing w:before="120" w:after="120" w:line="360" w:lineRule="auto"/>
        <w:jc w:val="both"/>
        <w:rPr>
          <w:rFonts w:ascii="Times New Roman" w:hAnsi="Times New Roman" w:cs="Times New Roman"/>
          <w:sz w:val="24"/>
          <w:szCs w:val="24"/>
        </w:rPr>
      </w:pPr>
    </w:p>
    <w:p w14:paraId="0BA43FF3" w14:textId="7777777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Products, Services and Digital Banking Initiatives</w:t>
      </w:r>
    </w:p>
    <w:p w14:paraId="2D91203E" w14:textId="77777777" w:rsidR="00BD4C8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the UK, SBUK's digital transformation has been somewhat different in keeping with the business it operates in, and is regulated by the FCA, a corporate and trade finance company. SBUK has recently announced in October 2024, that it has chosen to replace its previous core banking system (Intellect Design) with the new software-as-a-service (SaaS) core banking platform (CBS) “Finastra Essence” deployed on Microsoft Azure Cloud with a clear vision of supporting conventional and Shariah-compliant digital products through one modernised platform for its corporate and banking clients (Finastra, 2025). SBUK's Chief Executive Officer explained how the UK operation was looking to leverage its digital transformation around trade finance and corporate banking customers, in contrast to a retail proposition (Finastra, 2025).</w:t>
      </w:r>
    </w:p>
    <w:p w14:paraId="38EC32D2" w14:textId="77777777" w:rsidR="00CE32D9" w:rsidRPr="00B94F53" w:rsidRDefault="00CE32D9" w:rsidP="00BD4C83">
      <w:pPr>
        <w:spacing w:before="120" w:after="120" w:line="360" w:lineRule="auto"/>
        <w:jc w:val="both"/>
        <w:rPr>
          <w:rFonts w:ascii="Times New Roman" w:hAnsi="Times New Roman" w:cs="Times New Roman"/>
          <w:sz w:val="24"/>
          <w:szCs w:val="24"/>
        </w:rPr>
      </w:pPr>
    </w:p>
    <w:p w14:paraId="338EC57D" w14:textId="7777777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Financial Performance</w:t>
      </w:r>
    </w:p>
    <w:p w14:paraId="54ABBB9A" w14:textId="65679B6B" w:rsidR="00BD4C8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As </w:t>
      </w:r>
      <w:r w:rsidR="00786578" w:rsidRPr="00B94F53">
        <w:rPr>
          <w:rFonts w:ascii="Times New Roman" w:hAnsi="Times New Roman" w:cs="Times New Roman"/>
          <w:sz w:val="24"/>
          <w:szCs w:val="24"/>
        </w:rPr>
        <w:t xml:space="preserve">of </w:t>
      </w:r>
      <w:r w:rsidR="00786578">
        <w:rPr>
          <w:rFonts w:ascii="Times New Roman" w:hAnsi="Times New Roman" w:cs="Times New Roman"/>
          <w:sz w:val="24"/>
          <w:szCs w:val="24"/>
        </w:rPr>
        <w:t>December</w:t>
      </w:r>
      <w:r w:rsidRPr="00B94F53">
        <w:rPr>
          <w:rFonts w:ascii="Times New Roman" w:hAnsi="Times New Roman" w:cs="Times New Roman"/>
          <w:sz w:val="24"/>
          <w:szCs w:val="24"/>
        </w:rPr>
        <w:t xml:space="preserve"> 2023, the consolidated Sonali Bank PLC had assets worth approximately BDT 1,981.13 billion (USD 16 billion), revenue of approximately BDT 38.46 billion (USD 320 million), and net income of approximately BDT 6.51 billion (USD 53 million) for the 2023 fiscal year (Wikipedia, 2026, based on company disclosures). In the past, SBUK's UK subsidiary has been of a relatively low size, with its total assets being approximately GBP 165.05 million as at 2021 (compared to GBP 131.44 million in 2020) (TheBanks.eu, 2026). Although the figures of assets in the UK are not always fully and publicly available, the scale difference between the Bangladesh parent and the UK subsidiary shows in this instance the asymmetry between the dominant market position of Sonali Bank in its home country and the comparatively small, specialised footprint in the UK, a structural difference which reoccurs in the comparative financial strategy discussion in Section 2.3.4.</w:t>
      </w:r>
    </w:p>
    <w:p w14:paraId="6C2B2CE3" w14:textId="77777777" w:rsidR="00CE32D9" w:rsidRDefault="00CE32D9" w:rsidP="00BD4C83">
      <w:pPr>
        <w:spacing w:before="120" w:after="120" w:line="360" w:lineRule="auto"/>
        <w:jc w:val="both"/>
        <w:rPr>
          <w:rFonts w:ascii="Times New Roman" w:hAnsi="Times New Roman" w:cs="Times New Roman"/>
          <w:sz w:val="24"/>
          <w:szCs w:val="24"/>
        </w:rPr>
      </w:pPr>
    </w:p>
    <w:p w14:paraId="12FBA27F" w14:textId="77777777" w:rsidR="00CE32D9" w:rsidRDefault="00CE32D9" w:rsidP="00BD4C83">
      <w:pPr>
        <w:spacing w:before="120" w:after="120" w:line="360" w:lineRule="auto"/>
        <w:jc w:val="both"/>
        <w:rPr>
          <w:rFonts w:ascii="Times New Roman" w:hAnsi="Times New Roman" w:cs="Times New Roman"/>
          <w:sz w:val="24"/>
          <w:szCs w:val="24"/>
        </w:rPr>
      </w:pPr>
    </w:p>
    <w:p w14:paraId="3AD27497" w14:textId="77777777" w:rsidR="00CE32D9" w:rsidRPr="00B94F53" w:rsidRDefault="00CE32D9" w:rsidP="00BD4C83">
      <w:pPr>
        <w:spacing w:before="120" w:after="120" w:line="360" w:lineRule="auto"/>
        <w:jc w:val="both"/>
        <w:rPr>
          <w:rFonts w:ascii="Times New Roman" w:hAnsi="Times New Roman" w:cs="Times New Roman"/>
          <w:sz w:val="24"/>
          <w:szCs w:val="24"/>
        </w:rPr>
      </w:pPr>
    </w:p>
    <w:p w14:paraId="2FF6E3C3" w14:textId="77777777" w:rsidR="002651E4" w:rsidRPr="00B94F53" w:rsidRDefault="002651E4" w:rsidP="00BD4C83">
      <w:pPr>
        <w:spacing w:before="120" w:after="120" w:line="360" w:lineRule="auto"/>
        <w:jc w:val="both"/>
        <w:rPr>
          <w:rFonts w:ascii="Times New Roman" w:hAnsi="Times New Roman" w:cs="Times New Roman"/>
          <w:sz w:val="24"/>
          <w:szCs w:val="24"/>
        </w:rPr>
      </w:pPr>
    </w:p>
    <w:p w14:paraId="0385CCFE" w14:textId="30E53956" w:rsidR="00BD4C83" w:rsidRPr="00B94F53" w:rsidRDefault="00BD4C83" w:rsidP="00BD4C83">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Table</w:t>
      </w:r>
      <w:r w:rsidR="005D44D3" w:rsidRPr="00B94F53">
        <w:rPr>
          <w:rFonts w:ascii="Times New Roman" w:hAnsi="Times New Roman" w:cs="Times New Roman"/>
          <w:b/>
          <w:bCs/>
          <w:sz w:val="24"/>
          <w:szCs w:val="24"/>
        </w:rPr>
        <w:t xml:space="preserve"> 1.3:</w:t>
      </w:r>
      <w:r w:rsidRPr="00B94F53">
        <w:rPr>
          <w:rFonts w:ascii="Times New Roman" w:hAnsi="Times New Roman" w:cs="Times New Roman"/>
          <w:b/>
          <w:bCs/>
          <w:sz w:val="24"/>
          <w:szCs w:val="24"/>
        </w:rPr>
        <w:t xml:space="preserve"> Corporate Profile of Sonali Bank PLC and its UK Operations</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31"/>
        <w:gridCol w:w="3460"/>
        <w:gridCol w:w="3460"/>
      </w:tblGrid>
      <w:tr w:rsidR="00BD3FFE" w:rsidRPr="00B94F53" w14:paraId="08F8392D" w14:textId="77777777" w:rsidTr="002651E4">
        <w:trPr>
          <w:trHeight w:val="676"/>
        </w:trPr>
        <w:tc>
          <w:tcPr>
            <w:tcW w:w="2431" w:type="dxa"/>
            <w:tcBorders>
              <w:top w:val="single" w:sz="4" w:space="0" w:color="auto"/>
              <w:left w:val="single" w:sz="4" w:space="0" w:color="auto"/>
              <w:bottom w:val="single" w:sz="4" w:space="0" w:color="auto"/>
              <w:right w:val="single" w:sz="4" w:space="0" w:color="auto"/>
            </w:tcBorders>
            <w:shd w:val="clear" w:color="auto" w:fill="1F3864"/>
            <w:hideMark/>
          </w:tcPr>
          <w:p w14:paraId="3F15EB23" w14:textId="77777777" w:rsidR="00BD4C83" w:rsidRPr="00B94F53" w:rsidRDefault="00BD4C83"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Indicator</w:t>
            </w:r>
          </w:p>
        </w:tc>
        <w:tc>
          <w:tcPr>
            <w:tcW w:w="3460" w:type="dxa"/>
            <w:tcBorders>
              <w:top w:val="single" w:sz="4" w:space="0" w:color="auto"/>
              <w:left w:val="single" w:sz="4" w:space="0" w:color="auto"/>
              <w:bottom w:val="single" w:sz="4" w:space="0" w:color="auto"/>
              <w:right w:val="single" w:sz="4" w:space="0" w:color="auto"/>
            </w:tcBorders>
            <w:shd w:val="clear" w:color="auto" w:fill="1F3864"/>
            <w:hideMark/>
          </w:tcPr>
          <w:p w14:paraId="46EA86C4" w14:textId="77777777" w:rsidR="00BD4C83" w:rsidRPr="00B94F53" w:rsidRDefault="00BD4C83"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Bangladesh (Sonali Bank PLC)</w:t>
            </w:r>
          </w:p>
        </w:tc>
        <w:tc>
          <w:tcPr>
            <w:tcW w:w="3460" w:type="dxa"/>
            <w:tcBorders>
              <w:top w:val="single" w:sz="4" w:space="0" w:color="auto"/>
              <w:left w:val="single" w:sz="4" w:space="0" w:color="auto"/>
              <w:bottom w:val="single" w:sz="4" w:space="0" w:color="auto"/>
              <w:right w:val="single" w:sz="4" w:space="0" w:color="auto"/>
            </w:tcBorders>
            <w:shd w:val="clear" w:color="auto" w:fill="1F3864"/>
            <w:hideMark/>
          </w:tcPr>
          <w:p w14:paraId="2E40DA02" w14:textId="77777777" w:rsidR="00BD4C83" w:rsidRPr="00B94F53" w:rsidRDefault="00BD4C83"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United Kingdom (SBUK)</w:t>
            </w:r>
          </w:p>
        </w:tc>
      </w:tr>
      <w:tr w:rsidR="00BD3FFE" w:rsidRPr="00B94F53" w14:paraId="78167477"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hideMark/>
          </w:tcPr>
          <w:p w14:paraId="35B61A8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Established</w:t>
            </w:r>
          </w:p>
        </w:tc>
        <w:tc>
          <w:tcPr>
            <w:tcW w:w="3460" w:type="dxa"/>
            <w:tcBorders>
              <w:top w:val="single" w:sz="4" w:space="0" w:color="auto"/>
              <w:left w:val="single" w:sz="4" w:space="0" w:color="auto"/>
              <w:bottom w:val="single" w:sz="4" w:space="0" w:color="auto"/>
              <w:right w:val="single" w:sz="4" w:space="0" w:color="auto"/>
            </w:tcBorders>
            <w:hideMark/>
          </w:tcPr>
          <w:p w14:paraId="2624D38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1972</w:t>
            </w:r>
          </w:p>
        </w:tc>
        <w:tc>
          <w:tcPr>
            <w:tcW w:w="3460" w:type="dxa"/>
            <w:tcBorders>
              <w:top w:val="single" w:sz="4" w:space="0" w:color="auto"/>
              <w:left w:val="single" w:sz="4" w:space="0" w:color="auto"/>
              <w:bottom w:val="single" w:sz="4" w:space="0" w:color="auto"/>
              <w:right w:val="single" w:sz="4" w:space="0" w:color="auto"/>
            </w:tcBorders>
            <w:hideMark/>
          </w:tcPr>
          <w:p w14:paraId="6DD3F978"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1973 (UK presence); reconstituted 2022</w:t>
            </w:r>
          </w:p>
        </w:tc>
      </w:tr>
      <w:tr w:rsidR="00BD3FFE" w:rsidRPr="00B94F53" w14:paraId="04981C5F"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shd w:val="clear" w:color="auto" w:fill="EAF0F8"/>
            <w:hideMark/>
          </w:tcPr>
          <w:p w14:paraId="107EED73"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Ownership</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7067FDC3"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Government of Bangladesh (100%)</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607F0964"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Subsidiary of Sonali Bank PLC</w:t>
            </w:r>
          </w:p>
        </w:tc>
      </w:tr>
      <w:tr w:rsidR="00BD3FFE" w:rsidRPr="00B94F53" w14:paraId="005E3FB6"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hideMark/>
          </w:tcPr>
          <w:p w14:paraId="5A85103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Headquarters</w:t>
            </w:r>
          </w:p>
        </w:tc>
        <w:tc>
          <w:tcPr>
            <w:tcW w:w="3460" w:type="dxa"/>
            <w:tcBorders>
              <w:top w:val="single" w:sz="4" w:space="0" w:color="auto"/>
              <w:left w:val="single" w:sz="4" w:space="0" w:color="auto"/>
              <w:bottom w:val="single" w:sz="4" w:space="0" w:color="auto"/>
              <w:right w:val="single" w:sz="4" w:space="0" w:color="auto"/>
            </w:tcBorders>
            <w:hideMark/>
          </w:tcPr>
          <w:p w14:paraId="3DCC3EE3" w14:textId="77777777" w:rsidR="00BD4C83" w:rsidRPr="00B94F53" w:rsidRDefault="00BD4C83" w:rsidP="00BD4C83">
            <w:pPr>
              <w:spacing w:before="120" w:after="120" w:line="360" w:lineRule="auto"/>
              <w:jc w:val="both"/>
              <w:rPr>
                <w:rFonts w:ascii="Times New Roman" w:hAnsi="Times New Roman" w:cs="Times New Roman"/>
                <w:sz w:val="24"/>
                <w:szCs w:val="24"/>
              </w:rPr>
            </w:pPr>
            <w:proofErr w:type="spellStart"/>
            <w:r w:rsidRPr="00B94F53">
              <w:rPr>
                <w:rFonts w:ascii="Times New Roman" w:hAnsi="Times New Roman" w:cs="Times New Roman"/>
                <w:sz w:val="24"/>
                <w:szCs w:val="24"/>
              </w:rPr>
              <w:t>Motijheel</w:t>
            </w:r>
            <w:proofErr w:type="spellEnd"/>
            <w:r w:rsidRPr="00B94F53">
              <w:rPr>
                <w:rFonts w:ascii="Times New Roman" w:hAnsi="Times New Roman" w:cs="Times New Roman"/>
                <w:sz w:val="24"/>
                <w:szCs w:val="24"/>
              </w:rPr>
              <w:t>, Dhaka</w:t>
            </w:r>
          </w:p>
        </w:tc>
        <w:tc>
          <w:tcPr>
            <w:tcW w:w="3460" w:type="dxa"/>
            <w:tcBorders>
              <w:top w:val="single" w:sz="4" w:space="0" w:color="auto"/>
              <w:left w:val="single" w:sz="4" w:space="0" w:color="auto"/>
              <w:bottom w:val="single" w:sz="4" w:space="0" w:color="auto"/>
              <w:right w:val="single" w:sz="4" w:space="0" w:color="auto"/>
            </w:tcBorders>
            <w:hideMark/>
          </w:tcPr>
          <w:p w14:paraId="5F955EAF"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London (29-33 Osborn Street, E1 6TD)</w:t>
            </w:r>
          </w:p>
        </w:tc>
      </w:tr>
      <w:tr w:rsidR="00BD3FFE" w:rsidRPr="00B94F53" w14:paraId="57896667" w14:textId="77777777" w:rsidTr="002651E4">
        <w:trPr>
          <w:trHeight w:val="1979"/>
        </w:trPr>
        <w:tc>
          <w:tcPr>
            <w:tcW w:w="2431" w:type="dxa"/>
            <w:tcBorders>
              <w:top w:val="single" w:sz="4" w:space="0" w:color="auto"/>
              <w:left w:val="single" w:sz="4" w:space="0" w:color="auto"/>
              <w:bottom w:val="single" w:sz="4" w:space="0" w:color="auto"/>
              <w:right w:val="single" w:sz="4" w:space="0" w:color="auto"/>
            </w:tcBorders>
            <w:shd w:val="clear" w:color="auto" w:fill="EAF0F8"/>
            <w:hideMark/>
          </w:tcPr>
          <w:p w14:paraId="3ABEDE51"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Branches / offices</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4763A1EB"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1,235 total (697 rural, 536 urban)</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54478A17"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Formerly 6 (London, Luton, Birmingham, Bradford, Manchester, Camden); now consolidated</w:t>
            </w:r>
          </w:p>
        </w:tc>
      </w:tr>
      <w:tr w:rsidR="00BD3FFE" w:rsidRPr="00B94F53" w14:paraId="40C5E525" w14:textId="77777777" w:rsidTr="002651E4">
        <w:trPr>
          <w:trHeight w:val="676"/>
        </w:trPr>
        <w:tc>
          <w:tcPr>
            <w:tcW w:w="2431" w:type="dxa"/>
            <w:tcBorders>
              <w:top w:val="single" w:sz="4" w:space="0" w:color="auto"/>
              <w:left w:val="single" w:sz="4" w:space="0" w:color="auto"/>
              <w:bottom w:val="single" w:sz="4" w:space="0" w:color="auto"/>
              <w:right w:val="single" w:sz="4" w:space="0" w:color="auto"/>
            </w:tcBorders>
            <w:hideMark/>
          </w:tcPr>
          <w:p w14:paraId="4D2A534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Employees</w:t>
            </w:r>
          </w:p>
        </w:tc>
        <w:tc>
          <w:tcPr>
            <w:tcW w:w="3460" w:type="dxa"/>
            <w:tcBorders>
              <w:top w:val="single" w:sz="4" w:space="0" w:color="auto"/>
              <w:left w:val="single" w:sz="4" w:space="0" w:color="auto"/>
              <w:bottom w:val="single" w:sz="4" w:space="0" w:color="auto"/>
              <w:right w:val="single" w:sz="4" w:space="0" w:color="auto"/>
            </w:tcBorders>
            <w:hideMark/>
          </w:tcPr>
          <w:p w14:paraId="6BC9F780"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≈18,187–18,257</w:t>
            </w:r>
          </w:p>
        </w:tc>
        <w:tc>
          <w:tcPr>
            <w:tcW w:w="3460" w:type="dxa"/>
            <w:tcBorders>
              <w:top w:val="single" w:sz="4" w:space="0" w:color="auto"/>
              <w:left w:val="single" w:sz="4" w:space="0" w:color="auto"/>
              <w:bottom w:val="single" w:sz="4" w:space="0" w:color="auto"/>
              <w:right w:val="single" w:sz="4" w:space="0" w:color="auto"/>
            </w:tcBorders>
            <w:hideMark/>
          </w:tcPr>
          <w:p w14:paraId="3E28DD7D"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Not separately disclosed</w:t>
            </w:r>
          </w:p>
        </w:tc>
      </w:tr>
      <w:tr w:rsidR="00BD3FFE" w:rsidRPr="00B94F53" w14:paraId="6817FDF9" w14:textId="77777777" w:rsidTr="002651E4">
        <w:trPr>
          <w:trHeight w:val="676"/>
        </w:trPr>
        <w:tc>
          <w:tcPr>
            <w:tcW w:w="2431" w:type="dxa"/>
            <w:tcBorders>
              <w:top w:val="single" w:sz="4" w:space="0" w:color="auto"/>
              <w:left w:val="single" w:sz="4" w:space="0" w:color="auto"/>
              <w:bottom w:val="single" w:sz="4" w:space="0" w:color="auto"/>
              <w:right w:val="single" w:sz="4" w:space="0" w:color="auto"/>
            </w:tcBorders>
            <w:shd w:val="clear" w:color="auto" w:fill="EAF0F8"/>
            <w:hideMark/>
          </w:tcPr>
          <w:p w14:paraId="02F48307"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Regulator</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79535B10"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Bangladesh Bank</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0DD96583"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Financial Conduct Authority (FCA)</w:t>
            </w:r>
          </w:p>
        </w:tc>
      </w:tr>
      <w:tr w:rsidR="00BD3FFE" w:rsidRPr="00B94F53" w14:paraId="5D2A1D98"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hideMark/>
          </w:tcPr>
          <w:p w14:paraId="7B7719D0"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Core banking platform</w:t>
            </w:r>
          </w:p>
        </w:tc>
        <w:tc>
          <w:tcPr>
            <w:tcW w:w="3460" w:type="dxa"/>
            <w:tcBorders>
              <w:top w:val="single" w:sz="4" w:space="0" w:color="auto"/>
              <w:left w:val="single" w:sz="4" w:space="0" w:color="auto"/>
              <w:bottom w:val="single" w:sz="4" w:space="0" w:color="auto"/>
              <w:right w:val="single" w:sz="4" w:space="0" w:color="auto"/>
            </w:tcBorders>
            <w:hideMark/>
          </w:tcPr>
          <w:p w14:paraId="23263108"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Domestic core banking + Sonali </w:t>
            </w:r>
            <w:proofErr w:type="spellStart"/>
            <w:r w:rsidRPr="00B94F53">
              <w:rPr>
                <w:rFonts w:ascii="Times New Roman" w:hAnsi="Times New Roman" w:cs="Times New Roman"/>
                <w:sz w:val="24"/>
                <w:szCs w:val="24"/>
              </w:rPr>
              <w:t>eSheba</w:t>
            </w:r>
            <w:proofErr w:type="spellEnd"/>
            <w:r w:rsidRPr="00B94F53">
              <w:rPr>
                <w:rFonts w:ascii="Times New Roman" w:hAnsi="Times New Roman" w:cs="Times New Roman"/>
                <w:sz w:val="24"/>
                <w:szCs w:val="24"/>
              </w:rPr>
              <w:t xml:space="preserve">, e-Wallet, </w:t>
            </w:r>
            <w:proofErr w:type="spellStart"/>
            <w:r w:rsidRPr="00B94F53">
              <w:rPr>
                <w:rFonts w:ascii="Times New Roman" w:hAnsi="Times New Roman" w:cs="Times New Roman"/>
                <w:sz w:val="24"/>
                <w:szCs w:val="24"/>
              </w:rPr>
              <w:t>Binimoy</w:t>
            </w:r>
            <w:proofErr w:type="spellEnd"/>
          </w:p>
        </w:tc>
        <w:tc>
          <w:tcPr>
            <w:tcW w:w="3460" w:type="dxa"/>
            <w:tcBorders>
              <w:top w:val="single" w:sz="4" w:space="0" w:color="auto"/>
              <w:left w:val="single" w:sz="4" w:space="0" w:color="auto"/>
              <w:bottom w:val="single" w:sz="4" w:space="0" w:color="auto"/>
              <w:right w:val="single" w:sz="4" w:space="0" w:color="auto"/>
            </w:tcBorders>
            <w:hideMark/>
          </w:tcPr>
          <w:p w14:paraId="0B33CC1D"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Finastra Essence (Microsoft Azure Cloud), replacing Intellect Design</w:t>
            </w:r>
          </w:p>
        </w:tc>
      </w:tr>
      <w:tr w:rsidR="00BD3FFE" w:rsidRPr="00B94F53" w14:paraId="56633DDB"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shd w:val="clear" w:color="auto" w:fill="EAF0F8"/>
            <w:hideMark/>
          </w:tcPr>
          <w:p w14:paraId="33BE3EBD"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Total assets (latest available)</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2479AF6E"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BDT 1,981.13 bn (≈ USD 16 bn), Dec 2023</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6B4BCF7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GBP 165.05 million, 2021</w:t>
            </w:r>
          </w:p>
        </w:tc>
      </w:tr>
    </w:tbl>
    <w:p w14:paraId="4572417F" w14:textId="2EF4BA9F" w:rsidR="00CE32D9" w:rsidRDefault="00BD4C83" w:rsidP="00CE32D9">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Source: Sonali Bank Limited (2024); SBUK (2025); Companies House (2026); TheBanks.eu (2026); Finastra (2025); Banker (2024).</w:t>
      </w:r>
      <w:bookmarkStart w:id="3" w:name="_Toc238117796"/>
    </w:p>
    <w:p w14:paraId="11212B85" w14:textId="77777777" w:rsidR="00CE32D9" w:rsidRDefault="00CE32D9" w:rsidP="00CE32D9">
      <w:pPr>
        <w:spacing w:before="120" w:after="120" w:line="360" w:lineRule="auto"/>
        <w:jc w:val="both"/>
        <w:rPr>
          <w:rFonts w:ascii="Times New Roman" w:hAnsi="Times New Roman" w:cs="Times New Roman"/>
          <w:sz w:val="24"/>
          <w:szCs w:val="24"/>
        </w:rPr>
      </w:pPr>
    </w:p>
    <w:p w14:paraId="285E29A8" w14:textId="77777777" w:rsidR="00675D5A" w:rsidRDefault="00675D5A" w:rsidP="00CE32D9">
      <w:pPr>
        <w:spacing w:before="120" w:after="120" w:line="360" w:lineRule="auto"/>
        <w:jc w:val="both"/>
        <w:rPr>
          <w:rFonts w:ascii="Times New Roman" w:hAnsi="Times New Roman" w:cs="Times New Roman"/>
          <w:b/>
          <w:bCs/>
          <w:sz w:val="28"/>
          <w:szCs w:val="28"/>
        </w:rPr>
      </w:pPr>
    </w:p>
    <w:p w14:paraId="22FC7B53" w14:textId="4C385693" w:rsidR="00BC39D1" w:rsidRPr="00CE32D9" w:rsidRDefault="00466143" w:rsidP="00CE32D9">
      <w:pPr>
        <w:spacing w:before="120" w:after="120" w:line="360" w:lineRule="auto"/>
        <w:jc w:val="both"/>
        <w:rPr>
          <w:rFonts w:ascii="Times New Roman" w:hAnsi="Times New Roman" w:cs="Times New Roman"/>
          <w:b/>
          <w:bCs/>
          <w:sz w:val="28"/>
          <w:szCs w:val="28"/>
        </w:rPr>
      </w:pPr>
      <w:r w:rsidRPr="00CE32D9">
        <w:rPr>
          <w:rFonts w:ascii="Times New Roman" w:hAnsi="Times New Roman" w:cs="Times New Roman"/>
          <w:b/>
          <w:bCs/>
          <w:sz w:val="28"/>
          <w:szCs w:val="28"/>
        </w:rPr>
        <w:lastRenderedPageBreak/>
        <w:t>1.3 Statement of the Problem</w:t>
      </w:r>
      <w:bookmarkEnd w:id="3"/>
    </w:p>
    <w:p w14:paraId="758AD856" w14:textId="77777777"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E-commerce integration is an important part of today's global financial market, giving banking institutions a competitive advantage, making them more engaging to customers and contributing to the long-term sustainability of banks. However, with Sonali Bank operating in both the public and private markets, it is quite a difficult task to keep e-commerce-integrated banking and remittance services effective in both countries, given the different regulatory frameworks, fast-changing fintech infrastructures, and different expectations of the consumers in both markets (Bangladesh Bank, 2025; ONS, 2025).</w:t>
      </w:r>
    </w:p>
    <w:p w14:paraId="7AB9AEFC"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6A9A4D22" w14:textId="77777777" w:rsidR="00226F05" w:rsidRPr="00B94F53"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current challenges at Sonali Bank are twofold: firstly, the dual requirement of meeting regulatory and open banking standards established by the FCA in the UK while keeping its operations in line with the FCA's regulatory framework; secondly, the need to maintain seamless integration with Bangladesh's MFS ecosystem which is heavily dominated by bKash and Nagad. KMPG (2024) notes that both markets are technologically and regulatorily incompatible, making the bank's consistent remittance and banking experience across the markets challenging. At the same time, customers in both markets are becoming increasingly demanding in terms of smooth digital journeys, transparency and quick transaction processing.</w:t>
      </w:r>
    </w:p>
    <w:p w14:paraId="0D9515B6" w14:textId="6A49595A"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academic literature on e-commerce internationalisation, cross-border financial strategy and internationalisation of digital marketing has concentrated on the private-sector retail e-commerce business or on the general international business </w:t>
      </w:r>
      <w:r w:rsidR="00675D5A" w:rsidRPr="00B94F53">
        <w:rPr>
          <w:rFonts w:ascii="Times New Roman" w:hAnsi="Times New Roman" w:cs="Times New Roman"/>
          <w:sz w:val="24"/>
          <w:szCs w:val="24"/>
        </w:rPr>
        <w:t>context and</w:t>
      </w:r>
      <w:r w:rsidRPr="00B94F53">
        <w:rPr>
          <w:rFonts w:ascii="Times New Roman" w:hAnsi="Times New Roman" w:cs="Times New Roman"/>
          <w:sz w:val="24"/>
          <w:szCs w:val="24"/>
        </w:rPr>
        <w:t xml:space="preserve"> has not considered the specific strategic challenges of state-owned financial institutions in structurally different regulatory environments (Johanson and Vahlne, 2009; Boxall and Purcell, 2022).</w:t>
      </w:r>
    </w:p>
    <w:p w14:paraId="47451E16"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642A74D4" w14:textId="77777777" w:rsidR="00BC39D1" w:rsidRPr="00B94F53" w:rsidRDefault="00466143" w:rsidP="00045607">
      <w:pPr>
        <w:pStyle w:val="Heading2"/>
        <w:rPr>
          <w:rFonts w:ascii="Times New Roman" w:hAnsi="Times New Roman" w:cs="Times New Roman"/>
        </w:rPr>
      </w:pPr>
      <w:bookmarkStart w:id="4" w:name="_Toc238117797"/>
      <w:r w:rsidRPr="00B94F53">
        <w:rPr>
          <w:rFonts w:ascii="Times New Roman" w:hAnsi="Times New Roman" w:cs="Times New Roman"/>
        </w:rPr>
        <w:t>1.4 Rationale of the Research</w:t>
      </w:r>
      <w:bookmarkEnd w:id="4"/>
    </w:p>
    <w:p w14:paraId="00F7E288" w14:textId="3B631FB2"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Despite the overwhelming attention garnered by the academic and industry research community in the last ten years, there are certain gaps in the literature with respect to theory, context and empirical research in the field of e-commerce internationalisation and cross-border financial strategies, especially for state-owned banking institutions. </w:t>
      </w:r>
      <w:r w:rsidR="008F0F10" w:rsidRPr="00B94F53">
        <w:rPr>
          <w:rFonts w:ascii="Times New Roman" w:hAnsi="Times New Roman" w:cs="Times New Roman"/>
          <w:sz w:val="24"/>
          <w:szCs w:val="24"/>
        </w:rPr>
        <w:t>Most of</w:t>
      </w:r>
      <w:r w:rsidRPr="00B94F53">
        <w:rPr>
          <w:rFonts w:ascii="Times New Roman" w:hAnsi="Times New Roman" w:cs="Times New Roman"/>
          <w:sz w:val="24"/>
          <w:szCs w:val="24"/>
        </w:rPr>
        <w:t xml:space="preserve"> the research so far has been on e-commerce integration on an international or cross-industry </w:t>
      </w:r>
      <w:r w:rsidR="00793F11" w:rsidRPr="00B94F53">
        <w:rPr>
          <w:rFonts w:ascii="Times New Roman" w:hAnsi="Times New Roman" w:cs="Times New Roman"/>
          <w:sz w:val="24"/>
          <w:szCs w:val="24"/>
        </w:rPr>
        <w:t>level but</w:t>
      </w:r>
      <w:r w:rsidRPr="00B94F53">
        <w:rPr>
          <w:rFonts w:ascii="Times New Roman" w:hAnsi="Times New Roman" w:cs="Times New Roman"/>
          <w:sz w:val="24"/>
          <w:szCs w:val="24"/>
        </w:rPr>
        <w:t xml:space="preserve"> does not consider the specific regulatory environments and institutions that influence banking strategy (Johanson and Vahlne, 2009). Little is known, therefore, about how e-commerce integration </w:t>
      </w:r>
      <w:r w:rsidRPr="00B94F53">
        <w:rPr>
          <w:rFonts w:ascii="Times New Roman" w:hAnsi="Times New Roman" w:cs="Times New Roman"/>
          <w:sz w:val="24"/>
          <w:szCs w:val="24"/>
        </w:rPr>
        <w:lastRenderedPageBreak/>
        <w:t>occurs in the specific legal, technical and institutional context of a British state-owned bank that is operating in both Britain and Bangladesh.</w:t>
      </w:r>
    </w:p>
    <w:p w14:paraId="32ADEAAA"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40BA290A" w14:textId="77777777"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Furthermore, while marketing strategy, financial risk management and human capital strategy have been predominantly investigated as independent research fields within the field of international banking, there remains relatively limited research on the linkages between the three fields in one internationalising financial institution (Boxall and Purcell, 2022). However, the current empirical evidence is scarce in the context of the way in which Sonali Bank's marketing approach for diaspora remittance customers, its financial architecture in managing currency risk in the Bangladeshi MFS landscape (mostly bKash based), and human capital strategy (recruitment and retention of digital talent from different labour markets) influence its overall strategic performance (KPMG, 2024).</w:t>
      </w:r>
    </w:p>
    <w:p w14:paraId="6C394376"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11C8247B" w14:textId="54AAAB43"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This study is thus aimed at filling these identified gaps and providing a proper, secondary data-based comparative study of the e-commerce integration strategy of Sonali Bank in the United Kingdom and Bangladesh. Based on the Uppsala Internationalisation Model and the Resource Based View, the research aims to gain a wider perspective on the interactions between marketing, financial and human capital strategies in determining the outcomes of the integration of e-commerce into the activities of state-owned banking institutions in structurally divergent markets.</w:t>
      </w:r>
    </w:p>
    <w:p w14:paraId="3E81FEF6"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611CC20B" w14:textId="77777777" w:rsidR="00BC39D1" w:rsidRPr="00B94F53" w:rsidRDefault="00466143" w:rsidP="00045607">
      <w:pPr>
        <w:pStyle w:val="Heading2"/>
        <w:rPr>
          <w:rFonts w:ascii="Times New Roman" w:hAnsi="Times New Roman" w:cs="Times New Roman"/>
        </w:rPr>
      </w:pPr>
      <w:bookmarkStart w:id="5" w:name="_Toc238117798"/>
      <w:r w:rsidRPr="00B94F53">
        <w:rPr>
          <w:rFonts w:ascii="Times New Roman" w:hAnsi="Times New Roman" w:cs="Times New Roman"/>
        </w:rPr>
        <w:t>1.5 Research Question</w:t>
      </w:r>
      <w:bookmarkEnd w:id="5"/>
    </w:p>
    <w:p w14:paraId="274CFBEF" w14:textId="77777777" w:rsidR="00BC39D1" w:rsidRPr="00B94F53" w:rsidRDefault="004661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This dissertation is guided by one main research question and two supporting sub-questions.</w:t>
      </w:r>
    </w:p>
    <w:p w14:paraId="727CFFD2" w14:textId="77777777" w:rsidR="009605C4" w:rsidRPr="00B94F53" w:rsidRDefault="009605C4" w:rsidP="009605C4">
      <w:pPr>
        <w:spacing w:before="60" w:after="240" w:line="360" w:lineRule="auto"/>
        <w:jc w:val="both"/>
        <w:rPr>
          <w:rFonts w:ascii="Times New Roman" w:hAnsi="Times New Roman" w:cs="Times New Roman"/>
          <w:b/>
          <w:bCs/>
          <w:sz w:val="24"/>
          <w:szCs w:val="28"/>
        </w:rPr>
      </w:pPr>
      <w:r w:rsidRPr="00B94F53">
        <w:rPr>
          <w:rFonts w:ascii="Times New Roman" w:hAnsi="Times New Roman" w:cs="Times New Roman"/>
          <w:b/>
          <w:bCs/>
          <w:sz w:val="24"/>
          <w:szCs w:val="28"/>
        </w:rPr>
        <w:t>Main Research Question:</w:t>
      </w:r>
    </w:p>
    <w:p w14:paraId="406F0829" w14:textId="77777777" w:rsidR="009605C4" w:rsidRPr="00B94F53" w:rsidRDefault="009605C4" w:rsidP="009605C4">
      <w:pPr>
        <w:spacing w:before="60" w:after="240" w:line="360" w:lineRule="auto"/>
        <w:jc w:val="both"/>
        <w:rPr>
          <w:rFonts w:ascii="Times New Roman" w:hAnsi="Times New Roman" w:cs="Times New Roman"/>
          <w:sz w:val="24"/>
          <w:szCs w:val="28"/>
        </w:rPr>
      </w:pPr>
      <w:r w:rsidRPr="00B94F53">
        <w:rPr>
          <w:rFonts w:ascii="Times New Roman" w:hAnsi="Times New Roman" w:cs="Times New Roman"/>
          <w:sz w:val="24"/>
          <w:szCs w:val="28"/>
        </w:rPr>
        <w:t>How does Sonali Bank use e-commerce in its international banking and remittance operations in the UK and Bangladesh, and what are the strategic differences between their marketing, financial and human capital strategies in both markets?</w:t>
      </w:r>
    </w:p>
    <w:p w14:paraId="63D2B29B" w14:textId="77777777" w:rsidR="00675D5A" w:rsidRDefault="00675D5A" w:rsidP="009605C4">
      <w:pPr>
        <w:spacing w:before="60" w:after="240" w:line="360" w:lineRule="auto"/>
        <w:jc w:val="both"/>
        <w:rPr>
          <w:rFonts w:ascii="Times New Roman" w:hAnsi="Times New Roman" w:cs="Times New Roman"/>
          <w:b/>
          <w:bCs/>
          <w:sz w:val="24"/>
          <w:szCs w:val="28"/>
        </w:rPr>
      </w:pPr>
    </w:p>
    <w:p w14:paraId="0DE0CAC6" w14:textId="77777777" w:rsidR="00675D5A" w:rsidRDefault="00675D5A" w:rsidP="009605C4">
      <w:pPr>
        <w:spacing w:before="60" w:after="240" w:line="360" w:lineRule="auto"/>
        <w:jc w:val="both"/>
        <w:rPr>
          <w:rFonts w:ascii="Times New Roman" w:hAnsi="Times New Roman" w:cs="Times New Roman"/>
          <w:b/>
          <w:bCs/>
          <w:sz w:val="24"/>
          <w:szCs w:val="28"/>
        </w:rPr>
      </w:pPr>
    </w:p>
    <w:p w14:paraId="7E98E3E2" w14:textId="251ABD66" w:rsidR="009605C4" w:rsidRPr="00B94F53" w:rsidRDefault="009605C4" w:rsidP="009605C4">
      <w:pPr>
        <w:spacing w:before="60" w:after="240" w:line="360" w:lineRule="auto"/>
        <w:jc w:val="both"/>
        <w:rPr>
          <w:rFonts w:ascii="Times New Roman" w:hAnsi="Times New Roman" w:cs="Times New Roman"/>
          <w:b/>
          <w:bCs/>
          <w:sz w:val="24"/>
          <w:szCs w:val="28"/>
        </w:rPr>
      </w:pPr>
      <w:r w:rsidRPr="00B94F53">
        <w:rPr>
          <w:rFonts w:ascii="Times New Roman" w:hAnsi="Times New Roman" w:cs="Times New Roman"/>
          <w:b/>
          <w:bCs/>
          <w:sz w:val="24"/>
          <w:szCs w:val="28"/>
        </w:rPr>
        <w:lastRenderedPageBreak/>
        <w:t>Sub-Question 1:</w:t>
      </w:r>
    </w:p>
    <w:p w14:paraId="120ACAA4" w14:textId="54304F94" w:rsidR="009605C4" w:rsidRPr="00B94F53" w:rsidRDefault="009605C4" w:rsidP="009605C4">
      <w:pPr>
        <w:spacing w:before="60" w:after="240" w:line="360" w:lineRule="auto"/>
        <w:jc w:val="both"/>
        <w:rPr>
          <w:rFonts w:ascii="Times New Roman" w:hAnsi="Times New Roman" w:cs="Times New Roman"/>
          <w:sz w:val="24"/>
          <w:szCs w:val="28"/>
        </w:rPr>
      </w:pPr>
      <w:r w:rsidRPr="00B94F53">
        <w:rPr>
          <w:rFonts w:ascii="Times New Roman" w:hAnsi="Times New Roman" w:cs="Times New Roman"/>
          <w:sz w:val="24"/>
          <w:szCs w:val="28"/>
        </w:rPr>
        <w:t>How does Sonali Bank's financial and marketing strategy differ between the UK and Bangladesh due to the following factors? (Structural, regulatory and market-specific)</w:t>
      </w:r>
    </w:p>
    <w:p w14:paraId="430CB591" w14:textId="77777777" w:rsidR="009605C4" w:rsidRPr="00B94F53" w:rsidRDefault="009605C4" w:rsidP="009605C4">
      <w:pPr>
        <w:spacing w:before="60" w:after="240" w:line="360" w:lineRule="auto"/>
        <w:jc w:val="both"/>
        <w:rPr>
          <w:rFonts w:ascii="Times New Roman" w:hAnsi="Times New Roman" w:cs="Times New Roman"/>
          <w:b/>
          <w:bCs/>
          <w:sz w:val="24"/>
          <w:szCs w:val="28"/>
        </w:rPr>
      </w:pPr>
      <w:r w:rsidRPr="00B94F53">
        <w:rPr>
          <w:rFonts w:ascii="Times New Roman" w:hAnsi="Times New Roman" w:cs="Times New Roman"/>
          <w:b/>
          <w:bCs/>
          <w:sz w:val="24"/>
          <w:szCs w:val="28"/>
        </w:rPr>
        <w:t>Sub-Question 2:</w:t>
      </w:r>
    </w:p>
    <w:p w14:paraId="1E31AB15" w14:textId="0A2CA2A5" w:rsidR="009605C4" w:rsidRPr="00B94F53" w:rsidRDefault="009605C4" w:rsidP="009605C4">
      <w:pPr>
        <w:spacing w:before="60" w:after="240" w:line="360" w:lineRule="auto"/>
        <w:jc w:val="both"/>
        <w:rPr>
          <w:rFonts w:ascii="Times New Roman" w:hAnsi="Times New Roman" w:cs="Times New Roman"/>
          <w:sz w:val="24"/>
          <w:szCs w:val="28"/>
        </w:rPr>
      </w:pPr>
      <w:r w:rsidRPr="00B94F53">
        <w:rPr>
          <w:rFonts w:ascii="Times New Roman" w:hAnsi="Times New Roman" w:cs="Times New Roman"/>
          <w:sz w:val="24"/>
          <w:szCs w:val="28"/>
        </w:rPr>
        <w:t>How well are the human capital strategies in both markets enabling scalability and sustainability of Sonali Bank's cross-border e-commerce and remittance activities?</w:t>
      </w:r>
    </w:p>
    <w:p w14:paraId="6A29FFD7" w14:textId="77777777" w:rsidR="00CE32D9" w:rsidRDefault="00CE32D9" w:rsidP="00045607">
      <w:pPr>
        <w:pStyle w:val="Heading2"/>
        <w:rPr>
          <w:rFonts w:ascii="Times New Roman" w:hAnsi="Times New Roman" w:cs="Times New Roman"/>
        </w:rPr>
      </w:pPr>
      <w:bookmarkStart w:id="6" w:name="_Toc238117799"/>
    </w:p>
    <w:p w14:paraId="3B109FCF" w14:textId="1C1EF1AB" w:rsidR="00BC39D1" w:rsidRPr="00B94F53" w:rsidRDefault="00466143" w:rsidP="00045607">
      <w:pPr>
        <w:pStyle w:val="Heading2"/>
        <w:rPr>
          <w:rFonts w:ascii="Times New Roman" w:hAnsi="Times New Roman" w:cs="Times New Roman"/>
        </w:rPr>
      </w:pPr>
      <w:r w:rsidRPr="00B94F53">
        <w:rPr>
          <w:rFonts w:ascii="Times New Roman" w:hAnsi="Times New Roman" w:cs="Times New Roman"/>
        </w:rPr>
        <w:t>1.6 Research Aim</w:t>
      </w:r>
      <w:bookmarkEnd w:id="6"/>
    </w:p>
    <w:p w14:paraId="505F5564" w14:textId="745BB55E" w:rsidR="00CE32D9" w:rsidRDefault="009605C4" w:rsidP="009605C4">
      <w:pPr>
        <w:spacing w:before="80" w:after="240" w:line="360" w:lineRule="auto"/>
        <w:jc w:val="both"/>
        <w:rPr>
          <w:rFonts w:ascii="Times New Roman" w:hAnsi="Times New Roman" w:cs="Times New Roman"/>
          <w:sz w:val="24"/>
          <w:szCs w:val="28"/>
        </w:rPr>
      </w:pPr>
      <w:r w:rsidRPr="00B94F53">
        <w:rPr>
          <w:rFonts w:ascii="Times New Roman" w:hAnsi="Times New Roman" w:cs="Times New Roman"/>
          <w:sz w:val="24"/>
          <w:szCs w:val="28"/>
        </w:rPr>
        <w:t xml:space="preserve">To analyse and compare the marketing, financial and human capital strategies used to integrate e-commerce in the developed and the emerging digital markets of Sonali Bank in UK and </w:t>
      </w:r>
      <w:r w:rsidR="00CE32D9" w:rsidRPr="00B94F53">
        <w:rPr>
          <w:rFonts w:ascii="Times New Roman" w:hAnsi="Times New Roman" w:cs="Times New Roman"/>
          <w:sz w:val="24"/>
          <w:szCs w:val="28"/>
        </w:rPr>
        <w:t>Bangladesh and</w:t>
      </w:r>
      <w:r w:rsidRPr="00B94F53">
        <w:rPr>
          <w:rFonts w:ascii="Times New Roman" w:hAnsi="Times New Roman" w:cs="Times New Roman"/>
          <w:sz w:val="24"/>
          <w:szCs w:val="28"/>
        </w:rPr>
        <w:t xml:space="preserve"> draw up an evidence-based strategic framework for state-owned banks in different developed and emerging digital markets.</w:t>
      </w:r>
    </w:p>
    <w:p w14:paraId="4642A899" w14:textId="77777777" w:rsidR="00CE32D9" w:rsidRPr="00B94F53" w:rsidRDefault="00CE32D9" w:rsidP="009605C4">
      <w:pPr>
        <w:spacing w:before="80" w:after="240" w:line="360" w:lineRule="auto"/>
        <w:jc w:val="both"/>
        <w:rPr>
          <w:rFonts w:ascii="Times New Roman" w:hAnsi="Times New Roman" w:cs="Times New Roman"/>
          <w:sz w:val="24"/>
          <w:szCs w:val="28"/>
        </w:rPr>
      </w:pPr>
    </w:p>
    <w:p w14:paraId="41C7BF7B" w14:textId="77777777" w:rsidR="00BC39D1" w:rsidRPr="00B94F53" w:rsidRDefault="00466143" w:rsidP="00045607">
      <w:pPr>
        <w:pStyle w:val="Heading2"/>
        <w:rPr>
          <w:rFonts w:ascii="Times New Roman" w:hAnsi="Times New Roman" w:cs="Times New Roman"/>
        </w:rPr>
      </w:pPr>
      <w:bookmarkStart w:id="7" w:name="_Toc238117800"/>
      <w:r w:rsidRPr="00B94F53">
        <w:rPr>
          <w:rFonts w:ascii="Times New Roman" w:hAnsi="Times New Roman" w:cs="Times New Roman"/>
        </w:rPr>
        <w:t>1.7 Research Objectives</w:t>
      </w:r>
      <w:bookmarkEnd w:id="7"/>
    </w:p>
    <w:p w14:paraId="7822E48D" w14:textId="43A94778" w:rsidR="009605C4" w:rsidRPr="00B94F53" w:rsidRDefault="009605C4" w:rsidP="00045607">
      <w:pPr>
        <w:pStyle w:val="ListParagraph"/>
        <w:numPr>
          <w:ilvl w:val="0"/>
          <w:numId w:val="14"/>
        </w:numPr>
        <w:pBdr>
          <w:top w:val="nil"/>
          <w:left w:val="nil"/>
          <w:bottom w:val="nil"/>
          <w:right w:val="nil"/>
          <w:between w:val="nil"/>
        </w:pBdr>
        <w:spacing w:before="60" w:after="240" w:line="360" w:lineRule="auto"/>
        <w:contextualSpacing/>
        <w:jc w:val="both"/>
        <w:rPr>
          <w:rFonts w:ascii="Times New Roman" w:hAnsi="Times New Roman" w:cs="Times New Roman"/>
          <w:sz w:val="24"/>
          <w:szCs w:val="28"/>
        </w:rPr>
      </w:pPr>
      <w:r w:rsidRPr="00B94F53">
        <w:rPr>
          <w:rFonts w:ascii="Times New Roman" w:hAnsi="Times New Roman" w:cs="Times New Roman"/>
          <w:sz w:val="24"/>
          <w:szCs w:val="28"/>
        </w:rPr>
        <w:t xml:space="preserve">To analyse and assess the digital marketing strategy used by Sonali Bank in both the UK and the Bangladeshi market, and how it differs and is </w:t>
      </w:r>
      <w:r w:rsidR="008F0F10" w:rsidRPr="00B94F53">
        <w:rPr>
          <w:rFonts w:ascii="Times New Roman" w:hAnsi="Times New Roman" w:cs="Times New Roman"/>
          <w:sz w:val="24"/>
          <w:szCs w:val="28"/>
        </w:rPr>
        <w:t>like</w:t>
      </w:r>
      <w:r w:rsidRPr="00B94F53">
        <w:rPr>
          <w:rFonts w:ascii="Times New Roman" w:hAnsi="Times New Roman" w:cs="Times New Roman"/>
          <w:sz w:val="24"/>
          <w:szCs w:val="28"/>
        </w:rPr>
        <w:t xml:space="preserve"> the structural and regulatory differences.</w:t>
      </w:r>
    </w:p>
    <w:p w14:paraId="6DA6ED1B" w14:textId="77777777" w:rsidR="009605C4" w:rsidRPr="00B94F53" w:rsidRDefault="009605C4" w:rsidP="00045607">
      <w:pPr>
        <w:pStyle w:val="ListParagraph"/>
        <w:numPr>
          <w:ilvl w:val="0"/>
          <w:numId w:val="14"/>
        </w:numPr>
        <w:pBdr>
          <w:top w:val="nil"/>
          <w:left w:val="nil"/>
          <w:bottom w:val="nil"/>
          <w:right w:val="nil"/>
          <w:between w:val="nil"/>
        </w:pBdr>
        <w:spacing w:before="60" w:after="240" w:line="360" w:lineRule="auto"/>
        <w:contextualSpacing/>
        <w:jc w:val="both"/>
        <w:rPr>
          <w:rFonts w:ascii="Times New Roman" w:hAnsi="Times New Roman" w:cs="Times New Roman"/>
          <w:sz w:val="24"/>
          <w:szCs w:val="28"/>
        </w:rPr>
      </w:pPr>
      <w:r w:rsidRPr="00B94F53">
        <w:rPr>
          <w:rFonts w:ascii="Times New Roman" w:hAnsi="Times New Roman" w:cs="Times New Roman"/>
          <w:sz w:val="24"/>
          <w:szCs w:val="28"/>
        </w:rPr>
        <w:t>To compare financial models, approaches to capital allocation and risk management of cross-border e-commerce and remittance business between Sonali Bank, UK and Sonali Bank, Bangladesh.</w:t>
      </w:r>
    </w:p>
    <w:p w14:paraId="16DB5A46" w14:textId="503EDE0C" w:rsidR="009605C4" w:rsidRDefault="009605C4" w:rsidP="00045607">
      <w:pPr>
        <w:pStyle w:val="ListParagraph"/>
        <w:numPr>
          <w:ilvl w:val="0"/>
          <w:numId w:val="14"/>
        </w:numPr>
        <w:pBdr>
          <w:top w:val="nil"/>
          <w:left w:val="nil"/>
          <w:bottom w:val="nil"/>
          <w:right w:val="nil"/>
          <w:between w:val="nil"/>
        </w:pBdr>
        <w:spacing w:before="60" w:after="240" w:line="360" w:lineRule="auto"/>
        <w:contextualSpacing/>
        <w:jc w:val="both"/>
        <w:rPr>
          <w:rFonts w:ascii="Times New Roman" w:hAnsi="Times New Roman" w:cs="Times New Roman"/>
          <w:sz w:val="24"/>
          <w:szCs w:val="28"/>
        </w:rPr>
      </w:pPr>
      <w:r w:rsidRPr="00B94F53">
        <w:rPr>
          <w:rFonts w:ascii="Times New Roman" w:hAnsi="Times New Roman" w:cs="Times New Roman"/>
          <w:sz w:val="24"/>
          <w:szCs w:val="28"/>
        </w:rPr>
        <w:t>To evaluate the human capital policies and practices, such as recruitment, upskilling and retention, that Sonali Bank has implemented in both markets and how these policies and practices map onto the bank's international digital transformation aspirations.</w:t>
      </w:r>
    </w:p>
    <w:p w14:paraId="118D2F6A" w14:textId="77777777" w:rsidR="00CE32D9" w:rsidRPr="00B94F53" w:rsidRDefault="00CE32D9" w:rsidP="00CE32D9">
      <w:pPr>
        <w:pStyle w:val="ListParagraph"/>
        <w:pBdr>
          <w:top w:val="nil"/>
          <w:left w:val="nil"/>
          <w:bottom w:val="nil"/>
          <w:right w:val="nil"/>
          <w:between w:val="nil"/>
        </w:pBdr>
        <w:spacing w:before="60" w:after="240" w:line="360" w:lineRule="auto"/>
        <w:ind w:left="720"/>
        <w:contextualSpacing/>
        <w:jc w:val="both"/>
        <w:rPr>
          <w:rFonts w:ascii="Times New Roman" w:hAnsi="Times New Roman" w:cs="Times New Roman"/>
          <w:sz w:val="24"/>
          <w:szCs w:val="28"/>
        </w:rPr>
      </w:pPr>
    </w:p>
    <w:p w14:paraId="220F8ADC" w14:textId="77777777" w:rsidR="00BC39D1" w:rsidRPr="00B94F53" w:rsidRDefault="00466143" w:rsidP="00045607">
      <w:pPr>
        <w:pStyle w:val="Heading2"/>
        <w:rPr>
          <w:rFonts w:ascii="Times New Roman" w:hAnsi="Times New Roman" w:cs="Times New Roman"/>
        </w:rPr>
      </w:pPr>
      <w:bookmarkStart w:id="8" w:name="_Toc238117801"/>
      <w:r w:rsidRPr="00B94F53">
        <w:rPr>
          <w:rFonts w:ascii="Times New Roman" w:hAnsi="Times New Roman" w:cs="Times New Roman"/>
        </w:rPr>
        <w:t>1.8 Significance of the Study</w:t>
      </w:r>
      <w:bookmarkEnd w:id="8"/>
    </w:p>
    <w:p w14:paraId="30140EB7" w14:textId="274DBAA0" w:rsidR="009605C4" w:rsidRDefault="009605C4"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findings will also be beneficial for practitioners in the banking sector, particularly senior management and strategic decision-makers of the Sonali Bank and other similar state-owned banks. The research will provide recommendations for the marketing localisation, financial </w:t>
      </w:r>
      <w:r w:rsidRPr="00B94F53">
        <w:rPr>
          <w:rFonts w:ascii="Times New Roman" w:hAnsi="Times New Roman" w:cs="Times New Roman"/>
          <w:sz w:val="24"/>
          <w:szCs w:val="24"/>
        </w:rPr>
        <w:lastRenderedPageBreak/>
        <w:t>risk management and human capital development of e-commerce-integrated remittances/banking services, which can help strengthen the services in structurally different markets. With these insights, institutions can better design their digital integration strategies, while also remaining compliant with regulators and sustainable in the ever-changing financial world (KPMG, 2024).</w:t>
      </w:r>
    </w:p>
    <w:p w14:paraId="4B605669" w14:textId="77777777" w:rsidR="00CE32D9" w:rsidRPr="00B94F53" w:rsidRDefault="00CE32D9" w:rsidP="009605C4">
      <w:pPr>
        <w:spacing w:before="120" w:after="120" w:line="360" w:lineRule="auto"/>
        <w:jc w:val="both"/>
        <w:rPr>
          <w:rFonts w:ascii="Times New Roman" w:hAnsi="Times New Roman" w:cs="Times New Roman"/>
          <w:sz w:val="24"/>
          <w:szCs w:val="24"/>
        </w:rPr>
      </w:pPr>
    </w:p>
    <w:p w14:paraId="0C855415" w14:textId="0ED562A1" w:rsidR="009605C4" w:rsidRDefault="009605C4"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Furthermore, the study may be relevant for policymakers and regulators, such as the Bangladesh Bank and the Financial Conduct Authority of the United Kingdom, as it will provide insights into the digital nature of cross-border banking and remittance services and how it is influenced by the interaction between state ownership, MFS infrastructure, and open banking regulation. This evidence can be used to guide a more coherent regulatory approach in promoting financial inclusion, digital innovation and sustainable remittance </w:t>
      </w:r>
      <w:r w:rsidR="00CE32D9" w:rsidRPr="00B94F53">
        <w:rPr>
          <w:rFonts w:ascii="Times New Roman" w:hAnsi="Times New Roman" w:cs="Times New Roman"/>
          <w:sz w:val="24"/>
          <w:szCs w:val="24"/>
        </w:rPr>
        <w:t>flow</w:t>
      </w:r>
      <w:r w:rsidRPr="00B94F53">
        <w:rPr>
          <w:rFonts w:ascii="Times New Roman" w:hAnsi="Times New Roman" w:cs="Times New Roman"/>
          <w:sz w:val="24"/>
          <w:szCs w:val="24"/>
        </w:rPr>
        <w:t xml:space="preserve"> between the two countries.</w:t>
      </w:r>
    </w:p>
    <w:p w14:paraId="53CFF65D" w14:textId="77777777" w:rsidR="00CE32D9" w:rsidRPr="00B94F53" w:rsidRDefault="00CE32D9" w:rsidP="009605C4">
      <w:pPr>
        <w:spacing w:before="120" w:after="120" w:line="360" w:lineRule="auto"/>
        <w:jc w:val="both"/>
        <w:rPr>
          <w:rFonts w:ascii="Times New Roman" w:hAnsi="Times New Roman" w:cs="Times New Roman"/>
          <w:sz w:val="24"/>
          <w:szCs w:val="24"/>
        </w:rPr>
      </w:pPr>
    </w:p>
    <w:p w14:paraId="076EF684" w14:textId="3E970E12" w:rsidR="009605C4" w:rsidRDefault="009605C4"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Finally, the study will provide important background information for future scholars studying international banking strategy, management of state-owned enterprises, remittance economics, and digital financial services. The findings might encourage further comparative research with other state-owned financial institutions, other bilateral remittance corridors, and other emerging-to-developed market banking </w:t>
      </w:r>
      <w:r w:rsidR="00CE32D9" w:rsidRPr="00B94F53">
        <w:rPr>
          <w:rFonts w:ascii="Times New Roman" w:hAnsi="Times New Roman" w:cs="Times New Roman"/>
          <w:sz w:val="24"/>
          <w:szCs w:val="24"/>
        </w:rPr>
        <w:t>environments and</w:t>
      </w:r>
      <w:r w:rsidRPr="00B94F53">
        <w:rPr>
          <w:rFonts w:ascii="Times New Roman" w:hAnsi="Times New Roman" w:cs="Times New Roman"/>
          <w:sz w:val="24"/>
          <w:szCs w:val="24"/>
        </w:rPr>
        <w:t xml:space="preserve"> help extend the body of international business and banking literature.</w:t>
      </w:r>
    </w:p>
    <w:p w14:paraId="52000FBD" w14:textId="77777777" w:rsidR="00CE32D9" w:rsidRPr="00B94F53" w:rsidRDefault="00CE32D9" w:rsidP="009605C4">
      <w:pPr>
        <w:spacing w:before="120" w:after="120" w:line="360" w:lineRule="auto"/>
        <w:jc w:val="both"/>
        <w:rPr>
          <w:rFonts w:ascii="Times New Roman" w:hAnsi="Times New Roman" w:cs="Times New Roman"/>
          <w:sz w:val="24"/>
          <w:szCs w:val="24"/>
        </w:rPr>
      </w:pPr>
    </w:p>
    <w:p w14:paraId="2044E1DA" w14:textId="77777777" w:rsidR="00BC39D1" w:rsidRPr="00B94F53" w:rsidRDefault="00466143" w:rsidP="00045607">
      <w:pPr>
        <w:pStyle w:val="Heading2"/>
        <w:rPr>
          <w:rFonts w:ascii="Times New Roman" w:hAnsi="Times New Roman" w:cs="Times New Roman"/>
        </w:rPr>
      </w:pPr>
      <w:bookmarkStart w:id="9" w:name="_Toc238117802"/>
      <w:r w:rsidRPr="00B94F53">
        <w:rPr>
          <w:rFonts w:ascii="Times New Roman" w:hAnsi="Times New Roman" w:cs="Times New Roman"/>
        </w:rPr>
        <w:t>1.9 Summary of the Chapter</w:t>
      </w:r>
      <w:bookmarkEnd w:id="9"/>
    </w:p>
    <w:p w14:paraId="462C3BD8" w14:textId="3BEFFEE5" w:rsidR="00BC39D1" w:rsidRPr="00B94F53" w:rsidRDefault="00A51831" w:rsidP="00A51831">
      <w:pPr>
        <w:spacing w:line="360" w:lineRule="auto"/>
        <w:jc w:val="both"/>
        <w:rPr>
          <w:rFonts w:ascii="Times New Roman" w:hAnsi="Times New Roman" w:cs="Times New Roman"/>
        </w:rPr>
      </w:pPr>
      <w:r w:rsidRPr="00B94F53">
        <w:rPr>
          <w:rFonts w:ascii="Times New Roman" w:hAnsi="Times New Roman" w:cs="Times New Roman"/>
          <w:sz w:val="24"/>
          <w:szCs w:val="24"/>
        </w:rPr>
        <w:t>Moreover, the chapter contained the research question, research aim, and research objectives that will direct the research. The importance of the study was also unfolded in respect to the expected contribution in the academic literature, banking practice, policy makers and future studies. The chapter laid the foundation and gave direction for the study and a clear research rationale. The relevant literature from a theoretical and empirical perspective will be critically reviewed in the next chapter, which is relevant to the themes of e-commerce internationalisation, financial strategy, human capital management and state-owned banking institutions.</w:t>
      </w:r>
      <w:r w:rsidR="00466143" w:rsidRPr="00B94F53">
        <w:rPr>
          <w:rFonts w:ascii="Times New Roman" w:hAnsi="Times New Roman" w:cs="Times New Roman"/>
        </w:rPr>
        <w:br w:type="page"/>
      </w:r>
    </w:p>
    <w:p w14:paraId="54978050" w14:textId="77777777" w:rsidR="00675D5A" w:rsidRDefault="00675D5A" w:rsidP="00045607">
      <w:pPr>
        <w:pStyle w:val="Heading1"/>
        <w:rPr>
          <w:rFonts w:ascii="Times New Roman" w:hAnsi="Times New Roman" w:cs="Times New Roman"/>
        </w:rPr>
      </w:pPr>
      <w:bookmarkStart w:id="10" w:name="_Toc238117803"/>
    </w:p>
    <w:p w14:paraId="2A0095DA" w14:textId="03CFC3CF" w:rsidR="00BC39D1" w:rsidRPr="00B94F53" w:rsidRDefault="00466143" w:rsidP="00045607">
      <w:pPr>
        <w:pStyle w:val="Heading1"/>
        <w:rPr>
          <w:rFonts w:ascii="Times New Roman" w:hAnsi="Times New Roman" w:cs="Times New Roman"/>
        </w:rPr>
      </w:pPr>
      <w:r w:rsidRPr="00B94F53">
        <w:rPr>
          <w:rFonts w:ascii="Times New Roman" w:hAnsi="Times New Roman" w:cs="Times New Roman"/>
        </w:rPr>
        <w:t>Chapter Two: Literature Review</w:t>
      </w:r>
      <w:bookmarkEnd w:id="10"/>
    </w:p>
    <w:p w14:paraId="73819180" w14:textId="77777777" w:rsidR="00BC39D1" w:rsidRPr="00B94F53" w:rsidRDefault="00466143" w:rsidP="00045607">
      <w:pPr>
        <w:pStyle w:val="Heading2"/>
        <w:rPr>
          <w:rFonts w:ascii="Times New Roman" w:hAnsi="Times New Roman" w:cs="Times New Roman"/>
        </w:rPr>
      </w:pPr>
      <w:bookmarkStart w:id="11" w:name="_Toc238117804"/>
      <w:r w:rsidRPr="00B94F53">
        <w:rPr>
          <w:rFonts w:ascii="Times New Roman" w:hAnsi="Times New Roman" w:cs="Times New Roman"/>
        </w:rPr>
        <w:t>2.1 Introduction</w:t>
      </w:r>
      <w:bookmarkEnd w:id="11"/>
    </w:p>
    <w:p w14:paraId="09537B26" w14:textId="46146664" w:rsidR="00A51831" w:rsidRDefault="008E428F"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w:t>
      </w:r>
      <w:r w:rsidR="00A51831" w:rsidRPr="00B94F53">
        <w:rPr>
          <w:rFonts w:ascii="Times New Roman" w:hAnsi="Times New Roman" w:cs="Times New Roman"/>
          <w:sz w:val="24"/>
          <w:szCs w:val="24"/>
        </w:rPr>
        <w:t xml:space="preserve">his chapter will discuss the past studies critically by comparing various points of view, strengths and weaknesses of their methodology and evaluation of how marketing, financial, and human capital strategies can help integrate e-commerce in cross-border banking and remittance services (Barney, 1991; Teece, Pisano and </w:t>
      </w:r>
      <w:proofErr w:type="spellStart"/>
      <w:r w:rsidR="00A51831" w:rsidRPr="00B94F53">
        <w:rPr>
          <w:rFonts w:ascii="Times New Roman" w:hAnsi="Times New Roman" w:cs="Times New Roman"/>
          <w:sz w:val="24"/>
          <w:szCs w:val="24"/>
        </w:rPr>
        <w:t>Shuen</w:t>
      </w:r>
      <w:proofErr w:type="spellEnd"/>
      <w:r w:rsidR="00A51831" w:rsidRPr="00B94F53">
        <w:rPr>
          <w:rFonts w:ascii="Times New Roman" w:hAnsi="Times New Roman" w:cs="Times New Roman"/>
          <w:sz w:val="24"/>
          <w:szCs w:val="24"/>
        </w:rPr>
        <w:t>, 1997). Focus will be given to the strategic challenges faced by the financial landscape in both countries regarding regulatory landscape differences, fintech infrastructure and institutional structure and ownership of the financial landscape (Bangladesh Bank, 2025; ONS, 2025).</w:t>
      </w:r>
    </w:p>
    <w:p w14:paraId="36E09EF6" w14:textId="77777777" w:rsidR="00CE32D9" w:rsidRPr="00B94F53" w:rsidRDefault="00CE32D9" w:rsidP="00A51831">
      <w:pPr>
        <w:spacing w:before="120" w:after="120" w:line="360" w:lineRule="auto"/>
        <w:jc w:val="both"/>
        <w:rPr>
          <w:rFonts w:ascii="Times New Roman" w:hAnsi="Times New Roman" w:cs="Times New Roman"/>
          <w:sz w:val="24"/>
          <w:szCs w:val="24"/>
        </w:rPr>
      </w:pPr>
    </w:p>
    <w:p w14:paraId="2BB1CFD4" w14:textId="62A803F2"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chapter will then outline the main gaps from the literature and then the theoretical underpinning of this research will be presented. Lastly, the chapter will summarise the main themes discussed and explain how the literature reviewed will be used as the academic basis of the research methodology to be presented in the next chapter (Saunders, Lewis and Thornhill, 2019).</w:t>
      </w:r>
    </w:p>
    <w:p w14:paraId="1315BBBB" w14:textId="77777777" w:rsidR="00CE32D9" w:rsidRPr="00B94F53" w:rsidRDefault="00CE32D9" w:rsidP="00A51831">
      <w:pPr>
        <w:spacing w:before="120" w:after="120" w:line="360" w:lineRule="auto"/>
        <w:jc w:val="both"/>
        <w:rPr>
          <w:rFonts w:ascii="Times New Roman" w:hAnsi="Times New Roman" w:cs="Times New Roman"/>
          <w:sz w:val="24"/>
          <w:szCs w:val="24"/>
        </w:rPr>
      </w:pPr>
    </w:p>
    <w:p w14:paraId="1C73F7F1" w14:textId="77777777" w:rsidR="00BC39D1" w:rsidRPr="00B94F53" w:rsidRDefault="00466143" w:rsidP="00045607">
      <w:pPr>
        <w:pStyle w:val="Heading2"/>
        <w:rPr>
          <w:rFonts w:ascii="Times New Roman" w:hAnsi="Times New Roman" w:cs="Times New Roman"/>
        </w:rPr>
      </w:pPr>
      <w:bookmarkStart w:id="12" w:name="_Toc238117805"/>
      <w:r w:rsidRPr="00B94F53">
        <w:rPr>
          <w:rFonts w:ascii="Times New Roman" w:hAnsi="Times New Roman" w:cs="Times New Roman"/>
        </w:rPr>
        <w:t>2.2 Literature Search Strategy</w:t>
      </w:r>
      <w:bookmarkEnd w:id="12"/>
    </w:p>
    <w:p w14:paraId="06EA2214" w14:textId="735046C4"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Searches across a range of internationally recognised electronic databases were carried out to ensure a complete generation of </w:t>
      </w:r>
      <w:r w:rsidR="00CE32D9" w:rsidRPr="00B94F53">
        <w:rPr>
          <w:rFonts w:ascii="Times New Roman" w:hAnsi="Times New Roman" w:cs="Times New Roman"/>
          <w:sz w:val="24"/>
          <w:szCs w:val="24"/>
        </w:rPr>
        <w:t>high-quality</w:t>
      </w:r>
      <w:r w:rsidRPr="00B94F53">
        <w:rPr>
          <w:rFonts w:ascii="Times New Roman" w:hAnsi="Times New Roman" w:cs="Times New Roman"/>
          <w:sz w:val="24"/>
          <w:szCs w:val="24"/>
        </w:rPr>
        <w:t xml:space="preserve"> academic literature. These comprised Scopus, JSTOR, Web of Science, Emerald Insight, Science Direct, SpringerLink, Taylor and Francis Online, SAGE Journals and Google Scholar. The</w:t>
      </w:r>
      <w:r w:rsidR="00AB4650">
        <w:rPr>
          <w:rFonts w:ascii="Times New Roman" w:hAnsi="Times New Roman" w:cs="Times New Roman"/>
          <w:sz w:val="24"/>
          <w:szCs w:val="24"/>
        </w:rPr>
        <w:t>se</w:t>
      </w:r>
      <w:r w:rsidRPr="00B94F53">
        <w:rPr>
          <w:rFonts w:ascii="Times New Roman" w:hAnsi="Times New Roman" w:cs="Times New Roman"/>
          <w:sz w:val="24"/>
          <w:szCs w:val="24"/>
        </w:rPr>
        <w:t xml:space="preserve"> databases were </w:t>
      </w:r>
      <w:r w:rsidR="00AB4650">
        <w:rPr>
          <w:rFonts w:ascii="Times New Roman" w:hAnsi="Times New Roman" w:cs="Times New Roman"/>
          <w:sz w:val="24"/>
          <w:szCs w:val="24"/>
        </w:rPr>
        <w:t>selected</w:t>
      </w:r>
      <w:r w:rsidRPr="00B94F53">
        <w:rPr>
          <w:rFonts w:ascii="Times New Roman" w:hAnsi="Times New Roman" w:cs="Times New Roman"/>
          <w:sz w:val="24"/>
          <w:szCs w:val="24"/>
        </w:rPr>
        <w:t xml:space="preserve"> because they </w:t>
      </w:r>
      <w:r w:rsidR="00AB4650">
        <w:rPr>
          <w:rFonts w:ascii="Times New Roman" w:hAnsi="Times New Roman" w:cs="Times New Roman"/>
          <w:sz w:val="24"/>
          <w:szCs w:val="24"/>
        </w:rPr>
        <w:t>provide</w:t>
      </w:r>
      <w:r w:rsidRPr="00B94F53">
        <w:rPr>
          <w:rFonts w:ascii="Times New Roman" w:hAnsi="Times New Roman" w:cs="Times New Roman"/>
          <w:sz w:val="24"/>
          <w:szCs w:val="24"/>
        </w:rPr>
        <w:t xml:space="preserve"> access to peer-reviewed journal articles, conference papers, and scholarly books rel</w:t>
      </w:r>
      <w:r w:rsidR="002339EF">
        <w:rPr>
          <w:rFonts w:ascii="Times New Roman" w:hAnsi="Times New Roman" w:cs="Times New Roman"/>
          <w:sz w:val="24"/>
          <w:szCs w:val="24"/>
        </w:rPr>
        <w:t>evant</w:t>
      </w:r>
      <w:r w:rsidRPr="00B94F53">
        <w:rPr>
          <w:rFonts w:ascii="Times New Roman" w:hAnsi="Times New Roman" w:cs="Times New Roman"/>
          <w:sz w:val="24"/>
          <w:szCs w:val="24"/>
        </w:rPr>
        <w:t xml:space="preserve"> to international business, banking, finance, and human resource management (Xiao and Watson, 2019).</w:t>
      </w:r>
    </w:p>
    <w:p w14:paraId="5F2A0EB0" w14:textId="77777777"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Academic sources were consulted, along with trusted industry reports and policy papers, to gather up-to-date information on the practice of digital banking and regulatory developments. They were sources such as publications of Sonali Bank Limited, Bangladesh Bank, the Financial Conduct Authority (FCA) of United Kingdom, Office for National Statistics (ONS), KPMG, World Bank and the Chartered Institute of Personnel and Development (CIPD). These </w:t>
      </w:r>
      <w:r w:rsidRPr="00B94F53">
        <w:rPr>
          <w:rFonts w:ascii="Times New Roman" w:hAnsi="Times New Roman" w:cs="Times New Roman"/>
          <w:sz w:val="24"/>
          <w:szCs w:val="24"/>
        </w:rPr>
        <w:lastRenderedPageBreak/>
        <w:t>reports were useful for understanding recent trends in digital banking, the flow of remittances, technological advancements and regulatory changes impacting the financial marketplace in the UK and Bangladesh.</w:t>
      </w:r>
    </w:p>
    <w:p w14:paraId="6B826355" w14:textId="77777777"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For a discussion that reflects the latest developments in digital banking, fintech integration, remittance regulation, and human capital strategy, the review focused on publications in English that had been released during the period 2015 to 2026. The seminal papers on the Uppsala Internationalisation Model by Johanson and Vahlne (1977; 2009) and Barney's (1991) Resource Based View of the Firm were also included as they form the theoretical underpinning for the understanding of firm internationalisation and the development of strategic capability.</w:t>
      </w:r>
    </w:p>
    <w:p w14:paraId="0D3A8A34" w14:textId="04299537"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Lastly, all the sources identified were critically assessed based on relevance to the research topic, methodological soundness, credibility of publication, timeliness and contribution to the understanding of the relationship between e-commerce integration strategies and the banking performance. The literature review undertaken in this way was to ensure that the review was full, balanced and academically sound therefore giving a reliable base for the analysis and discussion that follows in this chapter is presented (Saunders, Lewis and Thornhill, 2019; Snyder, 2019).</w:t>
      </w:r>
    </w:p>
    <w:p w14:paraId="4E256F04" w14:textId="77777777" w:rsidR="00BC39D1" w:rsidRPr="00B94F53" w:rsidRDefault="00466143" w:rsidP="00045607">
      <w:pPr>
        <w:pStyle w:val="Heading2"/>
        <w:rPr>
          <w:rFonts w:ascii="Times New Roman" w:hAnsi="Times New Roman" w:cs="Times New Roman"/>
        </w:rPr>
      </w:pPr>
      <w:bookmarkStart w:id="13" w:name="_Toc238117806"/>
      <w:r w:rsidRPr="00B94F53">
        <w:rPr>
          <w:rFonts w:ascii="Times New Roman" w:hAnsi="Times New Roman" w:cs="Times New Roman"/>
        </w:rPr>
        <w:t>2.3 Literature Review</w:t>
      </w:r>
      <w:bookmarkEnd w:id="13"/>
    </w:p>
    <w:p w14:paraId="0D20CB2A" w14:textId="77777777" w:rsidR="00BC39D1" w:rsidRPr="00B94F53" w:rsidRDefault="00466143">
      <w:pPr>
        <w:pStyle w:val="Heading3"/>
        <w:rPr>
          <w:rFonts w:ascii="Times New Roman" w:hAnsi="Times New Roman" w:cs="Times New Roman"/>
          <w:color w:val="auto"/>
        </w:rPr>
      </w:pPr>
      <w:bookmarkStart w:id="14" w:name="_Toc238117807"/>
      <w:r w:rsidRPr="00B94F53">
        <w:rPr>
          <w:rFonts w:ascii="Times New Roman" w:hAnsi="Times New Roman" w:cs="Times New Roman"/>
          <w:color w:val="auto"/>
        </w:rPr>
        <w:t>2.3.1 E-Commerce Integration in International Banking: Concepts and Evolution</w:t>
      </w:r>
      <w:bookmarkEnd w:id="14"/>
    </w:p>
    <w:p w14:paraId="4618AA86" w14:textId="39E95933" w:rsidR="004570FC" w:rsidRPr="00B94F53" w:rsidRDefault="004570FC" w:rsidP="00C81D38">
      <w:pPr>
        <w:jc w:val="center"/>
        <w:rPr>
          <w:rFonts w:ascii="Times New Roman" w:hAnsi="Times New Roman" w:cs="Times New Roman"/>
        </w:rPr>
      </w:pPr>
      <w:r w:rsidRPr="00B94F53">
        <w:rPr>
          <w:rFonts w:ascii="Times New Roman" w:hAnsi="Times New Roman" w:cs="Times New Roman"/>
          <w:noProof/>
          <w:lang w:val="en-US" w:eastAsia="en-US"/>
        </w:rPr>
        <w:drawing>
          <wp:inline distT="0" distB="0" distL="0" distR="0" wp14:anchorId="42F4D83E" wp14:editId="33229AE0">
            <wp:extent cx="5120640" cy="3290371"/>
            <wp:effectExtent l="0" t="0" r="3810" b="5715"/>
            <wp:docPr id="506321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41556" cy="3303811"/>
                    </a:xfrm>
                    <a:prstGeom prst="rect">
                      <a:avLst/>
                    </a:prstGeom>
                    <a:noFill/>
                    <a:ln>
                      <a:noFill/>
                    </a:ln>
                  </pic:spPr>
                </pic:pic>
              </a:graphicData>
            </a:graphic>
          </wp:inline>
        </w:drawing>
      </w:r>
    </w:p>
    <w:p w14:paraId="3B52B504" w14:textId="462C9854" w:rsidR="004570FC" w:rsidRPr="00B94F53" w:rsidRDefault="004570FC" w:rsidP="00045607">
      <w:pPr>
        <w:jc w:val="both"/>
        <w:rPr>
          <w:rFonts w:ascii="Times New Roman" w:hAnsi="Times New Roman" w:cs="Times New Roman"/>
        </w:rPr>
      </w:pPr>
      <w:r w:rsidRPr="00B94F53">
        <w:rPr>
          <w:rFonts w:ascii="Times New Roman" w:hAnsi="Times New Roman" w:cs="Times New Roman"/>
        </w:rPr>
        <w:t>Figure</w:t>
      </w:r>
      <w:r w:rsidR="009F1FE1">
        <w:rPr>
          <w:rFonts w:ascii="Times New Roman" w:hAnsi="Times New Roman" w:cs="Times New Roman"/>
        </w:rPr>
        <w:t xml:space="preserve"> </w:t>
      </w:r>
      <w:proofErr w:type="gramStart"/>
      <w:r w:rsidR="009F1FE1">
        <w:rPr>
          <w:rFonts w:ascii="Times New Roman" w:hAnsi="Times New Roman" w:cs="Times New Roman"/>
        </w:rPr>
        <w:t>2.1</w:t>
      </w:r>
      <w:r w:rsidRPr="00B94F53">
        <w:rPr>
          <w:rFonts w:ascii="Times New Roman" w:hAnsi="Times New Roman" w:cs="Times New Roman"/>
        </w:rPr>
        <w:t xml:space="preserve">  Integrated</w:t>
      </w:r>
      <w:proofErr w:type="gramEnd"/>
      <w:r w:rsidRPr="00B94F53">
        <w:rPr>
          <w:rFonts w:ascii="Times New Roman" w:hAnsi="Times New Roman" w:cs="Times New Roman"/>
        </w:rPr>
        <w:t xml:space="preserve"> conceptual framework for e-commerce integration at Sonali Bank across the UK–Bangladesh corridor.</w:t>
      </w:r>
    </w:p>
    <w:p w14:paraId="697FDB76" w14:textId="77777777" w:rsidR="004570FC" w:rsidRPr="00B94F53" w:rsidRDefault="004570FC" w:rsidP="004570FC">
      <w:pPr>
        <w:rPr>
          <w:rFonts w:ascii="Times New Roman" w:hAnsi="Times New Roman" w:cs="Times New Roman"/>
        </w:rPr>
      </w:pPr>
    </w:p>
    <w:p w14:paraId="4D79396E" w14:textId="77777777" w:rsidR="00BC71B7" w:rsidRDefault="00BC71B7" w:rsidP="005B3D30">
      <w:pPr>
        <w:spacing w:before="120" w:after="120" w:line="360" w:lineRule="auto"/>
        <w:jc w:val="both"/>
        <w:rPr>
          <w:rFonts w:ascii="Times New Roman" w:hAnsi="Times New Roman" w:cs="Times New Roman"/>
          <w:sz w:val="24"/>
          <w:szCs w:val="24"/>
        </w:rPr>
      </w:pPr>
    </w:p>
    <w:p w14:paraId="3F677553" w14:textId="449CC688" w:rsidR="005B3D30" w:rsidRDefault="005B3D30" w:rsidP="005B3D30">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E-commerce banking has matured into a critical strategic business capability that allows financial institutions to design, present and provide value using digital technologies and platforms. According to KPMG (2024), e-commerce integration in the financial sector is the integration of digital payment solutions, mobile financial applications, and online banking systems, to provide customers with seamless cross-border transaction capabilities and improved customer engagement. In the same way, Chaffey and Ellis-Chadwick (2022) define digital integration as a strategy that involves working with online platforms and customer-centred tactics to establish long-term institutional relationships, which can be transferred to the banking sector as well as to the retail e-commerce sector. Although both definitions mention digital technologies, Chaffey and Ellis-Chadwick (2022) mention e-commerce integration in banking in relation to customer value creation, pointing to a new approach to the strategic management of banking relationships, which takes payment architecture and platform interoperability one step further, as KPMG (2024) does.</w:t>
      </w:r>
    </w:p>
    <w:p w14:paraId="29D3CAB9" w14:textId="77777777" w:rsidR="00BC71B7" w:rsidRPr="00B94F53" w:rsidRDefault="00BC71B7" w:rsidP="005B3D30">
      <w:pPr>
        <w:spacing w:before="120" w:after="120" w:line="360" w:lineRule="auto"/>
        <w:jc w:val="both"/>
        <w:rPr>
          <w:rFonts w:ascii="Times New Roman" w:hAnsi="Times New Roman" w:cs="Times New Roman"/>
          <w:sz w:val="24"/>
          <w:szCs w:val="24"/>
        </w:rPr>
      </w:pPr>
    </w:p>
    <w:p w14:paraId="7F0CC5D1" w14:textId="41FD9C04" w:rsidR="005B3D30" w:rsidRDefault="005B3D30" w:rsidP="005B3D30">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E-commerce-integrated banking is superior to traditional correspondent banking in terms of speed of transaction, settlement in real time, measurable outcome of customer engagement, and cost efficiency of remittance corridors (Bangladesh Bank, 2025). The traditional remittance channels mainly </w:t>
      </w:r>
      <w:r w:rsidR="002651E4" w:rsidRPr="00B94F53">
        <w:rPr>
          <w:rFonts w:ascii="Times New Roman" w:hAnsi="Times New Roman" w:cs="Times New Roman"/>
          <w:sz w:val="24"/>
          <w:szCs w:val="24"/>
        </w:rPr>
        <w:t>rely on</w:t>
      </w:r>
      <w:r w:rsidRPr="00B94F53">
        <w:rPr>
          <w:rFonts w:ascii="Times New Roman" w:hAnsi="Times New Roman" w:cs="Times New Roman"/>
          <w:sz w:val="24"/>
          <w:szCs w:val="24"/>
        </w:rPr>
        <w:t xml:space="preserve"> physical </w:t>
      </w:r>
      <w:r w:rsidR="002651E4" w:rsidRPr="00B94F53">
        <w:rPr>
          <w:rFonts w:ascii="Times New Roman" w:hAnsi="Times New Roman" w:cs="Times New Roman"/>
          <w:sz w:val="24"/>
          <w:szCs w:val="24"/>
        </w:rPr>
        <w:t>channels</w:t>
      </w:r>
      <w:r w:rsidRPr="00B94F53">
        <w:rPr>
          <w:rFonts w:ascii="Times New Roman" w:hAnsi="Times New Roman" w:cs="Times New Roman"/>
          <w:sz w:val="24"/>
          <w:szCs w:val="24"/>
        </w:rPr>
        <w:t xml:space="preserve"> of branches and manual processing and thus slow speed, less responsive to </w:t>
      </w:r>
      <w:r w:rsidR="002651E4" w:rsidRPr="00B94F53">
        <w:rPr>
          <w:rFonts w:ascii="Times New Roman" w:hAnsi="Times New Roman" w:cs="Times New Roman"/>
          <w:sz w:val="24"/>
          <w:szCs w:val="24"/>
        </w:rPr>
        <w:t>customers</w:t>
      </w:r>
      <w:r w:rsidRPr="00B94F53">
        <w:rPr>
          <w:rFonts w:ascii="Times New Roman" w:hAnsi="Times New Roman" w:cs="Times New Roman"/>
          <w:sz w:val="24"/>
          <w:szCs w:val="24"/>
        </w:rPr>
        <w:t>. But traditional channels are still worth using for customers who are not as digitally savvy, which means that both channels can co-exist in an institution's services (KPMG, 2024).</w:t>
      </w:r>
    </w:p>
    <w:p w14:paraId="66ED0BD5" w14:textId="77777777" w:rsidR="00BC71B7" w:rsidRPr="00B94F53" w:rsidRDefault="00BC71B7" w:rsidP="005B3D30">
      <w:pPr>
        <w:spacing w:before="120" w:after="120" w:line="360" w:lineRule="auto"/>
        <w:jc w:val="both"/>
        <w:rPr>
          <w:rFonts w:ascii="Times New Roman" w:hAnsi="Times New Roman" w:cs="Times New Roman"/>
          <w:sz w:val="24"/>
          <w:szCs w:val="24"/>
        </w:rPr>
      </w:pPr>
    </w:p>
    <w:p w14:paraId="280DECDF" w14:textId="77777777" w:rsidR="005B3D30" w:rsidRDefault="005B3D30" w:rsidP="005B3D30">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rise of mobile financial services, open banking application programming interfaces (APIs) and digital identity verification has helped to drive the evolution of e-commerce integration within the banking sector. The rise of mobile-first financial services like bKash and Nagad allows banks to access the underbanked population, enhancing the customer experience and broadening financial services in markets like Bangladesh (Bangladesh Bank, 2025). Similarly, the UK open banking infrastructure connects various financial interactions, ensuring a seamless customer experience within banking apps, third-party payment platforms and traditional banking channels (ONS, 2025). However, over-dependence on digital platforms has raised </w:t>
      </w:r>
      <w:r w:rsidRPr="00B94F53">
        <w:rPr>
          <w:rFonts w:ascii="Times New Roman" w:hAnsi="Times New Roman" w:cs="Times New Roman"/>
          <w:sz w:val="24"/>
          <w:szCs w:val="24"/>
        </w:rPr>
        <w:lastRenderedPageBreak/>
        <w:t>issues around cybersecurity, financial literacy of less tech-savvy customers and regulatory requirements, such as under anti-money laundering and data protection laws.</w:t>
      </w:r>
    </w:p>
    <w:p w14:paraId="296860C3" w14:textId="77777777" w:rsidR="00BC71B7" w:rsidRPr="00B94F53" w:rsidRDefault="00BC71B7" w:rsidP="005B3D30">
      <w:pPr>
        <w:spacing w:before="120" w:after="120" w:line="360" w:lineRule="auto"/>
        <w:jc w:val="both"/>
        <w:rPr>
          <w:rFonts w:ascii="Times New Roman" w:hAnsi="Times New Roman" w:cs="Times New Roman"/>
          <w:sz w:val="24"/>
          <w:szCs w:val="24"/>
        </w:rPr>
      </w:pPr>
    </w:p>
    <w:p w14:paraId="49BC55B9" w14:textId="3944E9EC" w:rsidR="005B3D30" w:rsidRDefault="005B3D30" w:rsidP="005B3D30">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Personalised services ensure that the diaspora population is engaged and loyal to their banking services, which is an important aspect of digital remittance personalisation with respect to modern cross-border banking. However, it relies on compliance with regulations and consumer confidence in the sending and receiving markets (KPMG, 2024). These advancements indicate that mobile-first Remittance solutions, open banking capabilities and regulatory-compliant digital approaches can fuel institutional performance and customer trust in the UK's highly regulated financial landscape and Bangladesh's mobile-first financial environment.</w:t>
      </w:r>
    </w:p>
    <w:p w14:paraId="6853C160" w14:textId="77777777" w:rsidR="00BC71B7" w:rsidRPr="00B94F53" w:rsidRDefault="00BC71B7" w:rsidP="005B3D30">
      <w:pPr>
        <w:spacing w:before="120" w:after="120" w:line="360" w:lineRule="auto"/>
        <w:jc w:val="both"/>
        <w:rPr>
          <w:rFonts w:ascii="Times New Roman" w:hAnsi="Times New Roman" w:cs="Times New Roman"/>
        </w:rPr>
      </w:pPr>
    </w:p>
    <w:p w14:paraId="4A43995B" w14:textId="77777777" w:rsidR="00BC39D1" w:rsidRPr="00B94F53" w:rsidRDefault="00466143">
      <w:pPr>
        <w:pStyle w:val="Heading3"/>
        <w:rPr>
          <w:rFonts w:ascii="Times New Roman" w:hAnsi="Times New Roman" w:cs="Times New Roman"/>
          <w:color w:val="auto"/>
        </w:rPr>
      </w:pPr>
      <w:bookmarkStart w:id="15" w:name="_Toc238117808"/>
      <w:r w:rsidRPr="00B94F53">
        <w:rPr>
          <w:rFonts w:ascii="Times New Roman" w:hAnsi="Times New Roman" w:cs="Times New Roman"/>
          <w:color w:val="auto"/>
        </w:rPr>
        <w:t>2.3.2 Theoretical Foundations: Uppsala Model and Resource-Based View</w:t>
      </w:r>
      <w:bookmarkEnd w:id="15"/>
    </w:p>
    <w:p w14:paraId="08887EDE" w14:textId="77777777" w:rsidR="00FF795F" w:rsidRDefault="00FF795F" w:rsidP="00FF795F">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study is based on two theoretical frameworks which offer complementary points of view on international strategic management in banking contexts.</w:t>
      </w:r>
    </w:p>
    <w:p w14:paraId="3F371C01" w14:textId="77777777" w:rsidR="00BC71B7" w:rsidRPr="00B94F53" w:rsidRDefault="00BC71B7" w:rsidP="00FF795F">
      <w:pPr>
        <w:spacing w:before="120" w:after="120" w:line="360" w:lineRule="auto"/>
        <w:jc w:val="both"/>
        <w:rPr>
          <w:rFonts w:ascii="Times New Roman" w:hAnsi="Times New Roman" w:cs="Times New Roman"/>
          <w:sz w:val="24"/>
          <w:szCs w:val="24"/>
        </w:rPr>
      </w:pPr>
    </w:p>
    <w:p w14:paraId="57FE58D2" w14:textId="748A7537" w:rsidR="002764FC" w:rsidRDefault="00FF795F" w:rsidP="00FF795F">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Uppsala Internationalisation Model was initially put forward by Johanson and Vahlne (1977) and radically revised in the 2009 version, which states that companies enter foreign markets gradually, gaining experiential knowledge over time and lowering uncertainties by means of relationships within networks. It's still pertinent in the context of banking </w:t>
      </w:r>
      <w:r w:rsidR="00BC71B7" w:rsidRPr="00B94F53">
        <w:rPr>
          <w:rFonts w:ascii="Times New Roman" w:hAnsi="Times New Roman" w:cs="Times New Roman"/>
          <w:sz w:val="24"/>
          <w:szCs w:val="24"/>
        </w:rPr>
        <w:t>internationalisation but</w:t>
      </w:r>
      <w:r w:rsidRPr="00B94F53">
        <w:rPr>
          <w:rFonts w:ascii="Times New Roman" w:hAnsi="Times New Roman" w:cs="Times New Roman"/>
          <w:sz w:val="24"/>
          <w:szCs w:val="24"/>
        </w:rPr>
        <w:t xml:space="preserve"> needs tweaks: digital infrastructure shortens the traditional timeframe for internationalisation; by using platforms for remittance payments integrated with e-commerce, financial institutions can be present in multiple markets at once—without necessarily having to build branches incrementally. </w:t>
      </w:r>
      <w:r w:rsidR="002339EF" w:rsidRPr="00B94F53">
        <w:rPr>
          <w:rFonts w:ascii="Times New Roman" w:hAnsi="Times New Roman" w:cs="Times New Roman"/>
          <w:sz w:val="24"/>
          <w:szCs w:val="24"/>
        </w:rPr>
        <w:t>So,</w:t>
      </w:r>
      <w:r w:rsidRPr="00B94F53">
        <w:rPr>
          <w:rFonts w:ascii="Times New Roman" w:hAnsi="Times New Roman" w:cs="Times New Roman"/>
          <w:sz w:val="24"/>
          <w:szCs w:val="24"/>
        </w:rPr>
        <w:t xml:space="preserve"> the next question is: is there a case for the incremental logic of the Uppsala model when the decision to expand into other countries is often made by state-owned banks, and is influenced by the </w:t>
      </w:r>
      <w:r w:rsidR="002651E4" w:rsidRPr="00B94F53">
        <w:rPr>
          <w:rFonts w:ascii="Times New Roman" w:hAnsi="Times New Roman" w:cs="Times New Roman"/>
          <w:sz w:val="24"/>
          <w:szCs w:val="24"/>
        </w:rPr>
        <w:t>needs</w:t>
      </w:r>
      <w:r w:rsidRPr="00B94F53">
        <w:rPr>
          <w:rFonts w:ascii="Times New Roman" w:hAnsi="Times New Roman" w:cs="Times New Roman"/>
          <w:sz w:val="24"/>
          <w:szCs w:val="24"/>
        </w:rPr>
        <w:t xml:space="preserve"> of their expatriate customers and the policies of their governments, rather than commercial market-entry </w:t>
      </w:r>
      <w:r w:rsidR="002651E4" w:rsidRPr="00B94F53">
        <w:rPr>
          <w:rFonts w:ascii="Times New Roman" w:hAnsi="Times New Roman" w:cs="Times New Roman"/>
          <w:sz w:val="24"/>
          <w:szCs w:val="24"/>
        </w:rPr>
        <w:t>considerations? The</w:t>
      </w:r>
      <w:r w:rsidR="002764FC" w:rsidRPr="00B94F53">
        <w:rPr>
          <w:rFonts w:ascii="Times New Roman" w:hAnsi="Times New Roman" w:cs="Times New Roman"/>
          <w:sz w:val="24"/>
          <w:szCs w:val="24"/>
        </w:rPr>
        <w:t xml:space="preserve"> Uppsala Model is also facing challenges in recent developments. In this regard, Bhatti et al. (2022) state that the process of internationalisation is accelerated by Industry 4.0 technologies, allowing firms to access foreign markets in a single step, instead of progressing in stages through physical steps. Similarly, Monaghan, Tippmann and Coviello (2020) propose that digital companies are increasingly internationalising via online networks, platform ecosystems and online relationships, instead of the traditional market-entry phases. Otherwise, </w:t>
      </w:r>
      <w:r w:rsidR="002764FC" w:rsidRPr="00B94F53">
        <w:rPr>
          <w:rFonts w:ascii="Times New Roman" w:hAnsi="Times New Roman" w:cs="Times New Roman"/>
          <w:sz w:val="24"/>
          <w:szCs w:val="24"/>
        </w:rPr>
        <w:lastRenderedPageBreak/>
        <w:t xml:space="preserve">Hervé, Schmitt and </w:t>
      </w:r>
      <w:proofErr w:type="spellStart"/>
      <w:r w:rsidR="002764FC" w:rsidRPr="00B94F53">
        <w:rPr>
          <w:rFonts w:ascii="Times New Roman" w:hAnsi="Times New Roman" w:cs="Times New Roman"/>
          <w:sz w:val="24"/>
          <w:szCs w:val="24"/>
        </w:rPr>
        <w:t>Baldegger</w:t>
      </w:r>
      <w:proofErr w:type="spellEnd"/>
      <w:r w:rsidR="002764FC" w:rsidRPr="00B94F53">
        <w:rPr>
          <w:rFonts w:ascii="Times New Roman" w:hAnsi="Times New Roman" w:cs="Times New Roman"/>
          <w:sz w:val="24"/>
          <w:szCs w:val="24"/>
        </w:rPr>
        <w:t xml:space="preserve"> (2020) argue that digital technologies significantly lower internationalisation barriers through enhanced communication, market access and customer interaction </w:t>
      </w:r>
      <w:r w:rsidR="002651E4" w:rsidRPr="00B94F53">
        <w:rPr>
          <w:rFonts w:ascii="Times New Roman" w:hAnsi="Times New Roman" w:cs="Times New Roman"/>
          <w:sz w:val="24"/>
          <w:szCs w:val="24"/>
        </w:rPr>
        <w:t>across</w:t>
      </w:r>
      <w:r w:rsidR="002764FC" w:rsidRPr="00B94F53">
        <w:rPr>
          <w:rFonts w:ascii="Times New Roman" w:hAnsi="Times New Roman" w:cs="Times New Roman"/>
          <w:sz w:val="24"/>
          <w:szCs w:val="24"/>
        </w:rPr>
        <w:t xml:space="preserve"> international borders. The developments show that the Uppsala Model is still valid, but digital banking needs to be interpreted more flexibly when it comes to ‘gradual international expansion.</w:t>
      </w:r>
    </w:p>
    <w:p w14:paraId="2F96F24F" w14:textId="77777777" w:rsidR="00BC71B7" w:rsidRPr="00B94F53" w:rsidRDefault="00BC71B7" w:rsidP="00FF795F">
      <w:pPr>
        <w:spacing w:before="120" w:after="120" w:line="360" w:lineRule="auto"/>
        <w:jc w:val="both"/>
        <w:rPr>
          <w:rFonts w:ascii="Times New Roman" w:hAnsi="Times New Roman" w:cs="Times New Roman"/>
          <w:sz w:val="24"/>
          <w:szCs w:val="24"/>
        </w:rPr>
      </w:pPr>
    </w:p>
    <w:p w14:paraId="5BB7FA55" w14:textId="53EF6B74" w:rsidR="002764FC" w:rsidRPr="00B94F53" w:rsidRDefault="002764FC"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Resource Based View is still relevant and applicable in banking, according to empirical evidence recently gathered. The dynamic capabilities mediate the relationship between digital transformation and banking performance, as found by Abdulrahman, </w:t>
      </w:r>
      <w:proofErr w:type="spellStart"/>
      <w:r w:rsidRPr="00B94F53">
        <w:rPr>
          <w:rFonts w:ascii="Times New Roman" w:hAnsi="Times New Roman" w:cs="Times New Roman"/>
          <w:sz w:val="24"/>
          <w:szCs w:val="24"/>
        </w:rPr>
        <w:t>Gustomo</w:t>
      </w:r>
      <w:proofErr w:type="spellEnd"/>
      <w:r w:rsidRPr="00B94F53">
        <w:rPr>
          <w:rFonts w:ascii="Times New Roman" w:hAnsi="Times New Roman" w:cs="Times New Roman"/>
          <w:sz w:val="24"/>
          <w:szCs w:val="24"/>
        </w:rPr>
        <w:t xml:space="preserve"> and </w:t>
      </w:r>
      <w:proofErr w:type="spellStart"/>
      <w:r w:rsidRPr="00B94F53">
        <w:rPr>
          <w:rFonts w:ascii="Times New Roman" w:hAnsi="Times New Roman" w:cs="Times New Roman"/>
          <w:sz w:val="24"/>
          <w:szCs w:val="24"/>
        </w:rPr>
        <w:t>Prasetio</w:t>
      </w:r>
      <w:proofErr w:type="spellEnd"/>
      <w:r w:rsidRPr="00B94F53">
        <w:rPr>
          <w:rFonts w:ascii="Times New Roman" w:hAnsi="Times New Roman" w:cs="Times New Roman"/>
          <w:sz w:val="24"/>
          <w:szCs w:val="24"/>
        </w:rPr>
        <w:t xml:space="preserve"> (2024) that the investment in technology alone is not enough without the support of the development of organisational capabilities. As a result, banks need to constantly repurpose resources to meet regulatory and technological developments effectively.</w:t>
      </w:r>
    </w:p>
    <w:p w14:paraId="45B35261" w14:textId="77777777" w:rsidR="008E428F" w:rsidRPr="00B94F53" w:rsidRDefault="008E428F" w:rsidP="00A51831">
      <w:pPr>
        <w:spacing w:before="120" w:after="120" w:line="360" w:lineRule="auto"/>
        <w:jc w:val="both"/>
        <w:rPr>
          <w:rFonts w:ascii="Times New Roman" w:hAnsi="Times New Roman" w:cs="Times New Roman"/>
          <w:sz w:val="24"/>
          <w:szCs w:val="24"/>
        </w:rPr>
      </w:pPr>
    </w:p>
    <w:p w14:paraId="556F8902" w14:textId="7B5A7008" w:rsidR="00967C47" w:rsidRPr="00B94F53" w:rsidRDefault="00967C47" w:rsidP="00967C47">
      <w:pPr>
        <w:spacing w:before="120" w:after="120" w:line="360" w:lineRule="auto"/>
        <w:jc w:val="center"/>
        <w:rPr>
          <w:rFonts w:ascii="Times New Roman" w:hAnsi="Times New Roman" w:cs="Times New Roman"/>
          <w:b/>
          <w:bCs/>
          <w:sz w:val="24"/>
          <w:szCs w:val="24"/>
        </w:rPr>
      </w:pPr>
      <w:r w:rsidRPr="00B94F53">
        <w:rPr>
          <w:rFonts w:ascii="Times New Roman" w:hAnsi="Times New Roman" w:cs="Times New Roman"/>
          <w:b/>
          <w:bCs/>
          <w:sz w:val="24"/>
          <w:szCs w:val="24"/>
        </w:rPr>
        <w:t>Table</w:t>
      </w:r>
      <w:r w:rsidR="00C75652" w:rsidRPr="00B94F53">
        <w:rPr>
          <w:rFonts w:ascii="Times New Roman" w:hAnsi="Times New Roman" w:cs="Times New Roman"/>
          <w:b/>
          <w:bCs/>
          <w:sz w:val="24"/>
          <w:szCs w:val="24"/>
        </w:rPr>
        <w:t xml:space="preserve"> 2.1</w:t>
      </w:r>
      <w:r w:rsidRPr="00B94F53">
        <w:rPr>
          <w:rFonts w:ascii="Times New Roman" w:hAnsi="Times New Roman" w:cs="Times New Roman"/>
          <w:b/>
          <w:bCs/>
          <w:sz w:val="24"/>
          <w:szCs w:val="24"/>
        </w:rPr>
        <w:t>: Comparison of Theoretical Frameworks</w:t>
      </w:r>
    </w:p>
    <w:tbl>
      <w:tblPr>
        <w:tblStyle w:val="TableGridLight"/>
        <w:tblW w:w="0" w:type="auto"/>
        <w:tblLook w:val="04A0" w:firstRow="1" w:lastRow="0" w:firstColumn="1" w:lastColumn="0" w:noHBand="0" w:noVBand="1"/>
      </w:tblPr>
      <w:tblGrid>
        <w:gridCol w:w="1230"/>
        <w:gridCol w:w="2872"/>
        <w:gridCol w:w="4914"/>
      </w:tblGrid>
      <w:tr w:rsidR="00BD3FFE" w:rsidRPr="00B94F53" w14:paraId="20D4DFDE" w14:textId="77777777" w:rsidTr="008E3987">
        <w:tc>
          <w:tcPr>
            <w:tcW w:w="0" w:type="auto"/>
            <w:hideMark/>
          </w:tcPr>
          <w:p w14:paraId="32E7EC77"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Aspect</w:t>
            </w:r>
          </w:p>
        </w:tc>
        <w:tc>
          <w:tcPr>
            <w:tcW w:w="0" w:type="auto"/>
            <w:hideMark/>
          </w:tcPr>
          <w:p w14:paraId="066769CD"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Uppsala Model</w:t>
            </w:r>
          </w:p>
        </w:tc>
        <w:tc>
          <w:tcPr>
            <w:tcW w:w="0" w:type="auto"/>
            <w:hideMark/>
          </w:tcPr>
          <w:p w14:paraId="48528569"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Resource-Based View / Dynamic Capabilities</w:t>
            </w:r>
          </w:p>
        </w:tc>
      </w:tr>
      <w:tr w:rsidR="00BD3FFE" w:rsidRPr="00B94F53" w14:paraId="1EE45A61" w14:textId="77777777" w:rsidTr="008E3987">
        <w:tc>
          <w:tcPr>
            <w:tcW w:w="0" w:type="auto"/>
            <w:hideMark/>
          </w:tcPr>
          <w:p w14:paraId="219D0F82"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Focus</w:t>
            </w:r>
          </w:p>
        </w:tc>
        <w:tc>
          <w:tcPr>
            <w:tcW w:w="0" w:type="auto"/>
            <w:hideMark/>
          </w:tcPr>
          <w:p w14:paraId="2168A91F"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International expansion through learning</w:t>
            </w:r>
          </w:p>
        </w:tc>
        <w:tc>
          <w:tcPr>
            <w:tcW w:w="0" w:type="auto"/>
            <w:hideMark/>
          </w:tcPr>
          <w:p w14:paraId="472CDB42"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Competitive advantage through strategic resources</w:t>
            </w:r>
          </w:p>
        </w:tc>
      </w:tr>
      <w:tr w:rsidR="00BD3FFE" w:rsidRPr="00B94F53" w14:paraId="7DF7621D" w14:textId="77777777" w:rsidTr="008E3987">
        <w:tc>
          <w:tcPr>
            <w:tcW w:w="0" w:type="auto"/>
            <w:hideMark/>
          </w:tcPr>
          <w:p w14:paraId="396C0831"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Key Idea</w:t>
            </w:r>
          </w:p>
        </w:tc>
        <w:tc>
          <w:tcPr>
            <w:tcW w:w="0" w:type="auto"/>
            <w:hideMark/>
          </w:tcPr>
          <w:p w14:paraId="00830830"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Firms expand gradually as knowledge increases</w:t>
            </w:r>
          </w:p>
        </w:tc>
        <w:tc>
          <w:tcPr>
            <w:tcW w:w="0" w:type="auto"/>
            <w:hideMark/>
          </w:tcPr>
          <w:p w14:paraId="3DDDB862"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Valuable resources and capabilities create sustainable advantage</w:t>
            </w:r>
          </w:p>
        </w:tc>
      </w:tr>
      <w:tr w:rsidR="00BD3FFE" w:rsidRPr="00B94F53" w14:paraId="3262D44C" w14:textId="77777777" w:rsidTr="008E3987">
        <w:tc>
          <w:tcPr>
            <w:tcW w:w="0" w:type="auto"/>
            <w:hideMark/>
          </w:tcPr>
          <w:p w14:paraId="167BE807"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Relevance</w:t>
            </w:r>
          </w:p>
        </w:tc>
        <w:tc>
          <w:tcPr>
            <w:tcW w:w="0" w:type="auto"/>
            <w:hideMark/>
          </w:tcPr>
          <w:p w14:paraId="2A8100D4"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Explains Sonali Bank's expansion into the UK</w:t>
            </w:r>
          </w:p>
        </w:tc>
        <w:tc>
          <w:tcPr>
            <w:tcW w:w="0" w:type="auto"/>
            <w:hideMark/>
          </w:tcPr>
          <w:p w14:paraId="320985E8"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Explains how technology, brand reputation and human resources support digital transformation</w:t>
            </w:r>
          </w:p>
        </w:tc>
      </w:tr>
      <w:tr w:rsidR="00BD3FFE" w:rsidRPr="00B94F53" w14:paraId="27C1D1E8" w14:textId="77777777" w:rsidTr="008E3987">
        <w:tc>
          <w:tcPr>
            <w:tcW w:w="0" w:type="auto"/>
            <w:hideMark/>
          </w:tcPr>
          <w:p w14:paraId="1477383C"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Limitation</w:t>
            </w:r>
          </w:p>
        </w:tc>
        <w:tc>
          <w:tcPr>
            <w:tcW w:w="0" w:type="auto"/>
            <w:hideMark/>
          </w:tcPr>
          <w:p w14:paraId="3CB51A5B"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Less suitable for rapid digital expansion</w:t>
            </w:r>
          </w:p>
        </w:tc>
        <w:tc>
          <w:tcPr>
            <w:tcW w:w="0" w:type="auto"/>
            <w:hideMark/>
          </w:tcPr>
          <w:p w14:paraId="0AC0F69E"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Pays limited attention to external institutional constraints</w:t>
            </w:r>
          </w:p>
        </w:tc>
      </w:tr>
    </w:tbl>
    <w:p w14:paraId="71628A4D" w14:textId="77777777" w:rsidR="00EF13B6" w:rsidRPr="00B94F53" w:rsidRDefault="00EF13B6" w:rsidP="00A51831">
      <w:pPr>
        <w:spacing w:before="120" w:after="120" w:line="360" w:lineRule="auto"/>
        <w:jc w:val="both"/>
        <w:rPr>
          <w:rFonts w:ascii="Times New Roman" w:hAnsi="Times New Roman" w:cs="Times New Roman"/>
          <w:sz w:val="24"/>
          <w:szCs w:val="24"/>
        </w:rPr>
      </w:pPr>
    </w:p>
    <w:p w14:paraId="18239A34" w14:textId="77777777" w:rsidR="00BC39D1" w:rsidRPr="00B94F53" w:rsidRDefault="00466143">
      <w:pPr>
        <w:pStyle w:val="Heading3"/>
        <w:rPr>
          <w:rFonts w:ascii="Times New Roman" w:hAnsi="Times New Roman" w:cs="Times New Roman"/>
          <w:color w:val="auto"/>
          <w:sz w:val="24"/>
          <w:szCs w:val="24"/>
        </w:rPr>
      </w:pPr>
      <w:bookmarkStart w:id="16" w:name="_Toc238117809"/>
      <w:r w:rsidRPr="00B94F53">
        <w:rPr>
          <w:rFonts w:ascii="Times New Roman" w:hAnsi="Times New Roman" w:cs="Times New Roman"/>
          <w:color w:val="auto"/>
          <w:sz w:val="24"/>
          <w:szCs w:val="24"/>
        </w:rPr>
        <w:t>2.3.3 Digital Marketing and Localisation Strategies of Sonali Bank</w:t>
      </w:r>
      <w:bookmarkEnd w:id="16"/>
    </w:p>
    <w:p w14:paraId="7C5B637A" w14:textId="419430D7" w:rsidR="00A51831" w:rsidRDefault="00FD013B" w:rsidP="00A51831">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M</w:t>
      </w:r>
      <w:r w:rsidR="00A51831" w:rsidRPr="00B94F53">
        <w:rPr>
          <w:rFonts w:ascii="Times New Roman" w:hAnsi="Times New Roman" w:cs="Times New Roman"/>
          <w:sz w:val="24"/>
          <w:szCs w:val="24"/>
        </w:rPr>
        <w:t>arketing and customer engagement strategies are</w:t>
      </w:r>
      <w:r>
        <w:rPr>
          <w:rFonts w:ascii="Times New Roman" w:hAnsi="Times New Roman" w:cs="Times New Roman"/>
          <w:sz w:val="24"/>
          <w:szCs w:val="24"/>
        </w:rPr>
        <w:t xml:space="preserve"> likely </w:t>
      </w:r>
      <w:r w:rsidR="00BB57C0">
        <w:rPr>
          <w:rFonts w:ascii="Times New Roman" w:hAnsi="Times New Roman" w:cs="Times New Roman"/>
          <w:sz w:val="24"/>
          <w:szCs w:val="24"/>
        </w:rPr>
        <w:t xml:space="preserve">to </w:t>
      </w:r>
      <w:r w:rsidR="00BB57C0" w:rsidRPr="00B94F53">
        <w:rPr>
          <w:rFonts w:ascii="Times New Roman" w:hAnsi="Times New Roman" w:cs="Times New Roman"/>
          <w:sz w:val="24"/>
          <w:szCs w:val="24"/>
        </w:rPr>
        <w:t>differ</w:t>
      </w:r>
      <w:r w:rsidR="00A51831" w:rsidRPr="00B94F53">
        <w:rPr>
          <w:rFonts w:ascii="Times New Roman" w:hAnsi="Times New Roman" w:cs="Times New Roman"/>
          <w:sz w:val="24"/>
          <w:szCs w:val="24"/>
        </w:rPr>
        <w:t xml:space="preserve"> </w:t>
      </w:r>
      <w:r>
        <w:rPr>
          <w:rFonts w:ascii="Times New Roman" w:hAnsi="Times New Roman" w:cs="Times New Roman"/>
          <w:sz w:val="24"/>
          <w:szCs w:val="24"/>
        </w:rPr>
        <w:t>across the</w:t>
      </w:r>
      <w:r w:rsidR="00A51831" w:rsidRPr="00B94F53">
        <w:rPr>
          <w:rFonts w:ascii="Times New Roman" w:hAnsi="Times New Roman" w:cs="Times New Roman"/>
          <w:sz w:val="24"/>
          <w:szCs w:val="24"/>
        </w:rPr>
        <w:t xml:space="preserve"> two markets</w:t>
      </w:r>
      <w:r>
        <w:rPr>
          <w:rFonts w:ascii="Times New Roman" w:hAnsi="Times New Roman" w:cs="Times New Roman"/>
          <w:sz w:val="24"/>
          <w:szCs w:val="24"/>
        </w:rPr>
        <w:t xml:space="preserve"> because of differences in regulatory requirements, consumer preferences and institutional conte</w:t>
      </w:r>
      <w:r w:rsidR="00BB57C0">
        <w:rPr>
          <w:rFonts w:ascii="Times New Roman" w:hAnsi="Times New Roman" w:cs="Times New Roman"/>
          <w:sz w:val="24"/>
          <w:szCs w:val="24"/>
        </w:rPr>
        <w:t>x</w:t>
      </w:r>
      <w:r>
        <w:rPr>
          <w:rFonts w:ascii="Times New Roman" w:hAnsi="Times New Roman" w:cs="Times New Roman"/>
          <w:sz w:val="24"/>
          <w:szCs w:val="24"/>
        </w:rPr>
        <w:t>ts</w:t>
      </w:r>
      <w:r w:rsidR="00A51831" w:rsidRPr="00B94F53">
        <w:rPr>
          <w:rFonts w:ascii="Times New Roman" w:hAnsi="Times New Roman" w:cs="Times New Roman"/>
          <w:sz w:val="24"/>
          <w:szCs w:val="24"/>
        </w:rPr>
        <w:t xml:space="preserve">. </w:t>
      </w:r>
      <w:r w:rsidR="00BB57C0">
        <w:rPr>
          <w:rFonts w:ascii="Times New Roman" w:hAnsi="Times New Roman" w:cs="Times New Roman"/>
          <w:sz w:val="24"/>
          <w:szCs w:val="24"/>
        </w:rPr>
        <w:t xml:space="preserve">Rather than relying </w:t>
      </w:r>
      <w:r w:rsidR="00793F11">
        <w:rPr>
          <w:rFonts w:ascii="Times New Roman" w:hAnsi="Times New Roman" w:cs="Times New Roman"/>
          <w:sz w:val="24"/>
          <w:szCs w:val="24"/>
        </w:rPr>
        <w:t xml:space="preserve">on </w:t>
      </w:r>
      <w:r w:rsidR="00793F11" w:rsidRPr="00B94F53">
        <w:rPr>
          <w:rFonts w:ascii="Times New Roman" w:hAnsi="Times New Roman" w:cs="Times New Roman"/>
          <w:sz w:val="24"/>
          <w:szCs w:val="24"/>
        </w:rPr>
        <w:t>a</w:t>
      </w:r>
      <w:r w:rsidR="00A51831" w:rsidRPr="00B94F53">
        <w:rPr>
          <w:rFonts w:ascii="Times New Roman" w:hAnsi="Times New Roman" w:cs="Times New Roman"/>
          <w:sz w:val="24"/>
          <w:szCs w:val="24"/>
        </w:rPr>
        <w:t xml:space="preserve"> standard global marketing strategy, cross-border banking </w:t>
      </w:r>
      <w:r w:rsidR="00A51831" w:rsidRPr="00B94F53">
        <w:rPr>
          <w:rFonts w:ascii="Times New Roman" w:hAnsi="Times New Roman" w:cs="Times New Roman"/>
          <w:sz w:val="24"/>
          <w:szCs w:val="24"/>
        </w:rPr>
        <w:lastRenderedPageBreak/>
        <w:t xml:space="preserve">institutions </w:t>
      </w:r>
      <w:r w:rsidR="00BB57C0">
        <w:rPr>
          <w:rFonts w:ascii="Times New Roman" w:hAnsi="Times New Roman" w:cs="Times New Roman"/>
          <w:sz w:val="24"/>
          <w:szCs w:val="24"/>
        </w:rPr>
        <w:t>increasing</w:t>
      </w:r>
      <w:r w:rsidR="00A51831" w:rsidRPr="00B94F53">
        <w:rPr>
          <w:rFonts w:ascii="Times New Roman" w:hAnsi="Times New Roman" w:cs="Times New Roman"/>
          <w:sz w:val="24"/>
          <w:szCs w:val="24"/>
        </w:rPr>
        <w:t xml:space="preserve">ly </w:t>
      </w:r>
      <w:r w:rsidR="00BB57C0" w:rsidRPr="00B94F53">
        <w:rPr>
          <w:rFonts w:ascii="Times New Roman" w:hAnsi="Times New Roman" w:cs="Times New Roman"/>
          <w:sz w:val="24"/>
          <w:szCs w:val="24"/>
        </w:rPr>
        <w:t>adapt</w:t>
      </w:r>
      <w:r w:rsidR="00A51831" w:rsidRPr="00B94F53">
        <w:rPr>
          <w:rFonts w:ascii="Times New Roman" w:hAnsi="Times New Roman" w:cs="Times New Roman"/>
          <w:sz w:val="24"/>
          <w:szCs w:val="24"/>
        </w:rPr>
        <w:t xml:space="preserve"> their online marketing </w:t>
      </w:r>
      <w:r w:rsidR="00BB57C0">
        <w:rPr>
          <w:rFonts w:ascii="Times New Roman" w:hAnsi="Times New Roman" w:cs="Times New Roman"/>
          <w:sz w:val="24"/>
          <w:szCs w:val="24"/>
        </w:rPr>
        <w:t>ac</w:t>
      </w:r>
      <w:r w:rsidR="00A51831" w:rsidRPr="00B94F53">
        <w:rPr>
          <w:rFonts w:ascii="Times New Roman" w:hAnsi="Times New Roman" w:cs="Times New Roman"/>
          <w:sz w:val="24"/>
          <w:szCs w:val="24"/>
        </w:rPr>
        <w:t>t</w:t>
      </w:r>
      <w:r w:rsidR="00BB57C0">
        <w:rPr>
          <w:rFonts w:ascii="Times New Roman" w:hAnsi="Times New Roman" w:cs="Times New Roman"/>
          <w:sz w:val="24"/>
          <w:szCs w:val="24"/>
        </w:rPr>
        <w:t>ivi</w:t>
      </w:r>
      <w:r w:rsidR="00A51831" w:rsidRPr="00B94F53">
        <w:rPr>
          <w:rFonts w:ascii="Times New Roman" w:hAnsi="Times New Roman" w:cs="Times New Roman"/>
          <w:sz w:val="24"/>
          <w:szCs w:val="24"/>
        </w:rPr>
        <w:t>ti</w:t>
      </w:r>
      <w:r w:rsidR="00BB57C0">
        <w:rPr>
          <w:rFonts w:ascii="Times New Roman" w:hAnsi="Times New Roman" w:cs="Times New Roman"/>
          <w:sz w:val="24"/>
          <w:szCs w:val="24"/>
        </w:rPr>
        <w:t>e</w:t>
      </w:r>
      <w:r w:rsidR="00A51831" w:rsidRPr="00B94F53">
        <w:rPr>
          <w:rFonts w:ascii="Times New Roman" w:hAnsi="Times New Roman" w:cs="Times New Roman"/>
          <w:sz w:val="24"/>
          <w:szCs w:val="24"/>
        </w:rPr>
        <w:t>s to local cultural, linguistic and platform preferences (Chaffey and Ellis-Chadwick, 2022).</w:t>
      </w:r>
    </w:p>
    <w:p w14:paraId="763CD646" w14:textId="77777777" w:rsidR="00BC71B7" w:rsidRPr="00B94F53" w:rsidRDefault="00BC71B7" w:rsidP="00A51831">
      <w:pPr>
        <w:spacing w:before="120" w:after="120" w:line="360" w:lineRule="auto"/>
        <w:jc w:val="both"/>
        <w:rPr>
          <w:rFonts w:ascii="Times New Roman" w:hAnsi="Times New Roman" w:cs="Times New Roman"/>
          <w:sz w:val="24"/>
          <w:szCs w:val="24"/>
        </w:rPr>
      </w:pPr>
    </w:p>
    <w:p w14:paraId="129E4E16" w14:textId="6F8CB582" w:rsidR="00A51831" w:rsidRDefault="00BB57C0" w:rsidP="00A51831">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w:t>
      </w:r>
      <w:r w:rsidR="00A51831" w:rsidRPr="00B94F53">
        <w:rPr>
          <w:rFonts w:ascii="Times New Roman" w:hAnsi="Times New Roman" w:cs="Times New Roman"/>
          <w:sz w:val="24"/>
          <w:szCs w:val="24"/>
        </w:rPr>
        <w:t>UK context</w:t>
      </w:r>
      <w:r w:rsidR="002651E4" w:rsidRPr="00B94F53">
        <w:rPr>
          <w:rFonts w:ascii="Times New Roman" w:hAnsi="Times New Roman" w:cs="Times New Roman"/>
          <w:sz w:val="24"/>
          <w:szCs w:val="24"/>
        </w:rPr>
        <w:t>,</w:t>
      </w:r>
      <w:r w:rsidR="00A51831" w:rsidRPr="00B94F53">
        <w:rPr>
          <w:rFonts w:ascii="Times New Roman" w:hAnsi="Times New Roman" w:cs="Times New Roman"/>
          <w:sz w:val="24"/>
          <w:szCs w:val="24"/>
        </w:rPr>
        <w:t xml:space="preserve"> Sonali </w:t>
      </w:r>
      <w:r w:rsidR="002651E4" w:rsidRPr="00B94F53">
        <w:rPr>
          <w:rFonts w:ascii="Times New Roman" w:hAnsi="Times New Roman" w:cs="Times New Roman"/>
          <w:sz w:val="24"/>
          <w:szCs w:val="24"/>
        </w:rPr>
        <w:t>Bank's</w:t>
      </w:r>
      <w:r w:rsidR="00A51831" w:rsidRPr="00B94F53">
        <w:rPr>
          <w:rFonts w:ascii="Times New Roman" w:hAnsi="Times New Roman" w:cs="Times New Roman"/>
          <w:sz w:val="24"/>
          <w:szCs w:val="24"/>
        </w:rPr>
        <w:t xml:space="preserve"> marketing communications should </w:t>
      </w:r>
      <w:r>
        <w:rPr>
          <w:rFonts w:ascii="Times New Roman" w:hAnsi="Times New Roman" w:cs="Times New Roman"/>
          <w:sz w:val="24"/>
          <w:szCs w:val="24"/>
        </w:rPr>
        <w:t>comply</w:t>
      </w:r>
      <w:r w:rsidR="00A51831" w:rsidRPr="00B94F53">
        <w:rPr>
          <w:rFonts w:ascii="Times New Roman" w:hAnsi="Times New Roman" w:cs="Times New Roman"/>
          <w:sz w:val="24"/>
          <w:szCs w:val="24"/>
        </w:rPr>
        <w:t xml:space="preserve"> with the FCA financial promotions </w:t>
      </w:r>
      <w:r>
        <w:rPr>
          <w:rFonts w:ascii="Times New Roman" w:hAnsi="Times New Roman" w:cs="Times New Roman"/>
          <w:sz w:val="24"/>
          <w:szCs w:val="24"/>
        </w:rPr>
        <w:t>requirements</w:t>
      </w:r>
      <w:r w:rsidR="00A51831" w:rsidRPr="00B94F53">
        <w:rPr>
          <w:rFonts w:ascii="Times New Roman" w:hAnsi="Times New Roman" w:cs="Times New Roman"/>
          <w:sz w:val="24"/>
          <w:szCs w:val="24"/>
        </w:rPr>
        <w:t xml:space="preserve"> and</w:t>
      </w:r>
      <w:r>
        <w:rPr>
          <w:rFonts w:ascii="Times New Roman" w:hAnsi="Times New Roman" w:cs="Times New Roman"/>
          <w:sz w:val="24"/>
          <w:szCs w:val="24"/>
        </w:rPr>
        <w:t xml:space="preserve"> relevant data-protection </w:t>
      </w:r>
      <w:r w:rsidRPr="00B94F53">
        <w:rPr>
          <w:rFonts w:ascii="Times New Roman" w:hAnsi="Times New Roman" w:cs="Times New Roman"/>
          <w:sz w:val="24"/>
          <w:szCs w:val="24"/>
        </w:rPr>
        <w:t>principles</w:t>
      </w:r>
      <w:r>
        <w:rPr>
          <w:rFonts w:ascii="Times New Roman" w:hAnsi="Times New Roman" w:cs="Times New Roman"/>
          <w:sz w:val="24"/>
          <w:szCs w:val="24"/>
        </w:rPr>
        <w:t>.</w:t>
      </w:r>
      <w:r w:rsidR="00A51831" w:rsidRPr="00B94F53">
        <w:rPr>
          <w:rFonts w:ascii="Times New Roman" w:hAnsi="Times New Roman" w:cs="Times New Roman"/>
          <w:sz w:val="24"/>
          <w:szCs w:val="24"/>
        </w:rPr>
        <w:t xml:space="preserve"> </w:t>
      </w:r>
      <w:r>
        <w:rPr>
          <w:rFonts w:ascii="Times New Roman" w:hAnsi="Times New Roman" w:cs="Times New Roman"/>
          <w:sz w:val="24"/>
          <w:szCs w:val="24"/>
        </w:rPr>
        <w:t xml:space="preserve">The marketing of </w:t>
      </w:r>
      <w:r w:rsidR="00A51831" w:rsidRPr="00B94F53">
        <w:rPr>
          <w:rFonts w:ascii="Times New Roman" w:hAnsi="Times New Roman" w:cs="Times New Roman"/>
          <w:sz w:val="24"/>
          <w:szCs w:val="24"/>
        </w:rPr>
        <w:t>financial</w:t>
      </w:r>
      <w:r>
        <w:rPr>
          <w:rFonts w:ascii="Times New Roman" w:hAnsi="Times New Roman" w:cs="Times New Roman"/>
          <w:sz w:val="24"/>
          <w:szCs w:val="24"/>
        </w:rPr>
        <w:t xml:space="preserve"> services to </w:t>
      </w:r>
      <w:r w:rsidR="00A51831" w:rsidRPr="00B94F53">
        <w:rPr>
          <w:rFonts w:ascii="Times New Roman" w:hAnsi="Times New Roman" w:cs="Times New Roman"/>
          <w:sz w:val="24"/>
          <w:szCs w:val="24"/>
        </w:rPr>
        <w:t xml:space="preserve">the </w:t>
      </w:r>
      <w:r w:rsidR="00BC71B7" w:rsidRPr="00B94F53">
        <w:rPr>
          <w:rFonts w:ascii="Times New Roman" w:hAnsi="Times New Roman" w:cs="Times New Roman"/>
          <w:sz w:val="24"/>
          <w:szCs w:val="24"/>
        </w:rPr>
        <w:t>British Bangladeshi</w:t>
      </w:r>
      <w:r w:rsidR="00A51831" w:rsidRPr="00B94F53">
        <w:rPr>
          <w:rFonts w:ascii="Times New Roman" w:hAnsi="Times New Roman" w:cs="Times New Roman"/>
          <w:sz w:val="24"/>
          <w:szCs w:val="24"/>
        </w:rPr>
        <w:t xml:space="preserve"> community therefore </w:t>
      </w:r>
      <w:r>
        <w:rPr>
          <w:rFonts w:ascii="Times New Roman" w:hAnsi="Times New Roman" w:cs="Times New Roman"/>
          <w:sz w:val="24"/>
          <w:szCs w:val="24"/>
        </w:rPr>
        <w:t>requires a</w:t>
      </w:r>
      <w:r w:rsidR="00A51831" w:rsidRPr="00B94F53">
        <w:rPr>
          <w:rFonts w:ascii="Times New Roman" w:hAnsi="Times New Roman" w:cs="Times New Roman"/>
          <w:sz w:val="24"/>
          <w:szCs w:val="24"/>
        </w:rPr>
        <w:t xml:space="preserve"> balance </w:t>
      </w:r>
      <w:r w:rsidR="00095F54">
        <w:rPr>
          <w:rFonts w:ascii="Times New Roman" w:hAnsi="Times New Roman" w:cs="Times New Roman"/>
          <w:sz w:val="24"/>
          <w:szCs w:val="24"/>
        </w:rPr>
        <w:t xml:space="preserve">between </w:t>
      </w:r>
      <w:r w:rsidR="00A51831" w:rsidRPr="00B94F53">
        <w:rPr>
          <w:rFonts w:ascii="Times New Roman" w:hAnsi="Times New Roman" w:cs="Times New Roman"/>
          <w:sz w:val="24"/>
          <w:szCs w:val="24"/>
        </w:rPr>
        <w:t xml:space="preserve">cultural </w:t>
      </w:r>
      <w:r w:rsidR="00095F54">
        <w:rPr>
          <w:rFonts w:ascii="Times New Roman" w:hAnsi="Times New Roman" w:cs="Times New Roman"/>
          <w:sz w:val="24"/>
          <w:szCs w:val="24"/>
        </w:rPr>
        <w:t>localisation</w:t>
      </w:r>
      <w:r w:rsidR="00A51831" w:rsidRPr="00B94F53">
        <w:rPr>
          <w:rFonts w:ascii="Times New Roman" w:hAnsi="Times New Roman" w:cs="Times New Roman"/>
          <w:sz w:val="24"/>
          <w:szCs w:val="24"/>
        </w:rPr>
        <w:t xml:space="preserve"> – </w:t>
      </w:r>
      <w:r w:rsidR="00095F54">
        <w:rPr>
          <w:rFonts w:ascii="Times New Roman" w:hAnsi="Times New Roman" w:cs="Times New Roman"/>
          <w:sz w:val="24"/>
          <w:szCs w:val="24"/>
        </w:rPr>
        <w:t>including</w:t>
      </w:r>
      <w:r w:rsidR="00A51831" w:rsidRPr="00B94F53">
        <w:rPr>
          <w:rFonts w:ascii="Times New Roman" w:hAnsi="Times New Roman" w:cs="Times New Roman"/>
          <w:sz w:val="24"/>
          <w:szCs w:val="24"/>
        </w:rPr>
        <w:t xml:space="preserve"> community identity, language preference and </w:t>
      </w:r>
      <w:r w:rsidR="00793F11" w:rsidRPr="00B94F53">
        <w:rPr>
          <w:rFonts w:ascii="Times New Roman" w:hAnsi="Times New Roman" w:cs="Times New Roman"/>
          <w:sz w:val="24"/>
          <w:szCs w:val="24"/>
        </w:rPr>
        <w:t>relationship-based</w:t>
      </w:r>
      <w:r w:rsidR="00A51831" w:rsidRPr="00B94F53">
        <w:rPr>
          <w:rFonts w:ascii="Times New Roman" w:hAnsi="Times New Roman" w:cs="Times New Roman"/>
          <w:sz w:val="24"/>
          <w:szCs w:val="24"/>
        </w:rPr>
        <w:t xml:space="preserve"> trust – </w:t>
      </w:r>
      <w:r w:rsidR="00095F54">
        <w:rPr>
          <w:rFonts w:ascii="Times New Roman" w:hAnsi="Times New Roman" w:cs="Times New Roman"/>
          <w:sz w:val="24"/>
          <w:szCs w:val="24"/>
        </w:rPr>
        <w:t>and</w:t>
      </w:r>
      <w:r w:rsidR="00A51831" w:rsidRPr="00B94F53">
        <w:rPr>
          <w:rFonts w:ascii="Times New Roman" w:hAnsi="Times New Roman" w:cs="Times New Roman"/>
          <w:sz w:val="24"/>
          <w:szCs w:val="24"/>
        </w:rPr>
        <w:t xml:space="preserve"> regulatory requirements </w:t>
      </w:r>
      <w:r w:rsidR="00095F54">
        <w:rPr>
          <w:rFonts w:ascii="Times New Roman" w:hAnsi="Times New Roman" w:cs="Times New Roman"/>
          <w:sz w:val="24"/>
          <w:szCs w:val="24"/>
        </w:rPr>
        <w:t>relating to</w:t>
      </w:r>
      <w:r w:rsidR="00A51831" w:rsidRPr="00B94F53">
        <w:rPr>
          <w:rFonts w:ascii="Times New Roman" w:hAnsi="Times New Roman" w:cs="Times New Roman"/>
          <w:sz w:val="24"/>
          <w:szCs w:val="24"/>
        </w:rPr>
        <w:t xml:space="preserve"> financial promotions, transparency and data protection.</w:t>
      </w:r>
    </w:p>
    <w:p w14:paraId="4EA71509" w14:textId="77777777" w:rsidR="00BC71B7" w:rsidRPr="00B94F53" w:rsidRDefault="00BC71B7" w:rsidP="00A51831">
      <w:pPr>
        <w:spacing w:before="120" w:after="120" w:line="360" w:lineRule="auto"/>
        <w:jc w:val="both"/>
        <w:rPr>
          <w:rFonts w:ascii="Times New Roman" w:hAnsi="Times New Roman" w:cs="Times New Roman"/>
          <w:sz w:val="24"/>
          <w:szCs w:val="24"/>
        </w:rPr>
      </w:pPr>
    </w:p>
    <w:p w14:paraId="5E2656E4" w14:textId="5586B645"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There appears to be a </w:t>
      </w:r>
      <w:r w:rsidR="00095F54">
        <w:rPr>
          <w:rFonts w:ascii="Times New Roman" w:hAnsi="Times New Roman" w:cs="Times New Roman"/>
          <w:sz w:val="24"/>
          <w:szCs w:val="24"/>
        </w:rPr>
        <w:t>gap</w:t>
      </w:r>
      <w:r w:rsidRPr="00B94F53">
        <w:rPr>
          <w:rFonts w:ascii="Times New Roman" w:hAnsi="Times New Roman" w:cs="Times New Roman"/>
          <w:sz w:val="24"/>
          <w:szCs w:val="24"/>
        </w:rPr>
        <w:t xml:space="preserve"> in the banking internationalisation literature</w:t>
      </w:r>
      <w:r w:rsidR="00095F54">
        <w:rPr>
          <w:rFonts w:ascii="Times New Roman" w:hAnsi="Times New Roman" w:cs="Times New Roman"/>
          <w:sz w:val="24"/>
          <w:szCs w:val="24"/>
        </w:rPr>
        <w:t xml:space="preserve"> concerning the </w:t>
      </w:r>
      <w:r w:rsidR="00793F11">
        <w:rPr>
          <w:rFonts w:ascii="Times New Roman" w:hAnsi="Times New Roman" w:cs="Times New Roman"/>
          <w:sz w:val="24"/>
          <w:szCs w:val="24"/>
        </w:rPr>
        <w:t>extent</w:t>
      </w:r>
      <w:r w:rsidR="00793F11" w:rsidRPr="00B94F53">
        <w:rPr>
          <w:rFonts w:ascii="Times New Roman" w:hAnsi="Times New Roman" w:cs="Times New Roman"/>
          <w:sz w:val="24"/>
          <w:szCs w:val="24"/>
        </w:rPr>
        <w:t xml:space="preserve"> to</w:t>
      </w:r>
      <w:r w:rsidRPr="00B94F53">
        <w:rPr>
          <w:rFonts w:ascii="Times New Roman" w:hAnsi="Times New Roman" w:cs="Times New Roman"/>
          <w:sz w:val="24"/>
          <w:szCs w:val="24"/>
        </w:rPr>
        <w:t xml:space="preserve"> </w:t>
      </w:r>
      <w:r w:rsidR="00095F54">
        <w:rPr>
          <w:rFonts w:ascii="Times New Roman" w:hAnsi="Times New Roman" w:cs="Times New Roman"/>
          <w:sz w:val="24"/>
          <w:szCs w:val="24"/>
        </w:rPr>
        <w:t>which</w:t>
      </w:r>
      <w:r w:rsidRPr="00B94F53">
        <w:rPr>
          <w:rFonts w:ascii="Times New Roman" w:hAnsi="Times New Roman" w:cs="Times New Roman"/>
          <w:sz w:val="24"/>
          <w:szCs w:val="24"/>
        </w:rPr>
        <w:t xml:space="preserve"> localisation requirements</w:t>
      </w:r>
      <w:r w:rsidR="00095F54">
        <w:rPr>
          <w:rFonts w:ascii="Times New Roman" w:hAnsi="Times New Roman" w:cs="Times New Roman"/>
          <w:sz w:val="24"/>
          <w:szCs w:val="24"/>
        </w:rPr>
        <w:t xml:space="preserve"> should be balanced against the</w:t>
      </w:r>
      <w:r w:rsidRPr="00B94F53">
        <w:rPr>
          <w:rFonts w:ascii="Times New Roman" w:hAnsi="Times New Roman" w:cs="Times New Roman"/>
          <w:sz w:val="24"/>
          <w:szCs w:val="24"/>
        </w:rPr>
        <w:t xml:space="preserve"> regulatory compliance </w:t>
      </w:r>
      <w:r w:rsidR="00095F54">
        <w:rPr>
          <w:rFonts w:ascii="Times New Roman" w:hAnsi="Times New Roman" w:cs="Times New Roman"/>
          <w:sz w:val="24"/>
          <w:szCs w:val="24"/>
        </w:rPr>
        <w:t>demands associated with cross-border financial marketing</w:t>
      </w:r>
      <w:r w:rsidRPr="00B94F53">
        <w:rPr>
          <w:rFonts w:ascii="Times New Roman" w:hAnsi="Times New Roman" w:cs="Times New Roman"/>
          <w:sz w:val="24"/>
          <w:szCs w:val="24"/>
        </w:rPr>
        <w:t xml:space="preserve">. </w:t>
      </w:r>
      <w:r w:rsidR="00095F54">
        <w:rPr>
          <w:rFonts w:ascii="Times New Roman" w:hAnsi="Times New Roman" w:cs="Times New Roman"/>
          <w:sz w:val="24"/>
          <w:szCs w:val="24"/>
        </w:rPr>
        <w:t>Existing</w:t>
      </w:r>
      <w:r w:rsidRPr="00B94F53">
        <w:rPr>
          <w:rFonts w:ascii="Times New Roman" w:hAnsi="Times New Roman" w:cs="Times New Roman"/>
          <w:sz w:val="24"/>
          <w:szCs w:val="24"/>
        </w:rPr>
        <w:t xml:space="preserve"> literature</w:t>
      </w:r>
      <w:r w:rsidR="00095F54">
        <w:rPr>
          <w:rFonts w:ascii="Times New Roman" w:hAnsi="Times New Roman" w:cs="Times New Roman"/>
          <w:sz w:val="24"/>
          <w:szCs w:val="24"/>
        </w:rPr>
        <w:t xml:space="preserve"> </w:t>
      </w:r>
      <w:r w:rsidRPr="00B94F53">
        <w:rPr>
          <w:rFonts w:ascii="Times New Roman" w:hAnsi="Times New Roman" w:cs="Times New Roman"/>
          <w:sz w:val="24"/>
          <w:szCs w:val="24"/>
        </w:rPr>
        <w:t>on digital marketing localisation has tended to</w:t>
      </w:r>
      <w:r w:rsidR="00095F54">
        <w:rPr>
          <w:rFonts w:ascii="Times New Roman" w:hAnsi="Times New Roman" w:cs="Times New Roman"/>
          <w:sz w:val="24"/>
          <w:szCs w:val="24"/>
        </w:rPr>
        <w:t xml:space="preserve"> focus more broadly on</w:t>
      </w:r>
      <w:r w:rsidRPr="00B94F53">
        <w:rPr>
          <w:rFonts w:ascii="Times New Roman" w:hAnsi="Times New Roman" w:cs="Times New Roman"/>
          <w:sz w:val="24"/>
          <w:szCs w:val="24"/>
        </w:rPr>
        <w:t xml:space="preserve"> retail and consumer goods</w:t>
      </w:r>
      <w:r w:rsidR="00095F54">
        <w:rPr>
          <w:rFonts w:ascii="Times New Roman" w:hAnsi="Times New Roman" w:cs="Times New Roman"/>
          <w:sz w:val="24"/>
          <w:szCs w:val="24"/>
        </w:rPr>
        <w:t xml:space="preserve"> </w:t>
      </w:r>
      <w:r w:rsidR="00793F11">
        <w:rPr>
          <w:rFonts w:ascii="Times New Roman" w:hAnsi="Times New Roman" w:cs="Times New Roman"/>
          <w:sz w:val="24"/>
          <w:szCs w:val="24"/>
        </w:rPr>
        <w:t>industries</w:t>
      </w:r>
      <w:r w:rsidR="00793F11" w:rsidRPr="00B94F53">
        <w:rPr>
          <w:rFonts w:ascii="Times New Roman" w:hAnsi="Times New Roman" w:cs="Times New Roman"/>
          <w:sz w:val="24"/>
          <w:szCs w:val="24"/>
        </w:rPr>
        <w:t>,</w:t>
      </w:r>
      <w:r w:rsidR="00793F11">
        <w:rPr>
          <w:rFonts w:ascii="Times New Roman" w:hAnsi="Times New Roman" w:cs="Times New Roman"/>
          <w:sz w:val="24"/>
          <w:szCs w:val="24"/>
        </w:rPr>
        <w:t xml:space="preserve"> while</w:t>
      </w:r>
      <w:r w:rsidR="00095F54">
        <w:rPr>
          <w:rFonts w:ascii="Times New Roman" w:hAnsi="Times New Roman" w:cs="Times New Roman"/>
          <w:sz w:val="24"/>
          <w:szCs w:val="24"/>
        </w:rPr>
        <w:t xml:space="preserve"> comparatively limited attention has been given to </w:t>
      </w:r>
      <w:r w:rsidRPr="00B94F53">
        <w:rPr>
          <w:rFonts w:ascii="Times New Roman" w:hAnsi="Times New Roman" w:cs="Times New Roman"/>
          <w:sz w:val="24"/>
          <w:szCs w:val="24"/>
        </w:rPr>
        <w:t xml:space="preserve">how state-owned </w:t>
      </w:r>
      <w:r w:rsidR="00793F11" w:rsidRPr="00B94F53">
        <w:rPr>
          <w:rFonts w:ascii="Times New Roman" w:hAnsi="Times New Roman" w:cs="Times New Roman"/>
          <w:sz w:val="24"/>
          <w:szCs w:val="24"/>
        </w:rPr>
        <w:t>banks address</w:t>
      </w:r>
      <w:r w:rsidRPr="00B94F53">
        <w:rPr>
          <w:rFonts w:ascii="Times New Roman" w:hAnsi="Times New Roman" w:cs="Times New Roman"/>
          <w:sz w:val="24"/>
          <w:szCs w:val="24"/>
        </w:rPr>
        <w:t xml:space="preserve"> these competing </w:t>
      </w:r>
      <w:r w:rsidR="00793F11">
        <w:rPr>
          <w:rFonts w:ascii="Times New Roman" w:hAnsi="Times New Roman" w:cs="Times New Roman"/>
          <w:sz w:val="24"/>
          <w:szCs w:val="24"/>
        </w:rPr>
        <w:t>requirements</w:t>
      </w:r>
      <w:r w:rsidRPr="00B94F53">
        <w:rPr>
          <w:rFonts w:ascii="Times New Roman" w:hAnsi="Times New Roman" w:cs="Times New Roman"/>
          <w:sz w:val="24"/>
          <w:szCs w:val="24"/>
        </w:rPr>
        <w:t xml:space="preserve"> (Chaffey and Ellis-Chadwick, 2022).</w:t>
      </w:r>
    </w:p>
    <w:p w14:paraId="41041C05" w14:textId="77777777" w:rsidR="00BC71B7" w:rsidRPr="00B94F53" w:rsidRDefault="00BC71B7" w:rsidP="00A51831">
      <w:pPr>
        <w:spacing w:before="120" w:after="120" w:line="360" w:lineRule="auto"/>
        <w:jc w:val="both"/>
        <w:rPr>
          <w:rFonts w:ascii="Times New Roman" w:hAnsi="Times New Roman" w:cs="Times New Roman"/>
          <w:sz w:val="24"/>
          <w:szCs w:val="24"/>
        </w:rPr>
      </w:pPr>
    </w:p>
    <w:p w14:paraId="3C4D5B27" w14:textId="77777777" w:rsidR="00BC39D1" w:rsidRPr="00B94F53" w:rsidRDefault="00466143">
      <w:pPr>
        <w:pStyle w:val="Heading3"/>
        <w:rPr>
          <w:rFonts w:ascii="Times New Roman" w:hAnsi="Times New Roman" w:cs="Times New Roman"/>
          <w:color w:val="auto"/>
          <w:sz w:val="24"/>
          <w:szCs w:val="24"/>
        </w:rPr>
      </w:pPr>
      <w:bookmarkStart w:id="17" w:name="_Toc238117810"/>
      <w:r w:rsidRPr="00B94F53">
        <w:rPr>
          <w:rFonts w:ascii="Times New Roman" w:hAnsi="Times New Roman" w:cs="Times New Roman"/>
          <w:color w:val="auto"/>
          <w:sz w:val="24"/>
          <w:szCs w:val="24"/>
        </w:rPr>
        <w:t>2.3.4 Financial Strategy, Currency Risk and Remittance Architecture</w:t>
      </w:r>
      <w:bookmarkEnd w:id="17"/>
    </w:p>
    <w:p w14:paraId="7C5DFC18" w14:textId="1C8B97BA"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Remittance and international banking offer a specific set of structural issues in terms of foreign exchange risk management, functioning of digital payment gateways, and meeting regulatory capital requirements. The exchange rate of Bangladesh Taka has remained volatile against Sterling from time to time, and, therefore, there are structural hedging needs for institutions dealing with the remittance movement of Bangladesh Taka (Bangladesh Bank, 2025).</w:t>
      </w:r>
    </w:p>
    <w:p w14:paraId="6A6DE9D3"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3C9D25AC"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Furthermore, the different fintech offerings of the markets require building financial strategies around platform-specific interchangeability, instead of payment logic. The UK's open banking ecosystem is very different from the bKash-dominated one in Bangladesh, which has a high concentration of low-value domestic payments (KPMG, 2024). In the case of Sonali Bank, it will require having two technological systems, SWIFT-based and CHAPS-compatible, for the operations in the UK, and bKash-integrated mobile remittance corridors for remittance to Bangladesh.</w:t>
      </w:r>
    </w:p>
    <w:p w14:paraId="15C2B28C"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73BB022F"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State owned banks have extra financial strategy constraints than are usually represented in the literature of the private sector. Government instructions and budgetary processes in the public sector constrict the strategic range of options available to Sonali Bank in the face of new digital competition from the private sector, in the form of agile banks and fintech remittance services (Boxall and Purcell, 2022). This institutional constraint is an important distinction from financial strategy literature of privately owned, commercially oriented banking institutions that allows for much greater freedom in capital deployment decisions.</w:t>
      </w:r>
    </w:p>
    <w:p w14:paraId="188B603E"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3E40F48" w14:textId="0DCE8175"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Moreover, remittance pricing strategy is one of the most critical financial issues for the public sector bank, Sonali Bank, as it is mandated to provide services to the diaspora at an affordable price and yet be commercially viable. Remittance costs are an ongoing challenge in the UK </w:t>
      </w:r>
      <w:r w:rsidR="0045780A" w:rsidRPr="00B94F53">
        <w:rPr>
          <w:rFonts w:ascii="Times New Roman" w:hAnsi="Times New Roman" w:cs="Times New Roman"/>
          <w:sz w:val="24"/>
          <w:szCs w:val="24"/>
        </w:rPr>
        <w:t>2013; Bangladesh</w:t>
      </w:r>
      <w:r w:rsidRPr="00B94F53">
        <w:rPr>
          <w:rFonts w:ascii="Times New Roman" w:hAnsi="Times New Roman" w:cs="Times New Roman"/>
          <w:sz w:val="24"/>
          <w:szCs w:val="24"/>
        </w:rPr>
        <w:t xml:space="preserve"> corridor, as they still pose a problem for both customer retention and financial inclusion goals, which a state-owned institution </w:t>
      </w:r>
      <w:r w:rsidR="00BC71B7" w:rsidRPr="00B94F53">
        <w:rPr>
          <w:rFonts w:ascii="Times New Roman" w:hAnsi="Times New Roman" w:cs="Times New Roman"/>
          <w:sz w:val="24"/>
          <w:szCs w:val="24"/>
        </w:rPr>
        <w:t>must</w:t>
      </w:r>
      <w:r w:rsidRPr="00B94F53">
        <w:rPr>
          <w:rFonts w:ascii="Times New Roman" w:hAnsi="Times New Roman" w:cs="Times New Roman"/>
          <w:sz w:val="24"/>
          <w:szCs w:val="24"/>
        </w:rPr>
        <w:t xml:space="preserve"> balance with commercial banks' purely profit-driven pricing models, according to World Bank (2025).</w:t>
      </w:r>
    </w:p>
    <w:p w14:paraId="03B2D92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302DAE4B" w14:textId="1C5C4753" w:rsidR="002764FC" w:rsidRDefault="002764FC"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customer trust in digital financial services is well substantiated by empirical studies done in </w:t>
      </w:r>
      <w:r w:rsidR="0045780A" w:rsidRPr="00B94F53">
        <w:rPr>
          <w:rFonts w:ascii="Times New Roman" w:hAnsi="Times New Roman" w:cs="Times New Roman"/>
          <w:sz w:val="24"/>
          <w:szCs w:val="24"/>
        </w:rPr>
        <w:t>Bangladesh. The</w:t>
      </w:r>
      <w:r w:rsidRPr="00B94F53">
        <w:rPr>
          <w:rFonts w:ascii="Times New Roman" w:hAnsi="Times New Roman" w:cs="Times New Roman"/>
          <w:sz w:val="24"/>
          <w:szCs w:val="24"/>
        </w:rPr>
        <w:t xml:space="preserve"> empirical </w:t>
      </w:r>
      <w:r w:rsidR="00BC71B7" w:rsidRPr="00B94F53">
        <w:rPr>
          <w:rFonts w:ascii="Times New Roman" w:hAnsi="Times New Roman" w:cs="Times New Roman"/>
          <w:sz w:val="24"/>
          <w:szCs w:val="24"/>
        </w:rPr>
        <w:t>study</w:t>
      </w:r>
      <w:r w:rsidRPr="00B94F53">
        <w:rPr>
          <w:rFonts w:ascii="Times New Roman" w:hAnsi="Times New Roman" w:cs="Times New Roman"/>
          <w:sz w:val="24"/>
          <w:szCs w:val="24"/>
        </w:rPr>
        <w:t xml:space="preserve"> in Bangladesh reflects the importance of customer trust in digital financial services. Afroze and Rista (2022) showed that perceived usefulness, trust and familiarity of the platform are the most significant factors influencing customer retention in mobile financial services. Similarly, </w:t>
      </w:r>
      <w:proofErr w:type="spellStart"/>
      <w:r w:rsidRPr="00B94F53">
        <w:rPr>
          <w:rFonts w:ascii="Times New Roman" w:hAnsi="Times New Roman" w:cs="Times New Roman"/>
          <w:sz w:val="24"/>
          <w:szCs w:val="24"/>
        </w:rPr>
        <w:t>Kopalle</w:t>
      </w:r>
      <w:proofErr w:type="spellEnd"/>
      <w:r w:rsidRPr="00B94F53">
        <w:rPr>
          <w:rFonts w:ascii="Times New Roman" w:hAnsi="Times New Roman" w:cs="Times New Roman"/>
          <w:sz w:val="24"/>
          <w:szCs w:val="24"/>
        </w:rPr>
        <w:t xml:space="preserve">, Kumar and Subramaniam (2020) contend that if traditional organisations </w:t>
      </w:r>
      <w:r w:rsidR="008F0F10" w:rsidRPr="00B94F53">
        <w:rPr>
          <w:rFonts w:ascii="Times New Roman" w:hAnsi="Times New Roman" w:cs="Times New Roman"/>
          <w:sz w:val="24"/>
          <w:szCs w:val="24"/>
        </w:rPr>
        <w:t>can</w:t>
      </w:r>
      <w:r w:rsidRPr="00B94F53">
        <w:rPr>
          <w:rFonts w:ascii="Times New Roman" w:hAnsi="Times New Roman" w:cs="Times New Roman"/>
          <w:sz w:val="24"/>
          <w:szCs w:val="24"/>
        </w:rPr>
        <w:t xml:space="preserve"> leverage digital customer orientation, they have the potential to thrive in digital ecosystems through fostering long-term customer relationships. The results support the need to implement culturally responsive digital marketing strategies for both the domestic and diaspora customers of Sonali Bank.</w:t>
      </w:r>
    </w:p>
    <w:p w14:paraId="773ACD55"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43114067" w14:textId="3ADCA4C4" w:rsidR="00C0453F" w:rsidRDefault="00C0453F"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In recent years, there has been mounting evidence that digital payment platforms have a direct impact on international commerce and cross-border financial integration. According to Li et al. (2024), digital payment systems can significantly lower transaction costs and enhance international commercial activities by offering quicker and more secure financial transactions. Likewise, Rehman and Lee (2022) noted that digital banks are subject to innovation </w:t>
      </w:r>
      <w:r w:rsidR="00BC71B7" w:rsidRPr="00B94F53">
        <w:rPr>
          <w:rFonts w:ascii="Times New Roman" w:hAnsi="Times New Roman" w:cs="Times New Roman"/>
          <w:sz w:val="24"/>
          <w:szCs w:val="24"/>
        </w:rPr>
        <w:t>using</w:t>
      </w:r>
      <w:r w:rsidRPr="00B94F53">
        <w:rPr>
          <w:rFonts w:ascii="Times New Roman" w:hAnsi="Times New Roman" w:cs="Times New Roman"/>
          <w:sz w:val="24"/>
          <w:szCs w:val="24"/>
        </w:rPr>
        <w:t xml:space="preserve"> regulatory sandboxes, which offer an opportunity for experimenting with new financial </w:t>
      </w:r>
      <w:r w:rsidRPr="00B94F53">
        <w:rPr>
          <w:rFonts w:ascii="Times New Roman" w:hAnsi="Times New Roman" w:cs="Times New Roman"/>
          <w:sz w:val="24"/>
          <w:szCs w:val="24"/>
        </w:rPr>
        <w:lastRenderedPageBreak/>
        <w:t xml:space="preserve">technology in a regulated environment. The results suggest that Sonali Bank should further invest in </w:t>
      </w:r>
      <w:r w:rsidR="002651E4" w:rsidRPr="00B94F53">
        <w:rPr>
          <w:rFonts w:ascii="Times New Roman" w:hAnsi="Times New Roman" w:cs="Times New Roman"/>
          <w:sz w:val="24"/>
          <w:szCs w:val="24"/>
        </w:rPr>
        <w:t xml:space="preserve">a </w:t>
      </w:r>
      <w:r w:rsidRPr="00B94F53">
        <w:rPr>
          <w:rFonts w:ascii="Times New Roman" w:hAnsi="Times New Roman" w:cs="Times New Roman"/>
          <w:sz w:val="24"/>
          <w:szCs w:val="24"/>
        </w:rPr>
        <w:t>digital payment system and keep compliance with both jurisdictions in mind.</w:t>
      </w:r>
    </w:p>
    <w:p w14:paraId="32CAB799"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252BCAF7" w14:textId="77777777" w:rsidR="00BC39D1" w:rsidRPr="00B94F53" w:rsidRDefault="00466143">
      <w:pPr>
        <w:pStyle w:val="Heading3"/>
        <w:rPr>
          <w:rFonts w:ascii="Times New Roman" w:hAnsi="Times New Roman" w:cs="Times New Roman"/>
          <w:color w:val="auto"/>
        </w:rPr>
      </w:pPr>
      <w:bookmarkStart w:id="18" w:name="_Toc238117811"/>
      <w:r w:rsidRPr="00B94F53">
        <w:rPr>
          <w:rFonts w:ascii="Times New Roman" w:hAnsi="Times New Roman" w:cs="Times New Roman"/>
          <w:color w:val="auto"/>
        </w:rPr>
        <w:t>2.3.5 Human Capital and Strategic HRM in State-Owned Banking</w:t>
      </w:r>
      <w:bookmarkEnd w:id="18"/>
    </w:p>
    <w:p w14:paraId="24C4DFFD"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Human capital is now a critical strategic lever in terms of the scalability of e-commerce banking, especially for institutions like Sonali Bank, which face a task of recruiting, developing, and retaining digital skills in two structurally distinct labour markets.</w:t>
      </w:r>
    </w:p>
    <w:p w14:paraId="560587C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2FD1A196" w14:textId="7612153E"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new immigration policy following Brexit and the increasing salary benchmark in the UK for specialists with </w:t>
      </w:r>
      <w:r w:rsidR="002651E4" w:rsidRPr="00B94F53">
        <w:rPr>
          <w:rFonts w:ascii="Times New Roman" w:hAnsi="Times New Roman" w:cs="Times New Roman"/>
          <w:sz w:val="24"/>
          <w:szCs w:val="24"/>
        </w:rPr>
        <w:t>digital skills</w:t>
      </w:r>
      <w:r w:rsidRPr="00B94F53">
        <w:rPr>
          <w:rFonts w:ascii="Times New Roman" w:hAnsi="Times New Roman" w:cs="Times New Roman"/>
          <w:sz w:val="24"/>
          <w:szCs w:val="24"/>
        </w:rPr>
        <w:t xml:space="preserve"> will make it more challenging for state-owned banks to attract specialist digital talent to their ranks compared to more well-funded private sector banks and fintech companies (CIPD, 2025). Hence, in an environment with high regulatory specialisation needs in the UK and a growing</w:t>
      </w:r>
      <w:r w:rsidR="002651E4" w:rsidRPr="00B94F53">
        <w:rPr>
          <w:rFonts w:ascii="Times New Roman" w:hAnsi="Times New Roman" w:cs="Times New Roman"/>
          <w:sz w:val="24"/>
          <w:szCs w:val="24"/>
        </w:rPr>
        <w:t>,</w:t>
      </w:r>
      <w:r w:rsidRPr="00B94F53">
        <w:rPr>
          <w:rFonts w:ascii="Times New Roman" w:hAnsi="Times New Roman" w:cs="Times New Roman"/>
          <w:sz w:val="24"/>
          <w:szCs w:val="24"/>
        </w:rPr>
        <w:t xml:space="preserve"> fierce rivalry from challenger banks, Sonali Bank's London branch needs to be able to attract and retain digital banking and compliance talent.</w:t>
      </w:r>
    </w:p>
    <w:p w14:paraId="1A9C71F7"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35816D4" w14:textId="22182FDB"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institutional challenges associated with state-ownership therefore introduce an additional layer of complexity in the literature on human capital strategy in international banking that has been largely overlooked: rigid pay scales, employment conditions akin to civil service, and government monitoring of the recruitment processes hamper talent acquisition in the state-owned banking sector.</w:t>
      </w:r>
    </w:p>
    <w:p w14:paraId="112E0FD1"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19DEF0F4" w14:textId="61694876" w:rsidR="00C0453F" w:rsidRDefault="00C0453F"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More recent research concisely highlights the impact of organisational culture and talent management on digital transformation success. Meiliani (2023) states that digital organisational culture has a significant impact on the success of digital banking initiatives, whereas </w:t>
      </w:r>
      <w:proofErr w:type="spellStart"/>
      <w:r w:rsidRPr="00B94F53">
        <w:rPr>
          <w:rFonts w:ascii="Times New Roman" w:hAnsi="Times New Roman" w:cs="Times New Roman"/>
          <w:sz w:val="24"/>
          <w:szCs w:val="24"/>
        </w:rPr>
        <w:t>Nesindande</w:t>
      </w:r>
      <w:proofErr w:type="spellEnd"/>
      <w:r w:rsidRPr="00B94F53">
        <w:rPr>
          <w:rFonts w:ascii="Times New Roman" w:hAnsi="Times New Roman" w:cs="Times New Roman"/>
          <w:sz w:val="24"/>
          <w:szCs w:val="24"/>
        </w:rPr>
        <w:t xml:space="preserve"> (2024) asserts that one of the keys to sustaining technological change is through the redesign of the workplace and ongoing digital skills development. In addition, </w:t>
      </w:r>
      <w:proofErr w:type="spellStart"/>
      <w:r w:rsidRPr="00B94F53">
        <w:rPr>
          <w:rFonts w:ascii="Times New Roman" w:hAnsi="Times New Roman" w:cs="Times New Roman"/>
          <w:sz w:val="24"/>
          <w:szCs w:val="24"/>
        </w:rPr>
        <w:t>Nesindande</w:t>
      </w:r>
      <w:proofErr w:type="spellEnd"/>
      <w:r w:rsidRPr="00B94F53">
        <w:rPr>
          <w:rFonts w:ascii="Times New Roman" w:hAnsi="Times New Roman" w:cs="Times New Roman"/>
          <w:sz w:val="24"/>
          <w:szCs w:val="24"/>
        </w:rPr>
        <w:t xml:space="preserve">, </w:t>
      </w:r>
      <w:proofErr w:type="spellStart"/>
      <w:r w:rsidRPr="00B94F53">
        <w:rPr>
          <w:rFonts w:ascii="Times New Roman" w:hAnsi="Times New Roman" w:cs="Times New Roman"/>
          <w:sz w:val="24"/>
          <w:szCs w:val="24"/>
        </w:rPr>
        <w:t>Saurombe</w:t>
      </w:r>
      <w:proofErr w:type="spellEnd"/>
      <w:r w:rsidRPr="00B94F53">
        <w:rPr>
          <w:rFonts w:ascii="Times New Roman" w:hAnsi="Times New Roman" w:cs="Times New Roman"/>
          <w:sz w:val="24"/>
          <w:szCs w:val="24"/>
        </w:rPr>
        <w:t xml:space="preserve"> and Joseph (2025) suggest that banks need to develop specific digital skills shortage solutions and introduce new digital talent management frameworks to make the organisation more adaptable. </w:t>
      </w:r>
    </w:p>
    <w:p w14:paraId="328D93A9"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67BB93B0" w14:textId="77777777" w:rsidR="00BC39D1" w:rsidRPr="00B94F53" w:rsidRDefault="00466143">
      <w:pPr>
        <w:pStyle w:val="Heading3"/>
        <w:rPr>
          <w:rFonts w:ascii="Times New Roman" w:hAnsi="Times New Roman" w:cs="Times New Roman"/>
          <w:color w:val="auto"/>
        </w:rPr>
      </w:pPr>
      <w:bookmarkStart w:id="19" w:name="_Toc238117812"/>
      <w:r w:rsidRPr="00B94F53">
        <w:rPr>
          <w:rFonts w:ascii="Times New Roman" w:hAnsi="Times New Roman" w:cs="Times New Roman"/>
          <w:color w:val="auto"/>
        </w:rPr>
        <w:lastRenderedPageBreak/>
        <w:t>2.3.6 State Ownership and Institutional Constraints</w:t>
      </w:r>
      <w:bookmarkEnd w:id="19"/>
    </w:p>
    <w:p w14:paraId="7FC450A5"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An important but largely ignored source of insights into Sonali Bank's strategic constraints is the literature on state-owned enterprises (SOEs). Generally, State ownership brings in governance arrangements focused on public policy goals (e.g. financial inclusion, diaspora service provision, national remittance facilitation) which may not be directly linked to commercial performance measures (Boxall and Purcell, 2022).</w:t>
      </w:r>
    </w:p>
    <w:p w14:paraId="034F3622"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2956CEF1" w14:textId="3F313AD9"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creates </w:t>
      </w:r>
      <w:r w:rsidR="002651E4" w:rsidRPr="00B94F53">
        <w:rPr>
          <w:rFonts w:ascii="Times New Roman" w:hAnsi="Times New Roman" w:cs="Times New Roman"/>
          <w:sz w:val="24"/>
          <w:szCs w:val="24"/>
        </w:rPr>
        <w:t>a</w:t>
      </w:r>
      <w:r w:rsidRPr="00B94F53">
        <w:rPr>
          <w:rFonts w:ascii="Times New Roman" w:hAnsi="Times New Roman" w:cs="Times New Roman"/>
          <w:sz w:val="24"/>
          <w:szCs w:val="24"/>
        </w:rPr>
        <w:t xml:space="preserve"> unique strategic challenge for Sonali Bank: how to remain competitive in the banking market side by side with private banks and fintech remittance providers while also meeting its public sector mandate to provide convenient and affordable banking services to the unbanked and under-banked segments of the domestic and diaspora customer base. The existing internationalisation literature was based primarily on privately owned, profit-maximising firms, so it was inadequate to explain the strategic </w:t>
      </w:r>
      <w:r w:rsidR="002651E4" w:rsidRPr="00B94F53">
        <w:rPr>
          <w:rFonts w:ascii="Times New Roman" w:hAnsi="Times New Roman" w:cs="Times New Roman"/>
          <w:sz w:val="24"/>
          <w:szCs w:val="24"/>
        </w:rPr>
        <w:t>decision-making</w:t>
      </w:r>
      <w:r w:rsidRPr="00B94F53">
        <w:rPr>
          <w:rFonts w:ascii="Times New Roman" w:hAnsi="Times New Roman" w:cs="Times New Roman"/>
          <w:sz w:val="24"/>
          <w:szCs w:val="24"/>
        </w:rPr>
        <w:t xml:space="preserve"> process in public sector institutions like Sonali Bank (Johanson and Vahlne, 2009; Barney, 1991).</w:t>
      </w:r>
    </w:p>
    <w:p w14:paraId="3E9F1B8B"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71ED8A6C" w14:textId="024DB6EA"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addition, government regulation on capital deployment, recruitment and strategic investment decisions could hinder Sonali Bank's ability to react to the fast-moving fintech competition even if bank management identifies commercially desirable digital transformation opportunities. This is an important boundary condition of using existing theories of internationalisation and resource-based theories in the institutional context analysed in this dissertation.</w:t>
      </w:r>
    </w:p>
    <w:p w14:paraId="3A088051"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4BF27B36" w14:textId="77777777" w:rsidR="00BC39D1" w:rsidRPr="00B94F53" w:rsidRDefault="00466143">
      <w:pPr>
        <w:pStyle w:val="Heading3"/>
        <w:rPr>
          <w:rFonts w:ascii="Times New Roman" w:hAnsi="Times New Roman" w:cs="Times New Roman"/>
          <w:color w:val="auto"/>
        </w:rPr>
      </w:pPr>
      <w:bookmarkStart w:id="20" w:name="_Toc238117813"/>
      <w:r w:rsidRPr="00B94F53">
        <w:rPr>
          <w:rFonts w:ascii="Times New Roman" w:hAnsi="Times New Roman" w:cs="Times New Roman"/>
          <w:color w:val="auto"/>
        </w:rPr>
        <w:t>2.3.7 Empirical Studies</w:t>
      </w:r>
      <w:bookmarkEnd w:id="20"/>
    </w:p>
    <w:p w14:paraId="3CC4A158"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Several empirical studies have been conducted on e-commerce internationalisation, cross-border financial strategy, and human capital management in the various industries and countries, but few studies have specifically worked with state owned banks or the case of Sonali Bank. Based on empirical evidence from internationalisation of firms in various sectors, Johanson and Vahlne (2009) revisited the original Uppsala Model and found that the experiential learning and network relationships are still crucial to successful market entry, but their work has been largely theoretical in nature and has not focused specifically on state-owned financial institutions.</w:t>
      </w:r>
    </w:p>
    <w:p w14:paraId="7D618857"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E6E811D" w14:textId="392D647B"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Under the banner of South Asian digital financial services, the Bangladesh Bank (2025) has covered extensively the explosive growth of the mobile financial services and its contribution in increasing financial inclusion, stating that </w:t>
      </w:r>
      <w:proofErr w:type="spellStart"/>
      <w:r w:rsidRPr="00B94F53">
        <w:rPr>
          <w:rFonts w:ascii="Times New Roman" w:hAnsi="Times New Roman" w:cs="Times New Roman"/>
          <w:sz w:val="24"/>
          <w:szCs w:val="24"/>
        </w:rPr>
        <w:t>mFS</w:t>
      </w:r>
      <w:proofErr w:type="spellEnd"/>
      <w:r w:rsidRPr="00B94F53">
        <w:rPr>
          <w:rFonts w:ascii="Times New Roman" w:hAnsi="Times New Roman" w:cs="Times New Roman"/>
          <w:sz w:val="24"/>
          <w:szCs w:val="24"/>
        </w:rPr>
        <w:t xml:space="preserve"> platforms like bKash </w:t>
      </w:r>
      <w:r w:rsidR="008F0F10" w:rsidRPr="00B94F53">
        <w:rPr>
          <w:rFonts w:ascii="Times New Roman" w:hAnsi="Times New Roman" w:cs="Times New Roman"/>
          <w:sz w:val="24"/>
          <w:szCs w:val="24"/>
        </w:rPr>
        <w:t>have</w:t>
      </w:r>
      <w:r w:rsidRPr="00B94F53">
        <w:rPr>
          <w:rFonts w:ascii="Times New Roman" w:hAnsi="Times New Roman" w:cs="Times New Roman"/>
          <w:sz w:val="24"/>
          <w:szCs w:val="24"/>
        </w:rPr>
        <w:t xml:space="preserve"> changed the mindset of consumers about the speed and accessibility of financial transactions. The research was mainly descriptive in nature and was oriented towards regulation rather than a comparative strategic analysis of the adaptation that has taken place in the marketing and financial strategy of individual banks, including state-owned banks, in response.</w:t>
      </w:r>
    </w:p>
    <w:p w14:paraId="4BB354C4"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76ACC8B5"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Boxall and Purcell (2022) studied strategic human resource management in various organisational settings and included examples from the public sector, and they concluded that matching talent strategy with internationalisation goals is a key determinant of the rate and sustainability of internationalisation. Their analysis, however, was not focused specifically on the banking sector or the specificities of state ownership in a bank corridor from a developing to a developed country. The CIPD (2025) report on UK workforce skills also looked at trends in digital skills but failed to compare talent strategies for dual-market state-owned financial institutions.</w:t>
      </w:r>
    </w:p>
    <w:p w14:paraId="3EE59E15"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18DEAB76" w14:textId="1DA8723A" w:rsidR="002651E4" w:rsidRDefault="00C0453F"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Other empirical research confirms that digital transformation is an important contributor to banking competitiveness. All Diener and Špaček (2021), Kitsios et al. (2021), and Abdurrahman et al. (2024) agree that the success of digital banking relies on the integration of technological capability and organisational strategy and leadership support. The studies, however, have been limited to private banking institutions and do not </w:t>
      </w:r>
      <w:r w:rsidR="008F0F10" w:rsidRPr="00B94F53">
        <w:rPr>
          <w:rFonts w:ascii="Times New Roman" w:hAnsi="Times New Roman" w:cs="Times New Roman"/>
          <w:sz w:val="24"/>
          <w:szCs w:val="24"/>
        </w:rPr>
        <w:t>consider</w:t>
      </w:r>
      <w:r w:rsidRPr="00B94F53">
        <w:rPr>
          <w:rFonts w:ascii="Times New Roman" w:hAnsi="Times New Roman" w:cs="Times New Roman"/>
          <w:sz w:val="24"/>
          <w:szCs w:val="24"/>
        </w:rPr>
        <w:t xml:space="preserve"> the institutional limits of state-owned banks in the context of working in a multi-regulatory environment. This is another reason for the need for the present study.</w:t>
      </w:r>
    </w:p>
    <w:p w14:paraId="18CBC8DF" w14:textId="77777777" w:rsidR="00BC71B7" w:rsidRDefault="00BC71B7" w:rsidP="00A63C4A">
      <w:pPr>
        <w:spacing w:before="120" w:after="120" w:line="360" w:lineRule="auto"/>
        <w:jc w:val="both"/>
        <w:rPr>
          <w:rFonts w:ascii="Times New Roman" w:hAnsi="Times New Roman" w:cs="Times New Roman"/>
          <w:sz w:val="24"/>
          <w:szCs w:val="24"/>
        </w:rPr>
      </w:pPr>
    </w:p>
    <w:p w14:paraId="7A914650" w14:textId="77777777" w:rsidR="00BC71B7" w:rsidRDefault="00BC71B7" w:rsidP="00A63C4A">
      <w:pPr>
        <w:spacing w:before="120" w:after="120" w:line="360" w:lineRule="auto"/>
        <w:jc w:val="both"/>
        <w:rPr>
          <w:rFonts w:ascii="Times New Roman" w:hAnsi="Times New Roman" w:cs="Times New Roman"/>
          <w:sz w:val="24"/>
          <w:szCs w:val="24"/>
        </w:rPr>
      </w:pPr>
    </w:p>
    <w:p w14:paraId="606296D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6032BF4A" w14:textId="77777777" w:rsidR="00675D5A" w:rsidRDefault="00675D5A" w:rsidP="00E02F75">
      <w:pPr>
        <w:spacing w:before="120" w:after="120" w:line="360" w:lineRule="auto"/>
        <w:jc w:val="center"/>
        <w:rPr>
          <w:rFonts w:ascii="Times New Roman" w:hAnsi="Times New Roman" w:cs="Times New Roman"/>
          <w:b/>
          <w:bCs/>
          <w:sz w:val="24"/>
          <w:szCs w:val="24"/>
        </w:rPr>
      </w:pPr>
    </w:p>
    <w:p w14:paraId="049FC07B" w14:textId="77777777" w:rsidR="00675D5A" w:rsidRDefault="00675D5A" w:rsidP="00E02F75">
      <w:pPr>
        <w:spacing w:before="120" w:after="120" w:line="360" w:lineRule="auto"/>
        <w:jc w:val="center"/>
        <w:rPr>
          <w:rFonts w:ascii="Times New Roman" w:hAnsi="Times New Roman" w:cs="Times New Roman"/>
          <w:b/>
          <w:bCs/>
          <w:sz w:val="24"/>
          <w:szCs w:val="24"/>
        </w:rPr>
      </w:pPr>
    </w:p>
    <w:p w14:paraId="1A74AB97" w14:textId="15E17059" w:rsidR="00E02F75" w:rsidRPr="00B94F53" w:rsidRDefault="00E02F75" w:rsidP="00E02F75">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lastRenderedPageBreak/>
        <w:t>Table</w:t>
      </w:r>
      <w:r w:rsidR="00C75652" w:rsidRPr="00B94F53">
        <w:rPr>
          <w:rFonts w:ascii="Times New Roman" w:hAnsi="Times New Roman" w:cs="Times New Roman"/>
          <w:b/>
          <w:bCs/>
          <w:sz w:val="24"/>
          <w:szCs w:val="24"/>
        </w:rPr>
        <w:t xml:space="preserve"> 2.2</w:t>
      </w:r>
      <w:r w:rsidRPr="00B94F53">
        <w:rPr>
          <w:rFonts w:ascii="Times New Roman" w:hAnsi="Times New Roman" w:cs="Times New Roman"/>
          <w:b/>
          <w:bCs/>
          <w:sz w:val="24"/>
          <w:szCs w:val="24"/>
        </w:rPr>
        <w:t>: Summary of Key Empirical Studies</w:t>
      </w:r>
    </w:p>
    <w:tbl>
      <w:tblPr>
        <w:tblStyle w:val="GridTable5Dark-Accent1"/>
        <w:tblW w:w="9122" w:type="dxa"/>
        <w:tblLook w:val="04A0" w:firstRow="1" w:lastRow="0" w:firstColumn="1" w:lastColumn="0" w:noHBand="0" w:noVBand="1"/>
      </w:tblPr>
      <w:tblGrid>
        <w:gridCol w:w="1974"/>
        <w:gridCol w:w="1340"/>
        <w:gridCol w:w="3529"/>
        <w:gridCol w:w="2279"/>
      </w:tblGrid>
      <w:tr w:rsidR="00BD3FFE" w:rsidRPr="00B94F53" w14:paraId="7F088356" w14:textId="77777777" w:rsidTr="002651E4">
        <w:trPr>
          <w:cnfStyle w:val="100000000000" w:firstRow="1" w:lastRow="0" w:firstColumn="0" w:lastColumn="0" w:oddVBand="0" w:evenVBand="0" w:oddHBand="0"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0" w:type="auto"/>
            <w:hideMark/>
          </w:tcPr>
          <w:p w14:paraId="17F7C4C4"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Author</w:t>
            </w:r>
          </w:p>
        </w:tc>
        <w:tc>
          <w:tcPr>
            <w:tcW w:w="0" w:type="auto"/>
            <w:hideMark/>
          </w:tcPr>
          <w:p w14:paraId="17445AC3" w14:textId="77777777" w:rsidR="00967C47" w:rsidRPr="00B94F53" w:rsidRDefault="00967C47" w:rsidP="00045607">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94F53">
              <w:rPr>
                <w:rFonts w:ascii="Times New Roman" w:hAnsi="Times New Roman" w:cs="Times New Roman"/>
                <w:color w:val="auto"/>
              </w:rPr>
              <w:t>Country</w:t>
            </w:r>
          </w:p>
        </w:tc>
        <w:tc>
          <w:tcPr>
            <w:tcW w:w="0" w:type="auto"/>
            <w:hideMark/>
          </w:tcPr>
          <w:p w14:paraId="345AB039" w14:textId="77777777" w:rsidR="00967C47" w:rsidRPr="00B94F53" w:rsidRDefault="00967C47" w:rsidP="00045607">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94F53">
              <w:rPr>
                <w:rFonts w:ascii="Times New Roman" w:hAnsi="Times New Roman" w:cs="Times New Roman"/>
                <w:color w:val="auto"/>
              </w:rPr>
              <w:t>Main Finding</w:t>
            </w:r>
          </w:p>
        </w:tc>
        <w:tc>
          <w:tcPr>
            <w:tcW w:w="0" w:type="auto"/>
            <w:hideMark/>
          </w:tcPr>
          <w:p w14:paraId="16275C31" w14:textId="77777777" w:rsidR="00967C47" w:rsidRPr="00B94F53" w:rsidRDefault="00967C47" w:rsidP="00045607">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94F53">
              <w:rPr>
                <w:rFonts w:ascii="Times New Roman" w:hAnsi="Times New Roman" w:cs="Times New Roman"/>
                <w:color w:val="auto"/>
              </w:rPr>
              <w:t>Research Gap</w:t>
            </w:r>
          </w:p>
        </w:tc>
      </w:tr>
      <w:tr w:rsidR="00BD3FFE" w:rsidRPr="00B94F53" w14:paraId="54A8E9E0" w14:textId="77777777" w:rsidTr="002651E4">
        <w:trPr>
          <w:cnfStyle w:val="000000100000" w:firstRow="0" w:lastRow="0" w:firstColumn="0" w:lastColumn="0" w:oddVBand="0" w:evenVBand="0" w:oddHBand="1" w:evenHBand="0" w:firstRowFirstColumn="0" w:firstRowLastColumn="0" w:lastRowFirstColumn="0" w:lastRowLastColumn="0"/>
          <w:trHeight w:val="993"/>
        </w:trPr>
        <w:tc>
          <w:tcPr>
            <w:cnfStyle w:val="001000000000" w:firstRow="0" w:lastRow="0" w:firstColumn="1" w:lastColumn="0" w:oddVBand="0" w:evenVBand="0" w:oddHBand="0" w:evenHBand="0" w:firstRowFirstColumn="0" w:firstRowLastColumn="0" w:lastRowFirstColumn="0" w:lastRowLastColumn="0"/>
            <w:tcW w:w="0" w:type="auto"/>
            <w:hideMark/>
          </w:tcPr>
          <w:p w14:paraId="04A37BA6"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Johanson &amp; Vahlne (2009)</w:t>
            </w:r>
          </w:p>
        </w:tc>
        <w:tc>
          <w:tcPr>
            <w:tcW w:w="0" w:type="auto"/>
            <w:hideMark/>
          </w:tcPr>
          <w:p w14:paraId="0ECB3718"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International</w:t>
            </w:r>
          </w:p>
        </w:tc>
        <w:tc>
          <w:tcPr>
            <w:tcW w:w="0" w:type="auto"/>
            <w:hideMark/>
          </w:tcPr>
          <w:p w14:paraId="250D5881"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Internationalisation occurs gradually</w:t>
            </w:r>
          </w:p>
        </w:tc>
        <w:tc>
          <w:tcPr>
            <w:tcW w:w="0" w:type="auto"/>
            <w:hideMark/>
          </w:tcPr>
          <w:p w14:paraId="0C091CF7"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Limited focus on digital banking</w:t>
            </w:r>
          </w:p>
        </w:tc>
      </w:tr>
      <w:tr w:rsidR="00BD3FFE" w:rsidRPr="00B94F53" w14:paraId="2FB14F87" w14:textId="77777777" w:rsidTr="002651E4">
        <w:trPr>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6F210E6A"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Kitsios et al. (2021)</w:t>
            </w:r>
          </w:p>
        </w:tc>
        <w:tc>
          <w:tcPr>
            <w:tcW w:w="0" w:type="auto"/>
            <w:hideMark/>
          </w:tcPr>
          <w:p w14:paraId="6232E2C1"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Banking</w:t>
            </w:r>
          </w:p>
        </w:tc>
        <w:tc>
          <w:tcPr>
            <w:tcW w:w="0" w:type="auto"/>
            <w:hideMark/>
          </w:tcPr>
          <w:p w14:paraId="5531F5D5"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Digital strategy improves e-services</w:t>
            </w:r>
          </w:p>
        </w:tc>
        <w:tc>
          <w:tcPr>
            <w:tcW w:w="0" w:type="auto"/>
            <w:hideMark/>
          </w:tcPr>
          <w:p w14:paraId="78B0BF8C"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No state-owned bank comparison</w:t>
            </w:r>
          </w:p>
        </w:tc>
      </w:tr>
      <w:tr w:rsidR="00BD3FFE" w:rsidRPr="00B94F53" w14:paraId="6DA5ED56" w14:textId="77777777" w:rsidTr="002651E4">
        <w:trPr>
          <w:cnfStyle w:val="000000100000" w:firstRow="0" w:lastRow="0" w:firstColumn="0" w:lastColumn="0" w:oddVBand="0" w:evenVBand="0" w:oddHBand="1"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4044B6A6"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Diener &amp; Špaček (2021)</w:t>
            </w:r>
          </w:p>
        </w:tc>
        <w:tc>
          <w:tcPr>
            <w:tcW w:w="0" w:type="auto"/>
            <w:hideMark/>
          </w:tcPr>
          <w:p w14:paraId="271FD885"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Europe</w:t>
            </w:r>
          </w:p>
        </w:tc>
        <w:tc>
          <w:tcPr>
            <w:tcW w:w="0" w:type="auto"/>
            <w:hideMark/>
          </w:tcPr>
          <w:p w14:paraId="0BC23478"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Organisational barriers affect digital transformation</w:t>
            </w:r>
          </w:p>
        </w:tc>
        <w:tc>
          <w:tcPr>
            <w:tcW w:w="0" w:type="auto"/>
            <w:hideMark/>
          </w:tcPr>
          <w:p w14:paraId="3463A461"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No Bangladesh context</w:t>
            </w:r>
          </w:p>
        </w:tc>
      </w:tr>
      <w:tr w:rsidR="00BD3FFE" w:rsidRPr="00B94F53" w14:paraId="011E68B0" w14:textId="77777777" w:rsidTr="002651E4">
        <w:trPr>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118EDCC1"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Akhter &amp; Khalily (2020)</w:t>
            </w:r>
          </w:p>
        </w:tc>
        <w:tc>
          <w:tcPr>
            <w:tcW w:w="0" w:type="auto"/>
            <w:hideMark/>
          </w:tcPr>
          <w:p w14:paraId="30B789CB"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Bangladesh</w:t>
            </w:r>
          </w:p>
        </w:tc>
        <w:tc>
          <w:tcPr>
            <w:tcW w:w="0" w:type="auto"/>
            <w:hideMark/>
          </w:tcPr>
          <w:p w14:paraId="0C2DF4A2"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Mobile financial services increase financial inclusion</w:t>
            </w:r>
          </w:p>
        </w:tc>
        <w:tc>
          <w:tcPr>
            <w:tcW w:w="0" w:type="auto"/>
            <w:hideMark/>
          </w:tcPr>
          <w:p w14:paraId="5A0EB40E"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Domestic focus only</w:t>
            </w:r>
          </w:p>
        </w:tc>
      </w:tr>
      <w:tr w:rsidR="00BD3FFE" w:rsidRPr="00B94F53" w14:paraId="0F5DF8D4" w14:textId="77777777" w:rsidTr="002651E4">
        <w:trPr>
          <w:cnfStyle w:val="000000100000" w:firstRow="0" w:lastRow="0" w:firstColumn="0" w:lastColumn="0" w:oddVBand="0" w:evenVBand="0" w:oddHBand="1"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06A2D520"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Gardner &amp; Leong (2021)</w:t>
            </w:r>
          </w:p>
        </w:tc>
        <w:tc>
          <w:tcPr>
            <w:tcW w:w="0" w:type="auto"/>
            <w:hideMark/>
          </w:tcPr>
          <w:p w14:paraId="2FD6CE0C"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UK</w:t>
            </w:r>
          </w:p>
        </w:tc>
        <w:tc>
          <w:tcPr>
            <w:tcW w:w="0" w:type="auto"/>
            <w:hideMark/>
          </w:tcPr>
          <w:p w14:paraId="5EAB61C8"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Open banking promotes innovation</w:t>
            </w:r>
          </w:p>
        </w:tc>
        <w:tc>
          <w:tcPr>
            <w:tcW w:w="0" w:type="auto"/>
            <w:hideMark/>
          </w:tcPr>
          <w:p w14:paraId="6FD311C7"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No comparison with Bangladesh</w:t>
            </w:r>
          </w:p>
        </w:tc>
      </w:tr>
    </w:tbl>
    <w:p w14:paraId="772E4B01" w14:textId="77777777" w:rsidR="00967C47" w:rsidRPr="00B94F53" w:rsidRDefault="00967C47" w:rsidP="00A63C4A">
      <w:pPr>
        <w:spacing w:before="120" w:after="120" w:line="360" w:lineRule="auto"/>
        <w:jc w:val="both"/>
        <w:rPr>
          <w:rFonts w:ascii="Times New Roman" w:hAnsi="Times New Roman" w:cs="Times New Roman"/>
        </w:rPr>
      </w:pPr>
    </w:p>
    <w:p w14:paraId="130F8E73" w14:textId="77777777" w:rsidR="00BC71B7" w:rsidRDefault="00BC71B7" w:rsidP="00045607">
      <w:pPr>
        <w:pStyle w:val="Heading2"/>
        <w:rPr>
          <w:rFonts w:ascii="Times New Roman" w:hAnsi="Times New Roman" w:cs="Times New Roman"/>
        </w:rPr>
      </w:pPr>
      <w:bookmarkStart w:id="21" w:name="_Toc238117814"/>
    </w:p>
    <w:p w14:paraId="71E42EAB" w14:textId="4141C42B" w:rsidR="00BC39D1" w:rsidRPr="00B94F53" w:rsidRDefault="00466143" w:rsidP="00045607">
      <w:pPr>
        <w:pStyle w:val="Heading2"/>
        <w:rPr>
          <w:rFonts w:ascii="Times New Roman" w:hAnsi="Times New Roman" w:cs="Times New Roman"/>
        </w:rPr>
      </w:pPr>
      <w:r w:rsidRPr="00B94F53">
        <w:rPr>
          <w:rFonts w:ascii="Times New Roman" w:hAnsi="Times New Roman" w:cs="Times New Roman"/>
        </w:rPr>
        <w:t>2.4 Gaps in Literature</w:t>
      </w:r>
      <w:bookmarkEnd w:id="21"/>
    </w:p>
    <w:p w14:paraId="5BB75195" w14:textId="517B4A6B"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literature shows that the implementation of e-commerce is positively related to customer engagement, financial inclusion and institutional competitiveness in cross-border banking. An examination of the prior research, however, indicates </w:t>
      </w:r>
      <w:r w:rsidR="008F0F10" w:rsidRPr="00B94F53">
        <w:rPr>
          <w:rFonts w:ascii="Times New Roman" w:hAnsi="Times New Roman" w:cs="Times New Roman"/>
          <w:sz w:val="24"/>
          <w:szCs w:val="24"/>
        </w:rPr>
        <w:t>several</w:t>
      </w:r>
      <w:r w:rsidRPr="00B94F53">
        <w:rPr>
          <w:rFonts w:ascii="Times New Roman" w:hAnsi="Times New Roman" w:cs="Times New Roman"/>
          <w:sz w:val="24"/>
          <w:szCs w:val="24"/>
        </w:rPr>
        <w:t xml:space="preserve"> gaps that require further investigation that make the current research relevant.</w:t>
      </w:r>
    </w:p>
    <w:p w14:paraId="4C2678A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22C1B319" w14:textId="77777777" w:rsidR="00A63C4A" w:rsidRPr="00B94F53"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first gap relates to the narrow focus of the bilateral UK-Bangladesh financial corridor, which does not include Sonali Bank and any state-owned banks. Previous research has focused on either e-commerce internationalisation (Johanson and Vahlne, 2009) or digital banking adoption in an industry or multinational private institutions, but not on the e-commerce integration strategy implemented by a specific state-owned bank in the unique regulatory and institutional setting of both the UK and Bangladesh (KPMG, 2024). Hence, there is not enough evidence about the effectiveness of the specific marketing, financial and human capital strategy of the Sonali Bank under such dual market situation.</w:t>
      </w:r>
    </w:p>
    <w:p w14:paraId="53AC19D5" w14:textId="77777777" w:rsidR="00BC71B7" w:rsidRDefault="00BC71B7" w:rsidP="00A63C4A">
      <w:pPr>
        <w:spacing w:before="120" w:after="120" w:line="360" w:lineRule="auto"/>
        <w:jc w:val="both"/>
        <w:rPr>
          <w:rFonts w:ascii="Times New Roman" w:hAnsi="Times New Roman" w:cs="Times New Roman"/>
          <w:sz w:val="24"/>
          <w:szCs w:val="24"/>
        </w:rPr>
      </w:pPr>
    </w:p>
    <w:p w14:paraId="7C00841F" w14:textId="7AEF9174"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second gap is with regards to the small empirical work that has investigated marketing, financial and human capital strategy in an integrated way in one international financial institution. Previous research tends to explore either financial inclusion, payment systems, or labour recruitment, but not the interactions of the three strategic areas on e-commerce integration outcomes for a state-owned bank (Boxall and Purcell, 2022). This means that the understanding of banking internationalisation as a multidimensional strategic challenge is limited.</w:t>
      </w:r>
    </w:p>
    <w:p w14:paraId="086D5989"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3AD98263" w14:textId="6EDD5CA8"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Third, the literature has not focused much on the relationship between state ownership and constraints and influencing factors on e-commerce integration strategy in international banking. The literature broadly acknowledges that there are governance differences between state-owned and private enterprises, but empirical evidence on the nature of these differences in terms of marketing flexibility, speed of capital allocation and human capital strategies </w:t>
      </w:r>
      <w:r w:rsidR="008F775A" w:rsidRPr="00B94F53">
        <w:rPr>
          <w:rFonts w:ascii="Times New Roman" w:hAnsi="Times New Roman" w:cs="Times New Roman"/>
          <w:sz w:val="24"/>
          <w:szCs w:val="24"/>
        </w:rPr>
        <w:t>in each</w:t>
      </w:r>
      <w:r w:rsidRPr="00B94F53">
        <w:rPr>
          <w:rFonts w:ascii="Times New Roman" w:hAnsi="Times New Roman" w:cs="Times New Roman"/>
          <w:sz w:val="24"/>
          <w:szCs w:val="24"/>
        </w:rPr>
        <w:t xml:space="preserve"> dual-market banking institution is still limited (Boxall and Purcell, 2022).</w:t>
      </w:r>
    </w:p>
    <w:p w14:paraId="243B556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456BE3CF" w14:textId="3B958FFF"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 fourth gap relates to the structural mismatch between the open banking environment and the payment system in Bangladesh and its </w:t>
      </w:r>
      <w:r w:rsidR="008F775A" w:rsidRPr="00B94F53">
        <w:rPr>
          <w:rFonts w:ascii="Times New Roman" w:hAnsi="Times New Roman" w:cs="Times New Roman"/>
          <w:sz w:val="24"/>
          <w:szCs w:val="24"/>
        </w:rPr>
        <w:t>strategic</w:t>
      </w:r>
      <w:r w:rsidRPr="00B94F53">
        <w:rPr>
          <w:rFonts w:ascii="Times New Roman" w:hAnsi="Times New Roman" w:cs="Times New Roman"/>
          <w:sz w:val="24"/>
          <w:szCs w:val="24"/>
        </w:rPr>
        <w:t xml:space="preserve"> implications for one institution and two payment systems. While the overall significance of platform-specific payment architecture is appreciated from existing literature, details about the everyday experience of a particular institution, like Sonali Bank, in dealing with the incompatibility is limited (KPMG, 2024).</w:t>
      </w:r>
    </w:p>
    <w:p w14:paraId="548F605E"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70F5FDA" w14:textId="16E230FB"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Moreover, there is limited empirical evidence of the relationship between the UK and Bangladesh. Most of the literature on the topic of mobile financial services has been done at the level of the national markets of Bangladesh in isolation, or the UK's open banking system in isolation, and not at the level of the market facing the challenge of how institutions must perform and operate in a coherent manner across both (Bangladesh Bank, 2026; ONS, 2026). </w:t>
      </w:r>
      <w:r w:rsidR="008F775A" w:rsidRPr="00B94F53">
        <w:rPr>
          <w:rFonts w:ascii="Times New Roman" w:hAnsi="Times New Roman" w:cs="Times New Roman"/>
          <w:sz w:val="24"/>
          <w:szCs w:val="24"/>
        </w:rPr>
        <w:t>So,</w:t>
      </w:r>
      <w:r w:rsidRPr="00B94F53">
        <w:rPr>
          <w:rFonts w:ascii="Times New Roman" w:hAnsi="Times New Roman" w:cs="Times New Roman"/>
          <w:sz w:val="24"/>
          <w:szCs w:val="24"/>
        </w:rPr>
        <w:t xml:space="preserve"> the transferability of previous single-market results for a bilateral, dual-regulatory institutional setting is open to question.</w:t>
      </w:r>
    </w:p>
    <w:p w14:paraId="55A80363"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7C4427B" w14:textId="54E2AC6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According to the identified gaps, the present study aims to fill the gaps by conducting a systematic review of the literature and a documentary case analysis on Sonali Bank's e-commerce integration strategy in the UK and Bangladesh market. It incorporates well known theories of internationalisation and recent ideas about banking and remittance services and takes account of considerations of state ownership, financial services infrastructure in mobile and changing regulatory environment in both countries. The study will do so both theoretically and practically to the emerging literature in international banking and strategic management.</w:t>
      </w:r>
    </w:p>
    <w:p w14:paraId="18F69745"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4903615F" w14:textId="77777777" w:rsidR="00BC39D1" w:rsidRPr="00B94F53" w:rsidRDefault="00466143" w:rsidP="00045607">
      <w:pPr>
        <w:pStyle w:val="Heading2"/>
        <w:rPr>
          <w:rFonts w:ascii="Times New Roman" w:hAnsi="Times New Roman" w:cs="Times New Roman"/>
        </w:rPr>
      </w:pPr>
      <w:bookmarkStart w:id="22" w:name="_Toc238117815"/>
      <w:r w:rsidRPr="00B94F53">
        <w:rPr>
          <w:rFonts w:ascii="Times New Roman" w:hAnsi="Times New Roman" w:cs="Times New Roman"/>
        </w:rPr>
        <w:t>2.5 Theoretical Framework</w:t>
      </w:r>
      <w:bookmarkEnd w:id="22"/>
    </w:p>
    <w:p w14:paraId="74C0C1F3" w14:textId="77777777" w:rsidR="00057FCA" w:rsidRPr="00B94F53"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study is supported by two theories of internationalisation that have been established internationally, namely the Uppsala Internationalisation Model (UIM), developed by Johanson and Vahlne (1977; 2009) and the Resource Based View (RBV), developed by Barney (1991) and Teece, Pisano and </w:t>
      </w:r>
      <w:proofErr w:type="spellStart"/>
      <w:r w:rsidRPr="00B94F53">
        <w:rPr>
          <w:rFonts w:ascii="Times New Roman" w:hAnsi="Times New Roman" w:cs="Times New Roman"/>
          <w:sz w:val="24"/>
          <w:szCs w:val="24"/>
        </w:rPr>
        <w:t>Shuen</w:t>
      </w:r>
      <w:proofErr w:type="spellEnd"/>
      <w:r w:rsidRPr="00B94F53">
        <w:rPr>
          <w:rFonts w:ascii="Times New Roman" w:hAnsi="Times New Roman" w:cs="Times New Roman"/>
          <w:sz w:val="24"/>
          <w:szCs w:val="24"/>
        </w:rPr>
        <w:t xml:space="preserve"> (1997). These alternative approaches offer a full picture of the development of ecommerce integration strategies in a banking organisation that spans structurally diverse markets. They act as the theoretical framework for an analysis of the effectiveness of these marketing, financial and human capital strategies in the context of Sonali Bank in the UK and in Bangladesh.</w:t>
      </w:r>
    </w:p>
    <w:p w14:paraId="6E81EC91" w14:textId="77777777" w:rsidR="00D55DBD" w:rsidRPr="00B94F53" w:rsidRDefault="00D55DBD" w:rsidP="00057FCA">
      <w:pPr>
        <w:spacing w:before="120" w:after="120" w:line="360" w:lineRule="auto"/>
        <w:jc w:val="both"/>
        <w:rPr>
          <w:rFonts w:ascii="Times New Roman" w:hAnsi="Times New Roman" w:cs="Times New Roman"/>
          <w:sz w:val="24"/>
          <w:szCs w:val="24"/>
        </w:rPr>
      </w:pPr>
    </w:p>
    <w:p w14:paraId="21DD70B4" w14:textId="77777777" w:rsidR="00057FCA" w:rsidRPr="00B94F53" w:rsidRDefault="00057FCA" w:rsidP="00057FCA">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The Uppsala Internationalisation Model</w:t>
      </w:r>
    </w:p>
    <w:p w14:paraId="473972BF" w14:textId="42CDC260"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They suggest that companies go international gradually, incrementally developing knowledge of the market by 'learning from doing' and minimising the psychic distance via network relationships rather than entering the market with complete and fast knowledge of it (Johanson and Vahlne, 1977; 2009). Experiential knowledge is the first concept, which is the tacit and market-specific knowledge that institutions have acquired from the direct operation of the market without depending exclusively on formal market research. Decades of being a domestic bank in Bangladesh and having a branch presence in London, Sonali Bank has a rich developing experiential base in both markets.</w:t>
      </w:r>
    </w:p>
    <w:p w14:paraId="2DEB98FB"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01F3DC90" w14:textId="0765B5D9"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second, psychic distance, refers to the extent of uncertainty that internationalising companies may experience due to the perceived differences in such areas as language, culture, regulatory systems and business practices between markets. The structural distinction between </w:t>
      </w:r>
      <w:r w:rsidRPr="00B94F53">
        <w:rPr>
          <w:rFonts w:ascii="Times New Roman" w:hAnsi="Times New Roman" w:cs="Times New Roman"/>
          <w:sz w:val="24"/>
          <w:szCs w:val="24"/>
        </w:rPr>
        <w:lastRenderedPageBreak/>
        <w:t>the open banking, FCA-regulated space and the Bangladesh MFS, Bangladesh Bank-regulated space is one of the key elements of psychic distance that Sonali Bank will need to continually navigate.</w:t>
      </w:r>
    </w:p>
    <w:p w14:paraId="6FDDAEFF"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03612542" w14:textId="77777777"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third, network relationships, highlights the importance of looking at internationalisation as a process that takes place in the form of relationships with customers, partners, and institutional relationships as well. The Britain-Bangladeshi community is an important network resource that will impact Sonali Bank's UK market position because of its decades-long remittance service provisioning activities.</w:t>
      </w:r>
    </w:p>
    <w:p w14:paraId="657D9ACD"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40DEF725" w14:textId="3A7A17E0"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 major asset of the Uppsala Model is its understanding of internationalisation as a learning process, a process that is not a one-off, but ongoing. But critics have pointed out that the model has been constructed largely based on the experiences of private manufacturing and trading companies and may not fully reflect the compression of internationalisation </w:t>
      </w:r>
      <w:r w:rsidR="008F775A" w:rsidRPr="00B94F53">
        <w:rPr>
          <w:rFonts w:ascii="Times New Roman" w:hAnsi="Times New Roman" w:cs="Times New Roman"/>
          <w:sz w:val="24"/>
          <w:szCs w:val="24"/>
        </w:rPr>
        <w:t>timelines</w:t>
      </w:r>
      <w:r w:rsidRPr="00B94F53">
        <w:rPr>
          <w:rFonts w:ascii="Times New Roman" w:hAnsi="Times New Roman" w:cs="Times New Roman"/>
          <w:sz w:val="24"/>
          <w:szCs w:val="24"/>
        </w:rPr>
        <w:t xml:space="preserve"> or state ownership and its impact on experiential learning (Johanson and Vahlne, 2009). Notwithstanding this restriction, the Uppsala Model is very relevant to Sonali Bank, as the bank's internationalisation process is not a recent trend, but a long one which has been built up through relationships.</w:t>
      </w:r>
    </w:p>
    <w:p w14:paraId="4532FCD8"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44BC30AE" w14:textId="77777777" w:rsidR="00057FCA" w:rsidRPr="00B94F53" w:rsidRDefault="00057FCA" w:rsidP="00057FCA">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The Resource Based View (RBV)</w:t>
      </w:r>
    </w:p>
    <w:p w14:paraId="02A4637F" w14:textId="14D8FB96"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Resource Based View describes the ability of firms to gain sustained competitive advantage by holding resources that are valuable, rare, inimitable and non-substitutable (Barney, 1991). Assets which allow an institution to take advantage of an opportunity or remove a threat from its environment are called valuable resources, the first dimension. While newer fintech players could try and imitate the trusted brand, Sonali Bank's strong presence in the domestic branch network and its trusted diaspora trust is </w:t>
      </w:r>
      <w:r w:rsidR="008F775A" w:rsidRPr="00B94F53">
        <w:rPr>
          <w:rFonts w:ascii="Times New Roman" w:hAnsi="Times New Roman" w:cs="Times New Roman"/>
          <w:sz w:val="24"/>
          <w:szCs w:val="24"/>
        </w:rPr>
        <w:t>an asset</w:t>
      </w:r>
      <w:r w:rsidRPr="00B94F53">
        <w:rPr>
          <w:rFonts w:ascii="Times New Roman" w:hAnsi="Times New Roman" w:cs="Times New Roman"/>
          <w:sz w:val="24"/>
          <w:szCs w:val="24"/>
        </w:rPr>
        <w:t xml:space="preserve"> that is not easily replicable.</w:t>
      </w:r>
    </w:p>
    <w:p w14:paraId="2B1E1C93"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7789C245" w14:textId="05E5D5AA"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Dynamic capabilities </w:t>
      </w:r>
      <w:r w:rsidR="00BC71B7" w:rsidRPr="00B94F53">
        <w:rPr>
          <w:rFonts w:ascii="Times New Roman" w:hAnsi="Times New Roman" w:cs="Times New Roman"/>
          <w:sz w:val="24"/>
          <w:szCs w:val="24"/>
        </w:rPr>
        <w:t>add</w:t>
      </w:r>
      <w:r w:rsidRPr="00B94F53">
        <w:rPr>
          <w:rFonts w:ascii="Times New Roman" w:hAnsi="Times New Roman" w:cs="Times New Roman"/>
          <w:sz w:val="24"/>
          <w:szCs w:val="24"/>
        </w:rPr>
        <w:t xml:space="preserve"> to the RBV by highlighting the ability of an organisation to integrate, build and reconfigure internal and external competences </w:t>
      </w:r>
      <w:r w:rsidR="008F775A" w:rsidRPr="00B94F53">
        <w:rPr>
          <w:rFonts w:ascii="Times New Roman" w:hAnsi="Times New Roman" w:cs="Times New Roman"/>
          <w:sz w:val="24"/>
          <w:szCs w:val="24"/>
        </w:rPr>
        <w:t>to</w:t>
      </w:r>
      <w:r w:rsidRPr="00B94F53">
        <w:rPr>
          <w:rFonts w:ascii="Times New Roman" w:hAnsi="Times New Roman" w:cs="Times New Roman"/>
          <w:sz w:val="24"/>
          <w:szCs w:val="24"/>
        </w:rPr>
        <w:t xml:space="preserve"> adapt to dynamic environments (Teece, Pisano and </w:t>
      </w:r>
      <w:proofErr w:type="spellStart"/>
      <w:r w:rsidRPr="00B94F53">
        <w:rPr>
          <w:rFonts w:ascii="Times New Roman" w:hAnsi="Times New Roman" w:cs="Times New Roman"/>
          <w:sz w:val="24"/>
          <w:szCs w:val="24"/>
        </w:rPr>
        <w:t>Shuen</w:t>
      </w:r>
      <w:proofErr w:type="spellEnd"/>
      <w:r w:rsidRPr="00B94F53">
        <w:rPr>
          <w:rFonts w:ascii="Times New Roman" w:hAnsi="Times New Roman" w:cs="Times New Roman"/>
          <w:sz w:val="24"/>
          <w:szCs w:val="24"/>
        </w:rPr>
        <w:t xml:space="preserve">, 1997). Sonali Bank's dynamic capabilities are embodied in its </w:t>
      </w:r>
      <w:r w:rsidRPr="00B94F53">
        <w:rPr>
          <w:rFonts w:ascii="Times New Roman" w:hAnsi="Times New Roman" w:cs="Times New Roman"/>
          <w:sz w:val="24"/>
          <w:szCs w:val="24"/>
        </w:rPr>
        <w:lastRenderedPageBreak/>
        <w:t>ability, or inability, to re-align the marketing, financial and human resources of the bank to accommodate new dynamics in the fintech landscape and shifting regulatory challenges in the UK and Bangladesh.</w:t>
      </w:r>
    </w:p>
    <w:p w14:paraId="3F88A270"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356F3D4C" w14:textId="77777777" w:rsidR="00057FCA" w:rsidRPr="00B94F53" w:rsidRDefault="00057FCA" w:rsidP="00057FCA">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Integrated Conceptual Framework</w:t>
      </w:r>
    </w:p>
    <w:p w14:paraId="078F536C" w14:textId="77777777"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reviewed literature and theoretical models form the basis for an integrated conceptual framework of this study, which suggests a combination of two internationalisation logics from the Uppsala Model and RBV to explain the outcomes of e-commerce integration at Sonali Bank. State ownership is set as a moderating institutional condition, which influences the pace of experiential learning of the Uppsala Model and limits the speed and flexibility of the resource reconfiguration of the RBV.</w:t>
      </w:r>
    </w:p>
    <w:p w14:paraId="7AFA56E7"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207FFC4D" w14:textId="77777777"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conceptual framework suggests the three strategic domains of marketing localization, financial risk management and payment architecture, and human capital strategy are the three interdependent strategic domains wherein the integration of e-commerce in Sonali Bank plays in UK and Bangladesh. The distinct regulatory environments, the state-owned nature of the banks, and consumer preferences between the two markets will influence the nature of these three domains, while the degree of state ownership will temper the flexibility of the institution to adjust quickly to technological and competitive shifts in either market.</w:t>
      </w:r>
    </w:p>
    <w:p w14:paraId="13E68527"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2F375B28" w14:textId="4F6CA9FA" w:rsidR="00C0453F"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framework directly reflects and frames the research questions and objectives by outlining the relationships that will be explored </w:t>
      </w:r>
      <w:r w:rsidR="00BC71B7" w:rsidRPr="00B94F53">
        <w:rPr>
          <w:rFonts w:ascii="Times New Roman" w:hAnsi="Times New Roman" w:cs="Times New Roman"/>
          <w:sz w:val="24"/>
          <w:szCs w:val="24"/>
        </w:rPr>
        <w:t>during</w:t>
      </w:r>
      <w:r w:rsidRPr="00B94F53">
        <w:rPr>
          <w:rFonts w:ascii="Times New Roman" w:hAnsi="Times New Roman" w:cs="Times New Roman"/>
          <w:sz w:val="24"/>
          <w:szCs w:val="24"/>
        </w:rPr>
        <w:t xml:space="preserve"> the research. It also outlines the framework used in the Systematic Literature Review and documentary case analysis of Sonali Bank (Chapter Three) for analysing the secondary evidence to code, compare and synthesize in the context of marketing, financial and human capital strategy.</w:t>
      </w:r>
    </w:p>
    <w:p w14:paraId="3FC15470"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19B7CAAD" w14:textId="77777777" w:rsidR="00BC39D1" w:rsidRPr="00B94F53" w:rsidRDefault="00466143" w:rsidP="00045607">
      <w:pPr>
        <w:pStyle w:val="Heading2"/>
        <w:rPr>
          <w:rFonts w:ascii="Times New Roman" w:hAnsi="Times New Roman" w:cs="Times New Roman"/>
        </w:rPr>
      </w:pPr>
      <w:bookmarkStart w:id="23" w:name="_Toc238117816"/>
      <w:r w:rsidRPr="00B94F53">
        <w:rPr>
          <w:rFonts w:ascii="Times New Roman" w:hAnsi="Times New Roman" w:cs="Times New Roman"/>
        </w:rPr>
        <w:t>2.6 Summary of the Chapter</w:t>
      </w:r>
      <w:bookmarkEnd w:id="23"/>
    </w:p>
    <w:p w14:paraId="4AADAF27" w14:textId="66A7E888" w:rsidR="00057FCA" w:rsidRPr="00B94F53" w:rsidRDefault="00057FCA" w:rsidP="00057FC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chapter critically examined the literature available on e-commerce integration in international banking and remittance, especially for the state-owned financial institutions. The chapter started by describing the literature search process for identifying relevant academic </w:t>
      </w:r>
      <w:r w:rsidRPr="00B94F53">
        <w:rPr>
          <w:rFonts w:ascii="Times New Roman" w:hAnsi="Times New Roman" w:cs="Times New Roman"/>
          <w:sz w:val="24"/>
          <w:szCs w:val="24"/>
        </w:rPr>
        <w:lastRenderedPageBreak/>
        <w:t>publications and industry reports. It then reviewed the relevant research on the topic of e-commerce internationalisation, digital marketing localisation, cross-border financial strategy, human capital management, and the specific challenges faced by SOBs. Theories and research results were critically compared, and the similarities and differences of researchers were discussed.</w:t>
      </w:r>
    </w:p>
    <w:p w14:paraId="654C47A2" w14:textId="2C0B6AC8" w:rsidR="00BC39D1" w:rsidRPr="00B94F53" w:rsidRDefault="00BC39D1" w:rsidP="00057FCA">
      <w:pPr>
        <w:spacing w:line="360" w:lineRule="auto"/>
        <w:jc w:val="both"/>
        <w:rPr>
          <w:rFonts w:ascii="Times New Roman" w:hAnsi="Times New Roman" w:cs="Times New Roman"/>
        </w:rPr>
      </w:pPr>
    </w:p>
    <w:p w14:paraId="665713AB" w14:textId="77777777" w:rsidR="00675D5A" w:rsidRDefault="00675D5A" w:rsidP="00045607">
      <w:pPr>
        <w:pStyle w:val="Heading1"/>
        <w:rPr>
          <w:rFonts w:ascii="Times New Roman" w:hAnsi="Times New Roman" w:cs="Times New Roman"/>
        </w:rPr>
      </w:pPr>
      <w:bookmarkStart w:id="24" w:name="_Toc234332935"/>
      <w:bookmarkStart w:id="25" w:name="_Toc238117817"/>
    </w:p>
    <w:p w14:paraId="01CDE948" w14:textId="77777777" w:rsidR="00675D5A" w:rsidRDefault="00675D5A" w:rsidP="00045607">
      <w:pPr>
        <w:pStyle w:val="Heading1"/>
        <w:rPr>
          <w:rFonts w:ascii="Times New Roman" w:hAnsi="Times New Roman" w:cs="Times New Roman"/>
        </w:rPr>
      </w:pPr>
    </w:p>
    <w:p w14:paraId="33BECB9E" w14:textId="77777777" w:rsidR="00675D5A" w:rsidRDefault="00675D5A" w:rsidP="00045607">
      <w:pPr>
        <w:pStyle w:val="Heading1"/>
        <w:rPr>
          <w:rFonts w:ascii="Times New Roman" w:hAnsi="Times New Roman" w:cs="Times New Roman"/>
        </w:rPr>
      </w:pPr>
    </w:p>
    <w:p w14:paraId="51C729B9" w14:textId="77777777" w:rsidR="00675D5A" w:rsidRDefault="00675D5A" w:rsidP="00045607">
      <w:pPr>
        <w:pStyle w:val="Heading1"/>
        <w:rPr>
          <w:rFonts w:ascii="Times New Roman" w:hAnsi="Times New Roman" w:cs="Times New Roman"/>
        </w:rPr>
      </w:pPr>
    </w:p>
    <w:p w14:paraId="56EB7761" w14:textId="77777777" w:rsidR="00675D5A" w:rsidRDefault="00675D5A" w:rsidP="00045607">
      <w:pPr>
        <w:pStyle w:val="Heading1"/>
        <w:rPr>
          <w:rFonts w:ascii="Times New Roman" w:hAnsi="Times New Roman" w:cs="Times New Roman"/>
        </w:rPr>
      </w:pPr>
    </w:p>
    <w:p w14:paraId="667B33E3" w14:textId="77777777" w:rsidR="00675D5A" w:rsidRDefault="00675D5A" w:rsidP="00045607">
      <w:pPr>
        <w:pStyle w:val="Heading1"/>
        <w:rPr>
          <w:rFonts w:ascii="Times New Roman" w:hAnsi="Times New Roman" w:cs="Times New Roman"/>
        </w:rPr>
      </w:pPr>
    </w:p>
    <w:p w14:paraId="6D7FD8F0" w14:textId="77777777" w:rsidR="00675D5A" w:rsidRDefault="00675D5A" w:rsidP="00045607">
      <w:pPr>
        <w:pStyle w:val="Heading1"/>
        <w:rPr>
          <w:rFonts w:ascii="Times New Roman" w:hAnsi="Times New Roman" w:cs="Times New Roman"/>
        </w:rPr>
      </w:pPr>
    </w:p>
    <w:p w14:paraId="4300D151" w14:textId="77777777" w:rsidR="00675D5A" w:rsidRDefault="00675D5A" w:rsidP="00045607">
      <w:pPr>
        <w:pStyle w:val="Heading1"/>
        <w:rPr>
          <w:rFonts w:ascii="Times New Roman" w:hAnsi="Times New Roman" w:cs="Times New Roman"/>
        </w:rPr>
      </w:pPr>
    </w:p>
    <w:p w14:paraId="4C6532FD" w14:textId="77777777" w:rsidR="00675D5A" w:rsidRDefault="00675D5A" w:rsidP="00045607">
      <w:pPr>
        <w:pStyle w:val="Heading1"/>
        <w:rPr>
          <w:rFonts w:ascii="Times New Roman" w:hAnsi="Times New Roman" w:cs="Times New Roman"/>
        </w:rPr>
      </w:pPr>
    </w:p>
    <w:p w14:paraId="05A58805" w14:textId="77777777" w:rsidR="00675D5A" w:rsidRDefault="00675D5A" w:rsidP="00045607">
      <w:pPr>
        <w:pStyle w:val="Heading1"/>
        <w:rPr>
          <w:rFonts w:ascii="Times New Roman" w:hAnsi="Times New Roman" w:cs="Times New Roman"/>
        </w:rPr>
      </w:pPr>
    </w:p>
    <w:p w14:paraId="0A753D89" w14:textId="77777777" w:rsidR="00675D5A" w:rsidRDefault="00675D5A" w:rsidP="00045607">
      <w:pPr>
        <w:pStyle w:val="Heading1"/>
        <w:rPr>
          <w:rFonts w:ascii="Times New Roman" w:hAnsi="Times New Roman" w:cs="Times New Roman"/>
        </w:rPr>
      </w:pPr>
    </w:p>
    <w:p w14:paraId="2A150CAD" w14:textId="77777777" w:rsidR="00675D5A" w:rsidRDefault="00675D5A" w:rsidP="00045607">
      <w:pPr>
        <w:pStyle w:val="Heading1"/>
        <w:rPr>
          <w:rFonts w:ascii="Times New Roman" w:hAnsi="Times New Roman" w:cs="Times New Roman"/>
        </w:rPr>
      </w:pPr>
    </w:p>
    <w:p w14:paraId="3E51D628" w14:textId="77777777" w:rsidR="00675D5A" w:rsidRDefault="00675D5A" w:rsidP="00045607">
      <w:pPr>
        <w:pStyle w:val="Heading1"/>
        <w:rPr>
          <w:rFonts w:ascii="Times New Roman" w:hAnsi="Times New Roman" w:cs="Times New Roman"/>
        </w:rPr>
      </w:pPr>
    </w:p>
    <w:p w14:paraId="42285654" w14:textId="77777777" w:rsidR="00675D5A" w:rsidRDefault="00675D5A" w:rsidP="00045607">
      <w:pPr>
        <w:pStyle w:val="Heading1"/>
        <w:rPr>
          <w:rFonts w:ascii="Times New Roman" w:hAnsi="Times New Roman" w:cs="Times New Roman"/>
        </w:rPr>
      </w:pPr>
    </w:p>
    <w:p w14:paraId="1C2D55BA" w14:textId="77777777" w:rsidR="00675D5A" w:rsidRDefault="00675D5A" w:rsidP="00045607">
      <w:pPr>
        <w:pStyle w:val="Heading1"/>
        <w:rPr>
          <w:rFonts w:ascii="Times New Roman" w:hAnsi="Times New Roman" w:cs="Times New Roman"/>
        </w:rPr>
      </w:pPr>
    </w:p>
    <w:p w14:paraId="01A61A25" w14:textId="77777777" w:rsidR="00675D5A" w:rsidRDefault="00675D5A" w:rsidP="00045607">
      <w:pPr>
        <w:pStyle w:val="Heading1"/>
        <w:rPr>
          <w:rFonts w:ascii="Times New Roman" w:hAnsi="Times New Roman" w:cs="Times New Roman"/>
        </w:rPr>
      </w:pPr>
    </w:p>
    <w:p w14:paraId="4C3CB53C" w14:textId="123E789F" w:rsidR="00743D09" w:rsidRPr="00B94F53" w:rsidRDefault="00743D09" w:rsidP="00045607">
      <w:pPr>
        <w:pStyle w:val="Heading1"/>
        <w:rPr>
          <w:rFonts w:ascii="Times New Roman" w:hAnsi="Times New Roman" w:cs="Times New Roman"/>
        </w:rPr>
      </w:pPr>
      <w:r w:rsidRPr="00B94F53">
        <w:rPr>
          <w:rFonts w:ascii="Times New Roman" w:hAnsi="Times New Roman" w:cs="Times New Roman"/>
        </w:rPr>
        <w:t>Chapter Three: Research Methodology</w:t>
      </w:r>
      <w:bookmarkEnd w:id="24"/>
      <w:bookmarkEnd w:id="25"/>
    </w:p>
    <w:p w14:paraId="5001A453" w14:textId="77777777" w:rsidR="00743D09" w:rsidRPr="00B94F53" w:rsidRDefault="00743D09" w:rsidP="00045607">
      <w:pPr>
        <w:pStyle w:val="Heading2"/>
        <w:rPr>
          <w:rFonts w:ascii="Times New Roman" w:hAnsi="Times New Roman" w:cs="Times New Roman"/>
        </w:rPr>
      </w:pPr>
      <w:bookmarkStart w:id="26" w:name="_Toc234332936"/>
      <w:bookmarkStart w:id="27" w:name="_Toc238117818"/>
      <w:r w:rsidRPr="00B94F53">
        <w:rPr>
          <w:rFonts w:ascii="Times New Roman" w:hAnsi="Times New Roman" w:cs="Times New Roman"/>
        </w:rPr>
        <w:t>3.1 Introduction</w:t>
      </w:r>
      <w:bookmarkEnd w:id="26"/>
      <w:bookmarkEnd w:id="27"/>
    </w:p>
    <w:p w14:paraId="1CE889C0" w14:textId="748E3509" w:rsidR="00F46B39" w:rsidRDefault="00F46B39" w:rsidP="00743D09">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This chapter describes and </w:t>
      </w:r>
      <w:r w:rsidR="0010167F" w:rsidRPr="00B94F53">
        <w:rPr>
          <w:rFonts w:ascii="Times New Roman" w:eastAsia="Times New Roman" w:hAnsi="Times New Roman" w:cs="Times New Roman"/>
          <w:sz w:val="24"/>
          <w:szCs w:val="24"/>
        </w:rPr>
        <w:t>rationalises</w:t>
      </w:r>
      <w:r w:rsidRPr="00B94F53">
        <w:rPr>
          <w:rFonts w:ascii="Times New Roman" w:eastAsia="Times New Roman" w:hAnsi="Times New Roman" w:cs="Times New Roman"/>
          <w:sz w:val="24"/>
          <w:szCs w:val="24"/>
        </w:rPr>
        <w:t xml:space="preserve"> the research methodology used to explore Sonali Bank's integration strategy in the e-commerce system in the United Kingdom and Bangladesh. It outlines the research philosophy, research approach, and research design that will guide the study, followed by the explanation of the data collection method, the method of selecting the secondary data sources and the analysis method for the secondary data collected. The chapter also explores the issues of reliability, validity, and ethics for a documentary, </w:t>
      </w:r>
      <w:r w:rsidR="0010167F" w:rsidRPr="00B94F53">
        <w:rPr>
          <w:rFonts w:ascii="Times New Roman" w:eastAsia="Times New Roman" w:hAnsi="Times New Roman" w:cs="Times New Roman"/>
          <w:sz w:val="24"/>
          <w:szCs w:val="24"/>
        </w:rPr>
        <w:t>secondary-data-based</w:t>
      </w:r>
      <w:r w:rsidRPr="00B94F53">
        <w:rPr>
          <w:rFonts w:ascii="Times New Roman" w:eastAsia="Times New Roman" w:hAnsi="Times New Roman" w:cs="Times New Roman"/>
          <w:sz w:val="24"/>
          <w:szCs w:val="24"/>
        </w:rPr>
        <w:t xml:space="preserve"> comparative case study, and ends with an awareness of the limitations of the methodology used. The methodological approach outlined in this chapter is based on the research questions, aim and objectives stated in Chapter One as well as the integrated Uppsala Internationalisation Model and Resource Based View outlined in Chapter Two.</w:t>
      </w:r>
    </w:p>
    <w:p w14:paraId="1E747C50" w14:textId="77777777" w:rsidR="00BC71B7" w:rsidRPr="00B94F53" w:rsidRDefault="00BC71B7" w:rsidP="00743D09">
      <w:pPr>
        <w:spacing w:after="200" w:line="360" w:lineRule="auto"/>
        <w:jc w:val="both"/>
        <w:rPr>
          <w:rFonts w:ascii="Times New Roman" w:hAnsi="Times New Roman" w:cs="Times New Roman"/>
        </w:rPr>
      </w:pPr>
    </w:p>
    <w:p w14:paraId="184B42CD" w14:textId="77777777" w:rsidR="00743D09" w:rsidRPr="00B94F53" w:rsidRDefault="00743D09" w:rsidP="00045607">
      <w:pPr>
        <w:pStyle w:val="Heading2"/>
        <w:rPr>
          <w:rFonts w:ascii="Times New Roman" w:hAnsi="Times New Roman" w:cs="Times New Roman"/>
        </w:rPr>
      </w:pPr>
      <w:bookmarkStart w:id="28" w:name="_Toc234332937"/>
      <w:bookmarkStart w:id="29" w:name="_Toc238117819"/>
      <w:r w:rsidRPr="00B94F53">
        <w:rPr>
          <w:rFonts w:ascii="Times New Roman" w:hAnsi="Times New Roman" w:cs="Times New Roman"/>
        </w:rPr>
        <w:t>3.2 Research Philosophy</w:t>
      </w:r>
      <w:bookmarkEnd w:id="28"/>
      <w:bookmarkEnd w:id="29"/>
    </w:p>
    <w:p w14:paraId="68AD87C8" w14:textId="77777777" w:rsidR="00BD4C83" w:rsidRDefault="00BD4C83" w:rsidP="00BD4C8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Research philosophy is a collection of beliefs and assumptions about the way in which knowledge can be developed and is used in the design and implementation of a study (Saunders, Lewis and Thornhill, 2019). For Crotty (1998), there are four interrelated components to every research design, that is, epistemology, theoretical perspective, methodology and methods, and that therefore, the researcher's philosophical position needs to be made explicit and not implicit, as it influences what is considered legitimate knowledge and how it is interpreted. Bryman (2016) also categorises philosophies regarding two questions: What is the nature of social reality? (ontology) and What is considered acceptable knowledge of social reality? (epistemology).</w:t>
      </w:r>
    </w:p>
    <w:p w14:paraId="0CE6ED07" w14:textId="77777777" w:rsidR="00BC71B7" w:rsidRPr="00B94F53" w:rsidRDefault="00BC71B7" w:rsidP="00BD4C83">
      <w:pPr>
        <w:spacing w:after="200" w:line="360" w:lineRule="auto"/>
        <w:jc w:val="both"/>
        <w:rPr>
          <w:rFonts w:ascii="Times New Roman" w:eastAsia="Times New Roman" w:hAnsi="Times New Roman" w:cs="Times New Roman"/>
          <w:sz w:val="24"/>
          <w:szCs w:val="24"/>
        </w:rPr>
      </w:pPr>
    </w:p>
    <w:p w14:paraId="643EE716" w14:textId="52D3DAEA" w:rsidR="00BD4C83" w:rsidRDefault="00BD4C83" w:rsidP="00BD4C8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The ontological </w:t>
      </w:r>
      <w:r w:rsidR="00BC71B7" w:rsidRPr="00B94F53">
        <w:rPr>
          <w:rFonts w:ascii="Times New Roman" w:eastAsia="Times New Roman" w:hAnsi="Times New Roman" w:cs="Times New Roman"/>
          <w:sz w:val="24"/>
          <w:szCs w:val="24"/>
        </w:rPr>
        <w:t>viewpoint</w:t>
      </w:r>
      <w:r w:rsidRPr="00B94F53">
        <w:rPr>
          <w:rFonts w:ascii="Times New Roman" w:eastAsia="Times New Roman" w:hAnsi="Times New Roman" w:cs="Times New Roman"/>
          <w:sz w:val="24"/>
          <w:szCs w:val="24"/>
        </w:rPr>
        <w:t xml:space="preserve"> of this study is in line with the constructionist (relativist) view, which asserts that social phenomena and their meanings are not a one-off, unchanging, and objective reality waiting to be discovered by social actors, but rather they are created in social interaction and continuously modified by social actors themselves (Bryman, 2016). When applied to this dissertation, this implies that the e-commerce integration strategy of Sonali Bank </w:t>
      </w:r>
      <w:r w:rsidRPr="00B94F53">
        <w:rPr>
          <w:rFonts w:ascii="Times New Roman" w:eastAsia="Times New Roman" w:hAnsi="Times New Roman" w:cs="Times New Roman"/>
          <w:sz w:val="24"/>
          <w:szCs w:val="24"/>
        </w:rPr>
        <w:lastRenderedPageBreak/>
        <w:t xml:space="preserve">is not seen as an objective measurable </w:t>
      </w:r>
      <w:r w:rsidR="00BC71B7" w:rsidRPr="00B94F53">
        <w:rPr>
          <w:rFonts w:ascii="Times New Roman" w:eastAsia="Times New Roman" w:hAnsi="Times New Roman" w:cs="Times New Roman"/>
          <w:sz w:val="24"/>
          <w:szCs w:val="24"/>
        </w:rPr>
        <w:t>fact, but</w:t>
      </w:r>
      <w:r w:rsidRPr="00B94F53">
        <w:rPr>
          <w:rFonts w:ascii="Times New Roman" w:eastAsia="Times New Roman" w:hAnsi="Times New Roman" w:cs="Times New Roman"/>
          <w:sz w:val="24"/>
          <w:szCs w:val="24"/>
        </w:rPr>
        <w:t xml:space="preserve"> rather as a phenomenon which is linked to the context in which it takes place. Rather, it is known as a strategic phenomenon, which is built by interaction of regulatory body, institutional history, state ownership, market structures and customers expectation in UK and Bangladesh. This study aims to capture the contextual variation of meaning in markets that are different: the FCA-regulated UK market and the Bangladesh Bank-regulated, MFS-dominated Bangladeshi market.</w:t>
      </w:r>
    </w:p>
    <w:p w14:paraId="321D3A07" w14:textId="77777777" w:rsidR="00BC71B7" w:rsidRPr="00B94F53" w:rsidRDefault="00BC71B7" w:rsidP="00BD4C83">
      <w:pPr>
        <w:spacing w:after="200" w:line="360" w:lineRule="auto"/>
        <w:jc w:val="both"/>
        <w:rPr>
          <w:rFonts w:ascii="Times New Roman" w:eastAsia="Times New Roman" w:hAnsi="Times New Roman" w:cs="Times New Roman"/>
          <w:sz w:val="24"/>
          <w:szCs w:val="24"/>
        </w:rPr>
      </w:pPr>
    </w:p>
    <w:p w14:paraId="5C341241" w14:textId="77777777" w:rsidR="00BD4C83" w:rsidRDefault="00BD4C83" w:rsidP="00BD4C8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Epistemologically, the study is located in the interpretivist paradigm, as opposed to the positivist paradigm which assumed that social reality could be examined as if it were a natural phenomenon and that law-like generalisations could be made using the methods of the natural sciences (Saunders, Lewis and Thornhill, 2019). In contrast, Interpretivism suggests that knowledge of organisations and markets that is acceptable is best produced by understanding the meanings, contexts and interpretations that social actors give to events and strategies, and which are thus embedded in institutional documents (Crotty, 1998). Since this dissertation is based on secondary and documentary sources (annual reports, regulatory publications and industry analyses) rather than on data that is numerical and quantifiable, it is appropriate that it is based on an interpretivist epistemological approach which enables each document to be read and analysed as a situated account that is produced in a specific institutional, regulatory and cultural context, rather than as a neutral, decontextualised data point.</w:t>
      </w:r>
    </w:p>
    <w:p w14:paraId="2E6A634E" w14:textId="77777777" w:rsidR="00BC71B7" w:rsidRPr="00B94F53" w:rsidRDefault="00BC71B7" w:rsidP="00BD4C83">
      <w:pPr>
        <w:spacing w:after="200" w:line="360" w:lineRule="auto"/>
        <w:jc w:val="both"/>
        <w:rPr>
          <w:rFonts w:ascii="Times New Roman" w:eastAsia="Times New Roman" w:hAnsi="Times New Roman" w:cs="Times New Roman"/>
          <w:sz w:val="24"/>
          <w:szCs w:val="24"/>
        </w:rPr>
      </w:pPr>
    </w:p>
    <w:p w14:paraId="09E5B3F3" w14:textId="77777777" w:rsidR="00675D5A" w:rsidRDefault="00BD4C83" w:rsidP="00675D5A">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For the present study this interpretivist position was considered more appropriate than positivism for the following reasons. First, the research questions are exploratory, and are of the how and why type, instead of testing a predetermined hypothesis using measurable variables. Second, the strategic behaviour of the </w:t>
      </w:r>
      <w:r w:rsidR="00793F11" w:rsidRPr="00B94F53">
        <w:rPr>
          <w:rFonts w:ascii="Times New Roman" w:eastAsia="Times New Roman" w:hAnsi="Times New Roman" w:cs="Times New Roman"/>
          <w:sz w:val="24"/>
          <w:szCs w:val="24"/>
        </w:rPr>
        <w:t>state-controlled</w:t>
      </w:r>
      <w:r w:rsidRPr="00B94F53">
        <w:rPr>
          <w:rFonts w:ascii="Times New Roman" w:eastAsia="Times New Roman" w:hAnsi="Times New Roman" w:cs="Times New Roman"/>
          <w:sz w:val="24"/>
          <w:szCs w:val="24"/>
        </w:rPr>
        <w:t xml:space="preserve"> bank operating in two institutionally differentiated markets is rooted in the regulatory history, government ownership and cultural context that cannot be meaningfully abstracted out and quantified without destroying analytically interesting aspects of the phenomenon studied. Third, because the data collection method employed is secondary and documentary, which will be discussed in more detail in Section 3.5, it is appropriate to use qualitative-interpretive analysis rather than statistical hypothesis testing. This philosophical stance is consistent with and epistemologically undergirds the abductive research approach and single case study design outlined in the subsequent parts of this chapter.</w:t>
      </w:r>
      <w:bookmarkStart w:id="30" w:name="_Toc234332938"/>
      <w:bookmarkStart w:id="31" w:name="_Toc238117820"/>
    </w:p>
    <w:p w14:paraId="2D00DB19" w14:textId="77777777" w:rsidR="00675D5A" w:rsidRDefault="00675D5A" w:rsidP="00675D5A">
      <w:pPr>
        <w:spacing w:after="200" w:line="360" w:lineRule="auto"/>
        <w:jc w:val="both"/>
        <w:rPr>
          <w:rFonts w:ascii="Times New Roman" w:eastAsia="Times New Roman" w:hAnsi="Times New Roman" w:cs="Times New Roman"/>
          <w:sz w:val="24"/>
          <w:szCs w:val="24"/>
        </w:rPr>
      </w:pPr>
    </w:p>
    <w:p w14:paraId="5B08BD4F" w14:textId="4C351F5C" w:rsidR="00743D09" w:rsidRPr="00675D5A" w:rsidRDefault="00743D09" w:rsidP="00675D5A">
      <w:pPr>
        <w:spacing w:after="200" w:line="360" w:lineRule="auto"/>
        <w:jc w:val="both"/>
        <w:rPr>
          <w:rFonts w:ascii="Times New Roman" w:eastAsia="Times New Roman" w:hAnsi="Times New Roman" w:cs="Times New Roman"/>
          <w:b/>
          <w:bCs/>
          <w:sz w:val="28"/>
          <w:szCs w:val="28"/>
        </w:rPr>
      </w:pPr>
      <w:r w:rsidRPr="00675D5A">
        <w:rPr>
          <w:rFonts w:ascii="Times New Roman" w:hAnsi="Times New Roman" w:cs="Times New Roman"/>
          <w:b/>
          <w:bCs/>
          <w:sz w:val="28"/>
          <w:szCs w:val="28"/>
        </w:rPr>
        <w:t>3.3 Research Approach</w:t>
      </w:r>
      <w:bookmarkEnd w:id="30"/>
      <w:bookmarkEnd w:id="31"/>
    </w:p>
    <w:p w14:paraId="5708DE7F" w14:textId="2824175F" w:rsidR="002E7205" w:rsidRDefault="002E7205" w:rsidP="002E7205">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Research approach is the relationship between theory and evidence collected in the investigation; between theory and the evidence collected </w:t>
      </w:r>
      <w:r w:rsidR="00BC71B7" w:rsidRPr="00B94F53">
        <w:rPr>
          <w:rFonts w:ascii="Times New Roman" w:eastAsia="Times New Roman" w:hAnsi="Times New Roman" w:cs="Times New Roman"/>
          <w:sz w:val="24"/>
          <w:szCs w:val="24"/>
        </w:rPr>
        <w:t>during</w:t>
      </w:r>
      <w:r w:rsidRPr="00B94F53">
        <w:rPr>
          <w:rFonts w:ascii="Times New Roman" w:eastAsia="Times New Roman" w:hAnsi="Times New Roman" w:cs="Times New Roman"/>
          <w:sz w:val="24"/>
          <w:szCs w:val="24"/>
        </w:rPr>
        <w:t xml:space="preserve"> the investigation. A deductive approach is testing the theory with evidence, whereas an inductive approach is building theory from evidence (Saunders, Lewis and Thornhill, 2019).</w:t>
      </w:r>
    </w:p>
    <w:p w14:paraId="732DEF49" w14:textId="77777777" w:rsidR="00BC71B7" w:rsidRPr="00B94F53" w:rsidRDefault="00BC71B7" w:rsidP="002E7205">
      <w:pPr>
        <w:spacing w:after="200" w:line="360" w:lineRule="auto"/>
        <w:jc w:val="both"/>
        <w:rPr>
          <w:rFonts w:ascii="Times New Roman" w:eastAsia="Times New Roman" w:hAnsi="Times New Roman" w:cs="Times New Roman"/>
          <w:sz w:val="24"/>
          <w:szCs w:val="24"/>
        </w:rPr>
      </w:pPr>
    </w:p>
    <w:p w14:paraId="3E1C5366" w14:textId="77777777" w:rsidR="00743D09" w:rsidRPr="00B94F53" w:rsidRDefault="00743D09" w:rsidP="00045607">
      <w:pPr>
        <w:pStyle w:val="Heading2"/>
        <w:rPr>
          <w:rFonts w:ascii="Times New Roman" w:hAnsi="Times New Roman" w:cs="Times New Roman"/>
        </w:rPr>
      </w:pPr>
      <w:bookmarkStart w:id="32" w:name="_Toc234332939"/>
      <w:bookmarkStart w:id="33" w:name="_Toc238117821"/>
      <w:r w:rsidRPr="00B94F53">
        <w:rPr>
          <w:rFonts w:ascii="Times New Roman" w:hAnsi="Times New Roman" w:cs="Times New Roman"/>
        </w:rPr>
        <w:t>3.4 Research Design</w:t>
      </w:r>
      <w:bookmarkEnd w:id="32"/>
      <w:bookmarkEnd w:id="33"/>
    </w:p>
    <w:p w14:paraId="3DF27AC8" w14:textId="3C525841" w:rsidR="00896FAD" w:rsidRDefault="00896FAD" w:rsidP="00896FAD">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In this study, a single case study design has been </w:t>
      </w:r>
      <w:r w:rsidR="00BC71B7" w:rsidRPr="00B94F53">
        <w:rPr>
          <w:rFonts w:ascii="Times New Roman" w:eastAsia="Times New Roman" w:hAnsi="Times New Roman" w:cs="Times New Roman"/>
          <w:sz w:val="24"/>
          <w:szCs w:val="24"/>
        </w:rPr>
        <w:t>used,</w:t>
      </w:r>
      <w:r w:rsidRPr="00B94F53">
        <w:rPr>
          <w:rFonts w:ascii="Times New Roman" w:eastAsia="Times New Roman" w:hAnsi="Times New Roman" w:cs="Times New Roman"/>
          <w:sz w:val="24"/>
          <w:szCs w:val="24"/>
        </w:rPr>
        <w:t xml:space="preserve"> and Sonali Bank has been selected as a case study with its UK and Bangladesh branches being the two embedded units of comparative analysis (Yin, 2018). The problem of analysis is one of gaining in-depth and context-specific understanding of how one institution deals with two structurally different regulatory and technological environments, not one of providing a broad statistical generalisation across many institutions. It will be seen that the case study methodology is appropriate in this instance.</w:t>
      </w:r>
    </w:p>
    <w:p w14:paraId="1CCF21A4" w14:textId="77777777" w:rsidR="00BC71B7" w:rsidRPr="00B94F53" w:rsidRDefault="00BC71B7" w:rsidP="00896FAD">
      <w:pPr>
        <w:spacing w:after="200" w:line="360" w:lineRule="auto"/>
        <w:jc w:val="both"/>
        <w:rPr>
          <w:rFonts w:ascii="Times New Roman" w:eastAsia="Times New Roman" w:hAnsi="Times New Roman" w:cs="Times New Roman"/>
          <w:sz w:val="24"/>
          <w:szCs w:val="24"/>
        </w:rPr>
      </w:pPr>
    </w:p>
    <w:p w14:paraId="3EDA5967" w14:textId="77777777" w:rsidR="00743D09" w:rsidRPr="00B94F53" w:rsidRDefault="00743D09" w:rsidP="00045607">
      <w:pPr>
        <w:pStyle w:val="Heading2"/>
        <w:rPr>
          <w:rFonts w:ascii="Times New Roman" w:hAnsi="Times New Roman" w:cs="Times New Roman"/>
        </w:rPr>
      </w:pPr>
      <w:bookmarkStart w:id="34" w:name="_Toc234332940"/>
      <w:bookmarkStart w:id="35" w:name="_Toc238117822"/>
      <w:r w:rsidRPr="00B94F53">
        <w:rPr>
          <w:rFonts w:ascii="Times New Roman" w:hAnsi="Times New Roman" w:cs="Times New Roman"/>
        </w:rPr>
        <w:t>3.5 Data Collection Method</w:t>
      </w:r>
      <w:bookmarkEnd w:id="34"/>
      <w:bookmarkEnd w:id="35"/>
    </w:p>
    <w:p w14:paraId="6A3DB698" w14:textId="20D5B26A"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 research design used in this study is a documentary case study, so that the data sources used are secondary data. Four different types of secondary data were employed.</w:t>
      </w:r>
    </w:p>
    <w:p w14:paraId="2D1B30FA"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5C92C4C0" w14:textId="3E110909"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 first type is Sonali Bank's institutional publications, such as the annual report (Sonali Bank Limited, 2024), which details Sonali Bank's strategic priorities, branch network and digital initiatives.</w:t>
      </w:r>
    </w:p>
    <w:p w14:paraId="6FD991E6"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0592EA4C" w14:textId="0027206A" w:rsidR="004E5888" w:rsidRPr="00B94F53"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 second category includes regulatory and central bank publications, such as Bangladesh Bank's reports on digital financial services and remittance inflows (2025; 2026); and publications from the UK Financial Conduct Authority and the Office for National Statistics on the adoption of open banking and e-commerce activity in the UK (2025).</w:t>
      </w:r>
    </w:p>
    <w:p w14:paraId="70331257" w14:textId="3D84B192"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lastRenderedPageBreak/>
        <w:t>The third type of reports are those from industry and international organisations, such as the Chartered Institute of Personnel and Development (CIPD, 2025) report on UK trends in digital skills, the World Bank Report on global remittance flows and remittance costs (World Bank, 2025) and the KPMG (2024) report on cross-border e-commerce and fintech integration.</w:t>
      </w:r>
    </w:p>
    <w:p w14:paraId="24E13B9B"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72537E4D" w14:textId="77777777"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 fourth group consists of peer-reviewed academic papers found in the systematic literature search detailed in Chapter Two, internationalisation theory, RBV theory, SHRM theory and digital marketing localisation theory.</w:t>
      </w:r>
    </w:p>
    <w:p w14:paraId="12B1CFD2"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3A034D06" w14:textId="082142FE"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These four types of secondary data give a valid and wide evidential base for drawing a comparative marketing, financial and human capital strategy of Sonali Bank in UK and Bangladesh.</w:t>
      </w:r>
    </w:p>
    <w:p w14:paraId="6B62A9C1"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7E342CC0" w14:textId="77777777" w:rsidR="00743D09" w:rsidRPr="00B94F53" w:rsidRDefault="00743D09" w:rsidP="00045607">
      <w:pPr>
        <w:pStyle w:val="Heading2"/>
        <w:rPr>
          <w:rFonts w:ascii="Times New Roman" w:hAnsi="Times New Roman" w:cs="Times New Roman"/>
        </w:rPr>
      </w:pPr>
      <w:bookmarkStart w:id="36" w:name="_Toc234332941"/>
      <w:bookmarkStart w:id="37" w:name="_Toc238117823"/>
      <w:r w:rsidRPr="00B94F53">
        <w:rPr>
          <w:rFonts w:ascii="Times New Roman" w:hAnsi="Times New Roman" w:cs="Times New Roman"/>
        </w:rPr>
        <w:t>3.6 Sampling Strategy and Document Selection Criteria</w:t>
      </w:r>
      <w:bookmarkEnd w:id="36"/>
      <w:bookmarkEnd w:id="37"/>
    </w:p>
    <w:p w14:paraId="73F7FAAC" w14:textId="2A8DC0A8" w:rsidR="0001581F" w:rsidRDefault="0001581F" w:rsidP="0001581F">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The sampling strategy and document selection criteria </w:t>
      </w:r>
      <w:r w:rsidR="00006200">
        <w:rPr>
          <w:rFonts w:ascii="Times New Roman" w:eastAsia="Times New Roman" w:hAnsi="Times New Roman" w:cs="Times New Roman"/>
          <w:sz w:val="24"/>
          <w:szCs w:val="24"/>
        </w:rPr>
        <w:t xml:space="preserve">were </w:t>
      </w:r>
      <w:r w:rsidR="003E23D8" w:rsidRPr="00B94F53">
        <w:rPr>
          <w:rFonts w:ascii="Times New Roman" w:eastAsia="Times New Roman" w:hAnsi="Times New Roman" w:cs="Times New Roman"/>
          <w:sz w:val="24"/>
          <w:szCs w:val="24"/>
        </w:rPr>
        <w:t>established</w:t>
      </w:r>
      <w:r w:rsidR="00006200">
        <w:rPr>
          <w:rFonts w:ascii="Times New Roman" w:eastAsia="Times New Roman" w:hAnsi="Times New Roman" w:cs="Times New Roman"/>
          <w:sz w:val="24"/>
          <w:szCs w:val="24"/>
        </w:rPr>
        <w:t xml:space="preserve"> to</w:t>
      </w:r>
      <w:r w:rsidR="003E23D8" w:rsidRPr="00B94F53">
        <w:rPr>
          <w:rFonts w:ascii="Times New Roman" w:eastAsia="Times New Roman" w:hAnsi="Times New Roman" w:cs="Times New Roman"/>
          <w:sz w:val="24"/>
          <w:szCs w:val="24"/>
        </w:rPr>
        <w:t xml:space="preserve"> </w:t>
      </w:r>
      <w:r w:rsidR="00006200">
        <w:rPr>
          <w:rFonts w:ascii="Times New Roman" w:eastAsia="Times New Roman" w:hAnsi="Times New Roman" w:cs="Times New Roman"/>
          <w:sz w:val="24"/>
          <w:szCs w:val="24"/>
        </w:rPr>
        <w:t>ensure that the selected document were relevant, credible and appropriate for answering the research question.</w:t>
      </w:r>
    </w:p>
    <w:p w14:paraId="6EB477E6" w14:textId="77777777" w:rsidR="00BC71B7" w:rsidRPr="00B94F53" w:rsidRDefault="00BC71B7" w:rsidP="0001581F">
      <w:pPr>
        <w:spacing w:after="200" w:line="360" w:lineRule="auto"/>
        <w:jc w:val="both"/>
        <w:rPr>
          <w:rFonts w:ascii="Times New Roman" w:eastAsia="Times New Roman" w:hAnsi="Times New Roman" w:cs="Times New Roman"/>
          <w:sz w:val="24"/>
          <w:szCs w:val="24"/>
        </w:rPr>
      </w:pPr>
    </w:p>
    <w:p w14:paraId="0B589924" w14:textId="5147F02A" w:rsidR="0001581F" w:rsidRDefault="0001581F" w:rsidP="0001581F">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The selection of sources was not based on a probability sampling method since this study is based on Documentary Secondary Data. In qualitative theory-driven research, the researcher can use purposive sampling to choose sources that are relevant to the research questions, not </w:t>
      </w:r>
      <w:r w:rsidR="003E23D8" w:rsidRPr="00B94F53">
        <w:rPr>
          <w:rFonts w:ascii="Times New Roman" w:eastAsia="Times New Roman" w:hAnsi="Times New Roman" w:cs="Times New Roman"/>
          <w:sz w:val="24"/>
          <w:szCs w:val="24"/>
        </w:rPr>
        <w:t>random. In</w:t>
      </w:r>
      <w:r w:rsidRPr="00B94F53">
        <w:rPr>
          <w:rFonts w:ascii="Times New Roman" w:eastAsia="Times New Roman" w:hAnsi="Times New Roman" w:cs="Times New Roman"/>
          <w:sz w:val="24"/>
          <w:szCs w:val="24"/>
        </w:rPr>
        <w:t xml:space="preserve"> qualitative, theory-driven research, the researcher can select purposive samples because they are relevant to the research questions, not random (Saunders, Lewis and Thornhill, 2019).</w:t>
      </w:r>
    </w:p>
    <w:p w14:paraId="281B1EDF" w14:textId="77777777" w:rsidR="00BC71B7" w:rsidRPr="00B94F53" w:rsidRDefault="00BC71B7" w:rsidP="0001581F">
      <w:pPr>
        <w:spacing w:after="200" w:line="360" w:lineRule="auto"/>
        <w:jc w:val="both"/>
        <w:rPr>
          <w:rFonts w:ascii="Times New Roman" w:eastAsia="Times New Roman" w:hAnsi="Times New Roman" w:cs="Times New Roman"/>
          <w:sz w:val="24"/>
          <w:szCs w:val="24"/>
        </w:rPr>
      </w:pPr>
    </w:p>
    <w:p w14:paraId="60F7A8E8" w14:textId="0F1B599F" w:rsidR="0001581F" w:rsidRDefault="0001581F" w:rsidP="0001581F">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Documents were selected for analysis based on four criteria. First, relevance: the documents were required to be related to the e-commerce integration, digital marketing, financial strategy, remittance, human capital management or state ownership in banking on a direct basis in </w:t>
      </w:r>
      <w:r w:rsidR="003E23D8" w:rsidRPr="00B94F53">
        <w:rPr>
          <w:rFonts w:ascii="Times New Roman" w:eastAsia="Times New Roman" w:hAnsi="Times New Roman" w:cs="Times New Roman"/>
          <w:sz w:val="24"/>
          <w:szCs w:val="24"/>
        </w:rPr>
        <w:t xml:space="preserve">the </w:t>
      </w:r>
      <w:r w:rsidRPr="00B94F53">
        <w:rPr>
          <w:rFonts w:ascii="Times New Roman" w:eastAsia="Times New Roman" w:hAnsi="Times New Roman" w:cs="Times New Roman"/>
          <w:sz w:val="24"/>
          <w:szCs w:val="24"/>
        </w:rPr>
        <w:t xml:space="preserve">case Sonali Bank or </w:t>
      </w:r>
      <w:r w:rsidR="003E23D8" w:rsidRPr="00B94F53">
        <w:rPr>
          <w:rFonts w:ascii="Times New Roman" w:eastAsia="Times New Roman" w:hAnsi="Times New Roman" w:cs="Times New Roman"/>
          <w:sz w:val="24"/>
          <w:szCs w:val="24"/>
        </w:rPr>
        <w:t xml:space="preserve">the </w:t>
      </w:r>
      <w:r w:rsidRPr="00B94F53">
        <w:rPr>
          <w:rFonts w:ascii="Times New Roman" w:eastAsia="Times New Roman" w:hAnsi="Times New Roman" w:cs="Times New Roman"/>
          <w:sz w:val="24"/>
          <w:szCs w:val="24"/>
        </w:rPr>
        <w:t xml:space="preserve">direct UK-Bangladesh corridor. </w:t>
      </w:r>
      <w:r w:rsidR="00E113AC">
        <w:rPr>
          <w:rFonts w:ascii="Times New Roman" w:eastAsia="Times New Roman" w:hAnsi="Times New Roman" w:cs="Times New Roman"/>
          <w:sz w:val="24"/>
          <w:szCs w:val="24"/>
        </w:rPr>
        <w:t>Second</w:t>
      </w:r>
      <w:r w:rsidRPr="00B94F53">
        <w:rPr>
          <w:rFonts w:ascii="Times New Roman" w:eastAsia="Times New Roman" w:hAnsi="Times New Roman" w:cs="Times New Roman"/>
          <w:sz w:val="24"/>
          <w:szCs w:val="24"/>
        </w:rPr>
        <w:t xml:space="preserve">, recency: sources that were </w:t>
      </w:r>
      <w:r w:rsidRPr="00B94F53">
        <w:rPr>
          <w:rFonts w:ascii="Times New Roman" w:eastAsia="Times New Roman" w:hAnsi="Times New Roman" w:cs="Times New Roman"/>
          <w:sz w:val="24"/>
          <w:szCs w:val="24"/>
        </w:rPr>
        <w:lastRenderedPageBreak/>
        <w:t>published between 2015 and 2026, especially those from 2023 to 2026, were given preference for statistical and market data, while seminal theoretical works like Johanson and Vahlne (1977) and Barney (1991) were included, as they were important to the study. Third, credibility: sources had to be from an established academic publisher, peer-reviewed journal, national central bank, government body, or recognised international organisation or consultancy. Fourth language: only publications in the English language were included, as was the language of the dissertation.</w:t>
      </w:r>
    </w:p>
    <w:p w14:paraId="3C0F0FAE" w14:textId="77777777" w:rsidR="00BC71B7" w:rsidRPr="00B94F53" w:rsidRDefault="00BC71B7" w:rsidP="0001581F">
      <w:pPr>
        <w:spacing w:after="200" w:line="360" w:lineRule="auto"/>
        <w:jc w:val="both"/>
        <w:rPr>
          <w:rFonts w:ascii="Times New Roman" w:eastAsia="Times New Roman" w:hAnsi="Times New Roman" w:cs="Times New Roman"/>
          <w:sz w:val="24"/>
          <w:szCs w:val="24"/>
        </w:rPr>
      </w:pPr>
    </w:p>
    <w:p w14:paraId="58A7AA4C" w14:textId="1817BA47" w:rsidR="006E7748" w:rsidRDefault="0001581F" w:rsidP="0001581F">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When there was no specific evidence available on Sonali Bank, for example for the case of internal human capital practices, the study draws lessons from similar evidence of state-owned banks and public sector banking literature, with explicit reference to the sources and clearly indicating where they have been substituted.</w:t>
      </w:r>
    </w:p>
    <w:p w14:paraId="3601A780" w14:textId="77777777" w:rsidR="00BC71B7" w:rsidRPr="00B94F53" w:rsidRDefault="00BC71B7" w:rsidP="0001581F">
      <w:pPr>
        <w:spacing w:after="200" w:line="360" w:lineRule="auto"/>
        <w:jc w:val="both"/>
        <w:rPr>
          <w:rFonts w:ascii="Times New Roman" w:eastAsia="Times New Roman" w:hAnsi="Times New Roman" w:cs="Times New Roman"/>
          <w:sz w:val="24"/>
          <w:szCs w:val="24"/>
        </w:rPr>
      </w:pPr>
    </w:p>
    <w:p w14:paraId="66FFBCA3" w14:textId="77777777" w:rsidR="00743D09" w:rsidRPr="00B94F53" w:rsidRDefault="00743D09" w:rsidP="00045607">
      <w:pPr>
        <w:pStyle w:val="Heading2"/>
        <w:rPr>
          <w:rFonts w:ascii="Times New Roman" w:hAnsi="Times New Roman" w:cs="Times New Roman"/>
        </w:rPr>
      </w:pPr>
      <w:bookmarkStart w:id="38" w:name="_Toc234332942"/>
      <w:bookmarkStart w:id="39" w:name="_Toc238117824"/>
      <w:r w:rsidRPr="00B94F53">
        <w:rPr>
          <w:rFonts w:ascii="Times New Roman" w:hAnsi="Times New Roman" w:cs="Times New Roman"/>
        </w:rPr>
        <w:t>3.7 Data Analysis Method</w:t>
      </w:r>
      <w:bookmarkEnd w:id="38"/>
      <w:bookmarkEnd w:id="39"/>
    </w:p>
    <w:p w14:paraId="3A1C6162" w14:textId="68B10394" w:rsidR="00C0453F" w:rsidRDefault="0061546E" w:rsidP="008E428F">
      <w:pPr>
        <w:spacing w:after="200" w:line="360" w:lineRule="auto"/>
        <w:jc w:val="both"/>
        <w:rPr>
          <w:rFonts w:ascii="Times New Roman" w:hAnsi="Times New Roman" w:cs="Times New Roman"/>
          <w:sz w:val="24"/>
          <w:szCs w:val="24"/>
        </w:rPr>
      </w:pPr>
      <w:r w:rsidRPr="00B94F53">
        <w:rPr>
          <w:rFonts w:ascii="Times New Roman" w:eastAsia="Times New Roman" w:hAnsi="Times New Roman" w:cs="Times New Roman"/>
          <w:sz w:val="24"/>
          <w:szCs w:val="24"/>
        </w:rPr>
        <w:t>The second</w:t>
      </w:r>
      <w:r w:rsidR="00E113AC">
        <w:rPr>
          <w:rFonts w:ascii="Times New Roman" w:eastAsia="Times New Roman" w:hAnsi="Times New Roman" w:cs="Times New Roman"/>
          <w:sz w:val="24"/>
          <w:szCs w:val="24"/>
        </w:rPr>
        <w:t>ary</w:t>
      </w:r>
      <w:r w:rsidRPr="00B94F53">
        <w:rPr>
          <w:rFonts w:ascii="Times New Roman" w:eastAsia="Times New Roman" w:hAnsi="Times New Roman" w:cs="Times New Roman"/>
          <w:sz w:val="24"/>
          <w:szCs w:val="24"/>
        </w:rPr>
        <w:t xml:space="preserve"> data collected for this study were analysed thematically and according to a set of frameworks, which were developed by Braun and Clarke (2006) and inspired by the integrated Uppsala internationalisation model presented in Chapter Two of the thesis. Prior to the analysis, three main themes were identified, which align with the three research objectives: digital marketing and localisation strategy, financial strategy and remittance architecture, and human capital strategy. State ownership was used</w:t>
      </w:r>
      <w:r w:rsidR="00E113AC">
        <w:rPr>
          <w:rFonts w:ascii="Times New Roman" w:eastAsia="Times New Roman" w:hAnsi="Times New Roman" w:cs="Times New Roman"/>
          <w:sz w:val="24"/>
          <w:szCs w:val="24"/>
        </w:rPr>
        <w:t xml:space="preserve"> as a cross cutting analytical theme.</w:t>
      </w:r>
      <w:r w:rsidRPr="00B94F53">
        <w:rPr>
          <w:rFonts w:ascii="Times New Roman" w:eastAsia="Times New Roman" w:hAnsi="Times New Roman" w:cs="Times New Roman"/>
          <w:sz w:val="24"/>
          <w:szCs w:val="24"/>
        </w:rPr>
        <w:t xml:space="preserve"> </w:t>
      </w:r>
      <w:r w:rsidR="00E113AC">
        <w:rPr>
          <w:rFonts w:ascii="Times New Roman" w:hAnsi="Times New Roman" w:cs="Times New Roman"/>
          <w:sz w:val="24"/>
          <w:szCs w:val="24"/>
        </w:rPr>
        <w:t>A</w:t>
      </w:r>
      <w:r w:rsidR="00E113AC" w:rsidRPr="00B94F53">
        <w:rPr>
          <w:rFonts w:ascii="Times New Roman" w:hAnsi="Times New Roman" w:cs="Times New Roman"/>
          <w:sz w:val="24"/>
          <w:szCs w:val="24"/>
        </w:rPr>
        <w:t>n</w:t>
      </w:r>
      <w:r w:rsidR="00C0453F" w:rsidRPr="00B94F53">
        <w:rPr>
          <w:rFonts w:ascii="Times New Roman" w:hAnsi="Times New Roman" w:cs="Times New Roman"/>
          <w:sz w:val="24"/>
          <w:szCs w:val="24"/>
        </w:rPr>
        <w:t xml:space="preserve"> initial deductive coding framework was</w:t>
      </w:r>
      <w:r w:rsidR="00E113AC">
        <w:rPr>
          <w:rFonts w:ascii="Times New Roman" w:hAnsi="Times New Roman" w:cs="Times New Roman"/>
          <w:sz w:val="24"/>
          <w:szCs w:val="24"/>
        </w:rPr>
        <w:t xml:space="preserve"> then developed</w:t>
      </w:r>
      <w:r w:rsidR="00C0453F" w:rsidRPr="00B94F53">
        <w:rPr>
          <w:rFonts w:ascii="Times New Roman" w:hAnsi="Times New Roman" w:cs="Times New Roman"/>
          <w:sz w:val="24"/>
          <w:szCs w:val="24"/>
        </w:rPr>
        <w:t xml:space="preserve"> from the conceptual framework presented in Chapter</w:t>
      </w:r>
      <w:r w:rsidR="00E113AC">
        <w:rPr>
          <w:rFonts w:ascii="Times New Roman" w:hAnsi="Times New Roman" w:cs="Times New Roman"/>
          <w:sz w:val="24"/>
          <w:szCs w:val="24"/>
        </w:rPr>
        <w:t xml:space="preserve"> two</w:t>
      </w:r>
      <w:r w:rsidR="00C0453F" w:rsidRPr="00B94F53">
        <w:rPr>
          <w:rFonts w:ascii="Times New Roman" w:hAnsi="Times New Roman" w:cs="Times New Roman"/>
          <w:sz w:val="24"/>
          <w:szCs w:val="24"/>
        </w:rPr>
        <w:t>. Prior to the analysis, codes of digital marketing localisation, digital transformation capability, remittance infrastructure, payment systems, human capital strategy, institutional constraints, state ownership and regulatory compliance were developed. Where further themes arose out of the documentary evidence additional inductive codes were added. The mix of deductive and inductive coding is typical for an abductive research process as it enables current theoretic ideas to be sharpened by data (Saunders, Lewis and Thornhill, 2019).</w:t>
      </w:r>
    </w:p>
    <w:p w14:paraId="6D05BEFC" w14:textId="77777777" w:rsidR="00BC71B7" w:rsidRPr="00B94F53" w:rsidRDefault="00BC71B7" w:rsidP="008E428F">
      <w:pPr>
        <w:spacing w:after="200" w:line="360" w:lineRule="auto"/>
        <w:jc w:val="both"/>
        <w:rPr>
          <w:rFonts w:ascii="Times New Roman" w:hAnsi="Times New Roman" w:cs="Times New Roman"/>
          <w:sz w:val="24"/>
          <w:szCs w:val="24"/>
        </w:rPr>
      </w:pPr>
    </w:p>
    <w:p w14:paraId="2C280D67" w14:textId="77777777" w:rsidR="00675D5A" w:rsidRDefault="00675D5A" w:rsidP="00045607">
      <w:pPr>
        <w:pStyle w:val="Heading2"/>
        <w:rPr>
          <w:rFonts w:ascii="Times New Roman" w:hAnsi="Times New Roman" w:cs="Times New Roman"/>
        </w:rPr>
      </w:pPr>
      <w:bookmarkStart w:id="40" w:name="_Toc234332943"/>
      <w:bookmarkStart w:id="41" w:name="_Toc238117825"/>
    </w:p>
    <w:p w14:paraId="15FC7E23" w14:textId="77777777" w:rsidR="00675D5A" w:rsidRDefault="00675D5A" w:rsidP="00045607">
      <w:pPr>
        <w:pStyle w:val="Heading2"/>
        <w:rPr>
          <w:rFonts w:ascii="Times New Roman" w:hAnsi="Times New Roman" w:cs="Times New Roman"/>
        </w:rPr>
      </w:pPr>
    </w:p>
    <w:p w14:paraId="031D0641" w14:textId="1796F9DE" w:rsidR="00743D09" w:rsidRPr="00B94F53" w:rsidRDefault="00743D09" w:rsidP="00045607">
      <w:pPr>
        <w:pStyle w:val="Heading2"/>
        <w:rPr>
          <w:rFonts w:ascii="Times New Roman" w:hAnsi="Times New Roman" w:cs="Times New Roman"/>
        </w:rPr>
      </w:pPr>
      <w:r w:rsidRPr="00B94F53">
        <w:rPr>
          <w:rFonts w:ascii="Times New Roman" w:hAnsi="Times New Roman" w:cs="Times New Roman"/>
        </w:rPr>
        <w:lastRenderedPageBreak/>
        <w:t>3.8 Reliability, Validity and Trustworthiness</w:t>
      </w:r>
      <w:bookmarkEnd w:id="40"/>
      <w:bookmarkEnd w:id="41"/>
    </w:p>
    <w:p w14:paraId="78EDE69D" w14:textId="77777777" w:rsidR="00CE2F47" w:rsidRDefault="00CE2F47" w:rsidP="00CE2F47">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Qualitative, documentary research places emphasis on the traditional positivist notions of reliability and validity, but also redefines them as credibility, dependability, confirmability and transferability (Saunders, Lewis and Thornhill, 2019). This study tackles these concerns in several ways.</w:t>
      </w:r>
    </w:p>
    <w:p w14:paraId="2ABAE832" w14:textId="77777777" w:rsidR="00BC71B7" w:rsidRPr="00B94F53" w:rsidRDefault="00BC71B7" w:rsidP="00CE2F47">
      <w:pPr>
        <w:spacing w:after="200" w:line="360" w:lineRule="auto"/>
        <w:jc w:val="both"/>
        <w:rPr>
          <w:rFonts w:ascii="Times New Roman" w:eastAsia="Times New Roman" w:hAnsi="Times New Roman" w:cs="Times New Roman"/>
          <w:sz w:val="24"/>
          <w:szCs w:val="24"/>
        </w:rPr>
      </w:pPr>
    </w:p>
    <w:p w14:paraId="3D4D5714" w14:textId="77777777" w:rsidR="00743D09" w:rsidRPr="00B94F53" w:rsidRDefault="00743D09" w:rsidP="00045607">
      <w:pPr>
        <w:pStyle w:val="Heading2"/>
        <w:rPr>
          <w:rFonts w:ascii="Times New Roman" w:hAnsi="Times New Roman" w:cs="Times New Roman"/>
        </w:rPr>
      </w:pPr>
      <w:bookmarkStart w:id="42" w:name="_Toc234332944"/>
      <w:bookmarkStart w:id="43" w:name="_Toc238117826"/>
      <w:r w:rsidRPr="00B94F53">
        <w:rPr>
          <w:rFonts w:ascii="Times New Roman" w:hAnsi="Times New Roman" w:cs="Times New Roman"/>
        </w:rPr>
        <w:t>3.9 Ethical Considerations</w:t>
      </w:r>
      <w:bookmarkEnd w:id="42"/>
      <w:bookmarkEnd w:id="43"/>
    </w:p>
    <w:p w14:paraId="7CE14D35" w14:textId="5D0CA8D4" w:rsidR="00257AB2" w:rsidRDefault="00257AB2" w:rsidP="00257AB2">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As this study is based entirely on secondary data that are publicly available, this study does not require the direct participation of human subjects and the corresponding risks associated with research utilizing either interviews or surveys. However, </w:t>
      </w:r>
      <w:r w:rsidR="008F775A" w:rsidRPr="00B94F53">
        <w:rPr>
          <w:rFonts w:ascii="Times New Roman" w:eastAsia="Times New Roman" w:hAnsi="Times New Roman" w:cs="Times New Roman"/>
          <w:sz w:val="24"/>
          <w:szCs w:val="24"/>
        </w:rPr>
        <w:t>a few</w:t>
      </w:r>
      <w:r w:rsidRPr="00B94F53">
        <w:rPr>
          <w:rFonts w:ascii="Times New Roman" w:eastAsia="Times New Roman" w:hAnsi="Times New Roman" w:cs="Times New Roman"/>
          <w:sz w:val="24"/>
          <w:szCs w:val="24"/>
        </w:rPr>
        <w:t xml:space="preserve"> ethical practises were adhered to during the research process.</w:t>
      </w:r>
    </w:p>
    <w:p w14:paraId="3F7B6EAF" w14:textId="77777777" w:rsidR="00BC71B7" w:rsidRPr="00B94F53" w:rsidRDefault="00BC71B7" w:rsidP="00257AB2">
      <w:pPr>
        <w:spacing w:after="200" w:line="360" w:lineRule="auto"/>
        <w:jc w:val="both"/>
        <w:rPr>
          <w:rFonts w:ascii="Times New Roman" w:eastAsia="Times New Roman" w:hAnsi="Times New Roman" w:cs="Times New Roman"/>
          <w:sz w:val="24"/>
          <w:szCs w:val="24"/>
        </w:rPr>
      </w:pPr>
    </w:p>
    <w:p w14:paraId="7AAA7A5D" w14:textId="77777777" w:rsidR="00743D09" w:rsidRPr="00B94F53" w:rsidRDefault="00743D09" w:rsidP="00045607">
      <w:pPr>
        <w:pStyle w:val="Heading2"/>
        <w:rPr>
          <w:rFonts w:ascii="Times New Roman" w:hAnsi="Times New Roman" w:cs="Times New Roman"/>
        </w:rPr>
      </w:pPr>
      <w:bookmarkStart w:id="44" w:name="_Toc234332945"/>
      <w:bookmarkStart w:id="45" w:name="_Toc238117827"/>
      <w:r w:rsidRPr="00B94F53">
        <w:rPr>
          <w:rFonts w:ascii="Times New Roman" w:hAnsi="Times New Roman" w:cs="Times New Roman"/>
        </w:rPr>
        <w:t>3.10 Limitations of the Methodology</w:t>
      </w:r>
      <w:bookmarkEnd w:id="44"/>
      <w:bookmarkEnd w:id="45"/>
    </w:p>
    <w:p w14:paraId="38F0B1C4" w14:textId="5D4CBD80" w:rsidR="004F5343" w:rsidRDefault="004F5343" w:rsidP="004F534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This approach is suitable for an MBA dissertation with its limited scope and </w:t>
      </w:r>
      <w:r w:rsidR="008F775A" w:rsidRPr="00B94F53">
        <w:rPr>
          <w:rFonts w:ascii="Times New Roman" w:eastAsia="Times New Roman" w:hAnsi="Times New Roman" w:cs="Times New Roman"/>
          <w:sz w:val="24"/>
          <w:szCs w:val="24"/>
        </w:rPr>
        <w:t>time but</w:t>
      </w:r>
      <w:r w:rsidRPr="00B94F53">
        <w:rPr>
          <w:rFonts w:ascii="Times New Roman" w:eastAsia="Times New Roman" w:hAnsi="Times New Roman" w:cs="Times New Roman"/>
          <w:sz w:val="24"/>
          <w:szCs w:val="24"/>
        </w:rPr>
        <w:t xml:space="preserve"> has some disadvantages which are noted.</w:t>
      </w:r>
    </w:p>
    <w:p w14:paraId="53DFFFF6" w14:textId="77777777" w:rsidR="00BC71B7" w:rsidRPr="00B94F53" w:rsidRDefault="00BC71B7" w:rsidP="004F5343">
      <w:pPr>
        <w:spacing w:after="200" w:line="360" w:lineRule="auto"/>
        <w:jc w:val="both"/>
        <w:rPr>
          <w:rFonts w:ascii="Times New Roman" w:eastAsia="Times New Roman" w:hAnsi="Times New Roman" w:cs="Times New Roman"/>
          <w:sz w:val="24"/>
          <w:szCs w:val="24"/>
        </w:rPr>
      </w:pPr>
    </w:p>
    <w:p w14:paraId="767619E9" w14:textId="04E07543" w:rsidR="001E4C97" w:rsidRDefault="004F5343" w:rsidP="004F534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First, the study is of secondary data nature and therefore, it cannot capture the internal processes of the Sonali Bank which are not published such as the discussions that happened on the internal board of the bank about digital investment, document of internal workforce planning, and so on which may provide a complete picture of the situation beyond the published data. Second, there is limited information publicly available in respect of the UK operation of the Bank, compared to the level of public reporting with the larger private commercial banks, and so some conclusions in this section are drawn from UK banking sector information as well as information specifically related to the UK operation of the Bank. Third, information from consultancies or financial institutions is likely to be of a commercial or institutional nature, and this has been done as much as possible, by cross-checking with information from central banks and academics, although it cannot be completely ruled out. Fourth, no primary interviews were conducted with Sonali Bank management, staff or customers, meaning that the study would not be able to fully capture the lived experience, practice and tacit knowledge of the organisation which may not be reflected in formal, published documents. Finally, the findings </w:t>
      </w:r>
      <w:r w:rsidRPr="00B94F53">
        <w:rPr>
          <w:rFonts w:ascii="Times New Roman" w:eastAsia="Times New Roman" w:hAnsi="Times New Roman" w:cs="Times New Roman"/>
          <w:sz w:val="24"/>
          <w:szCs w:val="24"/>
        </w:rPr>
        <w:lastRenderedPageBreak/>
        <w:t>of this research are specific to Sonali Bank, the UK-Bangladesh corridor and cannot be generalised without additional comparative study.</w:t>
      </w:r>
    </w:p>
    <w:p w14:paraId="74EED685" w14:textId="77777777" w:rsidR="00BC71B7" w:rsidRPr="00B94F53" w:rsidRDefault="00BC71B7" w:rsidP="004F5343">
      <w:pPr>
        <w:spacing w:after="200" w:line="360" w:lineRule="auto"/>
        <w:jc w:val="both"/>
        <w:rPr>
          <w:rFonts w:ascii="Times New Roman" w:hAnsi="Times New Roman" w:cs="Times New Roman"/>
        </w:rPr>
      </w:pPr>
    </w:p>
    <w:p w14:paraId="2CD0286D" w14:textId="77777777" w:rsidR="00743D09" w:rsidRPr="00B94F53" w:rsidRDefault="00743D09" w:rsidP="00045607">
      <w:pPr>
        <w:pStyle w:val="Heading2"/>
        <w:rPr>
          <w:rFonts w:ascii="Times New Roman" w:hAnsi="Times New Roman" w:cs="Times New Roman"/>
        </w:rPr>
      </w:pPr>
      <w:bookmarkStart w:id="46" w:name="_Toc234332946"/>
      <w:bookmarkStart w:id="47" w:name="_Toc238117828"/>
      <w:r w:rsidRPr="00B94F53">
        <w:rPr>
          <w:rFonts w:ascii="Times New Roman" w:hAnsi="Times New Roman" w:cs="Times New Roman"/>
        </w:rPr>
        <w:t>3.11 Summary of the Chapter</w:t>
      </w:r>
      <w:bookmarkEnd w:id="46"/>
      <w:bookmarkEnd w:id="47"/>
    </w:p>
    <w:p w14:paraId="33A7147A" w14:textId="708B60B6" w:rsidR="00743D09" w:rsidRPr="00B94F53" w:rsidRDefault="00B54CE0" w:rsidP="00B54CE0">
      <w:pPr>
        <w:pStyle w:val="Strong1"/>
        <w:spacing w:line="360" w:lineRule="auto"/>
        <w:jc w:val="both"/>
        <w:rPr>
          <w:rFonts w:ascii="Times New Roman" w:hAnsi="Times New Roman" w:cs="Times New Roman"/>
          <w:b w:val="0"/>
          <w:bCs w:val="0"/>
          <w:sz w:val="24"/>
          <w:szCs w:val="24"/>
        </w:rPr>
      </w:pPr>
      <w:r w:rsidRPr="00B94F53">
        <w:rPr>
          <w:rFonts w:ascii="Times New Roman" w:hAnsi="Times New Roman" w:cs="Times New Roman"/>
          <w:b w:val="0"/>
          <w:bCs w:val="0"/>
          <w:sz w:val="24"/>
          <w:szCs w:val="24"/>
        </w:rPr>
        <w:t>This chapter outlined and explained the research methodology used in this dissertation. It described the study's Interpretivist Research Philosophy, the Abductive Research approach and the Single Case Study design, where the operations of Sonali Bank in the UK and Bangladesh were considered as embedded Comparative Units. The chapter then explained the secondary data collection technique, purposive sampling technique and document selection technique to identify documents and the thematic framework-based approach that was taken to analyse the documents obtained. The chapter also touched upon the credibility, dependability and confirmability of the research, the ethical issues associated with a documentary, secondary-data-based study and the limitations associated with this methodological approach. The results of the documentary case analysis are presented in the following chapter following the marketing, financial and human capital themes of the integrated conceptual framework.</w:t>
      </w:r>
    </w:p>
    <w:p w14:paraId="0FA64E72" w14:textId="77777777" w:rsidR="00EF13B6" w:rsidRPr="00B94F53" w:rsidRDefault="00EF13B6" w:rsidP="00B54CE0">
      <w:pPr>
        <w:pStyle w:val="Strong1"/>
        <w:spacing w:line="360" w:lineRule="auto"/>
        <w:jc w:val="both"/>
        <w:rPr>
          <w:rFonts w:ascii="Times New Roman" w:hAnsi="Times New Roman" w:cs="Times New Roman"/>
          <w:b w:val="0"/>
          <w:bCs w:val="0"/>
          <w:sz w:val="24"/>
          <w:szCs w:val="24"/>
        </w:rPr>
      </w:pPr>
    </w:p>
    <w:p w14:paraId="27007B4A" w14:textId="77777777" w:rsidR="00BC71B7" w:rsidRDefault="00BC71B7" w:rsidP="00045607">
      <w:pPr>
        <w:spacing w:before="320" w:after="160" w:line="360" w:lineRule="auto"/>
        <w:jc w:val="center"/>
        <w:outlineLvl w:val="1"/>
        <w:rPr>
          <w:rFonts w:ascii="Times New Roman" w:hAnsi="Times New Roman" w:cs="Times New Roman"/>
          <w:b/>
          <w:sz w:val="28"/>
          <w:szCs w:val="24"/>
        </w:rPr>
      </w:pPr>
      <w:bookmarkStart w:id="48" w:name="_Toc234504483"/>
      <w:bookmarkStart w:id="49" w:name="_Toc238117829"/>
    </w:p>
    <w:p w14:paraId="3CEFCD4E"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6DA1C0F0"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7EF62D01"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65E71A36"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1752CC94"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4C2A1E23"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6AA13B0B"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7B21FC33" w14:textId="77777777" w:rsidR="00675D5A" w:rsidRDefault="00675D5A" w:rsidP="00045607">
      <w:pPr>
        <w:spacing w:before="320" w:after="160" w:line="360" w:lineRule="auto"/>
        <w:jc w:val="center"/>
        <w:outlineLvl w:val="1"/>
        <w:rPr>
          <w:rFonts w:ascii="Times New Roman" w:hAnsi="Times New Roman" w:cs="Times New Roman"/>
          <w:b/>
          <w:sz w:val="28"/>
          <w:szCs w:val="24"/>
        </w:rPr>
      </w:pPr>
    </w:p>
    <w:p w14:paraId="56C3A0DD" w14:textId="5C45C1A0" w:rsidR="00CC0D4A" w:rsidRPr="00B94F53" w:rsidRDefault="00CC0D4A" w:rsidP="00045607">
      <w:pPr>
        <w:spacing w:before="320" w:after="160" w:line="360" w:lineRule="auto"/>
        <w:jc w:val="center"/>
        <w:outlineLvl w:val="1"/>
        <w:rPr>
          <w:rFonts w:ascii="Times New Roman" w:hAnsi="Times New Roman" w:cs="Times New Roman"/>
          <w:b/>
          <w:sz w:val="28"/>
          <w:szCs w:val="24"/>
        </w:rPr>
      </w:pPr>
      <w:r w:rsidRPr="00B94F53">
        <w:rPr>
          <w:rFonts w:ascii="Times New Roman" w:hAnsi="Times New Roman" w:cs="Times New Roman"/>
          <w:b/>
          <w:sz w:val="28"/>
          <w:szCs w:val="24"/>
        </w:rPr>
        <w:t>Chapter Four: Findings and Analysis</w:t>
      </w:r>
      <w:bookmarkEnd w:id="48"/>
      <w:bookmarkEnd w:id="49"/>
    </w:p>
    <w:p w14:paraId="29FF2816" w14:textId="77777777" w:rsidR="00CC0D4A" w:rsidRPr="00B94F53" w:rsidRDefault="00CC0D4A" w:rsidP="00CC0D4A">
      <w:pPr>
        <w:spacing w:before="320" w:after="160" w:line="360" w:lineRule="auto"/>
        <w:outlineLvl w:val="1"/>
        <w:rPr>
          <w:rFonts w:ascii="Times New Roman" w:hAnsi="Times New Roman" w:cs="Times New Roman"/>
          <w:b/>
          <w:sz w:val="28"/>
          <w:szCs w:val="24"/>
        </w:rPr>
      </w:pPr>
      <w:bookmarkStart w:id="50" w:name="_Toc234504484"/>
      <w:bookmarkStart w:id="51" w:name="_Toc238117830"/>
      <w:r w:rsidRPr="00B94F53">
        <w:rPr>
          <w:rFonts w:ascii="Times New Roman" w:hAnsi="Times New Roman" w:cs="Times New Roman"/>
          <w:b/>
          <w:sz w:val="28"/>
          <w:szCs w:val="24"/>
        </w:rPr>
        <w:t>4.1 Introduction</w:t>
      </w:r>
      <w:bookmarkEnd w:id="50"/>
      <w:bookmarkEnd w:id="51"/>
    </w:p>
    <w:p w14:paraId="046438B7"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To enrich the analysis and provide further detail on the findings, this chapter now includes specific sub-themes for each strategic domain, alongside data from the World Bank (2025), the Bangladesh Bank (2025; 2026), KPMG (2024), and the CIPD (2025). The marketing area is broadened to include regulatory divergence, platform strategy, and brand trust. In contrast, the financial area receives a dedicated treatment of payment architecture incompatibility, remittance pricing pressures and currency hedging limitations. Finally, the human capital category is split into examining UK talent scarcity, Bangladesh workforce rigidity, and institutional inertia in digital upskilling separately.</w:t>
      </w:r>
    </w:p>
    <w:p w14:paraId="61ACDD25"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3E06F6B"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52" w:name="_Toc234504485"/>
      <w:bookmarkStart w:id="53" w:name="_Toc238117831"/>
      <w:r w:rsidRPr="00B94F53">
        <w:rPr>
          <w:rFonts w:ascii="Times New Roman" w:hAnsi="Times New Roman" w:cs="Times New Roman"/>
          <w:b/>
          <w:sz w:val="24"/>
          <w:szCs w:val="24"/>
        </w:rPr>
        <w:t>4.2 Marketing Strategy and Digital Localisation</w:t>
      </w:r>
      <w:bookmarkEnd w:id="52"/>
      <w:bookmarkEnd w:id="53"/>
    </w:p>
    <w:p w14:paraId="241F126C"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54" w:name="_Toc234504486"/>
      <w:bookmarkStart w:id="55" w:name="_Toc238117832"/>
      <w:r w:rsidRPr="00B94F53">
        <w:rPr>
          <w:rFonts w:ascii="Times New Roman" w:hAnsi="Times New Roman" w:cs="Times New Roman"/>
          <w:b/>
          <w:sz w:val="24"/>
          <w:szCs w:val="24"/>
        </w:rPr>
        <w:t>4.2.1 Regulatory Divergence as a Primary Marketing Constraint</w:t>
      </w:r>
      <w:bookmarkEnd w:id="54"/>
      <w:bookmarkEnd w:id="55"/>
    </w:p>
    <w:p w14:paraId="571275B3" w14:textId="09B64E9C"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It can be clearly seen from documentary evidence that Sonali Bank has taken two different approaches in their two markets in terms of marketing logic. The bank's internal communications are still dominated by community banking and relationship trust to consumers, and the extent of nationwide branch awareness and familiarity </w:t>
      </w:r>
      <w:r w:rsidR="0003193B" w:rsidRPr="00B94F53">
        <w:rPr>
          <w:rFonts w:ascii="Times New Roman" w:hAnsi="Times New Roman" w:cs="Times New Roman"/>
          <w:sz w:val="24"/>
          <w:szCs w:val="24"/>
        </w:rPr>
        <w:t>reflects</w:t>
      </w:r>
      <w:r w:rsidRPr="00B94F53">
        <w:rPr>
          <w:rFonts w:ascii="Times New Roman" w:hAnsi="Times New Roman" w:cs="Times New Roman"/>
          <w:sz w:val="24"/>
          <w:szCs w:val="24"/>
        </w:rPr>
        <w:t xml:space="preserve"> the low-digital-literacy consumer segment defined in the literature (Bangladesh Bank, 2025) that are described as being mobile-first. Bangladesh's regulatory framework allows for significant scope to tailor such messaging to the local community, with the bank's core business marketing aspects – cultural identity, kinship connections and institutional longevity – being used as fundamental marketing tools without having to invest in formal financial promotions compliance.</w:t>
      </w:r>
    </w:p>
    <w:p w14:paraId="22FBA9E4"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859E8A7" w14:textId="1134F152"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split aligns with the localisation argument proposed by Chaffey and Ellis-Chadwick (2022) that culturally and linguistically appropriate messaging always leads to greater trust and conversion rates for both diasporic and domestic financial services customers. The results indicate, however, that Sonali Bank's localisation is not only limited by the cultural/linguistic </w:t>
      </w:r>
      <w:r w:rsidRPr="00B94F53">
        <w:rPr>
          <w:rFonts w:ascii="Times New Roman" w:hAnsi="Times New Roman" w:cs="Times New Roman"/>
          <w:sz w:val="24"/>
          <w:szCs w:val="24"/>
        </w:rPr>
        <w:lastRenderedPageBreak/>
        <w:t xml:space="preserve">distance but also by two regulatory regimes that bring two marketing logics to bear on the same bank. What is not the result is a single localised marketing strategy adapted to each market, but two structurally different marketing postures, which </w:t>
      </w:r>
      <w:r w:rsidR="00BC71B7" w:rsidRPr="00B94F53">
        <w:rPr>
          <w:rFonts w:ascii="Times New Roman" w:hAnsi="Times New Roman" w:cs="Times New Roman"/>
          <w:sz w:val="24"/>
          <w:szCs w:val="24"/>
        </w:rPr>
        <w:t>cannot</w:t>
      </w:r>
      <w:r w:rsidRPr="00B94F53">
        <w:rPr>
          <w:rFonts w:ascii="Times New Roman" w:hAnsi="Times New Roman" w:cs="Times New Roman"/>
          <w:sz w:val="24"/>
          <w:szCs w:val="24"/>
        </w:rPr>
        <w:t xml:space="preserve"> be deduced from each other or easily coordinated by a common marketing governance structure.</w:t>
      </w:r>
    </w:p>
    <w:p w14:paraId="1378BEE0"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C3F2390"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56" w:name="_Toc234504487"/>
      <w:bookmarkStart w:id="57" w:name="_Toc238117833"/>
      <w:r w:rsidRPr="00B94F53">
        <w:rPr>
          <w:rFonts w:ascii="Times New Roman" w:hAnsi="Times New Roman" w:cs="Times New Roman"/>
          <w:b/>
          <w:sz w:val="24"/>
          <w:szCs w:val="24"/>
        </w:rPr>
        <w:t>4.2.2 Platform Strategy and the Mobile-First Divide</w:t>
      </w:r>
      <w:bookmarkEnd w:id="56"/>
      <w:bookmarkEnd w:id="57"/>
    </w:p>
    <w:p w14:paraId="792A0828"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the UK, the customer base of Sonali Bank, who are either British or of Bengali origin, is a much more digitally savvy group. The emphasis is on marketing real-time transparency in remittance fees and competitiveness in exchange rates, not on communities' trust and familiarity with brands, as second-generation customers in the UK research the options before transferring money across different remittance providers including Wise (formerly TransferWise), Remotely and Money Supermarket (KPMG, 2024). The consumer behaviour in this situation is first to compare, which demands a different value proposition in the UK than in Bangladesh - a digital landscape now regulated by the FCA, where consumer comparisons are encouraged and the marketing emphasis will be on price and speed.</w:t>
      </w:r>
    </w:p>
    <w:p w14:paraId="0835E9BC"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C87E8C1"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Another finding is that, when compared to private commercial banks and fintech providers in these two markets that are portrayed in the literature as being more agile in digital marketing deployment and communication of product features, Sonali Bank's marketing strategy is comparatively reactive. This aligns with the picture of constrained resources that is presented in the state-ownership literature (Boxall and Purcell, 2022), which is discussed again in Section 4.5.</w:t>
      </w:r>
    </w:p>
    <w:p w14:paraId="77618434"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4F928A0"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58" w:name="_Toc234504488"/>
      <w:bookmarkStart w:id="59" w:name="_Toc238117834"/>
      <w:r w:rsidRPr="00B94F53">
        <w:rPr>
          <w:rFonts w:ascii="Times New Roman" w:hAnsi="Times New Roman" w:cs="Times New Roman"/>
          <w:b/>
          <w:sz w:val="24"/>
          <w:szCs w:val="24"/>
        </w:rPr>
        <w:t>4.2.3 Brand Trust as an Underutilised Strategic Asset</w:t>
      </w:r>
      <w:bookmarkEnd w:id="58"/>
      <w:bookmarkEnd w:id="59"/>
    </w:p>
    <w:p w14:paraId="03A4E688" w14:textId="3F1DBDF2"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Within the Resource Based View (Barney, 1991), this trust-based brand capital is a valuable, rare and hard-to-imitate resource – one that </w:t>
      </w:r>
      <w:r w:rsidR="00BC71B7" w:rsidRPr="00B94F53">
        <w:rPr>
          <w:rFonts w:ascii="Times New Roman" w:hAnsi="Times New Roman" w:cs="Times New Roman"/>
          <w:sz w:val="24"/>
          <w:szCs w:val="24"/>
        </w:rPr>
        <w:t>fulfils</w:t>
      </w:r>
      <w:r w:rsidRPr="00B94F53">
        <w:rPr>
          <w:rFonts w:ascii="Times New Roman" w:hAnsi="Times New Roman" w:cs="Times New Roman"/>
          <w:sz w:val="24"/>
          <w:szCs w:val="24"/>
        </w:rPr>
        <w:t xml:space="preserve"> at least three of the four VRIN requirements without needing technological investment or regulatory approval. However, the documentary evidence does not suggest that Sonali Bank has used this brand trust as any kind of systematic tool to attract any of these markets or to retain them, as an additional to just relying on the already established brand in those markets. This underutilisation is part of the general trend of slow reconfiguration of resources that state ownership engenders, as explained in Section 4.5, </w:t>
      </w:r>
      <w:r w:rsidRPr="00B94F53">
        <w:rPr>
          <w:rFonts w:ascii="Times New Roman" w:hAnsi="Times New Roman" w:cs="Times New Roman"/>
          <w:sz w:val="24"/>
          <w:szCs w:val="24"/>
        </w:rPr>
        <w:lastRenderedPageBreak/>
        <w:t>the process of using existing resource stocks to create new commercial applications needs speed of initiative and investment that state-owned governance structures do not reliably provide.</w:t>
      </w:r>
    </w:p>
    <w:p w14:paraId="4DCF9929"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82CA98C"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60" w:name="_Toc234504489"/>
      <w:bookmarkStart w:id="61" w:name="_Toc238117835"/>
      <w:r w:rsidRPr="00B94F53">
        <w:rPr>
          <w:rFonts w:ascii="Times New Roman" w:hAnsi="Times New Roman" w:cs="Times New Roman"/>
          <w:b/>
          <w:sz w:val="24"/>
          <w:szCs w:val="24"/>
        </w:rPr>
        <w:t>4.3 Financial Strategy, Currency Risk and Payment Architecture</w:t>
      </w:r>
      <w:bookmarkEnd w:id="60"/>
      <w:bookmarkEnd w:id="61"/>
    </w:p>
    <w:p w14:paraId="14715E44"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62" w:name="_Toc234504490"/>
      <w:bookmarkStart w:id="63" w:name="_Toc238117836"/>
      <w:r w:rsidRPr="00B94F53">
        <w:rPr>
          <w:rFonts w:ascii="Times New Roman" w:hAnsi="Times New Roman" w:cs="Times New Roman"/>
          <w:b/>
          <w:sz w:val="24"/>
          <w:szCs w:val="24"/>
        </w:rPr>
        <w:t>4.3.1 Dual Payment Architecture and Interoperability Challenges</w:t>
      </w:r>
      <w:bookmarkEnd w:id="62"/>
      <w:bookmarkEnd w:id="63"/>
    </w:p>
    <w:p w14:paraId="5C3A1A96" w14:textId="77777777"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Our findings also back the notion that Sonali Bank will need to run two non-integrated payment architectures – one based on SWIFT and CHAPS for payments to the UK markets and a mobile corridor of payments to Bangladesh with integration with bKash for such payments (KPMG, 2024). KPMG's (2024) cross-border fintech integration analysis suggests that the universal payment logic is not the decisive element in competitive cross-border financial service delivery as the structural challenge is characterised by platform-specific payment architecture.</w:t>
      </w:r>
    </w:p>
    <w:p w14:paraId="6D79170B"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stark difference in the customer expectation from providers like Wise and bKash-</w:t>
      </w:r>
      <w:proofErr w:type="spellStart"/>
      <w:r w:rsidRPr="00B94F53">
        <w:rPr>
          <w:rFonts w:ascii="Times New Roman" w:hAnsi="Times New Roman" w:cs="Times New Roman"/>
          <w:sz w:val="24"/>
          <w:szCs w:val="24"/>
        </w:rPr>
        <w:t>Remitly</w:t>
      </w:r>
      <w:proofErr w:type="spellEnd"/>
      <w:r w:rsidRPr="00B94F53">
        <w:rPr>
          <w:rFonts w:ascii="Times New Roman" w:hAnsi="Times New Roman" w:cs="Times New Roman"/>
          <w:sz w:val="24"/>
          <w:szCs w:val="24"/>
        </w:rPr>
        <w:t>, who complete the remittances within seconds, and the back-end structure of any bank, including Sonali, makes it difficult to replicate this process in the remittance corridors. This infrastructure gap is not a result of bad governance or strategic thinking, because it is a result of the slow nature of governance approvals and capital expenditure limitations that are imposed by state ownership on system integration investment, as discussed below in Section 4.5.</w:t>
      </w:r>
    </w:p>
    <w:p w14:paraId="48B9C24F"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975FAE7"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64" w:name="_Toc234504491"/>
      <w:bookmarkStart w:id="65" w:name="_Toc238117837"/>
      <w:r w:rsidRPr="00B94F53">
        <w:rPr>
          <w:rFonts w:ascii="Times New Roman" w:hAnsi="Times New Roman" w:cs="Times New Roman"/>
          <w:b/>
          <w:sz w:val="24"/>
          <w:szCs w:val="24"/>
        </w:rPr>
        <w:t>4.3.2 Remittance Pricing Pressures</w:t>
      </w:r>
      <w:bookmarkEnd w:id="64"/>
      <w:bookmarkEnd w:id="65"/>
    </w:p>
    <w:p w14:paraId="1E275E24"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Remittance pricing is one of the most salient and data-driven pressures on Sonali Bank's corridor businesses. According to the World Bank (2025) global average remittance cost of USD 200 was 6.62 per cent in first quarter 2025 which is well below the United Nations Sustainable Development Goal 10.c target of three per cent and the G20's reference value of five per cent. In the specific corridor of the UK and Bangladesh, the World Bank's corridor-specific data show that bank channel costs (categorizing state-owned bank operators such as the Sonali Bank) typically were over seven per cent of the amount transferred in 2024, and always higher than mobile-first and fintech channel costs for the same corridor.</w:t>
      </w:r>
    </w:p>
    <w:p w14:paraId="6A56828C"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75345F8"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To put this into perspective, Wise, the UK's top remittance company in the UK–Bangladesh corridor, charged around 0.6–0.9 per cent of the transfer value plus a fixed transaction charge in the same period, using real mid-market rate (KPMG, 2024) as the exchange rate. This is sufficient to create an important price differential of six-seven percentage points between diaspora remittance channels provided by state-owned banks and the top fintech alternatives, a price spread that can be a significant financial burden for lower-income diaspora senders where every pound of remittance matters.</w:t>
      </w:r>
    </w:p>
    <w:p w14:paraId="17A1A1D8"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028C738C"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Sonali Bank's pricing flexibility is also limited by its institutional capacity to implement the pricing strategies that diversified private commercial banks can use. Standard Chartered can also use profit from its other businesses such as corporate and investment banking around the world to sustain remittance pricing in the UK–Bangladesh corridor at a loss in the short term because the corridor is considered as a strategically important diaspora banking relationship with remittance deposit potential from UK to Bangladesh and lending potential from Bangladesh to the UK. Government oversight of budgets and public sector pricing frameworks are working against Sonali Bank's ability to offer a competitive pricing for remittances, which is structurally challenging in the absence of equivalent commercial cross-subsidy (KPMG, 2024).</w:t>
      </w:r>
    </w:p>
    <w:p w14:paraId="2D619A00"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44CB8536" w14:textId="08AA6ACE" w:rsidR="001846BE" w:rsidRPr="00B94F53" w:rsidRDefault="001846BE" w:rsidP="001846BE">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Table</w:t>
      </w:r>
      <w:r w:rsidR="00C75652" w:rsidRPr="00B94F53">
        <w:rPr>
          <w:rFonts w:ascii="Times New Roman" w:hAnsi="Times New Roman" w:cs="Times New Roman"/>
          <w:b/>
          <w:bCs/>
          <w:sz w:val="24"/>
          <w:szCs w:val="24"/>
        </w:rPr>
        <w:t xml:space="preserve"> </w:t>
      </w:r>
      <w:r w:rsidR="00E22C58" w:rsidRPr="00B94F53">
        <w:rPr>
          <w:rFonts w:ascii="Times New Roman" w:hAnsi="Times New Roman" w:cs="Times New Roman"/>
          <w:b/>
          <w:bCs/>
          <w:sz w:val="24"/>
          <w:szCs w:val="24"/>
        </w:rPr>
        <w:t>4.1</w:t>
      </w:r>
      <w:r w:rsidRPr="00B94F53">
        <w:rPr>
          <w:rFonts w:ascii="Times New Roman" w:hAnsi="Times New Roman" w:cs="Times New Roman"/>
          <w:b/>
          <w:bCs/>
          <w:sz w:val="24"/>
          <w:szCs w:val="24"/>
        </w:rPr>
        <w:t>: Remittance Cost Benchmarks, UK–Bangladesh Corridor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60"/>
        <w:gridCol w:w="1800"/>
        <w:gridCol w:w="3000"/>
      </w:tblGrid>
      <w:tr w:rsidR="00BD3FFE" w:rsidRPr="00B94F53" w14:paraId="425B4969" w14:textId="77777777" w:rsidTr="00BD3FFE">
        <w:trPr>
          <w:tblHeader/>
        </w:trPr>
        <w:tc>
          <w:tcPr>
            <w:tcW w:w="456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61396872"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Benchmark / Provider</w:t>
            </w:r>
          </w:p>
        </w:tc>
        <w:tc>
          <w:tcPr>
            <w:tcW w:w="18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7268D7A8"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Cost (%)</w:t>
            </w:r>
          </w:p>
        </w:tc>
        <w:tc>
          <w:tcPr>
            <w:tcW w:w="30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3B262B63"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Notes</w:t>
            </w:r>
          </w:p>
        </w:tc>
      </w:tr>
      <w:tr w:rsidR="00BD3FFE" w:rsidRPr="00B94F53" w14:paraId="3D17F44F" w14:textId="77777777" w:rsidTr="00BD3FFE">
        <w:tc>
          <w:tcPr>
            <w:tcW w:w="45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31C0FD2"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UN SDG 10.c target</w:t>
            </w:r>
          </w:p>
        </w:tc>
        <w:tc>
          <w:tcPr>
            <w:tcW w:w="18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2697BA7D"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3.0%</w:t>
            </w:r>
          </w:p>
        </w:tc>
        <w:tc>
          <w:tcPr>
            <w:tcW w:w="30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25DA2707"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Global policy target</w:t>
            </w:r>
          </w:p>
        </w:tc>
      </w:tr>
      <w:tr w:rsidR="00BD3FFE" w:rsidRPr="00B94F53" w14:paraId="31728289" w14:textId="77777777" w:rsidTr="00045607">
        <w:trPr>
          <w:trHeight w:val="20"/>
        </w:trPr>
        <w:tc>
          <w:tcPr>
            <w:tcW w:w="456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5B046073"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G20 reference value</w:t>
            </w:r>
          </w:p>
        </w:tc>
        <w:tc>
          <w:tcPr>
            <w:tcW w:w="18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51F50F3E"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5.0%</w:t>
            </w:r>
          </w:p>
        </w:tc>
        <w:tc>
          <w:tcPr>
            <w:tcW w:w="30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415693D7"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Global policy benchmark</w:t>
            </w:r>
          </w:p>
        </w:tc>
      </w:tr>
      <w:tr w:rsidR="00BD3FFE" w:rsidRPr="00B94F53" w14:paraId="251E1980" w14:textId="77777777" w:rsidTr="00BD3FFE">
        <w:tc>
          <w:tcPr>
            <w:tcW w:w="45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11069D09"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World Bank global average (Q1 2025)</w:t>
            </w:r>
          </w:p>
        </w:tc>
        <w:tc>
          <w:tcPr>
            <w:tcW w:w="18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5C31EE3"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6.62%</w:t>
            </w:r>
          </w:p>
        </w:tc>
        <w:tc>
          <w:tcPr>
            <w:tcW w:w="30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6984C247"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Average cost, USD 200 transfer</w:t>
            </w:r>
          </w:p>
        </w:tc>
      </w:tr>
      <w:tr w:rsidR="00BD3FFE" w:rsidRPr="00B94F53" w14:paraId="25A9EABE" w14:textId="77777777" w:rsidTr="00BD3FFE">
        <w:tc>
          <w:tcPr>
            <w:tcW w:w="456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0EC51912"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Bank channel costs, UK–Bangladesh corridor (incl. Sonali Bank)</w:t>
            </w:r>
          </w:p>
        </w:tc>
        <w:tc>
          <w:tcPr>
            <w:tcW w:w="18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3A5F8BA6"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7%+</w:t>
            </w:r>
          </w:p>
        </w:tc>
        <w:tc>
          <w:tcPr>
            <w:tcW w:w="30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7E7D3D69"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2024 corridor-specific data</w:t>
            </w:r>
          </w:p>
        </w:tc>
      </w:tr>
      <w:tr w:rsidR="00BD3FFE" w:rsidRPr="00B94F53" w14:paraId="4B785522" w14:textId="77777777" w:rsidTr="00BD3FFE">
        <w:tc>
          <w:tcPr>
            <w:tcW w:w="45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029F4FC5"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Wise (UK–Bangladesh corridor)</w:t>
            </w:r>
          </w:p>
        </w:tc>
        <w:tc>
          <w:tcPr>
            <w:tcW w:w="18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34C3FCC1"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0.6%–0.9%</w:t>
            </w:r>
          </w:p>
        </w:tc>
        <w:tc>
          <w:tcPr>
            <w:tcW w:w="30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5DC436D4" w14:textId="77777777" w:rsidR="00CC0D4A" w:rsidRPr="00B94F53" w:rsidRDefault="00CC0D4A" w:rsidP="00BD3FFE">
            <w:pPr>
              <w:spacing w:before="120" w:after="120" w:line="360" w:lineRule="auto"/>
              <w:jc w:val="both"/>
              <w:rPr>
                <w:rFonts w:ascii="Times New Roman" w:hAnsi="Times New Roman" w:cs="Times New Roman"/>
                <w:sz w:val="24"/>
                <w:szCs w:val="24"/>
              </w:rPr>
            </w:pPr>
            <w:proofErr w:type="gramStart"/>
            <w:r w:rsidRPr="00B94F53">
              <w:rPr>
                <w:rFonts w:ascii="Times New Roman" w:hAnsi="Times New Roman" w:cs="Times New Roman"/>
                <w:sz w:val="24"/>
                <w:szCs w:val="24"/>
              </w:rPr>
              <w:t>Plus</w:t>
            </w:r>
            <w:proofErr w:type="gramEnd"/>
            <w:r w:rsidRPr="00B94F53">
              <w:rPr>
                <w:rFonts w:ascii="Times New Roman" w:hAnsi="Times New Roman" w:cs="Times New Roman"/>
                <w:sz w:val="24"/>
                <w:szCs w:val="24"/>
              </w:rPr>
              <w:t xml:space="preserve"> fixed fee; mid-market rate</w:t>
            </w:r>
          </w:p>
        </w:tc>
      </w:tr>
    </w:tbl>
    <w:p w14:paraId="6266C554" w14:textId="77777777" w:rsidR="00CC0D4A" w:rsidRPr="00B94F53" w:rsidRDefault="00CC0D4A" w:rsidP="00CC0D4A">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Source: World Bank (2025); KPMG (2024).</w:t>
      </w:r>
    </w:p>
    <w:p w14:paraId="1BAD0867" w14:textId="77777777" w:rsidR="00CC0D4A" w:rsidRPr="00B94F53" w:rsidRDefault="00CC0D4A" w:rsidP="00CC0D4A">
      <w:pPr>
        <w:spacing w:before="120" w:after="120" w:line="360" w:lineRule="auto"/>
        <w:jc w:val="both"/>
        <w:rPr>
          <w:rFonts w:ascii="Times New Roman" w:hAnsi="Times New Roman" w:cs="Times New Roman"/>
          <w:sz w:val="24"/>
          <w:szCs w:val="24"/>
        </w:rPr>
      </w:pPr>
    </w:p>
    <w:p w14:paraId="58280593"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66" w:name="_Toc234504492"/>
      <w:bookmarkStart w:id="67" w:name="_Toc238117838"/>
      <w:r w:rsidRPr="00B94F53">
        <w:rPr>
          <w:rFonts w:ascii="Times New Roman" w:hAnsi="Times New Roman" w:cs="Times New Roman"/>
          <w:b/>
          <w:sz w:val="24"/>
          <w:szCs w:val="24"/>
        </w:rPr>
        <w:t>4.3.3 Currency Hedging Limitations</w:t>
      </w:r>
      <w:bookmarkEnd w:id="66"/>
      <w:bookmarkEnd w:id="67"/>
    </w:p>
    <w:p w14:paraId="126AAE0C"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third major financial sub-theme is currency risk, most directly driven by the interactions between macroeconomic factors and the state-ownership related governance constraints. Structural remittance flow along UK-Bangladesh corridor is hedging required for any institution due to the volatility of Bangladesh Taka against sterling. The Taka depreciated in a steady manner during the 2023-2024 period, from about 86 at the end of 2022 to about 110 at mid-2024, by 28 per cent, as evidenced by foreign exchange data from Bangladesh Bank (2025), with import cost inflation, reduced foreign exchange reserves and pressure on the current account due to a decline in export earnings and debt servicing commitments during the post-pandemic period. The implied depreciation of Taka against Sterling during this period was, on its own, quite significant, and resulted in an equivalent exchange rate risk for institutions that offer guaranteed rates to remittance senders based in the UK at the time of booking.</w:t>
      </w:r>
    </w:p>
    <w:p w14:paraId="69CFB1E7"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1A3CD71"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This degree of exchange rate volatility is a standard part of a commercial bank's treasury risk management program and can be managed by hedging the currency risk using a portfolio of forward contracts, vanilla currency options and cross-currency interest rate swaps whose timing and size are closely matched to the currency risk that the bank anticipates having to settle. For instance, standard Chartered has centralised foreign exchange hedging desks from which OTC derivatives markets can be accessed in real time, which helps the bank guarantee its customers on the exchange rate for remittances while keeping its exposure on the balance sheet under control and bounded (KPMG, 2024).</w:t>
      </w:r>
    </w:p>
    <w:p w14:paraId="00AB8E53"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5EB9B75" w14:textId="22D2E6FC"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 xml:space="preserve">Bangladesh Bank (2025) explicitly points out that the foreign exchange exposure of three top state-owned commercial banks (SOCBs), namely Sonali, Janata and Agrani, is materially lower than the foreign exchange exposure of the top three private commercial banks (PCTs) operating in the same environment, which defines the limited hedging capacity of these SOCBs. For Sonali Bank, the implication is that the exposure to exchange rate losses is always a high one during taka depreciation periods and the bank should either bear the risk within its margin, thus impacting its remittance profit margins, or reflect the volatility in the exchange rate at the booking level, which makes the exchange rate less competitive for the customer. </w:t>
      </w:r>
      <w:r w:rsidR="008F775A" w:rsidRPr="00B94F53">
        <w:rPr>
          <w:rFonts w:ascii="Times New Roman" w:hAnsi="Times New Roman" w:cs="Times New Roman"/>
          <w:sz w:val="24"/>
          <w:szCs w:val="24"/>
        </w:rPr>
        <w:t>Both</w:t>
      </w:r>
      <w:r w:rsidRPr="00B94F53">
        <w:rPr>
          <w:rFonts w:ascii="Times New Roman" w:hAnsi="Times New Roman" w:cs="Times New Roman"/>
          <w:sz w:val="24"/>
          <w:szCs w:val="24"/>
        </w:rPr>
        <w:t xml:space="preserve"> outcomes are a further indication of the pricing disadvantage highlighted in Section </w:t>
      </w:r>
      <w:proofErr w:type="gramStart"/>
      <w:r w:rsidRPr="00B94F53">
        <w:rPr>
          <w:rFonts w:ascii="Times New Roman" w:hAnsi="Times New Roman" w:cs="Times New Roman"/>
          <w:sz w:val="24"/>
          <w:szCs w:val="24"/>
        </w:rPr>
        <w:t>4.3.2, and</w:t>
      </w:r>
      <w:proofErr w:type="gramEnd"/>
      <w:r w:rsidRPr="00B94F53">
        <w:rPr>
          <w:rFonts w:ascii="Times New Roman" w:hAnsi="Times New Roman" w:cs="Times New Roman"/>
          <w:sz w:val="24"/>
          <w:szCs w:val="24"/>
        </w:rPr>
        <w:t xml:space="preserve"> combine to make a structural pricing disadvantage which is clearly not the fault of any one specific management failure but of state ownership.</w:t>
      </w:r>
    </w:p>
    <w:p w14:paraId="4DFE72CD"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AB7A8A6"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68" w:name="_Toc234504493"/>
      <w:bookmarkStart w:id="69" w:name="_Toc238117839"/>
      <w:r w:rsidRPr="00B94F53">
        <w:rPr>
          <w:rFonts w:ascii="Times New Roman" w:hAnsi="Times New Roman" w:cs="Times New Roman"/>
          <w:b/>
          <w:sz w:val="24"/>
          <w:szCs w:val="24"/>
        </w:rPr>
        <w:t>4.4 Human Capital and Strategic HRM</w:t>
      </w:r>
      <w:bookmarkEnd w:id="68"/>
      <w:bookmarkEnd w:id="69"/>
    </w:p>
    <w:p w14:paraId="52CDDDA4"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70" w:name="_Toc234504494"/>
      <w:bookmarkStart w:id="71" w:name="_Toc238117840"/>
      <w:r w:rsidRPr="00B94F53">
        <w:rPr>
          <w:rFonts w:ascii="Times New Roman" w:hAnsi="Times New Roman" w:cs="Times New Roman"/>
          <w:b/>
          <w:sz w:val="24"/>
          <w:szCs w:val="24"/>
        </w:rPr>
        <w:t>4.4.1 The UK Digital Talent Gap</w:t>
      </w:r>
      <w:bookmarkEnd w:id="70"/>
      <w:bookmarkEnd w:id="71"/>
    </w:p>
    <w:p w14:paraId="3EBCC7A7" w14:textId="24B2CC54"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Human capital evidence shows that a talent split issue </w:t>
      </w:r>
      <w:r w:rsidR="008F775A" w:rsidRPr="00B94F53">
        <w:rPr>
          <w:rFonts w:ascii="Times New Roman" w:hAnsi="Times New Roman" w:cs="Times New Roman"/>
          <w:sz w:val="24"/>
          <w:szCs w:val="24"/>
        </w:rPr>
        <w:t>exists and</w:t>
      </w:r>
      <w:r w:rsidRPr="00B94F53">
        <w:rPr>
          <w:rFonts w:ascii="Times New Roman" w:hAnsi="Times New Roman" w:cs="Times New Roman"/>
          <w:sz w:val="24"/>
          <w:szCs w:val="24"/>
        </w:rPr>
        <w:t xml:space="preserve"> is significantly different between the two markets of Sonali Bank. The UK's immigration policy is set to be significantly tightened following Brexit, which has not only reduced the availability of specialist fintech and digital banking talent from outside the EEA region, but has also raised the bar for the competition for those who are available in the UK. The CIPD (2025) UK Workforce Report shows that median total remuneration for digital banking and financial crime compliance specialists is around 35 to 45 per cent higher than in other parts of the UK economy, driven by the high demand for certain skills in the rapidly expanding fintech sector, the growing regulatory complexity arising from FCA Consumer Duty regulations introduced into 2023 and the squeeze on cross-border talent mobility from post-Brexit immigration rules.</w:t>
      </w:r>
    </w:p>
    <w:p w14:paraId="16483DB6"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EC4E8BD"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72" w:name="_Toc234504495"/>
      <w:bookmarkStart w:id="73" w:name="_Toc238117841"/>
      <w:r w:rsidRPr="00B94F53">
        <w:rPr>
          <w:rFonts w:ascii="Times New Roman" w:hAnsi="Times New Roman" w:cs="Times New Roman"/>
          <w:b/>
          <w:sz w:val="24"/>
          <w:szCs w:val="24"/>
        </w:rPr>
        <w:t>4.4.2 Workforce Rigidity in Bangladesh</w:t>
      </w:r>
      <w:bookmarkEnd w:id="72"/>
      <w:bookmarkEnd w:id="73"/>
    </w:p>
    <w:p w14:paraId="53217266" w14:textId="3D52A39D"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Despite being large by any benchmark, institutionally, Sonali Bank has </w:t>
      </w:r>
      <w:r w:rsidR="008F775A" w:rsidRPr="00B94F53">
        <w:rPr>
          <w:rFonts w:ascii="Times New Roman" w:hAnsi="Times New Roman" w:cs="Times New Roman"/>
          <w:sz w:val="24"/>
          <w:szCs w:val="24"/>
        </w:rPr>
        <w:t>many</w:t>
      </w:r>
      <w:r w:rsidRPr="00B94F53">
        <w:rPr>
          <w:rFonts w:ascii="Times New Roman" w:hAnsi="Times New Roman" w:cs="Times New Roman"/>
          <w:sz w:val="24"/>
          <w:szCs w:val="24"/>
        </w:rPr>
        <w:t xml:space="preserve"> employees in its national bank network that hinders the pace of digital capability building. The institution's ability to recruit, fast track and, </w:t>
      </w:r>
      <w:r w:rsidR="00BC71B7" w:rsidRPr="00B94F53">
        <w:rPr>
          <w:rFonts w:ascii="Times New Roman" w:hAnsi="Times New Roman" w:cs="Times New Roman"/>
          <w:sz w:val="24"/>
          <w:szCs w:val="24"/>
        </w:rPr>
        <w:t>or</w:t>
      </w:r>
      <w:r w:rsidRPr="00B94F53">
        <w:rPr>
          <w:rFonts w:ascii="Times New Roman" w:hAnsi="Times New Roman" w:cs="Times New Roman"/>
          <w:sz w:val="24"/>
          <w:szCs w:val="24"/>
        </w:rPr>
        <w:t xml:space="preserve"> specially compensate the digital specialists most required to integrate e-commerce is restricted by the civil-service-adjacent pay scales, grade-based </w:t>
      </w:r>
      <w:r w:rsidRPr="00B94F53">
        <w:rPr>
          <w:rFonts w:ascii="Times New Roman" w:hAnsi="Times New Roman" w:cs="Times New Roman"/>
          <w:sz w:val="24"/>
          <w:szCs w:val="24"/>
        </w:rPr>
        <w:lastRenderedPageBreak/>
        <w:t>promotion systems based mainly on seniority, and employment conditions determined by the government (Boxall and Purcell, 2022). The Bangladesh Bank (2025) report indicates that state-owned commercial banks (SOSBs) in Bangladesh have consistently poor scores on digital workforce capability benchmarks, primarily due to both the lack of adequate remuneration systems for specialist digital workforce positions and the timeliness of the institutions' investment in targeted upskilling programmes.</w:t>
      </w:r>
    </w:p>
    <w:p w14:paraId="099BCD5B"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9E7F070"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74" w:name="_Toc234504496"/>
      <w:bookmarkStart w:id="75" w:name="_Toc238117842"/>
      <w:r w:rsidRPr="00B94F53">
        <w:rPr>
          <w:rFonts w:ascii="Times New Roman" w:hAnsi="Times New Roman" w:cs="Times New Roman"/>
          <w:b/>
          <w:sz w:val="24"/>
          <w:szCs w:val="24"/>
        </w:rPr>
        <w:t>4.4.3 Digital Upskilling and Institutional Inertia</w:t>
      </w:r>
      <w:bookmarkEnd w:id="74"/>
      <w:bookmarkEnd w:id="75"/>
    </w:p>
    <w:p w14:paraId="41FFBC6C"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third and separate theme of human capital is how quickly HR is getting ready for internal digital transformation compared to its private sector peers. Leading private commercial banks in South Asian emerging markets (SAEM) are on course to grow their spend on dedicated digital training and workforce capability investment budgets by an average of 28 per cent between 2022 and 2024, as the competitive threat of fintech firms and the rapid uptake of mobile banking by consumer segments that were primarily served via a branch network drives growth. These investments included on site digital skills academies, third party certified data analytics and data security courses, existing branch staff training in AI-literacy, and strategic relationships with fintech companies for knowledge transfer and commercial product integration.</w:t>
      </w:r>
    </w:p>
    <w:p w14:paraId="631D75AE"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8B37E20"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76" w:name="_Toc234504497"/>
      <w:bookmarkStart w:id="77" w:name="_Toc238117843"/>
      <w:r w:rsidRPr="00B94F53">
        <w:rPr>
          <w:rFonts w:ascii="Times New Roman" w:hAnsi="Times New Roman" w:cs="Times New Roman"/>
          <w:b/>
          <w:sz w:val="24"/>
          <w:szCs w:val="24"/>
        </w:rPr>
        <w:t>4.5 Cross-Cutting Theme: State Ownership as a Moderating Constraint</w:t>
      </w:r>
      <w:bookmarkEnd w:id="76"/>
      <w:bookmarkEnd w:id="77"/>
    </w:p>
    <w:p w14:paraId="08EB5210" w14:textId="732EDACD"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pattern confirms that governance structures with a public policy objective (financial inclusion, diaspora services, national remittance facilitation) are not always linked to commercial performance indicators that are used to evaluate private banks (Boxall and Purcell, 2022). The finding predicted in the theoretical framework in Chapter Two, that the Bangladesh Bank has more stringent capital adequacy and foreign exchange exposure guidelines for state-owned banks than private-sector banks, has also been confirmed by the </w:t>
      </w:r>
      <w:r w:rsidR="00BC71B7" w:rsidRPr="00B94F53">
        <w:rPr>
          <w:rFonts w:ascii="Times New Roman" w:hAnsi="Times New Roman" w:cs="Times New Roman"/>
          <w:sz w:val="24"/>
          <w:szCs w:val="24"/>
        </w:rPr>
        <w:t>evidence</w:t>
      </w:r>
      <w:r w:rsidRPr="00B94F53">
        <w:rPr>
          <w:rFonts w:ascii="Times New Roman" w:hAnsi="Times New Roman" w:cs="Times New Roman"/>
          <w:sz w:val="24"/>
          <w:szCs w:val="24"/>
        </w:rPr>
        <w:t>.</w:t>
      </w:r>
    </w:p>
    <w:p w14:paraId="2270137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407244F8" w14:textId="25B42F93" w:rsidR="00CC0D4A" w:rsidRPr="00B94F53" w:rsidRDefault="00CC0D4A" w:rsidP="008E428F">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Importantly, the results do not indicate that state ownership is always bad. Its public-service mandate is also a source of institutional </w:t>
      </w:r>
      <w:r w:rsidR="00BC71B7" w:rsidRPr="00B94F53">
        <w:rPr>
          <w:rFonts w:ascii="Times New Roman" w:hAnsi="Times New Roman" w:cs="Times New Roman"/>
          <w:sz w:val="24"/>
          <w:szCs w:val="24"/>
        </w:rPr>
        <w:t>trust,</w:t>
      </w:r>
      <w:r w:rsidRPr="00B94F53">
        <w:rPr>
          <w:rFonts w:ascii="Times New Roman" w:hAnsi="Times New Roman" w:cs="Times New Roman"/>
          <w:sz w:val="24"/>
          <w:szCs w:val="24"/>
        </w:rPr>
        <w:t xml:space="preserve"> and the decades-long relationship capital Sonali Bank enjoys with the Bangladeshi community in the UK, which newer, commercially savvy </w:t>
      </w:r>
      <w:r w:rsidRPr="00B94F53">
        <w:rPr>
          <w:rFonts w:ascii="Times New Roman" w:hAnsi="Times New Roman" w:cs="Times New Roman"/>
          <w:sz w:val="24"/>
          <w:szCs w:val="24"/>
        </w:rPr>
        <w:lastRenderedPageBreak/>
        <w:t xml:space="preserve">fintech firms have not managed to achieve despite their technology and pricing benefits. The bank's trust asset is </w:t>
      </w:r>
      <w:r w:rsidR="00BC71B7" w:rsidRPr="00B94F53">
        <w:rPr>
          <w:rFonts w:ascii="Times New Roman" w:hAnsi="Times New Roman" w:cs="Times New Roman"/>
          <w:sz w:val="24"/>
          <w:szCs w:val="24"/>
        </w:rPr>
        <w:t>analysed</w:t>
      </w:r>
      <w:r w:rsidRPr="00B94F53">
        <w:rPr>
          <w:rFonts w:ascii="Times New Roman" w:hAnsi="Times New Roman" w:cs="Times New Roman"/>
          <w:sz w:val="24"/>
          <w:szCs w:val="24"/>
        </w:rPr>
        <w:t xml:space="preserve"> in the context of Barney's (1991) VRIN framework in Chapter Five for an increasingly price-competitive remittance corridor in which the bank is most likely to achieve sustainable competitive advantage.</w:t>
      </w:r>
    </w:p>
    <w:p w14:paraId="6C0E0AD1"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613E8D49"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AA51BE8"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12CCE896"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5551B626"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2320FEF3"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005A892A"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23806CF"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AA8D693"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50551017"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195897FF"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7ACE8191"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2183341B"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7CADD4D2"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42288FB2"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E3C4763"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07CCDAC8"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59D6AEFF"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6F12B9D2"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214BC486"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2526ED55"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C45F54D"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18F9D838"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1F0C4ED"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792A4F91"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6DC5248D"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1E228FCB"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426EADEA"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0AB8BB86"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4CA3F1B2" w14:textId="77777777" w:rsidR="00675D5A" w:rsidRDefault="00675D5A" w:rsidP="00045607">
      <w:pPr>
        <w:pStyle w:val="Heading1"/>
        <w:rPr>
          <w:rFonts w:ascii="Times New Roman" w:hAnsi="Times New Roman" w:cs="Times New Roman"/>
        </w:rPr>
      </w:pPr>
      <w:bookmarkStart w:id="78" w:name="_Toc234504499"/>
      <w:bookmarkStart w:id="79" w:name="_Toc238117844"/>
    </w:p>
    <w:p w14:paraId="71C1E417" w14:textId="61D53D77" w:rsidR="00CC0D4A" w:rsidRPr="00B94F53" w:rsidRDefault="00CC0D4A" w:rsidP="00045607">
      <w:pPr>
        <w:pStyle w:val="Heading1"/>
        <w:rPr>
          <w:rFonts w:ascii="Times New Roman" w:hAnsi="Times New Roman" w:cs="Times New Roman"/>
        </w:rPr>
      </w:pPr>
      <w:r w:rsidRPr="00B94F53">
        <w:rPr>
          <w:rFonts w:ascii="Times New Roman" w:hAnsi="Times New Roman" w:cs="Times New Roman"/>
        </w:rPr>
        <w:t>Chapter Five: Discussion</w:t>
      </w:r>
      <w:bookmarkEnd w:id="78"/>
      <w:bookmarkEnd w:id="79"/>
    </w:p>
    <w:p w14:paraId="36584369"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80" w:name="_Toc234504500"/>
      <w:bookmarkStart w:id="81" w:name="_Toc238117845"/>
      <w:r w:rsidRPr="00B94F53">
        <w:rPr>
          <w:rFonts w:ascii="Times New Roman" w:hAnsi="Times New Roman" w:cs="Times New Roman"/>
          <w:b/>
          <w:sz w:val="24"/>
          <w:szCs w:val="24"/>
        </w:rPr>
        <w:t>5.1 Introduction</w:t>
      </w:r>
      <w:bookmarkEnd w:id="80"/>
      <w:bookmarkEnd w:id="81"/>
    </w:p>
    <w:p w14:paraId="731EF320"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In this chapter, the findings from Chapter Four will be discussed with regard to the two theoretical viewpoints used in the study: the Uppsala Internationalisation Model (UIM) (Johanson and Vahlne, 1977; 2009) and the Resource-Based View (RBV) (Barney, 1991; Teece, Pisano and </w:t>
      </w:r>
      <w:proofErr w:type="spellStart"/>
      <w:r w:rsidRPr="00B94F53">
        <w:rPr>
          <w:rFonts w:ascii="Times New Roman" w:hAnsi="Times New Roman" w:cs="Times New Roman"/>
          <w:sz w:val="24"/>
          <w:szCs w:val="24"/>
        </w:rPr>
        <w:t>Shuen</w:t>
      </w:r>
      <w:proofErr w:type="spellEnd"/>
      <w:r w:rsidRPr="00B94F53">
        <w:rPr>
          <w:rFonts w:ascii="Times New Roman" w:hAnsi="Times New Roman" w:cs="Times New Roman"/>
          <w:sz w:val="24"/>
          <w:szCs w:val="24"/>
        </w:rPr>
        <w:t>, 1997). The findings are also brought together in a comprehensive integrated discussion which forms the analytical nucleus of the dissertation. In Section 5.4, the integrated discussion focuses on the mechanism of structural moderation of both frameworks and includes a direct empirical comparison with Standard Chartered Bank and bKash to make the theoretical argument more concrete. The chapter focuses back on the central research question and on the two sub-questions posed in Chapter One.</w:t>
      </w:r>
    </w:p>
    <w:p w14:paraId="512C5B8E"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0562069E"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82" w:name="_Toc234504501"/>
      <w:bookmarkStart w:id="83" w:name="_Toc238117846"/>
      <w:r w:rsidRPr="00B94F53">
        <w:rPr>
          <w:rFonts w:ascii="Times New Roman" w:hAnsi="Times New Roman" w:cs="Times New Roman"/>
          <w:b/>
          <w:sz w:val="24"/>
          <w:szCs w:val="24"/>
        </w:rPr>
        <w:t>5.2 Discussion in Relation to the Uppsala Internationalisation Model</w:t>
      </w:r>
      <w:bookmarkEnd w:id="82"/>
      <w:bookmarkEnd w:id="83"/>
    </w:p>
    <w:p w14:paraId="1CA495C5" w14:textId="4072D103"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main claim of the Uppsala Model (Johanson and Vahlne, 1977; 2009) that firms internationalise in a gradual manner by learning through experience and networks is only partially confirmed by the current findings. The 20+ years that Sonali Bank has been operating in Bangladesh and the UK provide it with very rich experience base and the trust in its relationship with the </w:t>
      </w:r>
      <w:r w:rsidR="00BC71B7" w:rsidRPr="00B94F53">
        <w:rPr>
          <w:rFonts w:ascii="Times New Roman" w:hAnsi="Times New Roman" w:cs="Times New Roman"/>
          <w:sz w:val="24"/>
          <w:szCs w:val="24"/>
        </w:rPr>
        <w:t>British Bangladeshi</w:t>
      </w:r>
      <w:r w:rsidRPr="00B94F53">
        <w:rPr>
          <w:rFonts w:ascii="Times New Roman" w:hAnsi="Times New Roman" w:cs="Times New Roman"/>
          <w:sz w:val="24"/>
          <w:szCs w:val="24"/>
        </w:rPr>
        <w:t xml:space="preserve"> community is exactly what is predicted in the model's network-relationships construct: the bank has developed its market-specific knowledge and institutional relationships over time rather than by a quick opportunistic move.</w:t>
      </w:r>
    </w:p>
    <w:p w14:paraId="691DA3BD"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7776F1C9" w14:textId="20FB53C7" w:rsidR="002651E4"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Uppsala Model is therefore important to qualify for the case of state-owned banks; psychic distance is less about the absence of experiential knowledge (as in Sonali Bank, which knows both markets quite well) than about the fact that it is backed by enduring institutional and regulatory differences that cannot be overcome by experience. The bank </w:t>
      </w:r>
      <w:r w:rsidR="008F775A" w:rsidRPr="00B94F53">
        <w:rPr>
          <w:rFonts w:ascii="Times New Roman" w:hAnsi="Times New Roman" w:cs="Times New Roman"/>
          <w:sz w:val="24"/>
          <w:szCs w:val="24"/>
        </w:rPr>
        <w:t>cannot</w:t>
      </w:r>
      <w:r w:rsidRPr="00B94F53">
        <w:rPr>
          <w:rFonts w:ascii="Times New Roman" w:hAnsi="Times New Roman" w:cs="Times New Roman"/>
          <w:sz w:val="24"/>
          <w:szCs w:val="24"/>
        </w:rPr>
        <w:t xml:space="preserve"> learn its way out of the financial </w:t>
      </w:r>
      <w:r w:rsidR="00265390" w:rsidRPr="00B94F53">
        <w:rPr>
          <w:rFonts w:ascii="Times New Roman" w:hAnsi="Times New Roman" w:cs="Times New Roman"/>
          <w:sz w:val="24"/>
          <w:szCs w:val="24"/>
        </w:rPr>
        <w:t>promotions’</w:t>
      </w:r>
      <w:r w:rsidRPr="00B94F53">
        <w:rPr>
          <w:rFonts w:ascii="Times New Roman" w:hAnsi="Times New Roman" w:cs="Times New Roman"/>
          <w:sz w:val="24"/>
          <w:szCs w:val="24"/>
        </w:rPr>
        <w:t xml:space="preserve"> regime of the FCA and of the Bangladesh bank's hedging restrictions. The distinction between psychic and cognitive distance is not fully addressed in the Uppsala Model, which focuses on experiential learning as the key to a reduction in market uncertainty for state-owned institutions that are governed under externally imposed ru</w:t>
      </w:r>
      <w:r w:rsidR="00045607" w:rsidRPr="00B94F53">
        <w:rPr>
          <w:rFonts w:ascii="Times New Roman" w:hAnsi="Times New Roman" w:cs="Times New Roman"/>
          <w:sz w:val="24"/>
          <w:szCs w:val="24"/>
        </w:rPr>
        <w:t>les.</w:t>
      </w:r>
    </w:p>
    <w:p w14:paraId="3652CA8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70FD8B4"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84" w:name="_Toc234504502"/>
      <w:bookmarkStart w:id="85" w:name="_Toc238117847"/>
      <w:r w:rsidRPr="00B94F53">
        <w:rPr>
          <w:rFonts w:ascii="Times New Roman" w:hAnsi="Times New Roman" w:cs="Times New Roman"/>
          <w:b/>
          <w:sz w:val="24"/>
          <w:szCs w:val="24"/>
        </w:rPr>
        <w:t>5.3 Discussion in Relation to the Resource-Based View</w:t>
      </w:r>
      <w:bookmarkEnd w:id="84"/>
      <w:bookmarkEnd w:id="85"/>
    </w:p>
    <w:p w14:paraId="29EA0F89" w14:textId="737461E8"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findings, however, differ most clearly from a private-sector application of the RBV framework in the so-called dynamic capabilities extension of the RBV (Teece, Pisano and </w:t>
      </w:r>
      <w:proofErr w:type="spellStart"/>
      <w:r w:rsidRPr="00B94F53">
        <w:rPr>
          <w:rFonts w:ascii="Times New Roman" w:hAnsi="Times New Roman" w:cs="Times New Roman"/>
          <w:sz w:val="24"/>
          <w:szCs w:val="24"/>
        </w:rPr>
        <w:t>Shuen</w:t>
      </w:r>
      <w:proofErr w:type="spellEnd"/>
      <w:r w:rsidRPr="00B94F53">
        <w:rPr>
          <w:rFonts w:ascii="Times New Roman" w:hAnsi="Times New Roman" w:cs="Times New Roman"/>
          <w:sz w:val="24"/>
          <w:szCs w:val="24"/>
        </w:rPr>
        <w:t xml:space="preserve">, 1997). Dynamic capabilities is the ability of companies to monitor, respond to, and exploit new opportunities and threats in the competitive environment and to reconfigure resources in a way that can sustain competitive relevance in a changing environment. But in each of the three strategic domains studied in Chapter Four – marketing localisation, financial strategy, and human capital – Sonali Bank's ability to perform this sensing-seizing-reconfiguring cycle is clearly and tangibly limited. The bank can see the competitive threat that each brings: Wise's pricing, by bKash's platform agility, and by the private banks' digital marketing innovation, but it </w:t>
      </w:r>
      <w:r w:rsidR="00BC71B7" w:rsidRPr="00B94F53">
        <w:rPr>
          <w:rFonts w:ascii="Times New Roman" w:hAnsi="Times New Roman" w:cs="Times New Roman"/>
          <w:sz w:val="24"/>
          <w:szCs w:val="24"/>
        </w:rPr>
        <w:t>cannot</w:t>
      </w:r>
      <w:r w:rsidRPr="00B94F53">
        <w:rPr>
          <w:rFonts w:ascii="Times New Roman" w:hAnsi="Times New Roman" w:cs="Times New Roman"/>
          <w:sz w:val="24"/>
          <w:szCs w:val="24"/>
        </w:rPr>
        <w:t xml:space="preserve"> react to these threats at the commercially competitive speed because each of these institutional mechanisms that reconfigure resources has governance timescales that differ from those of the private sector.</w:t>
      </w:r>
    </w:p>
    <w:p w14:paraId="69BB4796"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362C46D" w14:textId="7F41D53F"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is consistent with the criticism to be expected in Chapter Two: that the RBV, and its dynamic extension, emerged from a context of privately owned firms with commercial interests, enjoying strategic autonomy to move resources in response to market signals that can be speeded up and moved with some discretion, while the state-owned firms operating under the structures of government accountability and accountability to the market do not have that strategic autonomy. The implication for Sonali Bank is that the bank has resources that have VRIN </w:t>
      </w:r>
      <w:r w:rsidR="00BC71B7" w:rsidRPr="00B94F53">
        <w:rPr>
          <w:rFonts w:ascii="Times New Roman" w:hAnsi="Times New Roman" w:cs="Times New Roman"/>
          <w:sz w:val="24"/>
          <w:szCs w:val="24"/>
        </w:rPr>
        <w:t>characteristics but</w:t>
      </w:r>
      <w:r w:rsidRPr="00B94F53">
        <w:rPr>
          <w:rFonts w:ascii="Times New Roman" w:hAnsi="Times New Roman" w:cs="Times New Roman"/>
          <w:sz w:val="24"/>
          <w:szCs w:val="24"/>
        </w:rPr>
        <w:t xml:space="preserve"> has dynamic capabilities that are driven as much by governance as by strategy.</w:t>
      </w:r>
    </w:p>
    <w:p w14:paraId="34472FF2" w14:textId="77777777" w:rsidR="00BC71B7" w:rsidRDefault="00BC71B7" w:rsidP="00BC71B7">
      <w:pPr>
        <w:rPr>
          <w:rFonts w:ascii="Times New Roman" w:hAnsi="Times New Roman" w:cs="Times New Roman"/>
          <w:b/>
          <w:sz w:val="24"/>
          <w:szCs w:val="24"/>
        </w:rPr>
      </w:pPr>
      <w:bookmarkStart w:id="86" w:name="_Toc234504503"/>
      <w:bookmarkStart w:id="87" w:name="_Toc238117848"/>
    </w:p>
    <w:p w14:paraId="4F165247" w14:textId="2B032FA2" w:rsidR="00CC0D4A" w:rsidRPr="00B94F53" w:rsidRDefault="00CC0D4A" w:rsidP="00BC71B7">
      <w:pPr>
        <w:rPr>
          <w:rFonts w:ascii="Times New Roman" w:hAnsi="Times New Roman" w:cs="Times New Roman"/>
          <w:b/>
          <w:sz w:val="24"/>
          <w:szCs w:val="24"/>
        </w:rPr>
      </w:pPr>
      <w:r w:rsidRPr="00B94F53">
        <w:rPr>
          <w:rFonts w:ascii="Times New Roman" w:hAnsi="Times New Roman" w:cs="Times New Roman"/>
          <w:b/>
          <w:sz w:val="24"/>
          <w:szCs w:val="24"/>
        </w:rPr>
        <w:t>5.4 Integrated Discussion: Bringing Uppsala and the RBV Together — The Central Role of State Ownership</w:t>
      </w:r>
      <w:bookmarkEnd w:id="86"/>
      <w:bookmarkEnd w:id="87"/>
    </w:p>
    <w:p w14:paraId="265F4EFA"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88" w:name="_Toc234504504"/>
      <w:bookmarkStart w:id="89" w:name="_Toc238117849"/>
      <w:r w:rsidRPr="00B94F53">
        <w:rPr>
          <w:rFonts w:ascii="Times New Roman" w:hAnsi="Times New Roman" w:cs="Times New Roman"/>
          <w:b/>
          <w:sz w:val="24"/>
          <w:szCs w:val="24"/>
        </w:rPr>
        <w:t>5.4.1 Two Frameworks, One Structural Moderator</w:t>
      </w:r>
      <w:bookmarkEnd w:id="88"/>
      <w:bookmarkEnd w:id="89"/>
    </w:p>
    <w:p w14:paraId="2158EE5B" w14:textId="3F99F72D"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reinforcing relationship, however, fails to hold true at a certain and identifiable juncture on Sonali Bank. The bank has gained a lot of experience and developed its network in both the UK and Bangladesh, as predicted by Uppsala. It also possesses one or more resource with VRIN characteristic (hence this is in line with the RBV framework), namely diaspora brand trust. Neither theory, in its traditional private-sector form, </w:t>
      </w:r>
      <w:r w:rsidR="002651E4" w:rsidRPr="00B94F53">
        <w:rPr>
          <w:rFonts w:ascii="Times New Roman" w:hAnsi="Times New Roman" w:cs="Times New Roman"/>
          <w:sz w:val="24"/>
          <w:szCs w:val="24"/>
        </w:rPr>
        <w:t>predicts that the ability of a state-</w:t>
      </w:r>
      <w:r w:rsidR="002651E4" w:rsidRPr="00B94F53">
        <w:rPr>
          <w:rFonts w:ascii="Times New Roman" w:hAnsi="Times New Roman" w:cs="Times New Roman"/>
          <w:sz w:val="24"/>
          <w:szCs w:val="24"/>
        </w:rPr>
        <w:lastRenderedPageBreak/>
        <w:t>owned bank to turn experiential knowledge into competitive action and to reconfigure VRIN resources into commercially agile responses can be structurally blocked by the institutional governance arrangements that define its</w:t>
      </w:r>
      <w:r w:rsidRPr="00B94F53">
        <w:rPr>
          <w:rFonts w:ascii="Times New Roman" w:hAnsi="Times New Roman" w:cs="Times New Roman"/>
          <w:sz w:val="24"/>
          <w:szCs w:val="24"/>
        </w:rPr>
        <w:t xml:space="preserve"> operating environment. In both frameworks, applied to the case of Sonali Bank, a missing variable is state ownership: not as a contextual detail, but as a first-order structural moderator that helps to control the rate at which both theoretical mechanisms operate.</w:t>
      </w:r>
    </w:p>
    <w:p w14:paraId="6F342150"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BBCE5A2" w14:textId="5A7DF39D"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dissertation's contribution is not that the Uppsala Model or the </w:t>
      </w:r>
      <w:r w:rsidR="002651E4" w:rsidRPr="00B94F53">
        <w:rPr>
          <w:rFonts w:ascii="Times New Roman" w:hAnsi="Times New Roman" w:cs="Times New Roman"/>
          <w:sz w:val="24"/>
          <w:szCs w:val="24"/>
        </w:rPr>
        <w:t>Resource-Based</w:t>
      </w:r>
      <w:r w:rsidRPr="00B94F53">
        <w:rPr>
          <w:rFonts w:ascii="Times New Roman" w:hAnsi="Times New Roman" w:cs="Times New Roman"/>
          <w:sz w:val="24"/>
          <w:szCs w:val="24"/>
        </w:rPr>
        <w:t xml:space="preserve"> View is inapplicable to the case of state-owned banks, but it is an addition of a state-ownership moderation layer to both models when applied to state-owned banks. The direction of the Uppsala and RBV mechanisms </w:t>
      </w:r>
      <w:r w:rsidR="00675D5A" w:rsidRPr="00B94F53">
        <w:rPr>
          <w:rFonts w:ascii="Times New Roman" w:hAnsi="Times New Roman" w:cs="Times New Roman"/>
          <w:sz w:val="24"/>
          <w:szCs w:val="24"/>
        </w:rPr>
        <w:t>do</w:t>
      </w:r>
      <w:r w:rsidRPr="00B94F53">
        <w:rPr>
          <w:rFonts w:ascii="Times New Roman" w:hAnsi="Times New Roman" w:cs="Times New Roman"/>
          <w:sz w:val="24"/>
          <w:szCs w:val="24"/>
        </w:rPr>
        <w:t xml:space="preserve"> not change with state ownership of Sonali Bank</w:t>
      </w:r>
      <w:r w:rsidR="002651E4" w:rsidRPr="00B94F53">
        <w:rPr>
          <w:rFonts w:ascii="Times New Roman" w:hAnsi="Times New Roman" w:cs="Times New Roman"/>
          <w:sz w:val="24"/>
          <w:szCs w:val="24"/>
        </w:rPr>
        <w:t>;</w:t>
      </w:r>
      <w:r w:rsidRPr="00B94F53">
        <w:rPr>
          <w:rFonts w:ascii="Times New Roman" w:hAnsi="Times New Roman" w:cs="Times New Roman"/>
          <w:sz w:val="24"/>
          <w:szCs w:val="24"/>
        </w:rPr>
        <w:t xml:space="preserve"> it continues to build experiential knowledge and continue to have valuable resources. The speed reduction effect refers not to the fact that these mechanisms are not translated into strategic action by the state at all, but to the fact that they do translate into action, </w:t>
      </w:r>
      <w:r w:rsidR="002651E4" w:rsidRPr="00B94F53">
        <w:rPr>
          <w:rFonts w:ascii="Times New Roman" w:hAnsi="Times New Roman" w:cs="Times New Roman"/>
          <w:sz w:val="24"/>
          <w:szCs w:val="24"/>
        </w:rPr>
        <w:t>albeit at a slower pace</w:t>
      </w:r>
      <w:r w:rsidRPr="00B94F53">
        <w:rPr>
          <w:rFonts w:ascii="Times New Roman" w:hAnsi="Times New Roman" w:cs="Times New Roman"/>
          <w:sz w:val="24"/>
          <w:szCs w:val="24"/>
        </w:rPr>
        <w:t>. Speed reduction is systematic, working in all three strategic domains at once.</w:t>
      </w:r>
    </w:p>
    <w:p w14:paraId="0F77A8E8"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48C26A1E"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90" w:name="_Toc234504505"/>
      <w:bookmarkStart w:id="91" w:name="_Toc238117850"/>
      <w:r w:rsidRPr="00B94F53">
        <w:rPr>
          <w:rFonts w:ascii="Times New Roman" w:hAnsi="Times New Roman" w:cs="Times New Roman"/>
          <w:b/>
          <w:sz w:val="24"/>
          <w:szCs w:val="24"/>
        </w:rPr>
        <w:t>5.4.2 The Three Mechanisms by Which State Ownership Slows Reconfiguration</w:t>
      </w:r>
      <w:bookmarkEnd w:id="90"/>
      <w:bookmarkEnd w:id="91"/>
    </w:p>
    <w:p w14:paraId="656DDAE3"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results from Chapter Four show three different but interrelated mechanisms by which state ownership has a negative effect on experiential-knowledge-to-action translation (Uppsala) and resource reconfiguration (RBV). A grasp of these mechanisms is essential to a comprehension of why, state ownership is a structural moderator and not a correctable management shortcoming.</w:t>
      </w:r>
    </w:p>
    <w:p w14:paraId="5A3B3097"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422A80C"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second is regulatory differentiation. Rather, Bangladesh Bank imposes a different, and in some ways more stringent, prudential regulatory regime on state-owned commercial banks than on private-sector banks consistent with the fact that a failed SOB has systemic risk consequences for the financial stability of the nation, the fiscal exposure of the government, and the public confidence in the banking system (Bangladesh Bank, 2025). The most clear-cut example of this differentiated regulation is the foreign exchange position limits and hedging instruments that apply to state-owned banks, which prove to be more conservative than those for private banks, as detailed in Section 4.3.3, resulting in less flexibility in how state-owned </w:t>
      </w:r>
      <w:r w:rsidRPr="00B94F53">
        <w:rPr>
          <w:rFonts w:ascii="Times New Roman" w:hAnsi="Times New Roman" w:cs="Times New Roman"/>
          <w:sz w:val="24"/>
          <w:szCs w:val="24"/>
        </w:rPr>
        <w:lastRenderedPageBreak/>
        <w:t>banks can manage foreign exchange risk. In the RBV paradigm, these regulatory limitations put a cap on the dynamic capability endowment of the bank in the financial domain – even if the bank's treasury management team has the skills and desire to implement more advanced hedging strategies, the regulatory regime still imposes limits on what can be implemented, irrespective of intent.</w:t>
      </w:r>
    </w:p>
    <w:p w14:paraId="1811C43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095C9B2" w14:textId="282990EA"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third mechanism is that of rigidity in the structure of employment. Civil-service-adjacent working conditions at Sonali Bank also limit the bank's ability to offer the performance-based and market-competitive remuneration packages it needs to recruit and retain specialist digital workers in the UK and Bangladesh labour markets, due to having standardised grade-linked salary bands, ranking-based promotion, government-controlled pension obligations, and recruitment processes subject to public-sector employment rules (Boxall and Purcell, 2022; CIPD, 2025). This implies, according to the Uppsala perspective, that the bank is unable to recruit the human resources that are most essential for </w:t>
      </w:r>
      <w:r w:rsidR="008F775A" w:rsidRPr="00B94F53">
        <w:rPr>
          <w:rFonts w:ascii="Times New Roman" w:hAnsi="Times New Roman" w:cs="Times New Roman"/>
          <w:sz w:val="24"/>
          <w:szCs w:val="24"/>
        </w:rPr>
        <w:t>acting</w:t>
      </w:r>
      <w:r w:rsidRPr="00B94F53">
        <w:rPr>
          <w:rFonts w:ascii="Times New Roman" w:hAnsi="Times New Roman" w:cs="Times New Roman"/>
          <w:sz w:val="24"/>
          <w:szCs w:val="24"/>
        </w:rPr>
        <w:t xml:space="preserve"> based on their knowledge of the market. In the RBV model, it involves the bank's human resource capacity not being able to transform quickly enough to respond to the changing demands of digitalizing e-commerce at the rate required by the competitive landscape. In both, the outcome is the same: strategic intent exists but cannot be quickly translated into action in the institutional setting.</w:t>
      </w:r>
    </w:p>
    <w:p w14:paraId="5F8297B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D679CBD"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92" w:name="_Toc234504506"/>
      <w:bookmarkStart w:id="93" w:name="_Toc238117851"/>
      <w:r w:rsidRPr="00B94F53">
        <w:rPr>
          <w:rFonts w:ascii="Times New Roman" w:hAnsi="Times New Roman" w:cs="Times New Roman"/>
          <w:b/>
          <w:sz w:val="24"/>
          <w:szCs w:val="24"/>
        </w:rPr>
        <w:t>5.4.3 Comparison with Standard Chartered Bank: Unconstrained Dynamic Capabilities in the Same Corridor</w:t>
      </w:r>
      <w:bookmarkEnd w:id="92"/>
      <w:bookmarkEnd w:id="93"/>
    </w:p>
    <w:p w14:paraId="2AF4C7CB" w14:textId="5A9BE06A"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remittance corridor between the UK and Bangladesh offers the most compelling empirical support for the above theoretical </w:t>
      </w:r>
      <w:r w:rsidR="00BC71B7" w:rsidRPr="00B94F53">
        <w:rPr>
          <w:rFonts w:ascii="Times New Roman" w:hAnsi="Times New Roman" w:cs="Times New Roman"/>
          <w:sz w:val="24"/>
          <w:szCs w:val="24"/>
        </w:rPr>
        <w:t>argument. The</w:t>
      </w:r>
      <w:r w:rsidRPr="00B94F53">
        <w:rPr>
          <w:rFonts w:ascii="Times New Roman" w:hAnsi="Times New Roman" w:cs="Times New Roman"/>
          <w:sz w:val="24"/>
          <w:szCs w:val="24"/>
        </w:rPr>
        <w:t xml:space="preserve"> above theory is best illustrated with the remittance corridor between the UK and Bangladesh, where the UK has Sonali Bank and Bangladesh has Standard Chartered Bank. The corridor has one of the most commercially developed bilateral banking and remittance services that have been built and sustained through the deployment of dynamic capabilities that are not limited by state ownership - Standard Chartered.</w:t>
      </w:r>
    </w:p>
    <w:p w14:paraId="0C0F729D" w14:textId="77777777" w:rsidR="00BC71B7" w:rsidRDefault="00BC71B7" w:rsidP="00CC0D4A">
      <w:pPr>
        <w:spacing w:before="120" w:after="120" w:line="360" w:lineRule="auto"/>
        <w:jc w:val="both"/>
        <w:rPr>
          <w:rFonts w:ascii="Times New Roman" w:hAnsi="Times New Roman" w:cs="Times New Roman"/>
          <w:sz w:val="24"/>
          <w:szCs w:val="24"/>
        </w:rPr>
      </w:pPr>
    </w:p>
    <w:p w14:paraId="0BA17504" w14:textId="72BB072E"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As part of marketing, Standard Chartered has worked on personalised digital marketing campaigns targeting the </w:t>
      </w:r>
      <w:r w:rsidR="00BC71B7" w:rsidRPr="00B94F53">
        <w:rPr>
          <w:rFonts w:ascii="Times New Roman" w:hAnsi="Times New Roman" w:cs="Times New Roman"/>
          <w:sz w:val="24"/>
          <w:szCs w:val="24"/>
        </w:rPr>
        <w:t>British Bangladeshi</w:t>
      </w:r>
      <w:r w:rsidRPr="00B94F53">
        <w:rPr>
          <w:rFonts w:ascii="Times New Roman" w:hAnsi="Times New Roman" w:cs="Times New Roman"/>
          <w:sz w:val="24"/>
          <w:szCs w:val="24"/>
        </w:rPr>
        <w:t xml:space="preserve"> community using culturally relevant social media </w:t>
      </w:r>
      <w:r w:rsidRPr="00B94F53">
        <w:rPr>
          <w:rFonts w:ascii="Times New Roman" w:hAnsi="Times New Roman" w:cs="Times New Roman"/>
          <w:sz w:val="24"/>
          <w:szCs w:val="24"/>
        </w:rPr>
        <w:lastRenderedPageBreak/>
        <w:t>advertising, which is fully compliant with UK advertising standards and FCA regulations for online advertising and in-app push notifications in its mobile banking application (KPMG, 2024). This capability in marketing has been built through commercially driven brand strategy and marketing digital functions with complete creative and budgetary independence in the bank's decentralised global marketing structure, which Sonali Bank's governance and budget limitations are unable to replicate.</w:t>
      </w:r>
    </w:p>
    <w:p w14:paraId="4712F189"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3F38F3EA" w14:textId="1306B9FE"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Standard Chartered comparison shows that the gap in performance between Sonali Bank and its private sector competitors is not just about size, knowledge of the market or the presence of the diaspora; in fact, Sonali Bank is bigger in Bangladesh and has arguably more years of a diaspora history than Standard Chartered in the UK. The performance gap depends on the reconfiguration speed of dynamic </w:t>
      </w:r>
      <w:r w:rsidR="00BC71B7" w:rsidRPr="00B94F53">
        <w:rPr>
          <w:rFonts w:ascii="Times New Roman" w:hAnsi="Times New Roman" w:cs="Times New Roman"/>
          <w:sz w:val="24"/>
          <w:szCs w:val="24"/>
        </w:rPr>
        <w:t>capabilities,</w:t>
      </w:r>
      <w:r w:rsidRPr="00B94F53">
        <w:rPr>
          <w:rFonts w:ascii="Times New Roman" w:hAnsi="Times New Roman" w:cs="Times New Roman"/>
          <w:sz w:val="24"/>
          <w:szCs w:val="24"/>
        </w:rPr>
        <w:t xml:space="preserve"> and the speed difference is structurally determined by the moderating variable of state ownership identified in the theoretical framework of this dissertation.</w:t>
      </w:r>
    </w:p>
    <w:p w14:paraId="03206C3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06F21B5F"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94" w:name="_Toc234504507"/>
      <w:bookmarkStart w:id="95" w:name="_Toc238117852"/>
      <w:r w:rsidRPr="00B94F53">
        <w:rPr>
          <w:rFonts w:ascii="Times New Roman" w:hAnsi="Times New Roman" w:cs="Times New Roman"/>
          <w:b/>
          <w:sz w:val="24"/>
          <w:szCs w:val="24"/>
        </w:rPr>
        <w:t>5.4.4 Comparison with bKash: The Fintech Extreme</w:t>
      </w:r>
      <w:bookmarkEnd w:id="94"/>
      <w:bookmarkEnd w:id="95"/>
    </w:p>
    <w:p w14:paraId="1110CA4E"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the case of dynamic capability reconfiguration, bKash is the fintech extreme – a financial institution that is not a part of the state-owned banking governance framework, has a lighter-touch regulatory regime, and in structure is not constrained in its ability to sense, seize and reconfigure resources according to the pace of the digital market.</w:t>
      </w:r>
    </w:p>
    <w:p w14:paraId="765F8D47"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446C003"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bKash comparison enhances the theoretical argument further. The competitive threat bKash poses to Sonali Bank in the remittance disbursement market is less one of better market knowledge, and more one of superior brand trust—Sonali Bank has a much more entrenched and culturally established brand in the category of large, irregular, high-stakes remittance transfers. The challenge is speed, convenience and cost for the low-dollar, high volume of remittances that make up most of the volume in the corridor. And Sonali Bank cannot respond to that challenge in the same way they would by using existing resources more efficiently because they are state-owned. The state ownership moderation of dynamic capabilities, as outlined in this dissertation's elaborated theoretical framework, is targeted at the analytical gap highlighted above.</w:t>
      </w:r>
    </w:p>
    <w:p w14:paraId="21F7CCF5"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7940ED28" w14:textId="6EE41D6E" w:rsidR="00CC0D4A" w:rsidRPr="00B94F53" w:rsidRDefault="008C6DEC" w:rsidP="008C6DEC">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Table</w:t>
      </w:r>
      <w:r w:rsidR="00E22C58" w:rsidRPr="00B94F53">
        <w:rPr>
          <w:rFonts w:ascii="Times New Roman" w:hAnsi="Times New Roman" w:cs="Times New Roman"/>
          <w:b/>
          <w:bCs/>
          <w:sz w:val="24"/>
          <w:szCs w:val="24"/>
        </w:rPr>
        <w:t xml:space="preserve"> 5.1</w:t>
      </w:r>
      <w:r w:rsidRPr="00B94F53">
        <w:rPr>
          <w:rFonts w:ascii="Times New Roman" w:hAnsi="Times New Roman" w:cs="Times New Roman"/>
          <w:b/>
          <w:bCs/>
          <w:sz w:val="24"/>
          <w:szCs w:val="24"/>
        </w:rPr>
        <w:t>: Comparison of Sonali Bank, Standard Chartered and bKash Across Strategic Domains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2500"/>
        <w:gridCol w:w="2500"/>
        <w:gridCol w:w="2460"/>
      </w:tblGrid>
      <w:tr w:rsidR="00BD3FFE" w:rsidRPr="00B94F53" w14:paraId="3911856A" w14:textId="77777777" w:rsidTr="00BD3FFE">
        <w:trPr>
          <w:tblHeader/>
        </w:trPr>
        <w:tc>
          <w:tcPr>
            <w:tcW w:w="19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4AD70EF7"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Domain</w:t>
            </w:r>
          </w:p>
        </w:tc>
        <w:tc>
          <w:tcPr>
            <w:tcW w:w="25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37660840"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Sonali Bank (State-Owned)</w:t>
            </w:r>
          </w:p>
        </w:tc>
        <w:tc>
          <w:tcPr>
            <w:tcW w:w="25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60575604"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Standard Chartered (Private)</w:t>
            </w:r>
          </w:p>
        </w:tc>
        <w:tc>
          <w:tcPr>
            <w:tcW w:w="246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118BBE55"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bKash (Fintech)</w:t>
            </w:r>
          </w:p>
        </w:tc>
      </w:tr>
      <w:tr w:rsidR="00BD3FFE" w:rsidRPr="00B94F53" w14:paraId="4722B760" w14:textId="77777777" w:rsidTr="00BD3FFE">
        <w:tc>
          <w:tcPr>
            <w:tcW w:w="19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703818BC"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Marketing</w:t>
            </w:r>
          </w:p>
        </w:tc>
        <w:tc>
          <w:tcPr>
            <w:tcW w:w="25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3319CD59"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Reactive; dual regulatory postures; brand trust underused</w:t>
            </w:r>
          </w:p>
        </w:tc>
        <w:tc>
          <w:tcPr>
            <w:tcW w:w="25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7FE79C48"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Centralised, commercially driven digital campaigns; full FCA-compliant personalisation</w:t>
            </w:r>
          </w:p>
        </w:tc>
        <w:tc>
          <w:tcPr>
            <w:tcW w:w="24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736364E6"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Algorithmic targeting; celebrity endorsement; real-time campaign cycles</w:t>
            </w:r>
          </w:p>
        </w:tc>
      </w:tr>
      <w:tr w:rsidR="00BD3FFE" w:rsidRPr="00B94F53" w14:paraId="200AD06D" w14:textId="77777777" w:rsidTr="00BD3FFE">
        <w:tc>
          <w:tcPr>
            <w:tcW w:w="19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19E1C667"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Financial / Payment Architecture</w:t>
            </w:r>
          </w:p>
        </w:tc>
        <w:tc>
          <w:tcPr>
            <w:tcW w:w="25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05851FCF"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Two disconnected rails (CHAPS/SWIFT + bKash); slow currency hedging via government approval</w:t>
            </w:r>
          </w:p>
        </w:tc>
        <w:tc>
          <w:tcPr>
            <w:tcW w:w="25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5F21F920"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Centralised real-time FX hedging; cross-subsidised pricing</w:t>
            </w:r>
          </w:p>
        </w:tc>
        <w:tc>
          <w:tcPr>
            <w:tcW w:w="246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355F31EB"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API-linked near-real-time settlement (Alipay, </w:t>
            </w:r>
            <w:proofErr w:type="spellStart"/>
            <w:r w:rsidRPr="00B94F53">
              <w:rPr>
                <w:rFonts w:ascii="Times New Roman" w:hAnsi="Times New Roman" w:cs="Times New Roman"/>
                <w:sz w:val="24"/>
                <w:szCs w:val="24"/>
              </w:rPr>
              <w:t>Remitly</w:t>
            </w:r>
            <w:proofErr w:type="spellEnd"/>
            <w:r w:rsidRPr="00B94F53">
              <w:rPr>
                <w:rFonts w:ascii="Times New Roman" w:hAnsi="Times New Roman" w:cs="Times New Roman"/>
                <w:sz w:val="24"/>
                <w:szCs w:val="24"/>
              </w:rPr>
              <w:t xml:space="preserve">, </w:t>
            </w:r>
            <w:proofErr w:type="spellStart"/>
            <w:r w:rsidRPr="00B94F53">
              <w:rPr>
                <w:rFonts w:ascii="Times New Roman" w:hAnsi="Times New Roman" w:cs="Times New Roman"/>
                <w:sz w:val="24"/>
                <w:szCs w:val="24"/>
              </w:rPr>
              <w:t>WorldRemit</w:t>
            </w:r>
            <w:proofErr w:type="spellEnd"/>
            <w:r w:rsidRPr="00B94F53">
              <w:rPr>
                <w:rFonts w:ascii="Times New Roman" w:hAnsi="Times New Roman" w:cs="Times New Roman"/>
                <w:sz w:val="24"/>
                <w:szCs w:val="24"/>
              </w:rPr>
              <w:t>)</w:t>
            </w:r>
          </w:p>
        </w:tc>
      </w:tr>
      <w:tr w:rsidR="00BD3FFE" w:rsidRPr="00B94F53" w14:paraId="37CF3E36" w14:textId="77777777" w:rsidTr="00BD3FFE">
        <w:tc>
          <w:tcPr>
            <w:tcW w:w="19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59EAA715"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Human Capital</w:t>
            </w:r>
          </w:p>
        </w:tc>
        <w:tc>
          <w:tcPr>
            <w:tcW w:w="25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1A18C765"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Civil-service-adjacent pay scales; slow upskilling; UK talent attrition risk</w:t>
            </w:r>
          </w:p>
        </w:tc>
        <w:tc>
          <w:tcPr>
            <w:tcW w:w="25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3A61D59"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Market-rate City pay, bonuses, equity; structured digital talent pipelines</w:t>
            </w:r>
          </w:p>
        </w:tc>
        <w:tc>
          <w:tcPr>
            <w:tcW w:w="24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56C0A6E3"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Competitive graduate pay; fast-iteration product culture</w:t>
            </w:r>
          </w:p>
        </w:tc>
      </w:tr>
      <w:tr w:rsidR="00BD3FFE" w:rsidRPr="00B94F53" w14:paraId="2F2DB7DB" w14:textId="77777777" w:rsidTr="00BD3FFE">
        <w:tc>
          <w:tcPr>
            <w:tcW w:w="19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24927F1A"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Reconfiguration Speed</w:t>
            </w:r>
          </w:p>
        </w:tc>
        <w:tc>
          <w:tcPr>
            <w:tcW w:w="25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2322C7FD"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Slow — governance approval latency</w:t>
            </w:r>
          </w:p>
        </w:tc>
        <w:tc>
          <w:tcPr>
            <w:tcW w:w="25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085EE997"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Fast — full commercial autonomy</w:t>
            </w:r>
          </w:p>
        </w:tc>
        <w:tc>
          <w:tcPr>
            <w:tcW w:w="246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3C33ED91"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Fastest — lightest regulatory burden</w:t>
            </w:r>
          </w:p>
        </w:tc>
      </w:tr>
    </w:tbl>
    <w:p w14:paraId="153D526E" w14:textId="11DC11EA"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Source: Compiled from KPMG (2024); CIPD (2025); Bangladesh Bank (2025); Boxall and Purcell (2022), as synthesised in Sections 4.2–4.4 and 5.4 of </w:t>
      </w:r>
      <w:r w:rsidR="00055BF9" w:rsidRPr="00B94F53">
        <w:rPr>
          <w:rFonts w:ascii="Times New Roman" w:hAnsi="Times New Roman" w:cs="Times New Roman"/>
          <w:sz w:val="24"/>
          <w:szCs w:val="24"/>
        </w:rPr>
        <w:t>this dissertation</w:t>
      </w:r>
      <w:r w:rsidRPr="00B94F53">
        <w:rPr>
          <w:rFonts w:ascii="Times New Roman" w:hAnsi="Times New Roman" w:cs="Times New Roman"/>
          <w:sz w:val="24"/>
          <w:szCs w:val="24"/>
        </w:rPr>
        <w:t>.</w:t>
      </w:r>
    </w:p>
    <w:p w14:paraId="264FA7F3" w14:textId="77777777" w:rsidR="00BC71B7" w:rsidRDefault="00BC71B7" w:rsidP="00CC0D4A">
      <w:pPr>
        <w:spacing w:before="260" w:after="120" w:line="360" w:lineRule="auto"/>
        <w:outlineLvl w:val="2"/>
        <w:rPr>
          <w:rFonts w:ascii="Times New Roman" w:hAnsi="Times New Roman" w:cs="Times New Roman"/>
          <w:b/>
          <w:sz w:val="24"/>
          <w:szCs w:val="24"/>
        </w:rPr>
      </w:pPr>
      <w:bookmarkStart w:id="96" w:name="_Toc234504508"/>
      <w:bookmarkStart w:id="97" w:name="_Toc238117853"/>
    </w:p>
    <w:p w14:paraId="6C8FFB28" w14:textId="3A7E9CBC" w:rsidR="00CC0D4A" w:rsidRPr="00B94F53" w:rsidRDefault="00CC0D4A" w:rsidP="00CC0D4A">
      <w:pPr>
        <w:spacing w:before="260" w:after="120" w:line="360" w:lineRule="auto"/>
        <w:outlineLvl w:val="2"/>
        <w:rPr>
          <w:rFonts w:ascii="Times New Roman" w:hAnsi="Times New Roman" w:cs="Times New Roman"/>
          <w:b/>
          <w:sz w:val="24"/>
          <w:szCs w:val="24"/>
        </w:rPr>
      </w:pPr>
      <w:r w:rsidRPr="00B94F53">
        <w:rPr>
          <w:rFonts w:ascii="Times New Roman" w:hAnsi="Times New Roman" w:cs="Times New Roman"/>
          <w:b/>
          <w:sz w:val="24"/>
          <w:szCs w:val="24"/>
        </w:rPr>
        <w:t>5.4.5 The Positive Asymmetry: What State Ownership Preserves</w:t>
      </w:r>
      <w:bookmarkEnd w:id="96"/>
      <w:bookmarkEnd w:id="97"/>
    </w:p>
    <w:p w14:paraId="6AA32C62" w14:textId="694AF07B"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 xml:space="preserve">In the integrated discussion, </w:t>
      </w:r>
      <w:r w:rsidR="0045780A" w:rsidRPr="00B94F53">
        <w:rPr>
          <w:rFonts w:ascii="Times New Roman" w:hAnsi="Times New Roman" w:cs="Times New Roman"/>
          <w:sz w:val="24"/>
          <w:szCs w:val="24"/>
        </w:rPr>
        <w:t>it mustn't be</w:t>
      </w:r>
      <w:r w:rsidRPr="00B94F53">
        <w:rPr>
          <w:rFonts w:ascii="Times New Roman" w:hAnsi="Times New Roman" w:cs="Times New Roman"/>
          <w:sz w:val="24"/>
          <w:szCs w:val="24"/>
        </w:rPr>
        <w:t xml:space="preserve"> a simple story of state-owned disadvantage. Comparing the speed of reconfiguration between Standard Chartered and bKash reveals the difference in the time it takes to reconfigure, but it doesn't consider the dimension in which state ownership confers a competitive insulation that private </w:t>
      </w:r>
      <w:r w:rsidR="0045780A" w:rsidRPr="00B94F53">
        <w:rPr>
          <w:rFonts w:ascii="Times New Roman" w:hAnsi="Times New Roman" w:cs="Times New Roman"/>
          <w:sz w:val="24"/>
          <w:szCs w:val="24"/>
        </w:rPr>
        <w:t>banks</w:t>
      </w:r>
      <w:r w:rsidRPr="00B94F53">
        <w:rPr>
          <w:rFonts w:ascii="Times New Roman" w:hAnsi="Times New Roman" w:cs="Times New Roman"/>
          <w:sz w:val="24"/>
          <w:szCs w:val="24"/>
        </w:rPr>
        <w:t xml:space="preserve"> and </w:t>
      </w:r>
      <w:r w:rsidR="0045780A" w:rsidRPr="00B94F53">
        <w:rPr>
          <w:rFonts w:ascii="Times New Roman" w:hAnsi="Times New Roman" w:cs="Times New Roman"/>
          <w:sz w:val="24"/>
          <w:szCs w:val="24"/>
        </w:rPr>
        <w:t>fintechs</w:t>
      </w:r>
      <w:r w:rsidRPr="00B94F53">
        <w:rPr>
          <w:rFonts w:ascii="Times New Roman" w:hAnsi="Times New Roman" w:cs="Times New Roman"/>
          <w:sz w:val="24"/>
          <w:szCs w:val="24"/>
        </w:rPr>
        <w:t xml:space="preserve"> can hardly penetrate.</w:t>
      </w:r>
    </w:p>
    <w:p w14:paraId="629EB9BC"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0EA9960" w14:textId="34C9771C"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trust of the diaspora in Sonali Bank, recorded in Section 4.2.3, is not just a one-off event, but is continually reproduced and reinforced by the bank's state-owned identity. Since the bank is the government of Bangladesh's own bank, the institution that oversees government payroll, pension payments and operations of the national treasury, the bank enjoys a first-class customer confidence among the </w:t>
      </w:r>
      <w:r w:rsidR="00BC71B7" w:rsidRPr="00B94F53">
        <w:rPr>
          <w:rFonts w:ascii="Times New Roman" w:hAnsi="Times New Roman" w:cs="Times New Roman"/>
          <w:sz w:val="24"/>
          <w:szCs w:val="24"/>
        </w:rPr>
        <w:t>first-generation</w:t>
      </w:r>
      <w:r w:rsidRPr="00B94F53">
        <w:rPr>
          <w:rFonts w:ascii="Times New Roman" w:hAnsi="Times New Roman" w:cs="Times New Roman"/>
          <w:sz w:val="24"/>
          <w:szCs w:val="24"/>
        </w:rPr>
        <w:t xml:space="preserve"> </w:t>
      </w:r>
      <w:r w:rsidR="00BC71B7" w:rsidRPr="00B94F53">
        <w:rPr>
          <w:rFonts w:ascii="Times New Roman" w:hAnsi="Times New Roman" w:cs="Times New Roman"/>
          <w:sz w:val="24"/>
          <w:szCs w:val="24"/>
        </w:rPr>
        <w:t>British Bangladeshi</w:t>
      </w:r>
      <w:r w:rsidRPr="00B94F53">
        <w:rPr>
          <w:rFonts w:ascii="Times New Roman" w:hAnsi="Times New Roman" w:cs="Times New Roman"/>
          <w:sz w:val="24"/>
          <w:szCs w:val="24"/>
        </w:rPr>
        <w:t xml:space="preserve"> migrants who transact large property deals, inherit or remit funds during crisis. This trust is not merely a product of commercial policy, but rather a result of institutional identity, which is based on state ownership itself.</w:t>
      </w:r>
    </w:p>
    <w:p w14:paraId="70BC8800"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BF4C684"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98" w:name="_Toc234504509"/>
      <w:bookmarkStart w:id="99" w:name="_Toc238117854"/>
      <w:r w:rsidRPr="00B94F53">
        <w:rPr>
          <w:rFonts w:ascii="Times New Roman" w:hAnsi="Times New Roman" w:cs="Times New Roman"/>
          <w:b/>
          <w:sz w:val="24"/>
          <w:szCs w:val="24"/>
        </w:rPr>
        <w:t>5.5 Answering the Research Questions</w:t>
      </w:r>
      <w:bookmarkEnd w:id="98"/>
      <w:bookmarkEnd w:id="99"/>
    </w:p>
    <w:p w14:paraId="187074BF" w14:textId="3A6399A2"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Evidence in response to the main research question: How has Sonali Bank integrated e-commerce into its international banking and remittance operations across the UK and Bangladesh and what are the different marketing, financial and human capital strategies supporting this integration, shows that the bank's use of e-commerce is primarily to maintain parallel, </w:t>
      </w:r>
      <w:r w:rsidR="002651E4" w:rsidRPr="00B94F53">
        <w:rPr>
          <w:rFonts w:ascii="Times New Roman" w:hAnsi="Times New Roman" w:cs="Times New Roman"/>
          <w:sz w:val="24"/>
          <w:szCs w:val="24"/>
        </w:rPr>
        <w:t>market-specific</w:t>
      </w:r>
      <w:r w:rsidRPr="00B94F53">
        <w:rPr>
          <w:rFonts w:ascii="Times New Roman" w:hAnsi="Times New Roman" w:cs="Times New Roman"/>
          <w:sz w:val="24"/>
          <w:szCs w:val="24"/>
        </w:rPr>
        <w:t xml:space="preserve"> compliance and settlement capability and not a single, unified cross-border digital strategy. In both the UK and Bangladesh, this means: an FCA-aligned, CHAPS-based open banking integration, and a bKash-compatible, Bangladesh Bank-regulated MFS settlement approach. The differing strategies in the two markets are significantly due to the differences in customer demand and, most </w:t>
      </w:r>
      <w:r w:rsidR="002651E4" w:rsidRPr="00B94F53">
        <w:rPr>
          <w:rFonts w:ascii="Times New Roman" w:hAnsi="Times New Roman" w:cs="Times New Roman"/>
          <w:sz w:val="24"/>
          <w:szCs w:val="24"/>
        </w:rPr>
        <w:t>importantly</w:t>
      </w:r>
      <w:r w:rsidRPr="00B94F53">
        <w:rPr>
          <w:rFonts w:ascii="Times New Roman" w:hAnsi="Times New Roman" w:cs="Times New Roman"/>
          <w:sz w:val="24"/>
          <w:szCs w:val="24"/>
        </w:rPr>
        <w:t>, due to regulatory differences and state-ownership constraints.</w:t>
      </w:r>
    </w:p>
    <w:p w14:paraId="069BC2E7"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D3B7F1B" w14:textId="0DE13435"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findings in Sub-Question 1 (How differences in regulatory framework, fintech infrastructure and consumer behaviour influence the marketing and financial strategies of Sonali Bank in the UK and Bangladesh) showcase that these differences are the most important drivers of financial and marketing strategies in both markets. In Bangladesh, the lack of </w:t>
      </w:r>
      <w:r w:rsidRPr="00B94F53">
        <w:rPr>
          <w:rFonts w:ascii="Times New Roman" w:hAnsi="Times New Roman" w:cs="Times New Roman"/>
          <w:sz w:val="24"/>
          <w:szCs w:val="24"/>
        </w:rPr>
        <w:lastRenderedPageBreak/>
        <w:t xml:space="preserve">regulation in financial promotions allows for messaging that is not driven by compliance, whereas the UK marketing requirements for financial promotions and ICO data minimisation rules will not allow for such. At the same time, the structural incompatibility of the CHAPS settlement in the UK and </w:t>
      </w:r>
      <w:r w:rsidR="002651E4" w:rsidRPr="00B94F53">
        <w:rPr>
          <w:rFonts w:ascii="Times New Roman" w:hAnsi="Times New Roman" w:cs="Times New Roman"/>
          <w:sz w:val="24"/>
          <w:szCs w:val="24"/>
        </w:rPr>
        <w:t xml:space="preserve">the </w:t>
      </w:r>
      <w:r w:rsidRPr="00B94F53">
        <w:rPr>
          <w:rFonts w:ascii="Times New Roman" w:hAnsi="Times New Roman" w:cs="Times New Roman"/>
          <w:sz w:val="24"/>
          <w:szCs w:val="24"/>
        </w:rPr>
        <w:t xml:space="preserve">bKash settlement in Bangladesh makes it necessary for the bank to have two financial architectures and the currency hedging restrictions of </w:t>
      </w:r>
      <w:r w:rsidR="002651E4" w:rsidRPr="00B94F53">
        <w:rPr>
          <w:rFonts w:ascii="Times New Roman" w:hAnsi="Times New Roman" w:cs="Times New Roman"/>
          <w:sz w:val="24"/>
          <w:szCs w:val="24"/>
        </w:rPr>
        <w:t xml:space="preserve">the </w:t>
      </w:r>
      <w:r w:rsidRPr="00B94F53">
        <w:rPr>
          <w:rFonts w:ascii="Times New Roman" w:hAnsi="Times New Roman" w:cs="Times New Roman"/>
          <w:sz w:val="24"/>
          <w:szCs w:val="24"/>
        </w:rPr>
        <w:t xml:space="preserve">Bangladesh Bank aggravate this </w:t>
      </w:r>
      <w:r w:rsidR="002651E4" w:rsidRPr="00B94F53">
        <w:rPr>
          <w:rFonts w:ascii="Times New Roman" w:hAnsi="Times New Roman" w:cs="Times New Roman"/>
          <w:sz w:val="24"/>
          <w:szCs w:val="24"/>
        </w:rPr>
        <w:t>incompatibility. In</w:t>
      </w:r>
      <w:r w:rsidRPr="00B94F53">
        <w:rPr>
          <w:rFonts w:ascii="Times New Roman" w:hAnsi="Times New Roman" w:cs="Times New Roman"/>
          <w:sz w:val="24"/>
          <w:szCs w:val="24"/>
        </w:rPr>
        <w:t xml:space="preserve"> parallel, structural incompatibility along the currency settlement between CHAPS settlement in the UK and bKash settlement in Bangladesh makes it necessary to have two financial architectures at the bank, and the Bangladesh </w:t>
      </w:r>
      <w:r w:rsidR="002651E4" w:rsidRPr="00B94F53">
        <w:rPr>
          <w:rFonts w:ascii="Times New Roman" w:hAnsi="Times New Roman" w:cs="Times New Roman"/>
          <w:sz w:val="24"/>
          <w:szCs w:val="24"/>
        </w:rPr>
        <w:t>Bank's</w:t>
      </w:r>
      <w:r w:rsidRPr="00B94F53">
        <w:rPr>
          <w:rFonts w:ascii="Times New Roman" w:hAnsi="Times New Roman" w:cs="Times New Roman"/>
          <w:sz w:val="24"/>
          <w:szCs w:val="24"/>
        </w:rPr>
        <w:t xml:space="preserve"> currency hedging restrictions compound this incompatibility by restricting the treasury instruments available to manage the exchange rate risk that exists across the corridor. This is reflected in the World Bank's (2025) remittance pricing data</w:t>
      </w:r>
      <w:r w:rsidR="0045780A" w:rsidRPr="00B94F53">
        <w:rPr>
          <w:rFonts w:ascii="Times New Roman" w:hAnsi="Times New Roman" w:cs="Times New Roman"/>
          <w:sz w:val="24"/>
          <w:szCs w:val="24"/>
        </w:rPr>
        <w:t>,</w:t>
      </w:r>
      <w:r w:rsidRPr="00B94F53">
        <w:rPr>
          <w:rFonts w:ascii="Times New Roman" w:hAnsi="Times New Roman" w:cs="Times New Roman"/>
          <w:sz w:val="24"/>
          <w:szCs w:val="24"/>
        </w:rPr>
        <w:t xml:space="preserve"> which shows that it remains at a structural pricing disadvantage compared to fintech competitors, with transfer costs that are above the G20 benchmark.</w:t>
      </w:r>
    </w:p>
    <w:p w14:paraId="31710676"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E87FFBB" w14:textId="66AD8022"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Regarding Sub-Question 2, 'How </w:t>
      </w:r>
      <w:r w:rsidR="002651E4" w:rsidRPr="00B94F53">
        <w:rPr>
          <w:rFonts w:ascii="Times New Roman" w:hAnsi="Times New Roman" w:cs="Times New Roman"/>
          <w:sz w:val="24"/>
          <w:szCs w:val="24"/>
        </w:rPr>
        <w:t>do</w:t>
      </w:r>
      <w:r w:rsidRPr="00B94F53">
        <w:rPr>
          <w:rFonts w:ascii="Times New Roman" w:hAnsi="Times New Roman" w:cs="Times New Roman"/>
          <w:sz w:val="24"/>
          <w:szCs w:val="24"/>
        </w:rPr>
        <w:t xml:space="preserve"> Sonali Bank's human capital strategies hinder or support its capacity to retain and expand its e-commerce integration?', the results suggest that at this moment human capital is a hindrance </w:t>
      </w:r>
      <w:r w:rsidR="002651E4" w:rsidRPr="00B94F53">
        <w:rPr>
          <w:rFonts w:ascii="Times New Roman" w:hAnsi="Times New Roman" w:cs="Times New Roman"/>
          <w:sz w:val="24"/>
          <w:szCs w:val="24"/>
        </w:rPr>
        <w:t>to</w:t>
      </w:r>
      <w:r w:rsidRPr="00B94F53">
        <w:rPr>
          <w:rFonts w:ascii="Times New Roman" w:hAnsi="Times New Roman" w:cs="Times New Roman"/>
          <w:sz w:val="24"/>
          <w:szCs w:val="24"/>
        </w:rPr>
        <w:t xml:space="preserve"> the scalability of e-commerce integration rather than a facilitator. Specialist digital &amp; compliance jobs are subject to risk of retention in the UK due to post-Brexit talent scarcity, and the bank's ability to provide competitive offers. If civil-service-adjacent employment conditions and slower upskilling investments in Bangladesh create a capability gap compared to private-sector competitors, how can this be resolved? These human capital challenges collectively imply that, despite strategic investments approved by the governance processes at Sonali Bank, the human capacity needed to execute the investments and keep them going is hard to build and hold up to the competitive pace.</w:t>
      </w:r>
    </w:p>
    <w:p w14:paraId="6BDA0B62"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26F3A4B1"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1F5A0A9E" w14:textId="77777777" w:rsidR="00EF13B6" w:rsidRPr="00B94F53" w:rsidRDefault="00EF13B6" w:rsidP="00CC0D4A">
      <w:pPr>
        <w:pStyle w:val="Strong1"/>
        <w:spacing w:line="360" w:lineRule="auto"/>
        <w:jc w:val="both"/>
        <w:rPr>
          <w:rFonts w:ascii="Times New Roman" w:hAnsi="Times New Roman" w:cs="Times New Roman"/>
          <w:b w:val="0"/>
          <w:bCs w:val="0"/>
          <w:sz w:val="24"/>
          <w:szCs w:val="24"/>
        </w:rPr>
      </w:pPr>
    </w:p>
    <w:p w14:paraId="390B8167" w14:textId="77777777" w:rsidR="00BC71B7" w:rsidRDefault="00BC71B7" w:rsidP="00045607">
      <w:pPr>
        <w:pStyle w:val="Heading1"/>
        <w:rPr>
          <w:rFonts w:ascii="Times New Roman" w:hAnsi="Times New Roman" w:cs="Times New Roman"/>
        </w:rPr>
      </w:pPr>
      <w:bookmarkStart w:id="100" w:name="_Toc234504511"/>
      <w:bookmarkStart w:id="101" w:name="_Toc238117855"/>
    </w:p>
    <w:p w14:paraId="3426AB97" w14:textId="77777777" w:rsidR="00675D5A" w:rsidRDefault="00675D5A" w:rsidP="00045607">
      <w:pPr>
        <w:pStyle w:val="Heading1"/>
        <w:rPr>
          <w:rFonts w:ascii="Times New Roman" w:hAnsi="Times New Roman" w:cs="Times New Roman"/>
        </w:rPr>
      </w:pPr>
    </w:p>
    <w:p w14:paraId="3AD42719" w14:textId="77777777" w:rsidR="008F775A" w:rsidRDefault="008F775A" w:rsidP="00045607">
      <w:pPr>
        <w:pStyle w:val="Heading1"/>
        <w:rPr>
          <w:rFonts w:ascii="Times New Roman" w:hAnsi="Times New Roman" w:cs="Times New Roman"/>
        </w:rPr>
      </w:pPr>
    </w:p>
    <w:p w14:paraId="510847B3" w14:textId="77777777" w:rsidR="008F775A" w:rsidRDefault="008F775A" w:rsidP="00045607">
      <w:pPr>
        <w:pStyle w:val="Heading1"/>
        <w:rPr>
          <w:rFonts w:ascii="Times New Roman" w:hAnsi="Times New Roman" w:cs="Times New Roman"/>
        </w:rPr>
      </w:pPr>
    </w:p>
    <w:p w14:paraId="2CAB773C" w14:textId="77ECC32B" w:rsidR="00CC0D4A" w:rsidRPr="00B94F53" w:rsidRDefault="00CC0D4A" w:rsidP="00045607">
      <w:pPr>
        <w:pStyle w:val="Heading1"/>
        <w:rPr>
          <w:rFonts w:ascii="Times New Roman" w:hAnsi="Times New Roman" w:cs="Times New Roman"/>
        </w:rPr>
      </w:pPr>
      <w:r w:rsidRPr="00B94F53">
        <w:rPr>
          <w:rFonts w:ascii="Times New Roman" w:hAnsi="Times New Roman" w:cs="Times New Roman"/>
        </w:rPr>
        <w:t>Chapter Six: Conclusion and Recommendations</w:t>
      </w:r>
      <w:bookmarkEnd w:id="100"/>
      <w:bookmarkEnd w:id="101"/>
    </w:p>
    <w:p w14:paraId="490A0B25" w14:textId="77777777" w:rsidR="00CC0D4A" w:rsidRPr="00B94F53" w:rsidRDefault="00CC0D4A" w:rsidP="00045607">
      <w:pPr>
        <w:pStyle w:val="Heading2"/>
        <w:rPr>
          <w:rFonts w:ascii="Times New Roman" w:hAnsi="Times New Roman" w:cs="Times New Roman"/>
        </w:rPr>
      </w:pPr>
      <w:bookmarkStart w:id="102" w:name="_Toc234504512"/>
      <w:bookmarkStart w:id="103" w:name="_Toc238117856"/>
      <w:r w:rsidRPr="00B94F53">
        <w:rPr>
          <w:rFonts w:ascii="Times New Roman" w:hAnsi="Times New Roman" w:cs="Times New Roman"/>
        </w:rPr>
        <w:t>6.1 Introduction</w:t>
      </w:r>
      <w:bookmarkEnd w:id="102"/>
      <w:bookmarkEnd w:id="103"/>
    </w:p>
    <w:p w14:paraId="215A55D2" w14:textId="02C281B1"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In this last chapter, the results of the dissertation are collected. It highlights the findings that will address the aim and objectives of the research stated in Chapter One, evaluates the answers to the research question and sub-questions, summarises the theoretical and practical implications of the research, makes suggestions for Sonali Bank and for the policy makers, and recaps the limitations of the study and suggests future directions for study. The chapter ends with </w:t>
      </w:r>
      <w:r w:rsidR="005841D5" w:rsidRPr="00B94F53">
        <w:rPr>
          <w:rFonts w:ascii="Times New Roman" w:eastAsia="Calibri" w:hAnsi="Times New Roman" w:cs="Times New Roman"/>
          <w:sz w:val="24"/>
          <w:szCs w:val="24"/>
        </w:rPr>
        <w:t>a summary</w:t>
      </w:r>
      <w:r w:rsidRPr="00B94F53">
        <w:rPr>
          <w:rFonts w:ascii="Times New Roman" w:eastAsia="Calibri" w:hAnsi="Times New Roman" w:cs="Times New Roman"/>
          <w:sz w:val="24"/>
          <w:szCs w:val="24"/>
        </w:rPr>
        <w:t xml:space="preserve"> of the entire study.</w:t>
      </w:r>
    </w:p>
    <w:p w14:paraId="4F2AB294"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219B28CA" w14:textId="77777777" w:rsidR="00CC0D4A" w:rsidRPr="00B94F53" w:rsidRDefault="00CC0D4A" w:rsidP="00045607">
      <w:pPr>
        <w:pStyle w:val="Heading2"/>
        <w:rPr>
          <w:rFonts w:ascii="Times New Roman" w:hAnsi="Times New Roman" w:cs="Times New Roman"/>
        </w:rPr>
      </w:pPr>
      <w:bookmarkStart w:id="104" w:name="_Toc234504513"/>
      <w:bookmarkStart w:id="105" w:name="_Toc238117857"/>
      <w:r w:rsidRPr="00B94F53">
        <w:rPr>
          <w:rFonts w:ascii="Times New Roman" w:hAnsi="Times New Roman" w:cs="Times New Roman"/>
        </w:rPr>
        <w:t>6.2 Summary of Key Findings</w:t>
      </w:r>
      <w:bookmarkEnd w:id="104"/>
      <w:bookmarkEnd w:id="105"/>
    </w:p>
    <w:p w14:paraId="58789C82" w14:textId="503378E4"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study aimed to analyse and compare the marketing, financial, human capital strategies Sonali Bank adopted to incorporate e-commerce in its business operations in United Kingdom and Bangladesh. If we look at all three areas</w:t>
      </w:r>
      <w:r w:rsidR="0045780A" w:rsidRPr="00B94F53">
        <w:rPr>
          <w:rFonts w:ascii="Times New Roman" w:eastAsia="Calibri" w:hAnsi="Times New Roman" w:cs="Times New Roman"/>
          <w:sz w:val="24"/>
          <w:szCs w:val="24"/>
        </w:rPr>
        <w:t>,</w:t>
      </w:r>
      <w:r w:rsidRPr="00B94F53">
        <w:rPr>
          <w:rFonts w:ascii="Times New Roman" w:eastAsia="Calibri" w:hAnsi="Times New Roman" w:cs="Times New Roman"/>
          <w:sz w:val="24"/>
          <w:szCs w:val="24"/>
        </w:rPr>
        <w:t xml:space="preserve"> we can see that there is evidence that shows a pattern. Sonali Bank does not have one way of doing things it has two different ways that are very distinct from each other. The main reason, for this is because of how the bank interacts with the rules and regulations of each country and the fact that the bank is owned by the state. Sonali </w:t>
      </w:r>
      <w:r w:rsidR="0045780A" w:rsidRPr="00B94F53">
        <w:rPr>
          <w:rFonts w:ascii="Times New Roman" w:eastAsia="Calibri" w:hAnsi="Times New Roman" w:cs="Times New Roman"/>
          <w:sz w:val="24"/>
          <w:szCs w:val="24"/>
        </w:rPr>
        <w:t>Bank's</w:t>
      </w:r>
      <w:r w:rsidRPr="00B94F53">
        <w:rPr>
          <w:rFonts w:ascii="Times New Roman" w:eastAsia="Calibri" w:hAnsi="Times New Roman" w:cs="Times New Roman"/>
          <w:sz w:val="24"/>
          <w:szCs w:val="24"/>
        </w:rPr>
        <w:t xml:space="preserve"> approach is really shaped by these interactions and its </w:t>
      </w:r>
      <w:r w:rsidR="0045780A" w:rsidRPr="00B94F53">
        <w:rPr>
          <w:rFonts w:ascii="Times New Roman" w:eastAsia="Calibri" w:hAnsi="Times New Roman" w:cs="Times New Roman"/>
          <w:sz w:val="24"/>
          <w:szCs w:val="24"/>
        </w:rPr>
        <w:t>state-owned</w:t>
      </w:r>
      <w:r w:rsidRPr="00B94F53">
        <w:rPr>
          <w:rFonts w:ascii="Times New Roman" w:eastAsia="Calibri" w:hAnsi="Times New Roman" w:cs="Times New Roman"/>
          <w:sz w:val="24"/>
          <w:szCs w:val="24"/>
        </w:rPr>
        <w:t xml:space="preserve"> governance.</w:t>
      </w:r>
    </w:p>
    <w:p w14:paraId="24B7E5EA"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2618F9E0" w14:textId="77777777" w:rsidR="00CC0D4A" w:rsidRPr="00B94F53" w:rsidRDefault="00CC0D4A" w:rsidP="00045607">
      <w:pPr>
        <w:pStyle w:val="Heading2"/>
        <w:rPr>
          <w:rFonts w:ascii="Times New Roman" w:hAnsi="Times New Roman" w:cs="Times New Roman"/>
        </w:rPr>
      </w:pPr>
      <w:bookmarkStart w:id="106" w:name="_Toc234504514"/>
      <w:bookmarkStart w:id="107" w:name="_Toc238117858"/>
      <w:r w:rsidRPr="00B94F53">
        <w:rPr>
          <w:rFonts w:ascii="Times New Roman" w:hAnsi="Times New Roman" w:cs="Times New Roman"/>
        </w:rPr>
        <w:t>6.2.1 Marketing Strategy and Digital Localisation</w:t>
      </w:r>
      <w:bookmarkEnd w:id="106"/>
      <w:bookmarkEnd w:id="107"/>
    </w:p>
    <w:p w14:paraId="2736C744" w14:textId="2AC5B6EA"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Regarding the first research objective, the findings presented in Chapter Four show that the difference between the regulatory regimes of compliance and permissiveness implemented by the FCA and the ICO in the UK, compared to that of trust and permissiveness in Bangladesh, has implications for the marketing communication of Sonali Bank. The localization of Sonali Bank goes beyond the cultural and linguistic context of the bank because there are two degrees of regulatory permissiveness surrounding it, namely community-oriented messages in Bangladesh and transparency of fees and risk disclosures in the UK.</w:t>
      </w:r>
    </w:p>
    <w:p w14:paraId="325E47A6" w14:textId="77777777" w:rsidR="005841D5" w:rsidRDefault="005841D5" w:rsidP="00045607">
      <w:pPr>
        <w:pStyle w:val="Heading2"/>
        <w:rPr>
          <w:rFonts w:ascii="Times New Roman" w:hAnsi="Times New Roman" w:cs="Times New Roman"/>
        </w:rPr>
      </w:pPr>
      <w:bookmarkStart w:id="108" w:name="_Toc234504515"/>
      <w:bookmarkStart w:id="109" w:name="_Toc238117859"/>
    </w:p>
    <w:p w14:paraId="2D3BD780" w14:textId="77777777" w:rsidR="005841D5" w:rsidRDefault="005841D5" w:rsidP="00045607">
      <w:pPr>
        <w:pStyle w:val="Heading2"/>
        <w:rPr>
          <w:rFonts w:ascii="Times New Roman" w:hAnsi="Times New Roman" w:cs="Times New Roman"/>
        </w:rPr>
      </w:pPr>
    </w:p>
    <w:p w14:paraId="4DFA7C70" w14:textId="77777777" w:rsidR="005841D5" w:rsidRDefault="005841D5" w:rsidP="00045607">
      <w:pPr>
        <w:pStyle w:val="Heading2"/>
        <w:rPr>
          <w:rFonts w:ascii="Times New Roman" w:hAnsi="Times New Roman" w:cs="Times New Roman"/>
        </w:rPr>
      </w:pPr>
    </w:p>
    <w:p w14:paraId="7B873AB7" w14:textId="6BC70AE9" w:rsidR="00CC0D4A" w:rsidRPr="00B94F53" w:rsidRDefault="00CC0D4A" w:rsidP="00045607">
      <w:pPr>
        <w:pStyle w:val="Heading2"/>
        <w:rPr>
          <w:rFonts w:ascii="Times New Roman" w:hAnsi="Times New Roman" w:cs="Times New Roman"/>
        </w:rPr>
      </w:pPr>
      <w:r w:rsidRPr="00B94F53">
        <w:rPr>
          <w:rFonts w:ascii="Times New Roman" w:hAnsi="Times New Roman" w:cs="Times New Roman"/>
        </w:rPr>
        <w:t>6.2.2 Financial Strategy, Currency Risk and Payment Architecture</w:t>
      </w:r>
      <w:bookmarkEnd w:id="108"/>
      <w:bookmarkEnd w:id="109"/>
    </w:p>
    <w:p w14:paraId="0DE47578" w14:textId="3B57309F"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Regarding the second study objective, the results reveal that Sonali Bank has two separate payment architectures rather than one single global platform. This includes a SWIFT based, </w:t>
      </w:r>
      <w:r w:rsidR="0045780A" w:rsidRPr="00B94F53">
        <w:rPr>
          <w:rFonts w:ascii="Times New Roman" w:eastAsia="Calibri" w:hAnsi="Times New Roman" w:cs="Times New Roman"/>
          <w:sz w:val="24"/>
          <w:szCs w:val="24"/>
        </w:rPr>
        <w:t>CHAPS-compatible</w:t>
      </w:r>
      <w:r w:rsidRPr="00B94F53">
        <w:rPr>
          <w:rFonts w:ascii="Times New Roman" w:eastAsia="Calibri" w:hAnsi="Times New Roman" w:cs="Times New Roman"/>
          <w:sz w:val="24"/>
          <w:szCs w:val="24"/>
        </w:rPr>
        <w:t xml:space="preserve"> system for operations in the United Kingdom and a bKash-integrated mobile corridor for remittances in Bangladesh. The other currency risk between the Bangladesh Taka and Sterling and the bank's public sector obligation to keep remittances affordable further limits the bank's financial strategy compared to privately owned banks that are less restricted in their capital deployments.</w:t>
      </w:r>
    </w:p>
    <w:p w14:paraId="0633C234"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107B4128" w14:textId="77777777" w:rsidR="00CC0D4A" w:rsidRPr="00B94F53" w:rsidRDefault="00CC0D4A" w:rsidP="00045607">
      <w:pPr>
        <w:pStyle w:val="Heading2"/>
        <w:rPr>
          <w:rFonts w:ascii="Times New Roman" w:hAnsi="Times New Roman" w:cs="Times New Roman"/>
        </w:rPr>
      </w:pPr>
      <w:bookmarkStart w:id="110" w:name="_Toc234504516"/>
      <w:bookmarkStart w:id="111" w:name="_Toc238117860"/>
      <w:r w:rsidRPr="00B94F53">
        <w:rPr>
          <w:rFonts w:ascii="Times New Roman" w:hAnsi="Times New Roman" w:cs="Times New Roman"/>
        </w:rPr>
        <w:t>6.2.3 Human Capital and Strategic Human Resource Management</w:t>
      </w:r>
      <w:bookmarkEnd w:id="110"/>
      <w:bookmarkEnd w:id="111"/>
    </w:p>
    <w:p w14:paraId="637F56B9" w14:textId="6ABECAD8"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Regarding the third research </w:t>
      </w:r>
      <w:r w:rsidR="009874AD" w:rsidRPr="00B94F53">
        <w:rPr>
          <w:rFonts w:ascii="Times New Roman" w:eastAsia="Calibri" w:hAnsi="Times New Roman" w:cs="Times New Roman"/>
          <w:sz w:val="24"/>
          <w:szCs w:val="24"/>
        </w:rPr>
        <w:t>objective</w:t>
      </w:r>
      <w:r w:rsidRPr="00B94F53">
        <w:rPr>
          <w:rFonts w:ascii="Times New Roman" w:eastAsia="Calibri" w:hAnsi="Times New Roman" w:cs="Times New Roman"/>
          <w:sz w:val="24"/>
          <w:szCs w:val="24"/>
        </w:rPr>
        <w:t>, both findings indicate that pay and recruitment practices in Sonali Bank are rigidly based on civil service-like practices in both markets. Rising salaries for digital specialists have made it more difficult for the bank's London branch to attract compliance and technology staff after Brexit, in the United Kingdom. In Bangladesh, a large domestic workforce, but one that is not necessarily flexible, hinders the bank's ability to hire specialist digital skills at the rate needed to meet its digital transformation goals.</w:t>
      </w:r>
    </w:p>
    <w:p w14:paraId="79D46CF1"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272EE414" w14:textId="250844CB"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These three domain level findings when taken together support the </w:t>
      </w:r>
      <w:r w:rsidR="005841D5" w:rsidRPr="00B94F53">
        <w:rPr>
          <w:rFonts w:ascii="Times New Roman" w:eastAsia="Calibri" w:hAnsi="Times New Roman" w:cs="Times New Roman"/>
          <w:sz w:val="24"/>
          <w:szCs w:val="24"/>
        </w:rPr>
        <w:t>cross-cutting</w:t>
      </w:r>
      <w:r w:rsidRPr="00B94F53">
        <w:rPr>
          <w:rFonts w:ascii="Times New Roman" w:eastAsia="Calibri" w:hAnsi="Times New Roman" w:cs="Times New Roman"/>
          <w:sz w:val="24"/>
          <w:szCs w:val="24"/>
        </w:rPr>
        <w:t xml:space="preserve"> theme found in Chapter Four. State ownership is not just a limiting element of one part of the bank's activities but the dominant moderating element in both marketing and financial strategy as well as in human capital.</w:t>
      </w:r>
    </w:p>
    <w:p w14:paraId="4DB6F917"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4CF0AA2F" w14:textId="77777777" w:rsidR="00CC0D4A" w:rsidRPr="00B94F53" w:rsidRDefault="00CC0D4A" w:rsidP="00045607">
      <w:pPr>
        <w:pStyle w:val="Heading2"/>
        <w:rPr>
          <w:rFonts w:ascii="Times New Roman" w:hAnsi="Times New Roman" w:cs="Times New Roman"/>
        </w:rPr>
      </w:pPr>
      <w:bookmarkStart w:id="112" w:name="_Toc234504517"/>
      <w:bookmarkStart w:id="113" w:name="_Toc238117861"/>
      <w:r w:rsidRPr="00B94F53">
        <w:rPr>
          <w:rFonts w:ascii="Times New Roman" w:hAnsi="Times New Roman" w:cs="Times New Roman"/>
        </w:rPr>
        <w:t>6.3 Achievement of the Research Aim and Objectives</w:t>
      </w:r>
      <w:bookmarkEnd w:id="112"/>
      <w:bookmarkEnd w:id="113"/>
    </w:p>
    <w:p w14:paraId="47BD9B86" w14:textId="6D60B5FC" w:rsidR="00CC0D4A" w:rsidRDefault="0045780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Chapters</w:t>
      </w:r>
      <w:r w:rsidR="00CC0D4A" w:rsidRPr="00B94F53">
        <w:rPr>
          <w:rFonts w:ascii="Times New Roman" w:eastAsia="Calibri" w:hAnsi="Times New Roman" w:cs="Times New Roman"/>
          <w:sz w:val="24"/>
          <w:szCs w:val="24"/>
        </w:rPr>
        <w:t xml:space="preserve"> Four and Five have been analysed and </w:t>
      </w:r>
      <w:r w:rsidRPr="00B94F53">
        <w:rPr>
          <w:rFonts w:ascii="Times New Roman" w:eastAsia="Calibri" w:hAnsi="Times New Roman" w:cs="Times New Roman"/>
          <w:sz w:val="24"/>
          <w:szCs w:val="24"/>
        </w:rPr>
        <w:t>present</w:t>
      </w:r>
      <w:r w:rsidR="00CC0D4A" w:rsidRPr="00B94F53">
        <w:rPr>
          <w:rFonts w:ascii="Times New Roman" w:eastAsia="Calibri" w:hAnsi="Times New Roman" w:cs="Times New Roman"/>
          <w:sz w:val="24"/>
          <w:szCs w:val="24"/>
        </w:rPr>
        <w:t xml:space="preserve"> the documentary analysis which </w:t>
      </w:r>
      <w:r w:rsidRPr="00B94F53">
        <w:rPr>
          <w:rFonts w:ascii="Times New Roman" w:eastAsia="Calibri" w:hAnsi="Times New Roman" w:cs="Times New Roman"/>
          <w:sz w:val="24"/>
          <w:szCs w:val="24"/>
        </w:rPr>
        <w:t>has</w:t>
      </w:r>
      <w:r w:rsidR="00CC0D4A" w:rsidRPr="00B94F53">
        <w:rPr>
          <w:rFonts w:ascii="Times New Roman" w:eastAsia="Calibri" w:hAnsi="Times New Roman" w:cs="Times New Roman"/>
          <w:sz w:val="24"/>
          <w:szCs w:val="24"/>
        </w:rPr>
        <w:t xml:space="preserve"> been done systematically to achieve the research aim: to analyse and compare the marketing, financial and human capital strategies used to integrate e-commerce in developed and emerging digital </w:t>
      </w:r>
      <w:r w:rsidRPr="00B94F53">
        <w:rPr>
          <w:rFonts w:ascii="Times New Roman" w:eastAsia="Calibri" w:hAnsi="Times New Roman" w:cs="Times New Roman"/>
          <w:sz w:val="24"/>
          <w:szCs w:val="24"/>
        </w:rPr>
        <w:t>markets</w:t>
      </w:r>
      <w:r w:rsidR="00CC0D4A" w:rsidRPr="00B94F53">
        <w:rPr>
          <w:rFonts w:ascii="Times New Roman" w:eastAsia="Calibri" w:hAnsi="Times New Roman" w:cs="Times New Roman"/>
          <w:sz w:val="24"/>
          <w:szCs w:val="24"/>
        </w:rPr>
        <w:t xml:space="preserve"> of Sonali Bank in the United Kingdom and Bangladesh. The evidence base </w:t>
      </w:r>
      <w:r w:rsidR="00CC0D4A" w:rsidRPr="00B94F53">
        <w:rPr>
          <w:rFonts w:ascii="Times New Roman" w:eastAsia="Calibri" w:hAnsi="Times New Roman" w:cs="Times New Roman"/>
          <w:sz w:val="24"/>
          <w:szCs w:val="24"/>
        </w:rPr>
        <w:lastRenderedPageBreak/>
        <w:t>gathered in the context of the three research goals outlined in Chapter One has been presented as described above in Section 6.2 and has directly informed the development of the practical recommendations outlined later in this chapter.</w:t>
      </w:r>
    </w:p>
    <w:p w14:paraId="3BFA5605"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4EBE7D38" w14:textId="77777777" w:rsidR="00CC0D4A" w:rsidRPr="00B94F53" w:rsidRDefault="00CC0D4A" w:rsidP="00045607">
      <w:pPr>
        <w:pStyle w:val="Heading2"/>
        <w:rPr>
          <w:rFonts w:ascii="Times New Roman" w:hAnsi="Times New Roman" w:cs="Times New Roman"/>
        </w:rPr>
      </w:pPr>
      <w:bookmarkStart w:id="114" w:name="_Toc234504518"/>
      <w:bookmarkStart w:id="115" w:name="_Toc238117862"/>
      <w:r w:rsidRPr="00B94F53">
        <w:rPr>
          <w:rFonts w:ascii="Times New Roman" w:hAnsi="Times New Roman" w:cs="Times New Roman"/>
        </w:rPr>
        <w:t>6.4 Theoretical Contribution</w:t>
      </w:r>
      <w:bookmarkEnd w:id="114"/>
      <w:bookmarkEnd w:id="115"/>
    </w:p>
    <w:p w14:paraId="7CD6AF59" w14:textId="77515AC8"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The authors' use of the Uppsala Internationalisation Model and the Resource-Based View together in a </w:t>
      </w:r>
      <w:r w:rsidR="0045780A" w:rsidRPr="00B94F53">
        <w:rPr>
          <w:rFonts w:ascii="Times New Roman" w:eastAsia="Calibri" w:hAnsi="Times New Roman" w:cs="Times New Roman"/>
          <w:sz w:val="24"/>
          <w:szCs w:val="24"/>
        </w:rPr>
        <w:t>state-owned</w:t>
      </w:r>
      <w:r w:rsidRPr="00B94F53">
        <w:rPr>
          <w:rFonts w:ascii="Times New Roman" w:eastAsia="Calibri" w:hAnsi="Times New Roman" w:cs="Times New Roman"/>
          <w:sz w:val="24"/>
          <w:szCs w:val="24"/>
        </w:rPr>
        <w:t xml:space="preserve"> bank is an addition to the literature, because as Chapter 2 has shown, the two models have not been used together in this type of institution. The main theoretical contribution of the dissertation is that state ownership is found to be a moderating variable for both models. It does not take away from experiential learning</w:t>
      </w:r>
      <w:r w:rsidR="0045780A" w:rsidRPr="00B94F53">
        <w:rPr>
          <w:rFonts w:ascii="Times New Roman" w:eastAsia="Calibri" w:hAnsi="Times New Roman" w:cs="Times New Roman"/>
          <w:sz w:val="24"/>
          <w:szCs w:val="24"/>
        </w:rPr>
        <w:t>,</w:t>
      </w:r>
      <w:r w:rsidRPr="00B94F53">
        <w:rPr>
          <w:rFonts w:ascii="Times New Roman" w:eastAsia="Calibri" w:hAnsi="Times New Roman" w:cs="Times New Roman"/>
          <w:sz w:val="24"/>
          <w:szCs w:val="24"/>
        </w:rPr>
        <w:t xml:space="preserve"> and it does not eliminate valuable and scarce resources, but rather it regularly hampers the ability of the institution to convert resources into quick competitive moves.</w:t>
      </w:r>
    </w:p>
    <w:p w14:paraId="6F6A8B23"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0A71E9E8" w14:textId="128E4143" w:rsidR="00EF13B6"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study also makes a significant contribution to the general body of theory on public policy and performance related to the public sector enterprise, by offering a concrete empirical example in the field of international banking and remittance services. This is a further expansion of the state ownership literature that has been largely based on other sectors into the realm of bilate</w:t>
      </w:r>
      <w:r w:rsidR="00045607" w:rsidRPr="00B94F53">
        <w:rPr>
          <w:rFonts w:ascii="Times New Roman" w:eastAsia="Calibri" w:hAnsi="Times New Roman" w:cs="Times New Roman"/>
          <w:sz w:val="24"/>
          <w:szCs w:val="24"/>
        </w:rPr>
        <w:t>ral digital financial services.</w:t>
      </w:r>
    </w:p>
    <w:p w14:paraId="49CC0A30"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0EF8D255" w14:textId="77777777" w:rsidR="00CC0D4A" w:rsidRPr="00B94F53" w:rsidRDefault="00CC0D4A" w:rsidP="00045607">
      <w:pPr>
        <w:pStyle w:val="Heading2"/>
        <w:rPr>
          <w:rFonts w:ascii="Times New Roman" w:hAnsi="Times New Roman" w:cs="Times New Roman"/>
        </w:rPr>
      </w:pPr>
      <w:bookmarkStart w:id="116" w:name="_Toc234504519"/>
      <w:bookmarkStart w:id="117" w:name="_Toc238117863"/>
      <w:r w:rsidRPr="00B94F53">
        <w:rPr>
          <w:rFonts w:ascii="Times New Roman" w:hAnsi="Times New Roman" w:cs="Times New Roman"/>
        </w:rPr>
        <w:t>6.5 Practical Contribution</w:t>
      </w:r>
      <w:bookmarkEnd w:id="116"/>
      <w:bookmarkEnd w:id="117"/>
    </w:p>
    <w:p w14:paraId="7AA9CC42" w14:textId="44E8D78D"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study is not only theoretical but also has practical value for 3 groups of stakeholders. The findings offer a scientific analysis for Sonali Bank's internal management, revealing its current limitations in marketing, financial and human capital strategies, and highlighting the bank's existing strengths and resources, including diaspora trust, as a competitive advantage. The findings offer for both policymakers and regulators in both countries an example of the impact of regulatory divergence on the operating reality of a particular bilateral institution. The study is of value to future researchers by offering them a documented case, as well as a theoretical framework that can be tested against the other state-owned banks that have similar dual-market remittance corridors.</w:t>
      </w:r>
    </w:p>
    <w:p w14:paraId="74CB37A5"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5F0E07D2" w14:textId="77777777" w:rsidR="00CC0D4A" w:rsidRPr="00B94F53" w:rsidRDefault="00CC0D4A" w:rsidP="00045607">
      <w:pPr>
        <w:pStyle w:val="Heading2"/>
        <w:rPr>
          <w:rFonts w:ascii="Times New Roman" w:hAnsi="Times New Roman" w:cs="Times New Roman"/>
        </w:rPr>
      </w:pPr>
      <w:bookmarkStart w:id="118" w:name="_Toc234504520"/>
      <w:bookmarkStart w:id="119" w:name="_Toc238117864"/>
      <w:r w:rsidRPr="00B94F53">
        <w:rPr>
          <w:rFonts w:ascii="Times New Roman" w:hAnsi="Times New Roman" w:cs="Times New Roman"/>
        </w:rPr>
        <w:lastRenderedPageBreak/>
        <w:t>6.6 Recommendations for Sonali Bank</w:t>
      </w:r>
      <w:bookmarkEnd w:id="118"/>
      <w:bookmarkEnd w:id="119"/>
    </w:p>
    <w:p w14:paraId="384EE944" w14:textId="77777777" w:rsidR="00CC0D4A" w:rsidRPr="00B94F53" w:rsidRDefault="00CC0D4A" w:rsidP="00CC0D4A">
      <w:pPr>
        <w:spacing w:before="250" w:after="120" w:line="360" w:lineRule="auto"/>
        <w:outlineLvl w:val="2"/>
        <w:rPr>
          <w:rFonts w:ascii="Times New Roman" w:eastAsia="Calibri" w:hAnsi="Times New Roman" w:cs="Times New Roman"/>
          <w:sz w:val="24"/>
          <w:szCs w:val="24"/>
        </w:rPr>
      </w:pPr>
      <w:bookmarkStart w:id="120" w:name="_Toc234504521"/>
      <w:bookmarkStart w:id="121" w:name="_Toc238117865"/>
      <w:r w:rsidRPr="00B94F53">
        <w:rPr>
          <w:rFonts w:ascii="Times New Roman" w:eastAsia="Calibri" w:hAnsi="Times New Roman" w:cs="Times New Roman"/>
          <w:sz w:val="24"/>
          <w:szCs w:val="24"/>
        </w:rPr>
        <w:t>6.6.1 Marketing and Digital Localisation</w:t>
      </w:r>
      <w:bookmarkEnd w:id="120"/>
      <w:bookmarkEnd w:id="121"/>
    </w:p>
    <w:p w14:paraId="2E2F8B13" w14:textId="77777777" w:rsidR="00CC0D4A" w:rsidRPr="00B94F53" w:rsidRDefault="00CC0D4A" w:rsidP="00CC0D4A">
      <w:pPr>
        <w:pStyle w:val="ListParagraph"/>
        <w:numPr>
          <w:ilvl w:val="0"/>
          <w:numId w:val="10"/>
        </w:numPr>
        <w:spacing w:after="15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Implement a common brand and service standard in both markets, communicated in terms of a shared visual identity and principles of customer communication to customers, to make the bank's dual regulations "two banks made one.</w:t>
      </w:r>
    </w:p>
    <w:p w14:paraId="70F71617" w14:textId="77777777" w:rsidR="00CC0D4A" w:rsidRPr="00B94F53" w:rsidRDefault="00CC0D4A" w:rsidP="00CC0D4A">
      <w:pPr>
        <w:spacing w:before="250" w:after="120" w:line="360" w:lineRule="auto"/>
        <w:outlineLvl w:val="2"/>
        <w:rPr>
          <w:rFonts w:ascii="Times New Roman" w:eastAsia="Calibri" w:hAnsi="Times New Roman" w:cs="Times New Roman"/>
          <w:sz w:val="24"/>
          <w:szCs w:val="24"/>
        </w:rPr>
      </w:pPr>
      <w:bookmarkStart w:id="122" w:name="_Toc234504522"/>
      <w:bookmarkStart w:id="123" w:name="_Toc238117866"/>
      <w:r w:rsidRPr="00B94F53">
        <w:rPr>
          <w:rFonts w:ascii="Times New Roman" w:eastAsia="Calibri" w:hAnsi="Times New Roman" w:cs="Times New Roman"/>
          <w:sz w:val="24"/>
          <w:szCs w:val="24"/>
        </w:rPr>
        <w:t>6.6.2 Financial Strategy and Risk Management</w:t>
      </w:r>
      <w:bookmarkEnd w:id="122"/>
      <w:bookmarkEnd w:id="123"/>
    </w:p>
    <w:p w14:paraId="5217676A" w14:textId="77777777" w:rsidR="00CC0D4A" w:rsidRPr="00B94F53" w:rsidRDefault="00CC0D4A" w:rsidP="00CC0D4A">
      <w:pPr>
        <w:pStyle w:val="ListParagraph"/>
        <w:numPr>
          <w:ilvl w:val="0"/>
          <w:numId w:val="9"/>
        </w:numPr>
        <w:spacing w:after="15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To set up a separate currency-risk and remittance-pricing unit with delegated powers to hedge Taka-Sterling exposure within pre-defined limits and ease the time lag caused by the current centralised and government-driven budgetary approval process.</w:t>
      </w:r>
    </w:p>
    <w:p w14:paraId="507AE95C" w14:textId="77777777" w:rsidR="00CC0D4A" w:rsidRPr="00B94F53" w:rsidRDefault="00CC0D4A" w:rsidP="00CC0D4A">
      <w:pPr>
        <w:spacing w:before="250" w:after="120" w:line="360" w:lineRule="auto"/>
        <w:outlineLvl w:val="2"/>
        <w:rPr>
          <w:rFonts w:ascii="Times New Roman" w:eastAsia="Calibri" w:hAnsi="Times New Roman" w:cs="Times New Roman"/>
          <w:sz w:val="24"/>
          <w:szCs w:val="24"/>
        </w:rPr>
      </w:pPr>
      <w:bookmarkStart w:id="124" w:name="_Toc234504523"/>
      <w:bookmarkStart w:id="125" w:name="_Toc238117867"/>
      <w:r w:rsidRPr="00B94F53">
        <w:rPr>
          <w:rFonts w:ascii="Times New Roman" w:eastAsia="Calibri" w:hAnsi="Times New Roman" w:cs="Times New Roman"/>
          <w:sz w:val="24"/>
          <w:szCs w:val="24"/>
        </w:rPr>
        <w:t>6.6.3 Human Capital and Talent Management</w:t>
      </w:r>
      <w:bookmarkEnd w:id="124"/>
      <w:bookmarkEnd w:id="125"/>
    </w:p>
    <w:p w14:paraId="2FC669A1" w14:textId="77777777" w:rsidR="00CC0D4A" w:rsidRPr="00B94F53" w:rsidRDefault="00CC0D4A" w:rsidP="00CC0D4A">
      <w:pPr>
        <w:pStyle w:val="ListParagraph"/>
        <w:numPr>
          <w:ilvl w:val="0"/>
          <w:numId w:val="11"/>
        </w:numPr>
        <w:spacing w:after="15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Ensure structured secondment and knowledge exchange between the London branch and the Bangladesh head office, enabling transfer of digital and compliance skills gained under the more stringent regulatory framework in the United Kingdom to local operations over time.</w:t>
      </w:r>
    </w:p>
    <w:p w14:paraId="69CF222C" w14:textId="77777777" w:rsidR="00CC0D4A" w:rsidRPr="00B94F53" w:rsidRDefault="00CC0D4A" w:rsidP="00CC0D4A">
      <w:pPr>
        <w:spacing w:before="250" w:after="120" w:line="360" w:lineRule="auto"/>
        <w:outlineLvl w:val="2"/>
        <w:rPr>
          <w:rFonts w:ascii="Times New Roman" w:eastAsia="Calibri" w:hAnsi="Times New Roman" w:cs="Times New Roman"/>
          <w:sz w:val="24"/>
          <w:szCs w:val="24"/>
        </w:rPr>
      </w:pPr>
      <w:bookmarkStart w:id="126" w:name="_Toc234504524"/>
      <w:bookmarkStart w:id="127" w:name="_Toc238117868"/>
      <w:r w:rsidRPr="00B94F53">
        <w:rPr>
          <w:rFonts w:ascii="Times New Roman" w:eastAsia="Calibri" w:hAnsi="Times New Roman" w:cs="Times New Roman"/>
          <w:sz w:val="24"/>
          <w:szCs w:val="24"/>
        </w:rPr>
        <w:t>6.6.4 Cross-Domain Integration</w:t>
      </w:r>
      <w:bookmarkEnd w:id="126"/>
      <w:bookmarkEnd w:id="127"/>
    </w:p>
    <w:p w14:paraId="4A5EE646" w14:textId="61BBFF07" w:rsidR="00CC0D4A" w:rsidRPr="00B94F53" w:rsidRDefault="00CC0D4A" w:rsidP="00CC0D4A">
      <w:pPr>
        <w:pStyle w:val="ListParagraph"/>
        <w:numPr>
          <w:ilvl w:val="0"/>
          <w:numId w:val="12"/>
        </w:numPr>
        <w:spacing w:after="15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Ensure the interoperability of the bank's SWIFT and CHAPS-based United Kingdom infrastructure and the bKash-integrated Bangladesh corridor, thereby making the customer-facing remittance journey feel seamless </w:t>
      </w:r>
      <w:r w:rsidR="001B1523" w:rsidRPr="00B94F53">
        <w:rPr>
          <w:rFonts w:ascii="Times New Roman" w:eastAsia="Calibri" w:hAnsi="Times New Roman" w:cs="Times New Roman"/>
          <w:sz w:val="24"/>
          <w:szCs w:val="24"/>
        </w:rPr>
        <w:t>even though</w:t>
      </w:r>
      <w:r w:rsidRPr="00B94F53">
        <w:rPr>
          <w:rFonts w:ascii="Times New Roman" w:eastAsia="Calibri" w:hAnsi="Times New Roman" w:cs="Times New Roman"/>
          <w:sz w:val="24"/>
          <w:szCs w:val="24"/>
        </w:rPr>
        <w:t xml:space="preserve"> the settlement architecture </w:t>
      </w:r>
      <w:proofErr w:type="gramStart"/>
      <w:r w:rsidRPr="00B94F53">
        <w:rPr>
          <w:rFonts w:ascii="Times New Roman" w:eastAsia="Calibri" w:hAnsi="Times New Roman" w:cs="Times New Roman"/>
          <w:sz w:val="24"/>
          <w:szCs w:val="24"/>
        </w:rPr>
        <w:t>has to</w:t>
      </w:r>
      <w:proofErr w:type="gramEnd"/>
      <w:r w:rsidRPr="00B94F53">
        <w:rPr>
          <w:rFonts w:ascii="Times New Roman" w:eastAsia="Calibri" w:hAnsi="Times New Roman" w:cs="Times New Roman"/>
          <w:sz w:val="24"/>
          <w:szCs w:val="24"/>
        </w:rPr>
        <w:t xml:space="preserve"> be platform-specific. </w:t>
      </w:r>
    </w:p>
    <w:p w14:paraId="3ED781F6" w14:textId="77777777" w:rsidR="005841D5" w:rsidRDefault="005841D5" w:rsidP="00045607">
      <w:pPr>
        <w:pStyle w:val="Heading2"/>
        <w:rPr>
          <w:rFonts w:ascii="Times New Roman" w:hAnsi="Times New Roman" w:cs="Times New Roman"/>
        </w:rPr>
      </w:pPr>
      <w:bookmarkStart w:id="128" w:name="_Toc234504525"/>
      <w:bookmarkStart w:id="129" w:name="_Toc238117869"/>
    </w:p>
    <w:p w14:paraId="35B4E1AC" w14:textId="197BD643" w:rsidR="00CC0D4A" w:rsidRPr="00B94F53" w:rsidRDefault="00CC0D4A" w:rsidP="00045607">
      <w:pPr>
        <w:pStyle w:val="Heading2"/>
        <w:rPr>
          <w:rFonts w:ascii="Times New Roman" w:hAnsi="Times New Roman" w:cs="Times New Roman"/>
        </w:rPr>
      </w:pPr>
      <w:r w:rsidRPr="00B94F53">
        <w:rPr>
          <w:rFonts w:ascii="Times New Roman" w:hAnsi="Times New Roman" w:cs="Times New Roman"/>
        </w:rPr>
        <w:t>6.7 Recommendations for Policymakers and Regulators</w:t>
      </w:r>
      <w:bookmarkEnd w:id="128"/>
      <w:bookmarkEnd w:id="129"/>
    </w:p>
    <w:p w14:paraId="77425FF1" w14:textId="77777777"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above results show the advantages that could be gained from developing more specialized guidelines in the bilateral corridor, either between Bangladesh Bank and the Financial Conduct Authority working in tandem or recognizing each other, and so that banks such as Sonali Bank would not be faced with two separate compliance frameworks, for example, with regards to data protection and financial promotion.</w:t>
      </w:r>
    </w:p>
    <w:p w14:paraId="2C47714E"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35E0ADB5" w14:textId="77777777" w:rsidR="005841D5" w:rsidRDefault="005841D5" w:rsidP="00045607">
      <w:pPr>
        <w:pStyle w:val="Heading2"/>
        <w:rPr>
          <w:rFonts w:ascii="Times New Roman" w:hAnsi="Times New Roman" w:cs="Times New Roman"/>
        </w:rPr>
      </w:pPr>
      <w:bookmarkStart w:id="130" w:name="_Toc234504526"/>
      <w:bookmarkStart w:id="131" w:name="_Toc238117870"/>
    </w:p>
    <w:p w14:paraId="4B63944A" w14:textId="71CBE36C" w:rsidR="00CC0D4A" w:rsidRPr="00B94F53" w:rsidRDefault="00CC0D4A" w:rsidP="00045607">
      <w:pPr>
        <w:pStyle w:val="Heading2"/>
        <w:rPr>
          <w:rFonts w:ascii="Times New Roman" w:hAnsi="Times New Roman" w:cs="Times New Roman"/>
        </w:rPr>
      </w:pPr>
      <w:r w:rsidRPr="00B94F53">
        <w:rPr>
          <w:rFonts w:ascii="Times New Roman" w:hAnsi="Times New Roman" w:cs="Times New Roman"/>
        </w:rPr>
        <w:t>6.8 Limitations of the Study</w:t>
      </w:r>
      <w:bookmarkEnd w:id="130"/>
      <w:bookmarkEnd w:id="131"/>
    </w:p>
    <w:p w14:paraId="463CBD30" w14:textId="77777777"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This study is based on secondary data and published literature only and therefore has been a strategic cross-section and not a longitudinal account of the process of e-commerce integration in Sonali Bank. Because of the lack of primary data, including interviews with Sonali Bank's marketing and treasury/human resource management, the findings are not intended to explain what is going on inside the bank, but rather to explain patterns that are evident in institutional disclosures and the broader literature.</w:t>
      </w:r>
    </w:p>
    <w:p w14:paraId="24560A35"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2332C044" w14:textId="77777777"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available details concerning the Sonali Bank are also self-serving and self-presentation, which may have minimized the problems in their operations, if they have been identified through internal data collection. The study also lacks the views of customers in both markets: conclusions reached on the effectiveness of marketing localisation or remittance pricing are therefore based on institutional and regulatory sources, and not on direct customer feedback. Lastly, as a case study of one institution, the findings represent the Sonali Bank and need to be generalised with appropriate prudence.</w:t>
      </w:r>
    </w:p>
    <w:p w14:paraId="28687AF2"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6D06C4C5" w14:textId="77777777" w:rsidR="00CC0D4A" w:rsidRPr="00B94F53" w:rsidRDefault="00CC0D4A" w:rsidP="00045607">
      <w:pPr>
        <w:pStyle w:val="Heading2"/>
        <w:rPr>
          <w:rFonts w:ascii="Times New Roman" w:hAnsi="Times New Roman" w:cs="Times New Roman"/>
        </w:rPr>
      </w:pPr>
      <w:bookmarkStart w:id="132" w:name="_Toc234504527"/>
      <w:bookmarkStart w:id="133" w:name="_Toc238117871"/>
      <w:r w:rsidRPr="00B94F53">
        <w:rPr>
          <w:rFonts w:ascii="Times New Roman" w:hAnsi="Times New Roman" w:cs="Times New Roman"/>
        </w:rPr>
        <w:t>6.9 Suggestions for Future Research</w:t>
      </w:r>
      <w:bookmarkEnd w:id="132"/>
      <w:bookmarkEnd w:id="133"/>
    </w:p>
    <w:p w14:paraId="37B7B220" w14:textId="4BED3AF3"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Documentary analysis revealed patterns indicating whether the experience of strategic change at Sonali Bank was what they </w:t>
      </w:r>
      <w:r w:rsidR="001B1523" w:rsidRPr="00B94F53">
        <w:rPr>
          <w:rFonts w:ascii="Times New Roman" w:eastAsia="Calibri" w:hAnsi="Times New Roman" w:cs="Times New Roman"/>
          <w:sz w:val="24"/>
          <w:szCs w:val="24"/>
        </w:rPr>
        <w:t>experienced</w:t>
      </w:r>
      <w:r w:rsidRPr="00B94F53">
        <w:rPr>
          <w:rFonts w:ascii="Times New Roman" w:eastAsia="Calibri" w:hAnsi="Times New Roman" w:cs="Times New Roman"/>
          <w:sz w:val="24"/>
          <w:szCs w:val="24"/>
        </w:rPr>
        <w:t xml:space="preserve"> or not would be better tested through interviews with management in the United Kingdom and Bangladesh.</w:t>
      </w:r>
    </w:p>
    <w:p w14:paraId="279FD9D7"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3C2B8893" w14:textId="41D7B81C" w:rsidR="00CC0D4A" w:rsidRPr="00B94F53"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Lastly, future studies that followed Sonali Bank's digital transformation over several years would enable researchers to determine whether, over time, the psychic distance between its operating environment in the United Kingdom and its operating environment in Bangladesh decreases as predicted by the Uppsala model or whether it is a more enduring structural characteristic of state-owned two-market banking.</w:t>
      </w:r>
    </w:p>
    <w:p w14:paraId="7C82689A" w14:textId="77777777" w:rsidR="005841D5" w:rsidRDefault="005841D5" w:rsidP="00045607">
      <w:pPr>
        <w:pStyle w:val="Heading2"/>
        <w:rPr>
          <w:rFonts w:ascii="Times New Roman" w:hAnsi="Times New Roman" w:cs="Times New Roman"/>
        </w:rPr>
      </w:pPr>
      <w:bookmarkStart w:id="134" w:name="_Toc234504528"/>
      <w:bookmarkStart w:id="135" w:name="_Toc238117872"/>
    </w:p>
    <w:p w14:paraId="73C18A94" w14:textId="77777777" w:rsidR="005841D5" w:rsidRDefault="005841D5" w:rsidP="00045607">
      <w:pPr>
        <w:pStyle w:val="Heading2"/>
        <w:rPr>
          <w:rFonts w:ascii="Times New Roman" w:hAnsi="Times New Roman" w:cs="Times New Roman"/>
        </w:rPr>
      </w:pPr>
    </w:p>
    <w:p w14:paraId="6C6D442E" w14:textId="77777777" w:rsidR="005841D5" w:rsidRDefault="005841D5" w:rsidP="00045607">
      <w:pPr>
        <w:pStyle w:val="Heading2"/>
        <w:rPr>
          <w:rFonts w:ascii="Times New Roman" w:hAnsi="Times New Roman" w:cs="Times New Roman"/>
        </w:rPr>
      </w:pPr>
    </w:p>
    <w:p w14:paraId="6D2339A7" w14:textId="62EE562F" w:rsidR="00CC0D4A" w:rsidRDefault="00CC0D4A" w:rsidP="00045607">
      <w:pPr>
        <w:pStyle w:val="Heading2"/>
        <w:rPr>
          <w:rFonts w:ascii="Times New Roman" w:hAnsi="Times New Roman" w:cs="Times New Roman"/>
        </w:rPr>
      </w:pPr>
      <w:r w:rsidRPr="00B94F53">
        <w:rPr>
          <w:rFonts w:ascii="Times New Roman" w:hAnsi="Times New Roman" w:cs="Times New Roman"/>
        </w:rPr>
        <w:t>6.10 Concluding Remarks</w:t>
      </w:r>
      <w:bookmarkEnd w:id="134"/>
      <w:bookmarkEnd w:id="135"/>
    </w:p>
    <w:p w14:paraId="7B67BC17" w14:textId="77777777" w:rsidR="00CC0D4A" w:rsidRPr="00B94F53" w:rsidRDefault="00CC0D4A" w:rsidP="00CC0D4A">
      <w:pPr>
        <w:pStyle w:val="Strong1"/>
        <w:spacing w:line="360" w:lineRule="auto"/>
        <w:jc w:val="both"/>
        <w:rPr>
          <w:rFonts w:ascii="Times New Roman" w:eastAsia="Calibri" w:hAnsi="Times New Roman" w:cs="Times New Roman"/>
          <w:b w:val="0"/>
          <w:bCs w:val="0"/>
          <w:sz w:val="24"/>
          <w:szCs w:val="24"/>
        </w:rPr>
      </w:pPr>
      <w:r w:rsidRPr="00B94F53">
        <w:rPr>
          <w:rFonts w:ascii="Times New Roman" w:eastAsia="Calibri" w:hAnsi="Times New Roman" w:cs="Times New Roman"/>
          <w:b w:val="0"/>
          <w:bCs w:val="0"/>
          <w:sz w:val="24"/>
          <w:szCs w:val="24"/>
        </w:rPr>
        <w:t>This dissertation aimed to examine the phenomenon of a state-owned bank attempting to understand the impact of e-commerce integration in the two structurally different markets. The findings from the systematic literature review and the documentary analysis suggest that Sonali Bank's marketing, financial and human capital plans are not driven by a single and clear digital vision across borders, but rather by a constant process of balancing two different regulatory, technological and institutional settings within a single state-owned mandate.</w:t>
      </w:r>
    </w:p>
    <w:p w14:paraId="55A7CB72"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r w:rsidRPr="00B94F53">
        <w:rPr>
          <w:rFonts w:ascii="Times New Roman" w:eastAsia="Calibri" w:hAnsi="Times New Roman" w:cs="Times New Roman"/>
          <w:b w:val="0"/>
          <w:bCs w:val="0"/>
          <w:sz w:val="24"/>
          <w:szCs w:val="24"/>
        </w:rPr>
        <w:t>The Uppsala Internationalisation Model and the Resource-Based View were used in tandem with inclusion of state ownership as a moderating factor instead of background, which provided both a theoretical refinement and a set of useful practical suggestions that can help Sonali Bank (and similar institutions) on their journey towards digital transformation without compromising the trusted relationship they have built with their clients.</w:t>
      </w:r>
    </w:p>
    <w:p w14:paraId="2134AF74"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59230E9D"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6EB870A6" w14:textId="77777777" w:rsidR="00743D09" w:rsidRPr="00B94F53" w:rsidRDefault="00743D09" w:rsidP="00743D09">
      <w:pPr>
        <w:pStyle w:val="Strong1"/>
        <w:rPr>
          <w:rFonts w:ascii="Times New Roman" w:hAnsi="Times New Roman" w:cs="Times New Roman"/>
        </w:rPr>
      </w:pPr>
    </w:p>
    <w:p w14:paraId="6B016034" w14:textId="77777777" w:rsidR="005841D5" w:rsidRDefault="005841D5" w:rsidP="00045607">
      <w:pPr>
        <w:pStyle w:val="Heading1"/>
        <w:rPr>
          <w:rFonts w:ascii="Times New Roman" w:hAnsi="Times New Roman" w:cs="Times New Roman"/>
        </w:rPr>
      </w:pPr>
      <w:bookmarkStart w:id="136" w:name="_Toc238117873"/>
    </w:p>
    <w:p w14:paraId="2C3C5181" w14:textId="77777777" w:rsidR="005841D5" w:rsidRDefault="005841D5" w:rsidP="00045607">
      <w:pPr>
        <w:pStyle w:val="Heading1"/>
        <w:rPr>
          <w:rFonts w:ascii="Times New Roman" w:hAnsi="Times New Roman" w:cs="Times New Roman"/>
        </w:rPr>
      </w:pPr>
    </w:p>
    <w:p w14:paraId="6C375831" w14:textId="77777777" w:rsidR="005841D5" w:rsidRDefault="005841D5" w:rsidP="00045607">
      <w:pPr>
        <w:pStyle w:val="Heading1"/>
        <w:rPr>
          <w:rFonts w:ascii="Times New Roman" w:hAnsi="Times New Roman" w:cs="Times New Roman"/>
        </w:rPr>
      </w:pPr>
    </w:p>
    <w:p w14:paraId="7206E6DE" w14:textId="77777777" w:rsidR="005841D5" w:rsidRDefault="005841D5" w:rsidP="00045607">
      <w:pPr>
        <w:pStyle w:val="Heading1"/>
        <w:rPr>
          <w:rFonts w:ascii="Times New Roman" w:hAnsi="Times New Roman" w:cs="Times New Roman"/>
        </w:rPr>
      </w:pPr>
    </w:p>
    <w:p w14:paraId="126C6599" w14:textId="77777777" w:rsidR="005841D5" w:rsidRDefault="005841D5" w:rsidP="00045607">
      <w:pPr>
        <w:pStyle w:val="Heading1"/>
        <w:rPr>
          <w:rFonts w:ascii="Times New Roman" w:hAnsi="Times New Roman" w:cs="Times New Roman"/>
        </w:rPr>
      </w:pPr>
    </w:p>
    <w:p w14:paraId="1A8CEFDF" w14:textId="77777777" w:rsidR="005841D5" w:rsidRDefault="005841D5" w:rsidP="00045607">
      <w:pPr>
        <w:pStyle w:val="Heading1"/>
        <w:rPr>
          <w:rFonts w:ascii="Times New Roman" w:hAnsi="Times New Roman" w:cs="Times New Roman"/>
        </w:rPr>
      </w:pPr>
    </w:p>
    <w:p w14:paraId="0D20CF8A" w14:textId="77777777" w:rsidR="005841D5" w:rsidRDefault="005841D5" w:rsidP="00045607">
      <w:pPr>
        <w:pStyle w:val="Heading1"/>
        <w:rPr>
          <w:rFonts w:ascii="Times New Roman" w:hAnsi="Times New Roman" w:cs="Times New Roman"/>
        </w:rPr>
      </w:pPr>
    </w:p>
    <w:p w14:paraId="6137ADC0" w14:textId="77777777" w:rsidR="005841D5" w:rsidRDefault="005841D5" w:rsidP="00045607">
      <w:pPr>
        <w:pStyle w:val="Heading1"/>
        <w:rPr>
          <w:rFonts w:ascii="Times New Roman" w:hAnsi="Times New Roman" w:cs="Times New Roman"/>
        </w:rPr>
      </w:pPr>
    </w:p>
    <w:p w14:paraId="2BC74DF3" w14:textId="77777777" w:rsidR="005841D5" w:rsidRDefault="005841D5" w:rsidP="00045607">
      <w:pPr>
        <w:pStyle w:val="Heading1"/>
        <w:rPr>
          <w:rFonts w:ascii="Times New Roman" w:hAnsi="Times New Roman" w:cs="Times New Roman"/>
        </w:rPr>
      </w:pPr>
    </w:p>
    <w:p w14:paraId="3E10CB5C" w14:textId="77777777" w:rsidR="005841D5" w:rsidRDefault="005841D5" w:rsidP="00045607">
      <w:pPr>
        <w:pStyle w:val="Heading1"/>
        <w:rPr>
          <w:rFonts w:ascii="Times New Roman" w:hAnsi="Times New Roman" w:cs="Times New Roman"/>
        </w:rPr>
      </w:pPr>
    </w:p>
    <w:p w14:paraId="00013F20" w14:textId="77777777" w:rsidR="005841D5" w:rsidRDefault="005841D5" w:rsidP="00045607">
      <w:pPr>
        <w:pStyle w:val="Heading1"/>
        <w:rPr>
          <w:rFonts w:ascii="Times New Roman" w:hAnsi="Times New Roman" w:cs="Times New Roman"/>
        </w:rPr>
      </w:pPr>
    </w:p>
    <w:p w14:paraId="3A64F6B5" w14:textId="25566F86" w:rsidR="00BC39D1" w:rsidRPr="00B94F53" w:rsidRDefault="00466143" w:rsidP="00045607">
      <w:pPr>
        <w:pStyle w:val="Heading1"/>
        <w:rPr>
          <w:rFonts w:ascii="Times New Roman" w:hAnsi="Times New Roman" w:cs="Times New Roman"/>
        </w:rPr>
      </w:pPr>
      <w:r w:rsidRPr="00B94F53">
        <w:rPr>
          <w:rFonts w:ascii="Times New Roman" w:hAnsi="Times New Roman" w:cs="Times New Roman"/>
        </w:rPr>
        <w:t>Reference</w:t>
      </w:r>
      <w:bookmarkEnd w:id="136"/>
    </w:p>
    <w:p w14:paraId="6B56BD67"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Bangladesh Bank (2025) Annual Report on Digital Financial Services. Dhaka: Bangladesh Bank.</w:t>
      </w:r>
    </w:p>
    <w:p w14:paraId="79ACF759"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Barney, J. (1991) ‘Firm resources and sustained competitive advantage’, Journal of Management, 17(1), pp. 99–120.</w:t>
      </w:r>
    </w:p>
    <w:p w14:paraId="7B9A16ED"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BERA (2018) Ethical Guidelines for Educational Research. 4th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London: British Educational Research Association.</w:t>
      </w:r>
    </w:p>
    <w:p w14:paraId="616E7D34"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Boxall, P. and Purcell, J. (2022) Strategy and Human Resource Management. 5th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London: Bloomsbury Academic.</w:t>
      </w:r>
    </w:p>
    <w:p w14:paraId="66C61E83"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Bryman, A. (2022) Social Research Methods. 6th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Oxford: Oxford University Press.</w:t>
      </w:r>
    </w:p>
    <w:p w14:paraId="598D73A3"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Chaffey, D. and Ellis-Chadwick, F. (2022) Digital Marketing: Strategy, Implementation and Practice. 8th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Harlow: Pearson.</w:t>
      </w:r>
    </w:p>
    <w:p w14:paraId="229A0B35"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CIPD (2025) UK Workforce Report: Digital Skills and E-Commerce Talent Trends. London: Chartered Institute of Personnel and Development.</w:t>
      </w:r>
    </w:p>
    <w:p w14:paraId="0AACC5AD"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Johanson, J. and Vahlne, J.E. (1977) ‘The internationalisation process of the firm: A model of knowledge development and increasing foreign market commitments’, Journal of International Business Studies, 8(1), pp. 23–32.</w:t>
      </w:r>
    </w:p>
    <w:p w14:paraId="21283406" w14:textId="64FF7895"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Johanson, J. and Vahlne, J.E. (2009) ‘The Uppsala internationalisation process model revisited: From liability of foreignness to liability of </w:t>
      </w:r>
      <w:r w:rsidR="00675D5A" w:rsidRPr="00B94F53">
        <w:rPr>
          <w:rFonts w:ascii="Times New Roman" w:hAnsi="Times New Roman" w:cs="Times New Roman"/>
          <w:sz w:val="24"/>
          <w:szCs w:val="24"/>
        </w:rPr>
        <w:t>outsider ship</w:t>
      </w:r>
      <w:r w:rsidRPr="00B94F53">
        <w:rPr>
          <w:rFonts w:ascii="Times New Roman" w:hAnsi="Times New Roman" w:cs="Times New Roman"/>
          <w:sz w:val="24"/>
          <w:szCs w:val="24"/>
        </w:rPr>
        <w:t>’, Journal of International Business Studies, 40(9), pp. 1411–1431.</w:t>
      </w:r>
    </w:p>
    <w:p w14:paraId="1E608A2C"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KPMG (2024) Cross-Border E-Commerce and Fintech Integration: Strategic Insights for Emerging and Developed Markets. London: KPMG International.</w:t>
      </w:r>
    </w:p>
    <w:p w14:paraId="78A1721A"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ONS (2025) Internet and E-Commerce Activity in Great Britain. London: Office for National Statistics.</w:t>
      </w:r>
    </w:p>
    <w:p w14:paraId="64A35185"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Saunders, M., Lewis, P. and Thornhill, A. (2019) Research Methods for Business Students. 8th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Harlow: Pearson.</w:t>
      </w:r>
    </w:p>
    <w:p w14:paraId="687B41BE"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lastRenderedPageBreak/>
        <w:t>Snyder, H. (2019) ‘Literature review as a research methodology: An overview and guidelines’, Journal of Business Research, 104, pp. 333–339.</w:t>
      </w:r>
    </w:p>
    <w:p w14:paraId="5B95FB7A"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Sonali Bank Limited (2024) Annual Report 2023–2024. Dhaka: Sonali Bank Limited.</w:t>
      </w:r>
    </w:p>
    <w:p w14:paraId="23DD4EEA"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Statista (2025) Global Cross-Border E-Commerce Market Size 2020–2026. Available at: https://www.statista.com (Accessed: 27 May 2026).</w:t>
      </w:r>
    </w:p>
    <w:p w14:paraId="51DB2258"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World Bank (2025) Migration and Development Brief: Remittances Remain Resilient. Washington DC: World Bank Group.</w:t>
      </w:r>
    </w:p>
    <w:p w14:paraId="5EC17364"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Xiao, Y. and Watson, M. (2019) ‘Guidance on conducting a systematic literature review’, Journal of Planning Education and Research, 39(1), pp. 93–112.</w:t>
      </w:r>
    </w:p>
    <w:p w14:paraId="5A7B1893" w14:textId="3BAD05BB" w:rsidR="007A4F7B" w:rsidRPr="00B94F53" w:rsidRDefault="007A4F7B" w:rsidP="007A4F7B">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Yin, R.K. (2018) Case Study Research and Applications: Design and Methods. 6th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xml:space="preserve">. Thousand Oaks, CA: SAGE Publications. </w:t>
      </w:r>
    </w:p>
    <w:p w14:paraId="07D92D11" w14:textId="77777777" w:rsidR="00D248E8" w:rsidRPr="00B94F53" w:rsidRDefault="007A4F7B"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Braun, V. and Clarke, V. (2006) 'Using thematic analysis in psychology', Qualitative Research in Psychology, 3(2), pp. 77–101.</w:t>
      </w:r>
    </w:p>
    <w:p w14:paraId="6734CC82" w14:textId="0E9BBE1E"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Abdurrahman, A., </w:t>
      </w:r>
      <w:proofErr w:type="spellStart"/>
      <w:r w:rsidRPr="00B94F53">
        <w:rPr>
          <w:rFonts w:ascii="Times New Roman" w:hAnsi="Times New Roman" w:cs="Times New Roman"/>
          <w:sz w:val="24"/>
          <w:szCs w:val="24"/>
        </w:rPr>
        <w:t>Gustomo</w:t>
      </w:r>
      <w:proofErr w:type="spellEnd"/>
      <w:r w:rsidRPr="00B94F53">
        <w:rPr>
          <w:rFonts w:ascii="Times New Roman" w:hAnsi="Times New Roman" w:cs="Times New Roman"/>
          <w:sz w:val="24"/>
          <w:szCs w:val="24"/>
        </w:rPr>
        <w:t xml:space="preserve">, A., &amp; </w:t>
      </w:r>
      <w:proofErr w:type="spellStart"/>
      <w:r w:rsidRPr="00B94F53">
        <w:rPr>
          <w:rFonts w:ascii="Times New Roman" w:hAnsi="Times New Roman" w:cs="Times New Roman"/>
          <w:sz w:val="24"/>
          <w:szCs w:val="24"/>
        </w:rPr>
        <w:t>Prasetio</w:t>
      </w:r>
      <w:proofErr w:type="spellEnd"/>
      <w:r w:rsidRPr="00B94F53">
        <w:rPr>
          <w:rFonts w:ascii="Times New Roman" w:hAnsi="Times New Roman" w:cs="Times New Roman"/>
          <w:sz w:val="24"/>
          <w:szCs w:val="24"/>
        </w:rPr>
        <w:t>, E. (2024). Impact of dynamic capabilities on digital transformation and innovation to improve banking performance: A TOE framework study. Journal of Open Innovation: Technology, Market, and Complexity, 10(1), 100215. https://doi.org/10.1016/j.joitmc.2024.100215</w:t>
      </w:r>
    </w:p>
    <w:p w14:paraId="6F968B96"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Afroze, D., &amp; Rista, F. I. (2022). Mobile financial services (MFS) and digital inclusion – a study on customers' retention and perceptions. Qualitative Research in Financial Markets. https://doi.org/10.1108/QRFM-06-2021-0095</w:t>
      </w:r>
    </w:p>
    <w:p w14:paraId="7D75FD10"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Akhter, N., &amp; Khalily, M. A. B. (2020). An analysis of mobile financial services and financial inclusion in Bangladesh. Indian Journal of Human Development, 14(2), 213–233. https://doi.org/10.1177/0973703020946706</w:t>
      </w:r>
    </w:p>
    <w:p w14:paraId="327A4D84"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Bhatti, W. A., Vahlne, J. E., </w:t>
      </w:r>
      <w:proofErr w:type="spellStart"/>
      <w:r w:rsidRPr="00B94F53">
        <w:rPr>
          <w:rFonts w:ascii="Times New Roman" w:hAnsi="Times New Roman" w:cs="Times New Roman"/>
          <w:sz w:val="24"/>
          <w:szCs w:val="24"/>
        </w:rPr>
        <w:t>Glowik</w:t>
      </w:r>
      <w:proofErr w:type="spellEnd"/>
      <w:r w:rsidRPr="00B94F53">
        <w:rPr>
          <w:rFonts w:ascii="Times New Roman" w:hAnsi="Times New Roman" w:cs="Times New Roman"/>
          <w:sz w:val="24"/>
          <w:szCs w:val="24"/>
        </w:rPr>
        <w:t xml:space="preserve">, M., &amp; </w:t>
      </w:r>
      <w:proofErr w:type="spellStart"/>
      <w:r w:rsidRPr="00B94F53">
        <w:rPr>
          <w:rFonts w:ascii="Times New Roman" w:hAnsi="Times New Roman" w:cs="Times New Roman"/>
          <w:sz w:val="24"/>
          <w:szCs w:val="24"/>
        </w:rPr>
        <w:t>Larimo</w:t>
      </w:r>
      <w:proofErr w:type="spellEnd"/>
      <w:r w:rsidRPr="00B94F53">
        <w:rPr>
          <w:rFonts w:ascii="Times New Roman" w:hAnsi="Times New Roman" w:cs="Times New Roman"/>
          <w:sz w:val="24"/>
          <w:szCs w:val="24"/>
        </w:rPr>
        <w:t>, J. A. (2022). The impact of Industry 4.0 on the 2017 version of the Uppsala model. International Business Review, 31(4), 101996. https://doi.org/10.1016/j.ibusrev.2022.101996</w:t>
      </w:r>
    </w:p>
    <w:p w14:paraId="18FCA0CA"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Birkinshaw, J. (2022). Move fast and break things: Reassessing IB research in the light of the digital revolution. Global Strategy Journal, 12(4), 720–737. https://doi.org/10.1002/gsj.1427</w:t>
      </w:r>
    </w:p>
    <w:p w14:paraId="2EB12513"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Diener, F., &amp; Špaček, M. (2021). Digital transformation in banking: A managerial perspective on barriers to change. Sustainability, 13(4), 2032. https://doi.org/10.3390/su13042032</w:t>
      </w:r>
    </w:p>
    <w:p w14:paraId="5CE80C83"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lastRenderedPageBreak/>
        <w:t>Ekhsan</w:t>
      </w:r>
      <w:proofErr w:type="spellEnd"/>
      <w:r w:rsidRPr="00B94F53">
        <w:rPr>
          <w:rFonts w:ascii="Times New Roman" w:hAnsi="Times New Roman" w:cs="Times New Roman"/>
          <w:sz w:val="24"/>
          <w:szCs w:val="24"/>
        </w:rPr>
        <w:t>, M. (2026). Strategic human resource capabilities for digital transformation: Linking talent, leadership, competence and readiness to technology adoption. SA Journal of Human Resource Management.</w:t>
      </w:r>
    </w:p>
    <w:p w14:paraId="4D34E9C9"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Feliciano-Cestero, M. M., Ameen, N., </w:t>
      </w:r>
      <w:proofErr w:type="spellStart"/>
      <w:r w:rsidRPr="00B94F53">
        <w:rPr>
          <w:rFonts w:ascii="Times New Roman" w:hAnsi="Times New Roman" w:cs="Times New Roman"/>
          <w:sz w:val="24"/>
          <w:szCs w:val="24"/>
        </w:rPr>
        <w:t>Kotabe</w:t>
      </w:r>
      <w:proofErr w:type="spellEnd"/>
      <w:r w:rsidRPr="00B94F53">
        <w:rPr>
          <w:rFonts w:ascii="Times New Roman" w:hAnsi="Times New Roman" w:cs="Times New Roman"/>
          <w:sz w:val="24"/>
          <w:szCs w:val="24"/>
        </w:rPr>
        <w:t>, M., Paul, J., &amp; Signoret, M. (2023). Is digital transformation threatened? A systematic literature review of the factors influencing firms' digital transformation and internationalization. Journal of Business Research, 157, 113546. https://doi.org/10.1016/j.jbusres.2022.113546</w:t>
      </w:r>
    </w:p>
    <w:p w14:paraId="01F9A8F4"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Gardner, J., &amp; Leong, E. (2021). Open banking in the UK and Singapore: Open possibilities for enhancing financial inclusion. Journal of Business Law, 2021(5).</w:t>
      </w:r>
    </w:p>
    <w:p w14:paraId="61D33F74"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Hervé, A., Schmitt, C., &amp; </w:t>
      </w:r>
      <w:proofErr w:type="spellStart"/>
      <w:r w:rsidRPr="00B94F53">
        <w:rPr>
          <w:rFonts w:ascii="Times New Roman" w:hAnsi="Times New Roman" w:cs="Times New Roman"/>
          <w:sz w:val="24"/>
          <w:szCs w:val="24"/>
        </w:rPr>
        <w:t>Baldegger</w:t>
      </w:r>
      <w:proofErr w:type="spellEnd"/>
      <w:r w:rsidRPr="00B94F53">
        <w:rPr>
          <w:rFonts w:ascii="Times New Roman" w:hAnsi="Times New Roman" w:cs="Times New Roman"/>
          <w:sz w:val="24"/>
          <w:szCs w:val="24"/>
        </w:rPr>
        <w:t>, R. (2020). Internationalization and digitalization: Applying digital technologies to the internationalization process of small and medium-sized enterprises. Technology Innovation Management Review, 10(7), 28–40. https://doi.org/10.22215/timreview/1373</w:t>
      </w:r>
    </w:p>
    <w:p w14:paraId="0036226F"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Kitsios, F., Giatsidis, I., &amp; </w:t>
      </w:r>
      <w:proofErr w:type="spellStart"/>
      <w:r w:rsidRPr="00B94F53">
        <w:rPr>
          <w:rFonts w:ascii="Times New Roman" w:hAnsi="Times New Roman" w:cs="Times New Roman"/>
          <w:sz w:val="24"/>
          <w:szCs w:val="24"/>
        </w:rPr>
        <w:t>Kamariotou</w:t>
      </w:r>
      <w:proofErr w:type="spellEnd"/>
      <w:r w:rsidRPr="00B94F53">
        <w:rPr>
          <w:rFonts w:ascii="Times New Roman" w:hAnsi="Times New Roman" w:cs="Times New Roman"/>
          <w:sz w:val="24"/>
          <w:szCs w:val="24"/>
        </w:rPr>
        <w:t>, M. (2021). Digital transformation and strategy in the banking sector: Evaluating the acceptance rate of e-services. Journal of Open Innovation: Technology, Market, and Complexity, 7(3), 204. https://doi.org/10.3390/joitmc7030204</w:t>
      </w:r>
    </w:p>
    <w:p w14:paraId="37D3A5E9"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Kopalle</w:t>
      </w:r>
      <w:proofErr w:type="spellEnd"/>
      <w:r w:rsidRPr="00B94F53">
        <w:rPr>
          <w:rFonts w:ascii="Times New Roman" w:hAnsi="Times New Roman" w:cs="Times New Roman"/>
          <w:sz w:val="24"/>
          <w:szCs w:val="24"/>
        </w:rPr>
        <w:t>, P. K., Kumar, V., &amp; Subramaniam, M. (2020). How legacy firms can embrace the digital ecosystem via digital customer orientation. Journal of the Academy of Marketing Science, 48, 114–131. https://doi.org/10.1007/s11747-019-00694-2</w:t>
      </w:r>
    </w:p>
    <w:p w14:paraId="4D90AE37"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Li, Z., Chen, H., Lu, S., &amp; </w:t>
      </w:r>
      <w:proofErr w:type="spellStart"/>
      <w:r w:rsidRPr="00B94F53">
        <w:rPr>
          <w:rFonts w:ascii="Times New Roman" w:hAnsi="Times New Roman" w:cs="Times New Roman"/>
          <w:sz w:val="24"/>
          <w:szCs w:val="24"/>
        </w:rPr>
        <w:t>Failler</w:t>
      </w:r>
      <w:proofErr w:type="spellEnd"/>
      <w:r w:rsidRPr="00B94F53">
        <w:rPr>
          <w:rFonts w:ascii="Times New Roman" w:hAnsi="Times New Roman" w:cs="Times New Roman"/>
          <w:sz w:val="24"/>
          <w:szCs w:val="24"/>
        </w:rPr>
        <w:t>, P. (2024). How does digital payment affect international trade? Research based on the social network analysis method. Electronic Research Archive, 32(3), 1406–1424. https://doi.org/10.3934/era.2024065</w:t>
      </w:r>
    </w:p>
    <w:p w14:paraId="427862A6" w14:textId="74C7AC9B"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Mariotti, S., &amp; Marzano, R. (2021). Institutions, corporate governance, and internationalization of state-owned enterprises in a </w:t>
      </w:r>
      <w:r w:rsidR="00265390" w:rsidRPr="00B94F53">
        <w:rPr>
          <w:rFonts w:ascii="Times New Roman" w:hAnsi="Times New Roman" w:cs="Times New Roman"/>
          <w:sz w:val="24"/>
          <w:szCs w:val="24"/>
        </w:rPr>
        <w:t>variety of capitalism framework</w:t>
      </w:r>
      <w:r w:rsidRPr="00B94F53">
        <w:rPr>
          <w:rFonts w:ascii="Times New Roman" w:hAnsi="Times New Roman" w:cs="Times New Roman"/>
          <w:sz w:val="24"/>
          <w:szCs w:val="24"/>
        </w:rPr>
        <w:t xml:space="preserve">. In A. Verbeke, R. van </w:t>
      </w:r>
      <w:proofErr w:type="spellStart"/>
      <w:r w:rsidRPr="00B94F53">
        <w:rPr>
          <w:rFonts w:ascii="Times New Roman" w:hAnsi="Times New Roman" w:cs="Times New Roman"/>
          <w:sz w:val="24"/>
          <w:szCs w:val="24"/>
        </w:rPr>
        <w:t>Tulder</w:t>
      </w:r>
      <w:proofErr w:type="spellEnd"/>
      <w:r w:rsidRPr="00B94F53">
        <w:rPr>
          <w:rFonts w:ascii="Times New Roman" w:hAnsi="Times New Roman" w:cs="Times New Roman"/>
          <w:sz w:val="24"/>
          <w:szCs w:val="24"/>
        </w:rPr>
        <w:t>, E. L. Rose, &amp; Y. Wei (Eds.), The multiple dimensions of institutional complexity in international business research. Emerald Publishing.</w:t>
      </w:r>
    </w:p>
    <w:p w14:paraId="1F6D5F03"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Meiliani, M. (2023). Digital organisational culture: Capturing local banking in digital transformation. International Journal of Social Science and Business, 7(4), 1022–1029.</w:t>
      </w:r>
    </w:p>
    <w:p w14:paraId="41E2AE5C"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Miążek</w:t>
      </w:r>
      <w:proofErr w:type="spellEnd"/>
      <w:r w:rsidRPr="00B94F53">
        <w:rPr>
          <w:rFonts w:ascii="Times New Roman" w:hAnsi="Times New Roman" w:cs="Times New Roman"/>
          <w:sz w:val="24"/>
          <w:szCs w:val="24"/>
        </w:rPr>
        <w:t>, R. (2021). Corporate governance in state-owned enterprises: A systematic literature review – an international perspective.</w:t>
      </w:r>
    </w:p>
    <w:p w14:paraId="3047E912"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lastRenderedPageBreak/>
        <w:t>Monaghan, S., Tippmann, E., &amp; Coviello, N. (2020). Born digitals: Thoughts on their internationalization and a research agenda. Journal of International Business Studies, 51, 11–22. https://doi.org/10.1057/s41267-019-00290-0</w:t>
      </w:r>
    </w:p>
    <w:p w14:paraId="51C535B9"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Nesindande</w:t>
      </w:r>
      <w:proofErr w:type="spellEnd"/>
      <w:r w:rsidRPr="00B94F53">
        <w:rPr>
          <w:rFonts w:ascii="Times New Roman" w:hAnsi="Times New Roman" w:cs="Times New Roman"/>
          <w:sz w:val="24"/>
          <w:szCs w:val="24"/>
        </w:rPr>
        <w:t>, A. R. (2024). Exploring changes in banking workplaces because of digital technology implementation. SA Journal of Human Resource Management, 22.</w:t>
      </w:r>
    </w:p>
    <w:p w14:paraId="15AAE06A"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Nesindande</w:t>
      </w:r>
      <w:proofErr w:type="spellEnd"/>
      <w:r w:rsidRPr="00B94F53">
        <w:rPr>
          <w:rFonts w:ascii="Times New Roman" w:hAnsi="Times New Roman" w:cs="Times New Roman"/>
          <w:sz w:val="24"/>
          <w:szCs w:val="24"/>
        </w:rPr>
        <w:t xml:space="preserve">, A. R., </w:t>
      </w:r>
      <w:proofErr w:type="spellStart"/>
      <w:r w:rsidRPr="00B94F53">
        <w:rPr>
          <w:rFonts w:ascii="Times New Roman" w:hAnsi="Times New Roman" w:cs="Times New Roman"/>
          <w:sz w:val="24"/>
          <w:szCs w:val="24"/>
        </w:rPr>
        <w:t>Saurombe</w:t>
      </w:r>
      <w:proofErr w:type="spellEnd"/>
      <w:r w:rsidRPr="00B94F53">
        <w:rPr>
          <w:rFonts w:ascii="Times New Roman" w:hAnsi="Times New Roman" w:cs="Times New Roman"/>
          <w:sz w:val="24"/>
          <w:szCs w:val="24"/>
        </w:rPr>
        <w:t>, M. D., &amp; Joseph, R. M. (2025). Exploring a digital banking talent management framework at a banking institution in South Africa. SA Journal of Human Resource Management, 23.</w:t>
      </w:r>
    </w:p>
    <w:p w14:paraId="576FECB1"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Washington, P. B., Rehman, S. U., &amp; Lee, E. (2022). Nexus between regulatory sandbox and performance of digital banks—A study on UK digital banks. Journal of Risk and Financial Management, 15(12), 610. https://doi.org/10.3390/jrfm15120610</w:t>
      </w:r>
    </w:p>
    <w:p w14:paraId="5B2736D2" w14:textId="7BD82640" w:rsidR="007A4F7B" w:rsidRPr="00B94F53" w:rsidRDefault="007A4F7B" w:rsidP="007A4F7B">
      <w:pPr>
        <w:spacing w:after="200" w:line="300" w:lineRule="auto"/>
        <w:ind w:left="720" w:hanging="720"/>
        <w:rPr>
          <w:rFonts w:ascii="Times New Roman" w:hAnsi="Times New Roman" w:cs="Times New Roman"/>
          <w:sz w:val="24"/>
          <w:szCs w:val="24"/>
        </w:rPr>
      </w:pPr>
    </w:p>
    <w:p w14:paraId="3E74B2F9"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br w:type="page"/>
      </w:r>
    </w:p>
    <w:p w14:paraId="7E7CBFBA" w14:textId="77777777" w:rsidR="00B60E1E" w:rsidRPr="00B94F53" w:rsidRDefault="00B60E1E" w:rsidP="00045607">
      <w:pPr>
        <w:pStyle w:val="Heading1"/>
        <w:rPr>
          <w:rFonts w:ascii="Times New Roman" w:hAnsi="Times New Roman" w:cs="Times New Roman"/>
        </w:rPr>
      </w:pPr>
      <w:bookmarkStart w:id="137" w:name="_Toc234504530"/>
      <w:bookmarkStart w:id="138" w:name="_Toc238117874"/>
      <w:r w:rsidRPr="00B94F53">
        <w:rPr>
          <w:rFonts w:ascii="Times New Roman" w:hAnsi="Times New Roman" w:cs="Times New Roman"/>
        </w:rPr>
        <w:lastRenderedPageBreak/>
        <w:t>Appendices</w:t>
      </w:r>
      <w:bookmarkEnd w:id="137"/>
      <w:bookmarkEnd w:id="138"/>
    </w:p>
    <w:p w14:paraId="12D450DD"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Appendix A: List of Abbreviations</w:t>
      </w:r>
    </w:p>
    <w:tbl>
      <w:tblPr>
        <w:tblW w:w="9400" w:type="dxa"/>
        <w:tblBorders>
          <w:top w:val="single" w:sz="4" w:space="0" w:color="8EA9DB"/>
          <w:left w:val="single" w:sz="4" w:space="0" w:color="8EA9DB"/>
          <w:bottom w:val="single" w:sz="4" w:space="0" w:color="8EA9DB"/>
          <w:right w:val="single" w:sz="4" w:space="0" w:color="8EA9DB"/>
          <w:insideH w:val="single" w:sz="4" w:space="0" w:color="8EA9DB"/>
          <w:insideV w:val="single" w:sz="4" w:space="0" w:color="8EA9DB"/>
        </w:tblBorders>
        <w:tblCellMar>
          <w:left w:w="10" w:type="dxa"/>
          <w:right w:w="10" w:type="dxa"/>
        </w:tblCellMar>
        <w:tblLook w:val="04A0" w:firstRow="1" w:lastRow="0" w:firstColumn="1" w:lastColumn="0" w:noHBand="0" w:noVBand="1"/>
      </w:tblPr>
      <w:tblGrid>
        <w:gridCol w:w="2500"/>
        <w:gridCol w:w="6900"/>
      </w:tblGrid>
      <w:tr w:rsidR="00BD3FFE" w:rsidRPr="00B94F53" w14:paraId="340089A1" w14:textId="77777777" w:rsidTr="00BD3FFE">
        <w:tc>
          <w:tcPr>
            <w:tcW w:w="25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762EDF5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Abbreviation</w:t>
            </w:r>
          </w:p>
        </w:tc>
        <w:tc>
          <w:tcPr>
            <w:tcW w:w="69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7F3BCBA6"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Full Term</w:t>
            </w:r>
          </w:p>
        </w:tc>
      </w:tr>
      <w:tr w:rsidR="00BD3FFE" w:rsidRPr="00B94F53" w14:paraId="122ED7D3"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13ACB5BD"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API</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63C4DBBD"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Application Programming Interface</w:t>
            </w:r>
          </w:p>
        </w:tc>
      </w:tr>
      <w:tr w:rsidR="00BD3FFE" w:rsidRPr="00B94F53" w14:paraId="1CC151C0"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2A1A7E4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CHAPS</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556B9F0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Clearing House Automated Payment System</w:t>
            </w:r>
          </w:p>
        </w:tc>
      </w:tr>
      <w:tr w:rsidR="00BD3FFE" w:rsidRPr="00B94F53" w14:paraId="10DF1222"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3F69E3A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CIPD</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5C50552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Chartered Institute of Personnel and Development</w:t>
            </w:r>
          </w:p>
        </w:tc>
      </w:tr>
      <w:tr w:rsidR="00BD3FFE" w:rsidRPr="00B94F53" w14:paraId="6F4FCDE1"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58C763D6"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FCA</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744DFF8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Financial Conduct Authority</w:t>
            </w:r>
          </w:p>
        </w:tc>
      </w:tr>
      <w:tr w:rsidR="00BD3FFE" w:rsidRPr="00B94F53" w14:paraId="7DBBD9A4"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639A1EA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GDPR</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2A96FED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General Data Protection Regulation</w:t>
            </w:r>
          </w:p>
        </w:tc>
      </w:tr>
      <w:tr w:rsidR="00BD3FFE" w:rsidRPr="00B94F53" w14:paraId="49063230"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2A9970B9"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ICO</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5B8644B1"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Information Commissioner's Office</w:t>
            </w:r>
          </w:p>
        </w:tc>
      </w:tr>
      <w:tr w:rsidR="00BD3FFE" w:rsidRPr="00B94F53" w14:paraId="773D619C"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0DC026E5"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MFS</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1FA0CF4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Mobile Financial Services</w:t>
            </w:r>
          </w:p>
        </w:tc>
      </w:tr>
      <w:tr w:rsidR="00BD3FFE" w:rsidRPr="00B94F53" w14:paraId="2FFD3DB3"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08D6970F"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ONS</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2B6DD7D1"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Office for National Statistics</w:t>
            </w:r>
          </w:p>
        </w:tc>
      </w:tr>
      <w:tr w:rsidR="00BD3FFE" w:rsidRPr="00B94F53" w14:paraId="19E2D4E5"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2134CE87"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PRISMA</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01E3C40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Preferred Reporting Items for Systematic Reviews and Meta-Analyses</w:t>
            </w:r>
          </w:p>
        </w:tc>
      </w:tr>
      <w:tr w:rsidR="00BD3FFE" w:rsidRPr="00B94F53" w14:paraId="6F85D6FE"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2E0E251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RBV</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6FB0DFC7"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Resource-Based View</w:t>
            </w:r>
          </w:p>
        </w:tc>
      </w:tr>
      <w:tr w:rsidR="00BD3FFE" w:rsidRPr="00B94F53" w14:paraId="2E822CF9"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7C95B84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SHRM</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16CC165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Strategic Human Resource Management</w:t>
            </w:r>
          </w:p>
        </w:tc>
      </w:tr>
      <w:tr w:rsidR="00BD3FFE" w:rsidRPr="00B94F53" w14:paraId="5C497F37"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530421B9"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SOE</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608EAB2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State-Owned Enterprise</w:t>
            </w:r>
          </w:p>
        </w:tc>
      </w:tr>
      <w:tr w:rsidR="00BD3FFE" w:rsidRPr="00B94F53" w14:paraId="579D4812"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0AA23EB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SWIFT</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0D4CD53D"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Society for Worldwide Interbank Financial Telecommunication</w:t>
            </w:r>
          </w:p>
        </w:tc>
      </w:tr>
    </w:tbl>
    <w:p w14:paraId="47E2BC3F" w14:textId="77777777" w:rsidR="00B60E1E" w:rsidRPr="00B94F53" w:rsidRDefault="00B60E1E" w:rsidP="00B60E1E">
      <w:pPr>
        <w:spacing w:after="200" w:line="300" w:lineRule="auto"/>
        <w:ind w:left="720" w:hanging="720"/>
        <w:rPr>
          <w:rFonts w:ascii="Times New Roman" w:hAnsi="Times New Roman" w:cs="Times New Roman"/>
          <w:sz w:val="24"/>
          <w:szCs w:val="24"/>
        </w:rPr>
      </w:pPr>
    </w:p>
    <w:p w14:paraId="605C9154"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Appendix B: Systematic Literature Review Search Strategy</w:t>
      </w:r>
    </w:p>
    <w:p w14:paraId="5A40388D"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This appendix summarises the search strategy described in Chapter Three, Section 3.3, presented here in full for transparency and to allow the search to be replicated.</w:t>
      </w:r>
    </w:p>
    <w:p w14:paraId="6CC66EC8"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B.1 Source Databases</w:t>
      </w:r>
    </w:p>
    <w:p w14:paraId="1394EEA3"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Web of Science</w:t>
      </w:r>
    </w:p>
    <w:p w14:paraId="53939FFB"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Scopus</w:t>
      </w:r>
    </w:p>
    <w:p w14:paraId="616D45EF"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EBSCO Business Source Complete</w:t>
      </w:r>
    </w:p>
    <w:p w14:paraId="3820D54A"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JSTOR</w:t>
      </w:r>
    </w:p>
    <w:p w14:paraId="5EA34E33"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Google Scholar</w:t>
      </w:r>
    </w:p>
    <w:p w14:paraId="39FBDDF5"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lastRenderedPageBreak/>
        <w:t>B.2 Example Keyword Combinations</w:t>
      </w:r>
    </w:p>
    <w:p w14:paraId="0E7EDB45"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e-commerce AND international banking</w:t>
      </w:r>
    </w:p>
    <w:p w14:paraId="33AEA2AF"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Sonali Bank AND remittance</w:t>
      </w:r>
    </w:p>
    <w:p w14:paraId="4DA3EB64"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state-owned banks AND internationalisation</w:t>
      </w:r>
    </w:p>
    <w:p w14:paraId="248A30AC"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digital marketing AND financial services</w:t>
      </w:r>
    </w:p>
    <w:p w14:paraId="647A0C0D"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human capital AND banking strategy</w:t>
      </w:r>
    </w:p>
    <w:p w14:paraId="392D3932"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mobile financial services AND financial inclusion</w:t>
      </w:r>
    </w:p>
    <w:p w14:paraId="16F81147"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B.3 Inclusion Criteria</w:t>
      </w:r>
    </w:p>
    <w:p w14:paraId="45BB89AA"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Peer-reviewed articles and scholarly books published between 2010 and 2026</w:t>
      </w:r>
    </w:p>
    <w:p w14:paraId="469D136D"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Sources directly related to e-commerce, international banking, remittance strategy, digital marketing, financial risk management or human capital in the context of the United Kingdom and or Bangladesh</w:t>
      </w:r>
    </w:p>
    <w:p w14:paraId="12FF202E"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Theoretical or conceptual texts of established influence, including foundational sources predating 2010, where directly relevant to the Uppsala Model or the Resource-Based View</w:t>
      </w:r>
    </w:p>
    <w:p w14:paraId="6082478C"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B.4 Exclusion Criteria</w:t>
      </w:r>
    </w:p>
    <w:p w14:paraId="00FFA09A"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Non-peer-reviewed sources and grey literature without institutional affiliation</w:t>
      </w:r>
    </w:p>
    <w:p w14:paraId="69C0E625"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Studies unrelated to the research objectives</w:t>
      </w:r>
    </w:p>
    <w:p w14:paraId="284A0E1C"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Sources published before 2010, other than foundational theoretical texts</w:t>
      </w:r>
    </w:p>
    <w:p w14:paraId="3C0BFFFE"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Appendix C: Secondary Institutional Data Sources Consulted</w:t>
      </w:r>
    </w:p>
    <w:tbl>
      <w:tblPr>
        <w:tblW w:w="9400" w:type="dxa"/>
        <w:tblBorders>
          <w:top w:val="single" w:sz="4" w:space="0" w:color="8EA9DB"/>
          <w:left w:val="single" w:sz="4" w:space="0" w:color="8EA9DB"/>
          <w:bottom w:val="single" w:sz="4" w:space="0" w:color="8EA9DB"/>
          <w:right w:val="single" w:sz="4" w:space="0" w:color="8EA9DB"/>
          <w:insideH w:val="single" w:sz="4" w:space="0" w:color="8EA9DB"/>
          <w:insideV w:val="single" w:sz="4" w:space="0" w:color="8EA9DB"/>
        </w:tblBorders>
        <w:tblCellMar>
          <w:left w:w="10" w:type="dxa"/>
          <w:right w:w="10" w:type="dxa"/>
        </w:tblCellMar>
        <w:tblLook w:val="04A0" w:firstRow="1" w:lastRow="0" w:firstColumn="1" w:lastColumn="0" w:noHBand="0" w:noVBand="1"/>
      </w:tblPr>
      <w:tblGrid>
        <w:gridCol w:w="2600"/>
        <w:gridCol w:w="3200"/>
        <w:gridCol w:w="3600"/>
      </w:tblGrid>
      <w:tr w:rsidR="00BD3FFE" w:rsidRPr="00B94F53" w14:paraId="508D569F" w14:textId="77777777" w:rsidTr="00BD3FFE">
        <w:tc>
          <w:tcPr>
            <w:tcW w:w="26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3368997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Source</w:t>
            </w:r>
          </w:p>
        </w:tc>
        <w:tc>
          <w:tcPr>
            <w:tcW w:w="32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4ED4ADD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Publication</w:t>
            </w:r>
          </w:p>
        </w:tc>
        <w:tc>
          <w:tcPr>
            <w:tcW w:w="36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501F019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Relevance to This Study</w:t>
            </w:r>
          </w:p>
        </w:tc>
      </w:tr>
      <w:tr w:rsidR="00BD3FFE" w:rsidRPr="00B94F53" w14:paraId="69AA2818"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5940FE4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Sonali Bank Limited</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2D67046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Annual Report 2023-2024</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6421399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Institutional structure, branch network and disclosed strategic priorities</w:t>
            </w:r>
          </w:p>
        </w:tc>
      </w:tr>
      <w:tr w:rsidR="00BD3FFE" w:rsidRPr="00B94F53" w14:paraId="2E3738E5"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3FD1184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Bangladesh Bank</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539E3E47"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Annual Report on Digital Financial Services</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78C810B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Mobile financial services growth, regulatory environment and remittance data</w:t>
            </w:r>
          </w:p>
        </w:tc>
      </w:tr>
      <w:tr w:rsidR="00BD3FFE" w:rsidRPr="00B94F53" w14:paraId="2C8256D0"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178E640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lastRenderedPageBreak/>
              <w:t>Office for National Statistics</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4C9F911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Internet and E-Commerce Activity in Great Britain</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208F176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United Kingdom digital and open banking adoption trends</w:t>
            </w:r>
          </w:p>
        </w:tc>
      </w:tr>
      <w:tr w:rsidR="00BD3FFE" w:rsidRPr="00B94F53" w14:paraId="2BB6BEE6"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1F49357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KPMG International</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5694F025"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Cross-Border E-Commerce and Fintech Integration</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2ACD9415"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Payment architecture and platform interoperability benchmarks</w:t>
            </w:r>
          </w:p>
        </w:tc>
      </w:tr>
      <w:tr w:rsidR="00BD3FFE" w:rsidRPr="00B94F53" w14:paraId="2FDBDA3C"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1CC64C2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Chartered Institute of Personnel and Development</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7E6462C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UK Workforce Report: Digital Skills and E-Commerce Talent Trends</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6C2DB09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United Kingdom digital talent market conditions</w:t>
            </w:r>
          </w:p>
        </w:tc>
      </w:tr>
      <w:tr w:rsidR="00BD3FFE" w:rsidRPr="00B94F53" w14:paraId="596B58CC"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204FF9C1"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World Bank Group</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372D1F4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Migration and Development Brief: Remittances Remain Resilient</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5916C40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Global and South Asian remittance flow data</w:t>
            </w:r>
          </w:p>
        </w:tc>
      </w:tr>
    </w:tbl>
    <w:p w14:paraId="063A678C" w14:textId="77777777" w:rsidR="00B60E1E" w:rsidRPr="00B94F53" w:rsidRDefault="00B60E1E" w:rsidP="00B60E1E">
      <w:pPr>
        <w:spacing w:after="200" w:line="300" w:lineRule="auto"/>
        <w:ind w:left="720" w:hanging="720"/>
        <w:rPr>
          <w:rFonts w:ascii="Times New Roman" w:hAnsi="Times New Roman" w:cs="Times New Roman"/>
          <w:sz w:val="24"/>
          <w:szCs w:val="24"/>
        </w:rPr>
      </w:pPr>
    </w:p>
    <w:p w14:paraId="09A32CBF"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Appendix D: Mapping of Research Objectives to Dissertation Chapters</w:t>
      </w:r>
    </w:p>
    <w:tbl>
      <w:tblPr>
        <w:tblW w:w="9400" w:type="dxa"/>
        <w:tblBorders>
          <w:top w:val="single" w:sz="4" w:space="0" w:color="8EA9DB"/>
          <w:left w:val="single" w:sz="4" w:space="0" w:color="8EA9DB"/>
          <w:bottom w:val="single" w:sz="4" w:space="0" w:color="8EA9DB"/>
          <w:right w:val="single" w:sz="4" w:space="0" w:color="8EA9DB"/>
          <w:insideH w:val="single" w:sz="4" w:space="0" w:color="8EA9DB"/>
          <w:insideV w:val="single" w:sz="4" w:space="0" w:color="8EA9DB"/>
        </w:tblBorders>
        <w:tblCellMar>
          <w:left w:w="10" w:type="dxa"/>
          <w:right w:w="10" w:type="dxa"/>
        </w:tblCellMar>
        <w:tblLook w:val="04A0" w:firstRow="1" w:lastRow="0" w:firstColumn="1" w:lastColumn="0" w:noHBand="0" w:noVBand="1"/>
      </w:tblPr>
      <w:tblGrid>
        <w:gridCol w:w="3800"/>
        <w:gridCol w:w="2400"/>
        <w:gridCol w:w="3200"/>
      </w:tblGrid>
      <w:tr w:rsidR="00BD3FFE" w:rsidRPr="00B94F53" w14:paraId="38277C8E" w14:textId="77777777" w:rsidTr="00BD3FFE">
        <w:tc>
          <w:tcPr>
            <w:tcW w:w="38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53F8486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Research Objective</w:t>
            </w:r>
          </w:p>
        </w:tc>
        <w:tc>
          <w:tcPr>
            <w:tcW w:w="24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76FF111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Addressed Primarily In</w:t>
            </w:r>
          </w:p>
        </w:tc>
        <w:tc>
          <w:tcPr>
            <w:tcW w:w="32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323F0EC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Key Section</w:t>
            </w:r>
          </w:p>
        </w:tc>
      </w:tr>
      <w:tr w:rsidR="00BD3FFE" w:rsidRPr="00B94F53" w14:paraId="00819885"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5DE2224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Objective 1: Digital marketing strategy comparison</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4749338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Two, Four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5E4B0EBF"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2.3.3, 4.2, 5.2 and 6.2.1</w:t>
            </w:r>
          </w:p>
        </w:tc>
      </w:tr>
      <w:tr w:rsidR="00BD3FFE" w:rsidRPr="00B94F53" w14:paraId="569C20EA"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06C4E5B6"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Objective 2: Financial models, capital allocation and risk management comparison</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4AAD1DD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Two, Four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6E5F3C6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2.3.4, 4.3, 5.3 and 6.2.2</w:t>
            </w:r>
          </w:p>
        </w:tc>
      </w:tr>
      <w:tr w:rsidR="00BD3FFE" w:rsidRPr="00B94F53" w14:paraId="1B2169B2"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3EA79C8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Objective 3: Human capital strategy evaluation</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3F2CD9F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Two, Four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36B3647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2.3.5, 4.4, 5.3 and 6.2.3</w:t>
            </w:r>
          </w:p>
        </w:tc>
      </w:tr>
      <w:tr w:rsidR="00BD3FFE" w:rsidRPr="00B94F53" w14:paraId="1180B1CE"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6BE083F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Theoretical framework application (Uppsala Model and Resource-Based View)</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1F3289D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Two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70DE0C09"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2.5, 5.2, 5.3 and 5.4</w:t>
            </w:r>
          </w:p>
        </w:tc>
      </w:tr>
      <w:tr w:rsidR="00BD3FFE" w:rsidRPr="00B94F53" w14:paraId="38DB8CCF"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1131DB1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Research question and sub-questions</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40AFD8F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One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3523C8CF"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1.5 and 5.5</w:t>
            </w:r>
          </w:p>
        </w:tc>
      </w:tr>
    </w:tbl>
    <w:p w14:paraId="777F57C7" w14:textId="766A7423" w:rsidR="00BC39D1" w:rsidRPr="00B94F53" w:rsidRDefault="00BC39D1" w:rsidP="00057FCA">
      <w:pPr>
        <w:spacing w:before="100" w:after="100" w:line="300" w:lineRule="auto"/>
        <w:rPr>
          <w:rFonts w:ascii="Times New Roman" w:hAnsi="Times New Roman" w:cs="Times New Roman"/>
        </w:rPr>
      </w:pPr>
    </w:p>
    <w:sectPr w:rsidR="00BC39D1" w:rsidRPr="00B94F53" w:rsidSect="00BD3FFE">
      <w:footerReference w:type="default" r:id="rId13"/>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462F3" w14:textId="77777777" w:rsidR="00FB34D1" w:rsidRDefault="00FB34D1">
      <w:r>
        <w:separator/>
      </w:r>
    </w:p>
  </w:endnote>
  <w:endnote w:type="continuationSeparator" w:id="0">
    <w:p w14:paraId="1B4A38CA" w14:textId="77777777" w:rsidR="00FB34D1" w:rsidRDefault="00FB34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62B39" w14:textId="00FAC6A1" w:rsidR="00BD3FFE" w:rsidRDefault="00BD3FFE">
    <w:pPr>
      <w:pStyle w:val="Footer"/>
      <w:jc w:val="right"/>
    </w:pPr>
  </w:p>
  <w:p w14:paraId="4D8C7D72" w14:textId="74FC6185" w:rsidR="00BD3FFE" w:rsidRDefault="00BD3FFE">
    <w:pP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2681455"/>
      <w:docPartObj>
        <w:docPartGallery w:val="Page Numbers (Bottom of Page)"/>
        <w:docPartUnique/>
      </w:docPartObj>
    </w:sdtPr>
    <w:sdtContent>
      <w:p w14:paraId="51C6824C" w14:textId="77777777" w:rsidR="00BD3FFE" w:rsidRDefault="00BD3FFE">
        <w:pPr>
          <w:pStyle w:val="Footer"/>
          <w:jc w:val="right"/>
        </w:pPr>
        <w:r>
          <w:t xml:space="preserve">Page | </w:t>
        </w:r>
        <w:r>
          <w:fldChar w:fldCharType="begin"/>
        </w:r>
        <w:r>
          <w:instrText xml:space="preserve"> PAGE   \* MERGEFORMAT </w:instrText>
        </w:r>
        <w:r>
          <w:fldChar w:fldCharType="separate"/>
        </w:r>
        <w:r w:rsidR="00DB078F">
          <w:rPr>
            <w:noProof/>
          </w:rPr>
          <w:t>13</w:t>
        </w:r>
        <w:r>
          <w:rPr>
            <w:noProof/>
          </w:rPr>
          <w:fldChar w:fldCharType="end"/>
        </w:r>
        <w:r>
          <w:t xml:space="preserve"> </w:t>
        </w:r>
      </w:p>
    </w:sdtContent>
  </w:sdt>
  <w:p w14:paraId="47817127" w14:textId="77777777" w:rsidR="00BD3FFE" w:rsidRDefault="00BD3FFE">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3DD1B" w14:textId="77777777" w:rsidR="00FB34D1" w:rsidRDefault="00FB34D1">
      <w:r>
        <w:separator/>
      </w:r>
    </w:p>
  </w:footnote>
  <w:footnote w:type="continuationSeparator" w:id="0">
    <w:p w14:paraId="0A3F6D19" w14:textId="77777777" w:rsidR="00FB34D1" w:rsidRDefault="00FB34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94393"/>
    <w:multiLevelType w:val="hybridMultilevel"/>
    <w:tmpl w:val="491AF4CC"/>
    <w:lvl w:ilvl="0" w:tplc="C736E03A">
      <w:start w:val="1"/>
      <w:numFmt w:val="bullet"/>
      <w:lvlText w:val="&amp;#x2022;"/>
      <w:lvlJc w:val="left"/>
      <w:pPr>
        <w:ind w:left="720" w:hanging="360"/>
      </w:pPr>
    </w:lvl>
    <w:lvl w:ilvl="1" w:tplc="CC5EE190">
      <w:numFmt w:val="decimal"/>
      <w:lvlText w:val=""/>
      <w:lvlJc w:val="left"/>
    </w:lvl>
    <w:lvl w:ilvl="2" w:tplc="D54C4F86">
      <w:numFmt w:val="decimal"/>
      <w:lvlText w:val=""/>
      <w:lvlJc w:val="left"/>
    </w:lvl>
    <w:lvl w:ilvl="3" w:tplc="1B2E13BA">
      <w:numFmt w:val="decimal"/>
      <w:lvlText w:val=""/>
      <w:lvlJc w:val="left"/>
    </w:lvl>
    <w:lvl w:ilvl="4" w:tplc="19681A8A">
      <w:numFmt w:val="decimal"/>
      <w:lvlText w:val=""/>
      <w:lvlJc w:val="left"/>
    </w:lvl>
    <w:lvl w:ilvl="5" w:tplc="7B0E6C96">
      <w:numFmt w:val="decimal"/>
      <w:lvlText w:val=""/>
      <w:lvlJc w:val="left"/>
    </w:lvl>
    <w:lvl w:ilvl="6" w:tplc="1D92D778">
      <w:numFmt w:val="decimal"/>
      <w:lvlText w:val=""/>
      <w:lvlJc w:val="left"/>
    </w:lvl>
    <w:lvl w:ilvl="7" w:tplc="97C290EC">
      <w:numFmt w:val="decimal"/>
      <w:lvlText w:val=""/>
      <w:lvlJc w:val="left"/>
    </w:lvl>
    <w:lvl w:ilvl="8" w:tplc="50703FD6">
      <w:numFmt w:val="decimal"/>
      <w:lvlText w:val=""/>
      <w:lvlJc w:val="left"/>
    </w:lvl>
  </w:abstractNum>
  <w:abstractNum w:abstractNumId="1" w15:restartNumberingAfterBreak="0">
    <w:nsid w:val="1BDE4236"/>
    <w:multiLevelType w:val="hybridMultilevel"/>
    <w:tmpl w:val="C774462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155BCF"/>
    <w:multiLevelType w:val="hybridMultilevel"/>
    <w:tmpl w:val="B8762FA4"/>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E70745B"/>
    <w:multiLevelType w:val="hybridMultilevel"/>
    <w:tmpl w:val="28D252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BB031E0"/>
    <w:multiLevelType w:val="hybridMultilevel"/>
    <w:tmpl w:val="C86C7E22"/>
    <w:lvl w:ilvl="0" w:tplc="4D88B96E">
      <w:start w:val="1"/>
      <w:numFmt w:val="bullet"/>
      <w:lvlText w:val="●"/>
      <w:lvlJc w:val="left"/>
      <w:pPr>
        <w:ind w:left="720" w:hanging="360"/>
      </w:pPr>
    </w:lvl>
    <w:lvl w:ilvl="1" w:tplc="2602687C">
      <w:start w:val="1"/>
      <w:numFmt w:val="bullet"/>
      <w:lvlText w:val="○"/>
      <w:lvlJc w:val="left"/>
      <w:pPr>
        <w:ind w:left="1440" w:hanging="360"/>
      </w:pPr>
    </w:lvl>
    <w:lvl w:ilvl="2" w:tplc="CBA2BAC8">
      <w:start w:val="1"/>
      <w:numFmt w:val="bullet"/>
      <w:lvlText w:val="■"/>
      <w:lvlJc w:val="left"/>
      <w:pPr>
        <w:ind w:left="2160" w:hanging="360"/>
      </w:pPr>
    </w:lvl>
    <w:lvl w:ilvl="3" w:tplc="38B6F926">
      <w:start w:val="1"/>
      <w:numFmt w:val="bullet"/>
      <w:lvlText w:val="●"/>
      <w:lvlJc w:val="left"/>
      <w:pPr>
        <w:ind w:left="2880" w:hanging="360"/>
      </w:pPr>
    </w:lvl>
    <w:lvl w:ilvl="4" w:tplc="C47695E4">
      <w:start w:val="1"/>
      <w:numFmt w:val="bullet"/>
      <w:lvlText w:val="○"/>
      <w:lvlJc w:val="left"/>
      <w:pPr>
        <w:ind w:left="3600" w:hanging="360"/>
      </w:pPr>
    </w:lvl>
    <w:lvl w:ilvl="5" w:tplc="CD7EDD6C">
      <w:start w:val="1"/>
      <w:numFmt w:val="bullet"/>
      <w:lvlText w:val="■"/>
      <w:lvlJc w:val="left"/>
      <w:pPr>
        <w:ind w:left="4320" w:hanging="360"/>
      </w:pPr>
    </w:lvl>
    <w:lvl w:ilvl="6" w:tplc="1CBEF436">
      <w:start w:val="1"/>
      <w:numFmt w:val="bullet"/>
      <w:lvlText w:val="●"/>
      <w:lvlJc w:val="left"/>
      <w:pPr>
        <w:ind w:left="5040" w:hanging="360"/>
      </w:pPr>
    </w:lvl>
    <w:lvl w:ilvl="7" w:tplc="5DC01276">
      <w:start w:val="1"/>
      <w:numFmt w:val="bullet"/>
      <w:lvlText w:val="●"/>
      <w:lvlJc w:val="left"/>
      <w:pPr>
        <w:ind w:left="5760" w:hanging="360"/>
      </w:pPr>
    </w:lvl>
    <w:lvl w:ilvl="8" w:tplc="8FE6070A">
      <w:start w:val="1"/>
      <w:numFmt w:val="bullet"/>
      <w:lvlText w:val="●"/>
      <w:lvlJc w:val="left"/>
      <w:pPr>
        <w:ind w:left="6480" w:hanging="360"/>
      </w:pPr>
    </w:lvl>
  </w:abstractNum>
  <w:abstractNum w:abstractNumId="5" w15:restartNumberingAfterBreak="0">
    <w:nsid w:val="3BE169B5"/>
    <w:multiLevelType w:val="hybridMultilevel"/>
    <w:tmpl w:val="31EEBE70"/>
    <w:lvl w:ilvl="0" w:tplc="04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3CA11AE7"/>
    <w:multiLevelType w:val="hybridMultilevel"/>
    <w:tmpl w:val="AC1C5A74"/>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58B178A"/>
    <w:multiLevelType w:val="hybridMultilevel"/>
    <w:tmpl w:val="5B2E6B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705B60"/>
    <w:multiLevelType w:val="hybridMultilevel"/>
    <w:tmpl w:val="88E08866"/>
    <w:lvl w:ilvl="0" w:tplc="501A7636">
      <w:start w:val="1"/>
      <w:numFmt w:val="bullet"/>
      <w:lvlText w:val="●"/>
      <w:lvlJc w:val="left"/>
      <w:pPr>
        <w:ind w:left="720" w:hanging="360"/>
      </w:pPr>
    </w:lvl>
    <w:lvl w:ilvl="1" w:tplc="8C9E0064">
      <w:start w:val="1"/>
      <w:numFmt w:val="bullet"/>
      <w:lvlText w:val="○"/>
      <w:lvlJc w:val="left"/>
      <w:pPr>
        <w:ind w:left="1440" w:hanging="360"/>
      </w:pPr>
    </w:lvl>
    <w:lvl w:ilvl="2" w:tplc="330E217E">
      <w:start w:val="1"/>
      <w:numFmt w:val="bullet"/>
      <w:lvlText w:val="■"/>
      <w:lvlJc w:val="left"/>
      <w:pPr>
        <w:ind w:left="2160" w:hanging="360"/>
      </w:pPr>
    </w:lvl>
    <w:lvl w:ilvl="3" w:tplc="5ED8D830">
      <w:start w:val="1"/>
      <w:numFmt w:val="bullet"/>
      <w:lvlText w:val="●"/>
      <w:lvlJc w:val="left"/>
      <w:pPr>
        <w:ind w:left="2880" w:hanging="360"/>
      </w:pPr>
    </w:lvl>
    <w:lvl w:ilvl="4" w:tplc="4956F5DE">
      <w:start w:val="1"/>
      <w:numFmt w:val="bullet"/>
      <w:lvlText w:val="○"/>
      <w:lvlJc w:val="left"/>
      <w:pPr>
        <w:ind w:left="3600" w:hanging="360"/>
      </w:pPr>
    </w:lvl>
    <w:lvl w:ilvl="5" w:tplc="CF64D144">
      <w:start w:val="1"/>
      <w:numFmt w:val="bullet"/>
      <w:lvlText w:val="■"/>
      <w:lvlJc w:val="left"/>
      <w:pPr>
        <w:ind w:left="4320" w:hanging="360"/>
      </w:pPr>
    </w:lvl>
    <w:lvl w:ilvl="6" w:tplc="B80C22EA">
      <w:start w:val="1"/>
      <w:numFmt w:val="bullet"/>
      <w:lvlText w:val="●"/>
      <w:lvlJc w:val="left"/>
      <w:pPr>
        <w:ind w:left="5040" w:hanging="360"/>
      </w:pPr>
    </w:lvl>
    <w:lvl w:ilvl="7" w:tplc="E33C1D90">
      <w:start w:val="1"/>
      <w:numFmt w:val="bullet"/>
      <w:lvlText w:val="●"/>
      <w:lvlJc w:val="left"/>
      <w:pPr>
        <w:ind w:left="5760" w:hanging="360"/>
      </w:pPr>
    </w:lvl>
    <w:lvl w:ilvl="8" w:tplc="A692C992">
      <w:start w:val="1"/>
      <w:numFmt w:val="bullet"/>
      <w:lvlText w:val="●"/>
      <w:lvlJc w:val="left"/>
      <w:pPr>
        <w:ind w:left="6480" w:hanging="360"/>
      </w:pPr>
    </w:lvl>
  </w:abstractNum>
  <w:abstractNum w:abstractNumId="9" w15:restartNumberingAfterBreak="0">
    <w:nsid w:val="4E166B5D"/>
    <w:multiLevelType w:val="hybridMultilevel"/>
    <w:tmpl w:val="0944DB90"/>
    <w:lvl w:ilvl="0" w:tplc="04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6B5979C8"/>
    <w:multiLevelType w:val="hybridMultilevel"/>
    <w:tmpl w:val="7D186EE2"/>
    <w:lvl w:ilvl="0" w:tplc="04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C136DB0"/>
    <w:multiLevelType w:val="hybridMultilevel"/>
    <w:tmpl w:val="8EE8E058"/>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A265666"/>
    <w:multiLevelType w:val="hybridMultilevel"/>
    <w:tmpl w:val="B66822D0"/>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DB722BC"/>
    <w:multiLevelType w:val="hybridMultilevel"/>
    <w:tmpl w:val="989C0D36"/>
    <w:lvl w:ilvl="0" w:tplc="4EA8032A">
      <w:start w:val="1"/>
      <w:numFmt w:val="bullet"/>
      <w:lvlText w:val="●"/>
      <w:lvlJc w:val="left"/>
      <w:pPr>
        <w:ind w:left="720" w:hanging="360"/>
      </w:pPr>
    </w:lvl>
    <w:lvl w:ilvl="1" w:tplc="AA32ED8C">
      <w:start w:val="1"/>
      <w:numFmt w:val="bullet"/>
      <w:lvlText w:val="○"/>
      <w:lvlJc w:val="left"/>
      <w:pPr>
        <w:ind w:left="1440" w:hanging="360"/>
      </w:pPr>
    </w:lvl>
    <w:lvl w:ilvl="2" w:tplc="BBAAFD14">
      <w:start w:val="1"/>
      <w:numFmt w:val="bullet"/>
      <w:lvlText w:val="■"/>
      <w:lvlJc w:val="left"/>
      <w:pPr>
        <w:ind w:left="2160" w:hanging="360"/>
      </w:pPr>
    </w:lvl>
    <w:lvl w:ilvl="3" w:tplc="B67E90F2">
      <w:start w:val="1"/>
      <w:numFmt w:val="bullet"/>
      <w:lvlText w:val="●"/>
      <w:lvlJc w:val="left"/>
      <w:pPr>
        <w:ind w:left="2880" w:hanging="360"/>
      </w:pPr>
    </w:lvl>
    <w:lvl w:ilvl="4" w:tplc="1F16004C">
      <w:start w:val="1"/>
      <w:numFmt w:val="bullet"/>
      <w:lvlText w:val="○"/>
      <w:lvlJc w:val="left"/>
      <w:pPr>
        <w:ind w:left="3600" w:hanging="360"/>
      </w:pPr>
    </w:lvl>
    <w:lvl w:ilvl="5" w:tplc="C35E632C">
      <w:start w:val="1"/>
      <w:numFmt w:val="bullet"/>
      <w:lvlText w:val="■"/>
      <w:lvlJc w:val="left"/>
      <w:pPr>
        <w:ind w:left="4320" w:hanging="360"/>
      </w:pPr>
    </w:lvl>
    <w:lvl w:ilvl="6" w:tplc="EEBAE304">
      <w:start w:val="1"/>
      <w:numFmt w:val="bullet"/>
      <w:lvlText w:val="●"/>
      <w:lvlJc w:val="left"/>
      <w:pPr>
        <w:ind w:left="5040" w:hanging="360"/>
      </w:pPr>
    </w:lvl>
    <w:lvl w:ilvl="7" w:tplc="A3FC879E">
      <w:start w:val="1"/>
      <w:numFmt w:val="bullet"/>
      <w:lvlText w:val="●"/>
      <w:lvlJc w:val="left"/>
      <w:pPr>
        <w:ind w:left="5760" w:hanging="360"/>
      </w:pPr>
    </w:lvl>
    <w:lvl w:ilvl="8" w:tplc="4CC22E6C">
      <w:start w:val="1"/>
      <w:numFmt w:val="bullet"/>
      <w:lvlText w:val="●"/>
      <w:lvlJc w:val="left"/>
      <w:pPr>
        <w:ind w:left="6480" w:hanging="360"/>
      </w:pPr>
    </w:lvl>
  </w:abstractNum>
  <w:num w:numId="1" w16cid:durableId="467625402">
    <w:abstractNumId w:val="4"/>
    <w:lvlOverride w:ilvl="0">
      <w:startOverride w:val="1"/>
    </w:lvlOverride>
  </w:num>
  <w:num w:numId="2" w16cid:durableId="970788045">
    <w:abstractNumId w:val="0"/>
    <w:lvlOverride w:ilvl="0">
      <w:startOverride w:val="1"/>
    </w:lvlOverride>
  </w:num>
  <w:num w:numId="3" w16cid:durableId="1694530571">
    <w:abstractNumId w:val="3"/>
  </w:num>
  <w:num w:numId="4" w16cid:durableId="547567919">
    <w:abstractNumId w:val="13"/>
  </w:num>
  <w:num w:numId="5" w16cid:durableId="1651010743">
    <w:abstractNumId w:val="10"/>
  </w:num>
  <w:num w:numId="6" w16cid:durableId="605499980">
    <w:abstractNumId w:val="9"/>
  </w:num>
  <w:num w:numId="7" w16cid:durableId="1879976266">
    <w:abstractNumId w:val="5"/>
  </w:num>
  <w:num w:numId="8" w16cid:durableId="1210071399">
    <w:abstractNumId w:val="7"/>
  </w:num>
  <w:num w:numId="9" w16cid:durableId="1688406464">
    <w:abstractNumId w:val="12"/>
  </w:num>
  <w:num w:numId="10" w16cid:durableId="657996546">
    <w:abstractNumId w:val="6"/>
  </w:num>
  <w:num w:numId="11" w16cid:durableId="562527454">
    <w:abstractNumId w:val="11"/>
  </w:num>
  <w:num w:numId="12" w16cid:durableId="1253080379">
    <w:abstractNumId w:val="2"/>
  </w:num>
  <w:num w:numId="13" w16cid:durableId="689649180">
    <w:abstractNumId w:val="8"/>
  </w:num>
  <w:num w:numId="14" w16cid:durableId="1369253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9D1"/>
    <w:rsid w:val="00006200"/>
    <w:rsid w:val="00013E40"/>
    <w:rsid w:val="000143BA"/>
    <w:rsid w:val="0001581F"/>
    <w:rsid w:val="00027C40"/>
    <w:rsid w:val="0003193B"/>
    <w:rsid w:val="00045607"/>
    <w:rsid w:val="00055BF9"/>
    <w:rsid w:val="00057FCA"/>
    <w:rsid w:val="00073240"/>
    <w:rsid w:val="000742F7"/>
    <w:rsid w:val="00082FE5"/>
    <w:rsid w:val="00095F54"/>
    <w:rsid w:val="000A249F"/>
    <w:rsid w:val="000C115C"/>
    <w:rsid w:val="000E2106"/>
    <w:rsid w:val="000E6127"/>
    <w:rsid w:val="000E7E24"/>
    <w:rsid w:val="000F03A1"/>
    <w:rsid w:val="000F670C"/>
    <w:rsid w:val="0010167F"/>
    <w:rsid w:val="00123790"/>
    <w:rsid w:val="00127235"/>
    <w:rsid w:val="0013508E"/>
    <w:rsid w:val="001539A2"/>
    <w:rsid w:val="001651D3"/>
    <w:rsid w:val="00184133"/>
    <w:rsid w:val="001846BE"/>
    <w:rsid w:val="001B1523"/>
    <w:rsid w:val="001B366E"/>
    <w:rsid w:val="001D1DC1"/>
    <w:rsid w:val="001D77AC"/>
    <w:rsid w:val="001E4C97"/>
    <w:rsid w:val="001E649D"/>
    <w:rsid w:val="00202F7B"/>
    <w:rsid w:val="00221A60"/>
    <w:rsid w:val="00226F05"/>
    <w:rsid w:val="0023391F"/>
    <w:rsid w:val="002339EF"/>
    <w:rsid w:val="00257AB2"/>
    <w:rsid w:val="002651E4"/>
    <w:rsid w:val="00265390"/>
    <w:rsid w:val="00266D55"/>
    <w:rsid w:val="002764FC"/>
    <w:rsid w:val="002866B4"/>
    <w:rsid w:val="002870B1"/>
    <w:rsid w:val="00290B18"/>
    <w:rsid w:val="002A50C4"/>
    <w:rsid w:val="002D16B1"/>
    <w:rsid w:val="002E7205"/>
    <w:rsid w:val="003418A4"/>
    <w:rsid w:val="0034359A"/>
    <w:rsid w:val="003439F3"/>
    <w:rsid w:val="003506A1"/>
    <w:rsid w:val="00355BA9"/>
    <w:rsid w:val="003639F9"/>
    <w:rsid w:val="0037514A"/>
    <w:rsid w:val="00394105"/>
    <w:rsid w:val="003B7CE6"/>
    <w:rsid w:val="003D6CA7"/>
    <w:rsid w:val="003E23D8"/>
    <w:rsid w:val="00422FC1"/>
    <w:rsid w:val="0043628E"/>
    <w:rsid w:val="004362AD"/>
    <w:rsid w:val="0045250F"/>
    <w:rsid w:val="004570FC"/>
    <w:rsid w:val="0045780A"/>
    <w:rsid w:val="00466143"/>
    <w:rsid w:val="00480EA8"/>
    <w:rsid w:val="004850F9"/>
    <w:rsid w:val="004E357A"/>
    <w:rsid w:val="004E5888"/>
    <w:rsid w:val="004F2EC2"/>
    <w:rsid w:val="004F5343"/>
    <w:rsid w:val="0052713B"/>
    <w:rsid w:val="00534337"/>
    <w:rsid w:val="00534A7A"/>
    <w:rsid w:val="00535899"/>
    <w:rsid w:val="0053789E"/>
    <w:rsid w:val="00547B24"/>
    <w:rsid w:val="00564B5F"/>
    <w:rsid w:val="0058382F"/>
    <w:rsid w:val="005841D5"/>
    <w:rsid w:val="0059198F"/>
    <w:rsid w:val="005B3D30"/>
    <w:rsid w:val="005D44D3"/>
    <w:rsid w:val="005D4B0F"/>
    <w:rsid w:val="005E7E5E"/>
    <w:rsid w:val="005F11DB"/>
    <w:rsid w:val="005F6C77"/>
    <w:rsid w:val="0061003B"/>
    <w:rsid w:val="0061546E"/>
    <w:rsid w:val="006403A0"/>
    <w:rsid w:val="00675D5A"/>
    <w:rsid w:val="00685351"/>
    <w:rsid w:val="006A44C3"/>
    <w:rsid w:val="006C26C7"/>
    <w:rsid w:val="006D7C01"/>
    <w:rsid w:val="006E7748"/>
    <w:rsid w:val="00726248"/>
    <w:rsid w:val="00743D09"/>
    <w:rsid w:val="00760AA7"/>
    <w:rsid w:val="00786578"/>
    <w:rsid w:val="00793F11"/>
    <w:rsid w:val="00796F21"/>
    <w:rsid w:val="007A13E9"/>
    <w:rsid w:val="007A4F7B"/>
    <w:rsid w:val="00800679"/>
    <w:rsid w:val="00824565"/>
    <w:rsid w:val="00833320"/>
    <w:rsid w:val="00837DC1"/>
    <w:rsid w:val="008575A7"/>
    <w:rsid w:val="00857A17"/>
    <w:rsid w:val="00883424"/>
    <w:rsid w:val="00890E80"/>
    <w:rsid w:val="00894B70"/>
    <w:rsid w:val="00896FAD"/>
    <w:rsid w:val="008C6DEC"/>
    <w:rsid w:val="008D2496"/>
    <w:rsid w:val="008E3987"/>
    <w:rsid w:val="008E428F"/>
    <w:rsid w:val="008E5E80"/>
    <w:rsid w:val="008F0F10"/>
    <w:rsid w:val="008F775A"/>
    <w:rsid w:val="00920D0A"/>
    <w:rsid w:val="00921DCE"/>
    <w:rsid w:val="00934C2C"/>
    <w:rsid w:val="009605C4"/>
    <w:rsid w:val="00967C47"/>
    <w:rsid w:val="009874AD"/>
    <w:rsid w:val="0098752C"/>
    <w:rsid w:val="009B0473"/>
    <w:rsid w:val="009E3453"/>
    <w:rsid w:val="009F1FE1"/>
    <w:rsid w:val="009F67FA"/>
    <w:rsid w:val="00A26FEB"/>
    <w:rsid w:val="00A51831"/>
    <w:rsid w:val="00A63C4A"/>
    <w:rsid w:val="00A83171"/>
    <w:rsid w:val="00AB03E1"/>
    <w:rsid w:val="00AB4650"/>
    <w:rsid w:val="00AE287D"/>
    <w:rsid w:val="00AF2141"/>
    <w:rsid w:val="00B17579"/>
    <w:rsid w:val="00B339A2"/>
    <w:rsid w:val="00B454D3"/>
    <w:rsid w:val="00B54CE0"/>
    <w:rsid w:val="00B553BA"/>
    <w:rsid w:val="00B60E1E"/>
    <w:rsid w:val="00B7556F"/>
    <w:rsid w:val="00B94F53"/>
    <w:rsid w:val="00BA3443"/>
    <w:rsid w:val="00BB57C0"/>
    <w:rsid w:val="00BC39D1"/>
    <w:rsid w:val="00BC5155"/>
    <w:rsid w:val="00BC5D6A"/>
    <w:rsid w:val="00BC71B7"/>
    <w:rsid w:val="00BD3FFE"/>
    <w:rsid w:val="00BD4C83"/>
    <w:rsid w:val="00BE2576"/>
    <w:rsid w:val="00C0453F"/>
    <w:rsid w:val="00C419EA"/>
    <w:rsid w:val="00C42652"/>
    <w:rsid w:val="00C75652"/>
    <w:rsid w:val="00C81D38"/>
    <w:rsid w:val="00C967DF"/>
    <w:rsid w:val="00CB1C4D"/>
    <w:rsid w:val="00CC0D4A"/>
    <w:rsid w:val="00CD4371"/>
    <w:rsid w:val="00CE2F47"/>
    <w:rsid w:val="00CE32D9"/>
    <w:rsid w:val="00D248E8"/>
    <w:rsid w:val="00D4086A"/>
    <w:rsid w:val="00D47C7E"/>
    <w:rsid w:val="00D55DBD"/>
    <w:rsid w:val="00D639EC"/>
    <w:rsid w:val="00D9567B"/>
    <w:rsid w:val="00D96847"/>
    <w:rsid w:val="00DB078F"/>
    <w:rsid w:val="00E00185"/>
    <w:rsid w:val="00E02F75"/>
    <w:rsid w:val="00E113AC"/>
    <w:rsid w:val="00E22C58"/>
    <w:rsid w:val="00E60F31"/>
    <w:rsid w:val="00E8662B"/>
    <w:rsid w:val="00ED7EEA"/>
    <w:rsid w:val="00EF13B6"/>
    <w:rsid w:val="00EF292C"/>
    <w:rsid w:val="00F130B4"/>
    <w:rsid w:val="00F200B5"/>
    <w:rsid w:val="00F40D58"/>
    <w:rsid w:val="00F46B39"/>
    <w:rsid w:val="00F61770"/>
    <w:rsid w:val="00F70917"/>
    <w:rsid w:val="00F80A40"/>
    <w:rsid w:val="00F83698"/>
    <w:rsid w:val="00F8565C"/>
    <w:rsid w:val="00FA1F51"/>
    <w:rsid w:val="00FA3A08"/>
    <w:rsid w:val="00FB34D1"/>
    <w:rsid w:val="00FC3041"/>
    <w:rsid w:val="00FC6D4F"/>
    <w:rsid w:val="00FD0002"/>
    <w:rsid w:val="00FD013B"/>
    <w:rsid w:val="00FD05AE"/>
    <w:rsid w:val="00FD2FFD"/>
    <w:rsid w:val="00FF795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F7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045607"/>
    <w:pPr>
      <w:spacing w:before="360" w:after="180"/>
      <w:jc w:val="center"/>
      <w:outlineLvl w:val="0"/>
    </w:pPr>
    <w:rPr>
      <w:b/>
      <w:sz w:val="32"/>
    </w:rPr>
  </w:style>
  <w:style w:type="paragraph" w:styleId="Heading2">
    <w:name w:val="heading 2"/>
    <w:autoRedefine/>
    <w:uiPriority w:val="9"/>
    <w:unhideWhenUsed/>
    <w:qFormat/>
    <w:rsid w:val="00045607"/>
    <w:pPr>
      <w:spacing w:before="280" w:after="140"/>
      <w:outlineLvl w:val="1"/>
    </w:pPr>
    <w:rPr>
      <w:b/>
      <w:sz w:val="28"/>
      <w:szCs w:val="24"/>
    </w:rPr>
  </w:style>
  <w:style w:type="paragraph" w:styleId="Heading3">
    <w:name w:val="heading 3"/>
    <w:uiPriority w:val="9"/>
    <w:unhideWhenUsed/>
    <w:qFormat/>
    <w:pPr>
      <w:spacing w:before="220" w:after="100"/>
      <w:outlineLvl w:val="2"/>
    </w:pPr>
    <w:rPr>
      <w:b/>
      <w:bCs/>
      <w:color w:val="404040"/>
      <w:sz w:val="23"/>
      <w:szCs w:val="23"/>
    </w:rPr>
  </w:style>
  <w:style w:type="paragraph" w:styleId="Heading4">
    <w:name w:val="heading 4"/>
    <w:uiPriority w:val="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226F05"/>
    <w:pPr>
      <w:tabs>
        <w:tab w:val="center" w:pos="4513"/>
        <w:tab w:val="right" w:pos="9026"/>
      </w:tabs>
    </w:pPr>
  </w:style>
  <w:style w:type="character" w:customStyle="1" w:styleId="HeaderChar">
    <w:name w:val="Header Char"/>
    <w:basedOn w:val="DefaultParagraphFont"/>
    <w:link w:val="Header"/>
    <w:uiPriority w:val="99"/>
    <w:rsid w:val="00226F05"/>
  </w:style>
  <w:style w:type="paragraph" w:styleId="Footer">
    <w:name w:val="footer"/>
    <w:basedOn w:val="Normal"/>
    <w:link w:val="FooterChar"/>
    <w:uiPriority w:val="99"/>
    <w:unhideWhenUsed/>
    <w:rsid w:val="00226F05"/>
    <w:pPr>
      <w:tabs>
        <w:tab w:val="center" w:pos="4513"/>
        <w:tab w:val="right" w:pos="9026"/>
      </w:tabs>
    </w:pPr>
  </w:style>
  <w:style w:type="character" w:customStyle="1" w:styleId="FooterChar">
    <w:name w:val="Footer Char"/>
    <w:basedOn w:val="DefaultParagraphFont"/>
    <w:link w:val="Footer"/>
    <w:uiPriority w:val="99"/>
    <w:rsid w:val="00226F05"/>
  </w:style>
  <w:style w:type="paragraph" w:styleId="TOCHeading">
    <w:name w:val="TOC Heading"/>
    <w:basedOn w:val="Heading1"/>
    <w:next w:val="Normal"/>
    <w:uiPriority w:val="39"/>
    <w:unhideWhenUsed/>
    <w:qFormat/>
    <w:rsid w:val="00057FCA"/>
    <w:pPr>
      <w:keepNext/>
      <w:keepLines/>
      <w:spacing w:before="240" w:after="0" w:line="259" w:lineRule="auto"/>
      <w:outlineLvl w:val="9"/>
    </w:pPr>
    <w:rPr>
      <w:rFonts w:asciiTheme="majorHAnsi" w:eastAsiaTheme="majorEastAsia" w:hAnsiTheme="majorHAnsi" w:cstheme="majorBidi"/>
      <w:b w:val="0"/>
      <w:bCs/>
      <w:color w:val="2F5496" w:themeColor="accent1" w:themeShade="BF"/>
      <w:szCs w:val="32"/>
      <w:lang w:val="en-US" w:eastAsia="en-US"/>
    </w:rPr>
  </w:style>
  <w:style w:type="paragraph" w:styleId="TOC1">
    <w:name w:val="toc 1"/>
    <w:basedOn w:val="Normal"/>
    <w:next w:val="Normal"/>
    <w:autoRedefine/>
    <w:uiPriority w:val="39"/>
    <w:unhideWhenUsed/>
    <w:rsid w:val="00057FCA"/>
    <w:pPr>
      <w:spacing w:after="100"/>
    </w:pPr>
  </w:style>
  <w:style w:type="paragraph" w:styleId="TOC2">
    <w:name w:val="toc 2"/>
    <w:basedOn w:val="Normal"/>
    <w:next w:val="Normal"/>
    <w:autoRedefine/>
    <w:uiPriority w:val="39"/>
    <w:unhideWhenUsed/>
    <w:rsid w:val="00057FCA"/>
    <w:pPr>
      <w:spacing w:after="100"/>
      <w:ind w:left="220"/>
    </w:pPr>
  </w:style>
  <w:style w:type="paragraph" w:styleId="TOC3">
    <w:name w:val="toc 3"/>
    <w:basedOn w:val="Normal"/>
    <w:next w:val="Normal"/>
    <w:autoRedefine/>
    <w:uiPriority w:val="39"/>
    <w:unhideWhenUsed/>
    <w:rsid w:val="00B94F53"/>
    <w:pPr>
      <w:tabs>
        <w:tab w:val="right" w:leader="dot" w:pos="9016"/>
      </w:tabs>
      <w:spacing w:after="100"/>
      <w:ind w:left="440"/>
    </w:pPr>
    <w:rPr>
      <w:rFonts w:ascii="Times New Roman" w:eastAsia="Calibri" w:hAnsi="Times New Roman" w:cs="Times New Roman"/>
      <w:i/>
      <w:iCs/>
      <w:noProof/>
    </w:rPr>
  </w:style>
  <w:style w:type="table" w:styleId="PlainTable1">
    <w:name w:val="Plain Table 1"/>
    <w:basedOn w:val="TableNormal"/>
    <w:uiPriority w:val="41"/>
    <w:rsid w:val="003418A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1">
    <w:name w:val="Grid Table 5 Dark Accent 1"/>
    <w:basedOn w:val="TableNormal"/>
    <w:uiPriority w:val="50"/>
    <w:rsid w:val="003418A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leGridLight">
    <w:name w:val="Grid Table Light"/>
    <w:basedOn w:val="TableNormal"/>
    <w:uiPriority w:val="40"/>
    <w:rsid w:val="008E398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5F07D-CED3-4F59-AA34-EBB17F87D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19470</Words>
  <Characters>110979</Characters>
  <Application>Microsoft Office Word</Application>
  <DocSecurity>0</DocSecurity>
  <Lines>924</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2026-08-20T12:26:00Z</dcterms:created>
  <dcterms:modified xsi:type="dcterms:W3CDTF">2026-08-20T12:26:00Z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9c54e8c9-02ea-4db8-a133-94f2991c37b4</vt:lpwstr>
  </property>
</Properties>
</file>