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E04B7" w14:textId="77777777" w:rsidR="00225B83" w:rsidRDefault="00225B83">
      <w:pPr>
        <w:jc w:val="center"/>
        <w:rPr>
          <w:b/>
          <w:sz w:val="32"/>
          <w:szCs w:val="32"/>
          <w:lang w:val="en-GB"/>
        </w:rPr>
      </w:pPr>
    </w:p>
    <w:p w14:paraId="2977BD05" w14:textId="77777777" w:rsidR="00225B83" w:rsidRDefault="00225B83">
      <w:pPr>
        <w:jc w:val="center"/>
        <w:rPr>
          <w:b/>
          <w:sz w:val="32"/>
          <w:szCs w:val="32"/>
          <w:lang w:val="en-GB"/>
        </w:rPr>
      </w:pPr>
    </w:p>
    <w:p w14:paraId="719B28CD" w14:textId="77777777" w:rsidR="00225B83" w:rsidRDefault="00225B83">
      <w:pPr>
        <w:jc w:val="center"/>
        <w:rPr>
          <w:b/>
          <w:sz w:val="32"/>
          <w:szCs w:val="32"/>
          <w:lang w:val="en-GB"/>
        </w:rPr>
      </w:pPr>
    </w:p>
    <w:p w14:paraId="68794552" w14:textId="77777777" w:rsidR="00225B83" w:rsidRDefault="00225B83">
      <w:pPr>
        <w:jc w:val="center"/>
        <w:rPr>
          <w:b/>
          <w:sz w:val="32"/>
          <w:szCs w:val="32"/>
          <w:lang w:val="en-GB"/>
        </w:rPr>
      </w:pPr>
    </w:p>
    <w:p w14:paraId="0F653694" w14:textId="4E5F9DA9" w:rsidR="00225B83" w:rsidRDefault="00257EE7">
      <w:pPr>
        <w:jc w:val="center"/>
        <w:rPr>
          <w:b/>
          <w:sz w:val="32"/>
          <w:szCs w:val="32"/>
          <w:lang w:val="en-GB"/>
        </w:rPr>
      </w:pPr>
      <w:r>
        <w:rPr>
          <w:b/>
          <w:sz w:val="32"/>
          <w:szCs w:val="32"/>
          <w:lang w:val="en-GB"/>
        </w:rPr>
        <w:t xml:space="preserve">Student Name:Claudia Georgiana Macarie </w:t>
      </w:r>
    </w:p>
    <w:p w14:paraId="38EB92CC" w14:textId="77777777" w:rsidR="00225B83" w:rsidRDefault="00225B83">
      <w:pPr>
        <w:rPr>
          <w:b/>
          <w:sz w:val="32"/>
          <w:szCs w:val="32"/>
          <w:lang w:val="en-GB"/>
        </w:rPr>
      </w:pPr>
    </w:p>
    <w:p w14:paraId="406B7D71" w14:textId="16C946A8" w:rsidR="00225B83" w:rsidRDefault="00257EE7">
      <w:pPr>
        <w:jc w:val="center"/>
        <w:rPr>
          <w:b/>
          <w:sz w:val="32"/>
          <w:szCs w:val="32"/>
          <w:lang w:val="en-GB"/>
        </w:rPr>
      </w:pPr>
      <w:r>
        <w:rPr>
          <w:b/>
          <w:sz w:val="32"/>
          <w:szCs w:val="32"/>
          <w:lang w:val="en-GB"/>
        </w:rPr>
        <w:t>Student ID:2030</w:t>
      </w:r>
      <w:r w:rsidR="00380B37">
        <w:rPr>
          <w:b/>
          <w:sz w:val="32"/>
          <w:szCs w:val="32"/>
          <w:lang w:val="en-GB"/>
        </w:rPr>
        <w:t>517</w:t>
      </w:r>
    </w:p>
    <w:p w14:paraId="76B83003" w14:textId="77777777" w:rsidR="00225B83" w:rsidRDefault="00225B83">
      <w:pPr>
        <w:jc w:val="center"/>
        <w:rPr>
          <w:b/>
          <w:sz w:val="32"/>
          <w:szCs w:val="32"/>
          <w:lang w:val="en-GB"/>
        </w:rPr>
      </w:pPr>
    </w:p>
    <w:p w14:paraId="1316ECBC" w14:textId="77777777" w:rsidR="00225B83" w:rsidRDefault="00705FEF">
      <w:pPr>
        <w:jc w:val="center"/>
        <w:rPr>
          <w:b/>
          <w:sz w:val="32"/>
          <w:szCs w:val="32"/>
          <w:lang w:val="en-GB"/>
        </w:rPr>
      </w:pPr>
      <w:r>
        <w:rPr>
          <w:b/>
          <w:sz w:val="32"/>
          <w:szCs w:val="32"/>
          <w:lang w:val="en-GB"/>
        </w:rPr>
        <w:t>STRATEGIC MANAGEMENT &amp; SUSTAINABILITY</w:t>
      </w:r>
    </w:p>
    <w:p w14:paraId="7184B5B2" w14:textId="77777777" w:rsidR="00225B83" w:rsidRDefault="00225B83">
      <w:pPr>
        <w:jc w:val="center"/>
        <w:rPr>
          <w:b/>
          <w:sz w:val="32"/>
          <w:szCs w:val="32"/>
          <w:lang w:val="en-GB"/>
        </w:rPr>
      </w:pPr>
    </w:p>
    <w:p w14:paraId="0B3B5FDC" w14:textId="77777777" w:rsidR="00225B83" w:rsidRDefault="00225B83">
      <w:pPr>
        <w:jc w:val="center"/>
        <w:rPr>
          <w:b/>
          <w:sz w:val="32"/>
          <w:szCs w:val="32"/>
          <w:lang w:val="en-GB"/>
        </w:rPr>
      </w:pPr>
    </w:p>
    <w:p w14:paraId="7FD92780" w14:textId="77777777" w:rsidR="00225B83" w:rsidRDefault="00225B83">
      <w:pPr>
        <w:jc w:val="center"/>
        <w:rPr>
          <w:b/>
          <w:sz w:val="32"/>
          <w:szCs w:val="32"/>
          <w:lang w:val="en-GB"/>
        </w:rPr>
      </w:pPr>
    </w:p>
    <w:p w14:paraId="48CD5CA0" w14:textId="77777777" w:rsidR="00225B83" w:rsidRDefault="00225B83">
      <w:pPr>
        <w:pageBreakBefore/>
        <w:jc w:val="center"/>
      </w:pPr>
    </w:p>
    <w:p w14:paraId="09673B06" w14:textId="77777777" w:rsidR="00225B83" w:rsidRDefault="00705FEF">
      <w:pPr>
        <w:pStyle w:val="TOCHeading"/>
        <w:spacing w:before="0" w:line="360" w:lineRule="auto"/>
        <w:jc w:val="center"/>
        <w:outlineLvl w:val="9"/>
      </w:pPr>
      <w:bookmarkStart w:id="0" w:name="_i08978hwtvgx"/>
      <w:bookmarkEnd w:id="0"/>
      <w:r>
        <w:rPr>
          <w:rFonts w:ascii="Times New Roman" w:hAnsi="Times New Roman"/>
          <w:b/>
          <w:color w:val="auto"/>
          <w:sz w:val="28"/>
          <w:lang w:val="en-GB"/>
        </w:rPr>
        <w:t>Table of Contents</w:t>
      </w:r>
    </w:p>
    <w:p w14:paraId="585000F0" w14:textId="77777777" w:rsidR="00225B83" w:rsidRDefault="00705FEF">
      <w:pPr>
        <w:pStyle w:val="TOC1"/>
        <w:tabs>
          <w:tab w:val="right" w:leader="dot" w:pos="9350"/>
        </w:tabs>
      </w:pPr>
      <w:r>
        <w:rPr>
          <w:rFonts w:ascii="Calibri" w:eastAsia="MS Gothic" w:hAnsi="Calibri"/>
          <w:color w:val="365F91"/>
          <w:sz w:val="32"/>
          <w:szCs w:val="32"/>
          <w:lang w:val="en-US" w:eastAsia="en-US"/>
        </w:rPr>
        <w:fldChar w:fldCharType="begin"/>
      </w:r>
      <w:r>
        <w:instrText xml:space="preserve"> TOC \o "1-3" \u \h </w:instrText>
      </w:r>
      <w:r>
        <w:rPr>
          <w:rFonts w:ascii="Calibri" w:eastAsia="MS Gothic" w:hAnsi="Calibri"/>
          <w:color w:val="365F91"/>
          <w:sz w:val="32"/>
          <w:szCs w:val="32"/>
          <w:lang w:val="en-US" w:eastAsia="en-US"/>
        </w:rPr>
        <w:fldChar w:fldCharType="separate"/>
      </w:r>
      <w:hyperlink w:anchor="_Toc152180021" w:history="1">
        <w:r>
          <w:rPr>
            <w:rStyle w:val="Hyperlink"/>
            <w:lang w:val="en-GB"/>
          </w:rPr>
          <w:t>Introduction</w:t>
        </w:r>
        <w:r>
          <w:tab/>
          <w:t>3</w:t>
        </w:r>
      </w:hyperlink>
    </w:p>
    <w:p w14:paraId="1040D407" w14:textId="77777777" w:rsidR="00225B83" w:rsidRDefault="00000000">
      <w:pPr>
        <w:pStyle w:val="TOC1"/>
        <w:tabs>
          <w:tab w:val="right" w:leader="dot" w:pos="9350"/>
        </w:tabs>
      </w:pPr>
      <w:hyperlink w:anchor="_Toc152180022" w:history="1">
        <w:r w:rsidR="00705FEF">
          <w:rPr>
            <w:rStyle w:val="Hyperlink"/>
            <w:lang w:val="en-GB"/>
          </w:rPr>
          <w:t>Key Business and Corporate Strategies</w:t>
        </w:r>
        <w:r w:rsidR="00705FEF">
          <w:tab/>
          <w:t>3</w:t>
        </w:r>
      </w:hyperlink>
    </w:p>
    <w:p w14:paraId="2212C60B" w14:textId="77777777" w:rsidR="00225B83" w:rsidRDefault="00000000">
      <w:pPr>
        <w:pStyle w:val="TOC1"/>
        <w:tabs>
          <w:tab w:val="right" w:leader="dot" w:pos="9350"/>
        </w:tabs>
      </w:pPr>
      <w:hyperlink w:anchor="_Toc152180023" w:history="1">
        <w:r w:rsidR="00705FEF">
          <w:rPr>
            <w:rStyle w:val="Hyperlink"/>
            <w:lang w:val="en-GB"/>
          </w:rPr>
          <w:t>Resources and Capabilities</w:t>
        </w:r>
        <w:r w:rsidR="00705FEF">
          <w:tab/>
          <w:t>4</w:t>
        </w:r>
      </w:hyperlink>
    </w:p>
    <w:p w14:paraId="454461FF" w14:textId="77777777" w:rsidR="00225B83" w:rsidRDefault="00000000">
      <w:pPr>
        <w:pStyle w:val="TOC1"/>
        <w:tabs>
          <w:tab w:val="right" w:leader="dot" w:pos="9350"/>
        </w:tabs>
      </w:pPr>
      <w:hyperlink w:anchor="_Toc152180024" w:history="1">
        <w:r w:rsidR="00705FEF">
          <w:rPr>
            <w:rStyle w:val="Hyperlink"/>
            <w:lang w:val="en-GB"/>
          </w:rPr>
          <w:t>Business Strategies within the market</w:t>
        </w:r>
        <w:r w:rsidR="00705FEF">
          <w:tab/>
          <w:t>5</w:t>
        </w:r>
      </w:hyperlink>
    </w:p>
    <w:p w14:paraId="6B7050D8" w14:textId="77777777" w:rsidR="00225B83" w:rsidRDefault="00000000">
      <w:pPr>
        <w:pStyle w:val="TOC1"/>
        <w:tabs>
          <w:tab w:val="right" w:leader="dot" w:pos="9350"/>
        </w:tabs>
      </w:pPr>
      <w:hyperlink w:anchor="_Toc152180025" w:history="1">
        <w:r w:rsidR="00705FEF">
          <w:rPr>
            <w:rStyle w:val="Hyperlink"/>
            <w:lang w:val="en-GB"/>
          </w:rPr>
          <w:t>Competition in Relation to Sustainability and the Environment</w:t>
        </w:r>
        <w:r w:rsidR="00705FEF">
          <w:tab/>
          <w:t>7</w:t>
        </w:r>
      </w:hyperlink>
    </w:p>
    <w:p w14:paraId="4EDA6D2C" w14:textId="77777777" w:rsidR="00225B83" w:rsidRDefault="00000000">
      <w:pPr>
        <w:pStyle w:val="TOC1"/>
        <w:tabs>
          <w:tab w:val="right" w:leader="dot" w:pos="9350"/>
        </w:tabs>
      </w:pPr>
      <w:hyperlink w:anchor="_Toc152180026" w:history="1">
        <w:r w:rsidR="00705FEF">
          <w:rPr>
            <w:rStyle w:val="Hyperlink"/>
            <w:lang w:val="en-GB"/>
          </w:rPr>
          <w:t>Strategic Direction and Recommendations</w:t>
        </w:r>
        <w:r w:rsidR="00705FEF">
          <w:tab/>
          <w:t>9</w:t>
        </w:r>
      </w:hyperlink>
    </w:p>
    <w:p w14:paraId="2C9B10D2" w14:textId="77777777" w:rsidR="00225B83" w:rsidRDefault="00000000">
      <w:pPr>
        <w:pStyle w:val="TOC1"/>
        <w:tabs>
          <w:tab w:val="right" w:leader="dot" w:pos="9350"/>
        </w:tabs>
      </w:pPr>
      <w:hyperlink w:anchor="_Toc152180027" w:history="1">
        <w:r w:rsidR="00705FEF">
          <w:rPr>
            <w:rStyle w:val="Hyperlink"/>
            <w:lang w:val="en-GB"/>
          </w:rPr>
          <w:t>Conclusion</w:t>
        </w:r>
        <w:r w:rsidR="00705FEF">
          <w:tab/>
          <w:t>10</w:t>
        </w:r>
      </w:hyperlink>
    </w:p>
    <w:p w14:paraId="53E107FA" w14:textId="77777777" w:rsidR="00225B83" w:rsidRDefault="00000000">
      <w:pPr>
        <w:pStyle w:val="TOC1"/>
        <w:tabs>
          <w:tab w:val="right" w:leader="dot" w:pos="9350"/>
        </w:tabs>
      </w:pPr>
      <w:hyperlink w:anchor="_Toc152180028" w:history="1">
        <w:r w:rsidR="00705FEF">
          <w:rPr>
            <w:rStyle w:val="Hyperlink"/>
            <w:lang w:val="en-GB"/>
          </w:rPr>
          <w:t>Reference</w:t>
        </w:r>
        <w:r w:rsidR="00705FEF">
          <w:tab/>
          <w:t>11</w:t>
        </w:r>
      </w:hyperlink>
    </w:p>
    <w:p w14:paraId="7AFBEACB" w14:textId="77777777" w:rsidR="00225B83" w:rsidRDefault="00000000">
      <w:pPr>
        <w:pStyle w:val="TOC1"/>
        <w:tabs>
          <w:tab w:val="right" w:leader="dot" w:pos="9350"/>
        </w:tabs>
      </w:pPr>
      <w:hyperlink w:anchor="_Toc152180029" w:history="1">
        <w:r w:rsidR="00705FEF">
          <w:rPr>
            <w:rStyle w:val="Hyperlink"/>
            <w:lang w:val="en-GB"/>
          </w:rPr>
          <w:t>Appendices</w:t>
        </w:r>
        <w:r w:rsidR="00705FEF">
          <w:tab/>
          <w:t>13</w:t>
        </w:r>
      </w:hyperlink>
    </w:p>
    <w:p w14:paraId="2D6B59F2" w14:textId="77777777" w:rsidR="00225B83" w:rsidRDefault="00000000">
      <w:pPr>
        <w:pStyle w:val="TOC2"/>
        <w:tabs>
          <w:tab w:val="right" w:leader="dot" w:pos="9350"/>
        </w:tabs>
      </w:pPr>
      <w:hyperlink w:anchor="_Toc152180030" w:history="1">
        <w:r w:rsidR="00705FEF">
          <w:rPr>
            <w:rStyle w:val="Hyperlink"/>
          </w:rPr>
          <w:t>Appendix 1: SWOT analysis</w:t>
        </w:r>
        <w:r w:rsidR="00705FEF">
          <w:tab/>
          <w:t>13</w:t>
        </w:r>
      </w:hyperlink>
    </w:p>
    <w:p w14:paraId="0A66577C" w14:textId="77777777" w:rsidR="00225B83" w:rsidRDefault="00000000">
      <w:pPr>
        <w:pStyle w:val="TOC2"/>
        <w:tabs>
          <w:tab w:val="right" w:leader="dot" w:pos="9350"/>
        </w:tabs>
      </w:pPr>
      <w:hyperlink w:anchor="_Toc152180031" w:history="1">
        <w:r w:rsidR="00705FEF">
          <w:rPr>
            <w:rStyle w:val="Hyperlink"/>
          </w:rPr>
          <w:t>Appendix 2: PESTLE analysis</w:t>
        </w:r>
        <w:r w:rsidR="00705FEF">
          <w:tab/>
          <w:t>13</w:t>
        </w:r>
      </w:hyperlink>
    </w:p>
    <w:p w14:paraId="1336D6DD" w14:textId="77777777" w:rsidR="00225B83" w:rsidRDefault="00705FEF">
      <w:r>
        <w:fldChar w:fldCharType="end"/>
      </w:r>
    </w:p>
    <w:p w14:paraId="39DD9335" w14:textId="77777777" w:rsidR="00225B83" w:rsidRDefault="00225B83">
      <w:pPr>
        <w:pageBreakBefore/>
      </w:pPr>
    </w:p>
    <w:p w14:paraId="04653791" w14:textId="77777777" w:rsidR="00225B83" w:rsidRDefault="00705FEF">
      <w:pPr>
        <w:pStyle w:val="Heading1"/>
        <w:spacing w:before="0"/>
        <w:rPr>
          <w:lang w:val="en-GB"/>
        </w:rPr>
      </w:pPr>
      <w:bookmarkStart w:id="1" w:name="_Toc152180021"/>
      <w:r>
        <w:rPr>
          <w:lang w:val="en-GB"/>
        </w:rPr>
        <w:t>Introduction</w:t>
      </w:r>
      <w:bookmarkEnd w:id="1"/>
    </w:p>
    <w:p w14:paraId="3A116AF3" w14:textId="77777777" w:rsidR="00225B83" w:rsidRDefault="00705FEF">
      <w:bookmarkStart w:id="2" w:name="_nzk4gv5fmvqx"/>
      <w:bookmarkEnd w:id="2"/>
      <w:r>
        <w:rPr>
          <w:lang w:val="en-GB"/>
        </w:rPr>
        <w:t xml:space="preserve">The aim of this study is to carry out a strategic review of Next Plc by </w:t>
      </w:r>
      <w:proofErr w:type="spellStart"/>
      <w:r>
        <w:rPr>
          <w:lang w:val="en-GB"/>
        </w:rPr>
        <w:t>analyzing</w:t>
      </w:r>
      <w:proofErr w:type="spellEnd"/>
      <w:r>
        <w:rPr>
          <w:lang w:val="en-GB"/>
        </w:rPr>
        <w:t xml:space="preserve"> the corporation's core business strategy. The corporation's market strategy as well as competitors in terms of sustainability and the environment will be evaluated using several strategic frameworks such as SWOT analysis, Porter's 5 forces model, value chain frameworks, and PESTEL analysis. This will provide impetus to the company's future strategic direction, as well as advice on how sustainable practices might assist the organisation generates competitive benefits in the future. </w:t>
      </w:r>
    </w:p>
    <w:p w14:paraId="4940CBBC" w14:textId="77777777" w:rsidR="00225B83" w:rsidRDefault="00705FEF">
      <w:pPr>
        <w:pStyle w:val="Heading1"/>
        <w:spacing w:before="0"/>
        <w:rPr>
          <w:lang w:val="en-GB"/>
        </w:rPr>
      </w:pPr>
      <w:bookmarkStart w:id="3" w:name="_Toc152180022"/>
      <w:r>
        <w:rPr>
          <w:lang w:val="en-GB"/>
        </w:rPr>
        <w:t>Key Business and Corporate Strategies</w:t>
      </w:r>
      <w:bookmarkEnd w:id="3"/>
    </w:p>
    <w:p w14:paraId="55D4D4DF" w14:textId="77777777" w:rsidR="00225B83" w:rsidRDefault="00705FEF">
      <w:pPr>
        <w:rPr>
          <w:lang w:val="en-GB"/>
        </w:rPr>
      </w:pPr>
      <w:r>
        <w:rPr>
          <w:lang w:val="en-GB"/>
        </w:rPr>
        <w:t xml:space="preserve">Next is well-known for its wide range of </w:t>
      </w:r>
      <w:proofErr w:type="spellStart"/>
      <w:r>
        <w:rPr>
          <w:lang w:val="en-GB"/>
        </w:rPr>
        <w:t>merchandizes</w:t>
      </w:r>
      <w:proofErr w:type="spellEnd"/>
      <w:r>
        <w:rPr>
          <w:lang w:val="en-GB"/>
        </w:rPr>
        <w:t xml:space="preserve"> and apparel for men, women, and children. Next also provides home furnishings and items such as furniture, home décor, bedding, and accessories. Next operates a retail network in the United Kingdom and numerous foreign countries, allowing customers to explore and purchase things in person (Next Plc, 2023). The company has a significant online presence, with a full e-commerce platform that allows visitors to browse and buy its products online. Next invests in its own design and development teams, who produce and curate clothes, footwear, and home goods. This allows the </w:t>
      </w:r>
      <w:proofErr w:type="spellStart"/>
      <w:r>
        <w:rPr>
          <w:lang w:val="en-GB"/>
        </w:rPr>
        <w:t>organization</w:t>
      </w:r>
      <w:proofErr w:type="spellEnd"/>
      <w:r>
        <w:rPr>
          <w:lang w:val="en-GB"/>
        </w:rPr>
        <w:t xml:space="preserve"> to keep a distinct brand identity while also effectively answering to fashion tendencies.</w:t>
      </w:r>
    </w:p>
    <w:p w14:paraId="60F7463A" w14:textId="77777777" w:rsidR="00225B83" w:rsidRDefault="00705FEF">
      <w:pPr>
        <w:rPr>
          <w:b/>
          <w:lang w:val="en-GB"/>
        </w:rPr>
      </w:pPr>
      <w:r>
        <w:rPr>
          <w:b/>
          <w:lang w:val="en-GB"/>
        </w:rPr>
        <w:t>SWOT Analysis</w:t>
      </w:r>
    </w:p>
    <w:p w14:paraId="094E0966" w14:textId="77777777" w:rsidR="00225B83" w:rsidRDefault="00705FEF">
      <w:pPr>
        <w:rPr>
          <w:lang w:val="en-GB"/>
        </w:rPr>
      </w:pPr>
      <w:r>
        <w:rPr>
          <w:lang w:val="en-GB"/>
        </w:rPr>
        <w:t xml:space="preserve">A SWOT analysis is a strategic planning method that is used to assess the Strengths, Weaknesses, Opportunities, and Threats of a commercial initiative or project. It entails </w:t>
      </w:r>
      <w:proofErr w:type="spellStart"/>
      <w:r>
        <w:rPr>
          <w:lang w:val="en-GB"/>
        </w:rPr>
        <w:t>recognizing</w:t>
      </w:r>
      <w:proofErr w:type="spellEnd"/>
      <w:r>
        <w:rPr>
          <w:lang w:val="en-GB"/>
        </w:rPr>
        <w:t xml:space="preserve"> internal and external elements that are favourable or unfavourable to the </w:t>
      </w:r>
      <w:proofErr w:type="spellStart"/>
      <w:r>
        <w:rPr>
          <w:lang w:val="en-GB"/>
        </w:rPr>
        <w:t>organization's</w:t>
      </w:r>
      <w:proofErr w:type="spellEnd"/>
      <w:r>
        <w:rPr>
          <w:lang w:val="en-GB"/>
        </w:rPr>
        <w:t xml:space="preserve"> aims.</w:t>
      </w:r>
    </w:p>
    <w:p w14:paraId="11CB37DE" w14:textId="77777777" w:rsidR="00225B83" w:rsidRDefault="00705FEF">
      <w:pPr>
        <w:jc w:val="left"/>
        <w:rPr>
          <w:b/>
          <w:lang w:val="en-GB"/>
        </w:rPr>
      </w:pPr>
      <w:r>
        <w:rPr>
          <w:b/>
          <w:lang w:val="en-GB"/>
        </w:rPr>
        <w:t>Explanation:</w:t>
      </w:r>
    </w:p>
    <w:p w14:paraId="3C2B00C3" w14:textId="77777777" w:rsidR="00225B83" w:rsidRDefault="00705FEF">
      <w:pPr>
        <w:numPr>
          <w:ilvl w:val="0"/>
          <w:numId w:val="1"/>
        </w:numPr>
      </w:pPr>
      <w:r>
        <w:rPr>
          <w:b/>
          <w:i/>
          <w:lang w:val="en-GB"/>
        </w:rPr>
        <w:t xml:space="preserve">Strengths: </w:t>
      </w:r>
      <w:r>
        <w:rPr>
          <w:lang w:val="en-GB"/>
        </w:rPr>
        <w:t xml:space="preserve">Next has a strong brand image and reputation in the retail industry, and is renowned for high-quality clothes and home items. Integrates online and offline retail successfully, providing a smooth shopping experience across its shops, catalogue, and internet platform. There are around 7 million UK Online subscribers and 1.6 million international clients (Next Plc, 2023). It provides a diverse selection of items, such as apparel, footwear, home goods, and accessories, to appeal to a wide range of client tastes. Next has a well-established supply chain management system that ensures timely delivery and effective inventory management </w:t>
      </w:r>
      <w:bookmarkStart w:id="4" w:name="OLE_LINK11"/>
      <w:bookmarkStart w:id="5" w:name="OLE_LINK12"/>
      <w:r>
        <w:rPr>
          <w:lang w:val="en-GB"/>
        </w:rPr>
        <w:t>(refer to appendix 1)</w:t>
      </w:r>
      <w:bookmarkEnd w:id="4"/>
      <w:bookmarkEnd w:id="5"/>
      <w:r>
        <w:rPr>
          <w:lang w:val="en-GB"/>
        </w:rPr>
        <w:t>.</w:t>
      </w:r>
    </w:p>
    <w:p w14:paraId="58C90CC2" w14:textId="77777777" w:rsidR="00225B83" w:rsidRDefault="00705FEF">
      <w:pPr>
        <w:numPr>
          <w:ilvl w:val="0"/>
          <w:numId w:val="1"/>
        </w:numPr>
      </w:pPr>
      <w:r>
        <w:rPr>
          <w:b/>
          <w:i/>
          <w:lang w:val="en-GB"/>
        </w:rPr>
        <w:t xml:space="preserve">Weaknesses: </w:t>
      </w:r>
      <w:r>
        <w:rPr>
          <w:lang w:val="en-GB"/>
        </w:rPr>
        <w:t xml:space="preserve">Dependence on the UK market is high as the company's reliance on the UK market exposes it to swings in consumer spending and economic conditions in the area. While Next has significant worldwide exposure, its activities are largely </w:t>
      </w:r>
      <w:proofErr w:type="spellStart"/>
      <w:r>
        <w:rPr>
          <w:lang w:val="en-GB"/>
        </w:rPr>
        <w:t>centered</w:t>
      </w:r>
      <w:proofErr w:type="spellEnd"/>
      <w:r>
        <w:rPr>
          <w:lang w:val="en-GB"/>
        </w:rPr>
        <w:t xml:space="preserve"> in the UK, limiting its global market share in comparison to certain competitors. Vulnerability to Fashion Trends is identified for the company as the fashion store, Next may experience difficulties forecasting and adjusting to shifting fashion trends (Rashid and Barnes, 2021). This might affect the business strategy and impact the business growth with limited use of ideas from the fashion industry. </w:t>
      </w:r>
    </w:p>
    <w:p w14:paraId="33FB591A" w14:textId="77777777" w:rsidR="00225B83" w:rsidRDefault="00705FEF">
      <w:pPr>
        <w:numPr>
          <w:ilvl w:val="0"/>
          <w:numId w:val="1"/>
        </w:numPr>
      </w:pPr>
      <w:r>
        <w:rPr>
          <w:b/>
          <w:i/>
          <w:lang w:val="en-GB"/>
        </w:rPr>
        <w:t xml:space="preserve">Opportunities: </w:t>
      </w:r>
      <w:r>
        <w:rPr>
          <w:lang w:val="en-GB"/>
        </w:rPr>
        <w:t xml:space="preserve">The expansion of E-commerce is the rise of online shopping gives an opportunity for Next to extend its e-commerce platform and reach a larger worldwide client base. International Expansion in strategic areas can be conducted by investing in extending operations in other nations or areas can help the company diversify its income sources and </w:t>
      </w:r>
      <w:proofErr w:type="spellStart"/>
      <w:r>
        <w:rPr>
          <w:lang w:val="en-GB"/>
        </w:rPr>
        <w:t>minimize</w:t>
      </w:r>
      <w:proofErr w:type="spellEnd"/>
      <w:r>
        <w:rPr>
          <w:lang w:val="en-GB"/>
        </w:rPr>
        <w:t xml:space="preserve"> its reliance on the UK market (refer to appendix 1).</w:t>
      </w:r>
    </w:p>
    <w:p w14:paraId="4C960021" w14:textId="77777777" w:rsidR="00225B83" w:rsidRDefault="00705FEF">
      <w:pPr>
        <w:numPr>
          <w:ilvl w:val="0"/>
          <w:numId w:val="1"/>
        </w:numPr>
      </w:pPr>
      <w:r>
        <w:rPr>
          <w:b/>
          <w:i/>
          <w:lang w:val="en-GB"/>
        </w:rPr>
        <w:t>Threats:</w:t>
      </w:r>
      <w:r>
        <w:rPr>
          <w:lang w:val="en-GB"/>
        </w:rPr>
        <w:t xml:space="preserve"> Faced with competition from both traditional brick-and-mortar stores and internet behemoths, which may affect market share and pricing methods. Economic downturns or changes in consumer spending habits may have an impact on discretionary spending on fashion and home goods (</w:t>
      </w:r>
      <w:proofErr w:type="spellStart"/>
      <w:r>
        <w:rPr>
          <w:lang w:val="en-GB"/>
        </w:rPr>
        <w:t>Parker-Strak</w:t>
      </w:r>
      <w:proofErr w:type="spellEnd"/>
      <w:r>
        <w:rPr>
          <w:lang w:val="en-GB"/>
        </w:rPr>
        <w:t xml:space="preserve"> </w:t>
      </w:r>
      <w:r>
        <w:rPr>
          <w:i/>
          <w:lang w:val="en-GB"/>
        </w:rPr>
        <w:t>et al</w:t>
      </w:r>
      <w:r>
        <w:rPr>
          <w:lang w:val="en-GB"/>
        </w:rPr>
        <w:t>., 2020). Risks linked with supply chain disruptions caused by global events, natural catastrophes, or geopolitical issues may have an influence on inventory availability and distribution.</w:t>
      </w:r>
    </w:p>
    <w:p w14:paraId="318FC8FB" w14:textId="77777777" w:rsidR="00225B83" w:rsidRDefault="00705FEF">
      <w:pPr>
        <w:pStyle w:val="Heading1"/>
        <w:spacing w:before="0"/>
        <w:rPr>
          <w:lang w:val="en-GB"/>
        </w:rPr>
      </w:pPr>
      <w:bookmarkStart w:id="6" w:name="_2mf25mxvl69h"/>
      <w:bookmarkStart w:id="7" w:name="_Toc152180023"/>
      <w:bookmarkEnd w:id="6"/>
      <w:r>
        <w:rPr>
          <w:lang w:val="en-GB"/>
        </w:rPr>
        <w:t>Resources and Capabilities</w:t>
      </w:r>
      <w:bookmarkEnd w:id="7"/>
    </w:p>
    <w:p w14:paraId="741E1A99" w14:textId="77777777" w:rsidR="00225B83" w:rsidRDefault="00705FEF">
      <w:pPr>
        <w:rPr>
          <w:lang w:val="en-GB"/>
        </w:rPr>
      </w:pPr>
      <w:r>
        <w:rPr>
          <w:lang w:val="en-GB"/>
        </w:rPr>
        <w:t>Next Plc's resources include:</w:t>
      </w:r>
    </w:p>
    <w:p w14:paraId="41EF627B" w14:textId="77777777" w:rsidR="00225B83" w:rsidRDefault="00705FEF">
      <w:pPr>
        <w:numPr>
          <w:ilvl w:val="0"/>
          <w:numId w:val="2"/>
        </w:numPr>
      </w:pPr>
      <w:r>
        <w:rPr>
          <w:b/>
          <w:i/>
          <w:lang w:val="en-GB"/>
        </w:rPr>
        <w:t>Financial Resources</w:t>
      </w:r>
      <w:r>
        <w:rPr>
          <w:lang w:val="en-GB"/>
        </w:rPr>
        <w:t xml:space="preserve">: As indicated by its annual sales and profitability, Next Plc has a good financial position. The revenues of the company in the year 2022 were £5.4 billion as compared to 2021 which was £4.9 billion, showing an increase in the performance of the business (Next Plc, 2023). The profits of the company have also increased from £823 million in 2021 to £870 million in 2022. The financial resources of the </w:t>
      </w:r>
      <w:proofErr w:type="spellStart"/>
      <w:r>
        <w:rPr>
          <w:lang w:val="en-GB"/>
        </w:rPr>
        <w:t>organization</w:t>
      </w:r>
      <w:proofErr w:type="spellEnd"/>
      <w:r>
        <w:rPr>
          <w:lang w:val="en-GB"/>
        </w:rPr>
        <w:t xml:space="preserve"> allow it to invest in a variety of strategic activities such as expansion, innovation, and marketing. </w:t>
      </w:r>
    </w:p>
    <w:p w14:paraId="17A1EF1D" w14:textId="77777777" w:rsidR="00225B83" w:rsidRDefault="00705FEF">
      <w:pPr>
        <w:numPr>
          <w:ilvl w:val="0"/>
          <w:numId w:val="2"/>
        </w:numPr>
      </w:pPr>
      <w:r>
        <w:rPr>
          <w:b/>
          <w:i/>
          <w:lang w:val="en-GB"/>
        </w:rPr>
        <w:t>Physical Resources:</w:t>
      </w:r>
      <w:r>
        <w:rPr>
          <w:lang w:val="en-GB"/>
        </w:rPr>
        <w:t xml:space="preserve"> Next Plc has a large network of stores in the United Kingdom and other countries, as well as distribution centers and warehouses in order to conduct effective sales. These physical assets are critical to the retail operations and supply chain management of the </w:t>
      </w:r>
      <w:proofErr w:type="spellStart"/>
      <w:r>
        <w:rPr>
          <w:lang w:val="en-GB"/>
        </w:rPr>
        <w:t>organization</w:t>
      </w:r>
      <w:proofErr w:type="spellEnd"/>
      <w:r>
        <w:rPr>
          <w:lang w:val="en-GB"/>
        </w:rPr>
        <w:t xml:space="preserve"> (Wen </w:t>
      </w:r>
      <w:r>
        <w:rPr>
          <w:i/>
          <w:lang w:val="en-GB"/>
        </w:rPr>
        <w:t>et al</w:t>
      </w:r>
      <w:r>
        <w:rPr>
          <w:lang w:val="en-GB"/>
        </w:rPr>
        <w:t xml:space="preserve">., 2019). </w:t>
      </w:r>
    </w:p>
    <w:p w14:paraId="3A5EEAA0" w14:textId="77777777" w:rsidR="00225B83" w:rsidRDefault="00705FEF">
      <w:pPr>
        <w:numPr>
          <w:ilvl w:val="0"/>
          <w:numId w:val="2"/>
        </w:numPr>
      </w:pPr>
      <w:r>
        <w:rPr>
          <w:b/>
          <w:i/>
          <w:lang w:val="en-GB"/>
        </w:rPr>
        <w:t>Human Resources:</w:t>
      </w:r>
      <w:r>
        <w:rPr>
          <w:lang w:val="en-GB"/>
        </w:rPr>
        <w:t xml:space="preserve"> The company's personnel is diversified, comprising retail employees, designers, supply chain specialists, and corporate employees.  The company </w:t>
      </w:r>
      <w:proofErr w:type="spellStart"/>
      <w:r>
        <w:rPr>
          <w:lang w:val="en-GB"/>
        </w:rPr>
        <w:t>utilizes</w:t>
      </w:r>
      <w:proofErr w:type="spellEnd"/>
      <w:r>
        <w:rPr>
          <w:lang w:val="en-GB"/>
        </w:rPr>
        <w:t xml:space="preserve"> the efficiencies of human capital within the realm of Human rights and employment laws such as Enterprise and Employment Act 2015 (Next Plc, 2023). Next Plc's workers' talents and knowledge add to the company's operational efficiency and customer service.</w:t>
      </w:r>
    </w:p>
    <w:p w14:paraId="665BD3B7" w14:textId="77777777" w:rsidR="00225B83" w:rsidRDefault="00705FEF">
      <w:pPr>
        <w:numPr>
          <w:ilvl w:val="0"/>
          <w:numId w:val="2"/>
        </w:numPr>
      </w:pPr>
      <w:r>
        <w:rPr>
          <w:b/>
          <w:i/>
          <w:lang w:val="en-GB"/>
        </w:rPr>
        <w:t>Technological Resources:</w:t>
      </w:r>
      <w:r>
        <w:rPr>
          <w:lang w:val="en-GB"/>
        </w:rPr>
        <w:t xml:space="preserve"> Next Plc uses technology to power e-commerce platforms, , data analytics, stock management systems and customer relationship management. These technology assets aid the company's digital transformation and </w:t>
      </w:r>
      <w:proofErr w:type="spellStart"/>
      <w:r>
        <w:rPr>
          <w:lang w:val="en-GB"/>
        </w:rPr>
        <w:t>omnichannel</w:t>
      </w:r>
      <w:proofErr w:type="spellEnd"/>
      <w:r>
        <w:rPr>
          <w:lang w:val="en-GB"/>
        </w:rPr>
        <w:t xml:space="preserve"> retail initiatives.</w:t>
      </w:r>
    </w:p>
    <w:p w14:paraId="6BD5FA48" w14:textId="77777777" w:rsidR="00225B83" w:rsidRDefault="00705FEF">
      <w:pPr>
        <w:numPr>
          <w:ilvl w:val="0"/>
          <w:numId w:val="2"/>
        </w:numPr>
      </w:pPr>
      <w:r>
        <w:rPr>
          <w:b/>
          <w:i/>
          <w:lang w:val="en-GB"/>
        </w:rPr>
        <w:t>Intangible Resources:</w:t>
      </w:r>
      <w:r>
        <w:rPr>
          <w:lang w:val="en-GB"/>
        </w:rPr>
        <w:t xml:space="preserve"> Next Plc's intangible assets include brand recognition, customer loyalty, intellectual property rights, and ties with suppliers and partners.</w:t>
      </w:r>
    </w:p>
    <w:p w14:paraId="0AEF7E17" w14:textId="77777777" w:rsidR="00225B83" w:rsidRDefault="00705FEF">
      <w:r>
        <w:rPr>
          <w:lang w:val="en-GB"/>
        </w:rPr>
        <w:t xml:space="preserve">Next Plc is a market-leading retailer with expertise in retail management, shop operations, merchandising, and customer experience. Its supply chain management is effective, assuring cost-effectiveness and product delivery on time. In addition to trendy products, the firm </w:t>
      </w:r>
      <w:proofErr w:type="spellStart"/>
      <w:r>
        <w:rPr>
          <w:lang w:val="en-GB"/>
        </w:rPr>
        <w:t>specializes</w:t>
      </w:r>
      <w:proofErr w:type="spellEnd"/>
      <w:r>
        <w:rPr>
          <w:lang w:val="en-GB"/>
        </w:rPr>
        <w:t xml:space="preserve"> in product design and development. It is heavily invested in e-commerce platforms, digital marketing, user experience design, and fulfilment services (</w:t>
      </w:r>
      <w:proofErr w:type="spellStart"/>
      <w:r>
        <w:rPr>
          <w:lang w:val="en-GB"/>
        </w:rPr>
        <w:t>Schleper</w:t>
      </w:r>
      <w:r>
        <w:rPr>
          <w:i/>
          <w:lang w:val="en-GB"/>
        </w:rPr>
        <w:t>et</w:t>
      </w:r>
      <w:proofErr w:type="spellEnd"/>
      <w:r>
        <w:rPr>
          <w:i/>
          <w:lang w:val="en-GB"/>
        </w:rPr>
        <w:t xml:space="preserve"> al</w:t>
      </w:r>
      <w:r>
        <w:rPr>
          <w:lang w:val="en-GB"/>
        </w:rPr>
        <w:t xml:space="preserve">., 2021). Budgeting, investment choices, risk assessment, and financial reporting are additional key areas of expertise for the </w:t>
      </w:r>
      <w:proofErr w:type="spellStart"/>
      <w:r>
        <w:rPr>
          <w:lang w:val="en-GB"/>
        </w:rPr>
        <w:t>organization</w:t>
      </w:r>
      <w:proofErr w:type="spellEnd"/>
      <w:r>
        <w:rPr>
          <w:lang w:val="en-GB"/>
        </w:rPr>
        <w:t xml:space="preserve">. Next Plc's resources have been matched with its business/corporate strategy, which includes </w:t>
      </w:r>
      <w:proofErr w:type="spellStart"/>
      <w:r>
        <w:rPr>
          <w:lang w:val="en-GB"/>
        </w:rPr>
        <w:t>omnichannel</w:t>
      </w:r>
      <w:proofErr w:type="spellEnd"/>
      <w:r>
        <w:rPr>
          <w:lang w:val="en-GB"/>
        </w:rPr>
        <w:t xml:space="preserve"> retailing, worldwide development, product innovation, operational efficiency, and sustainability efforts. These techniques allow the </w:t>
      </w:r>
      <w:proofErr w:type="spellStart"/>
      <w:r>
        <w:rPr>
          <w:lang w:val="en-GB"/>
        </w:rPr>
        <w:t>organization</w:t>
      </w:r>
      <w:proofErr w:type="spellEnd"/>
      <w:r>
        <w:rPr>
          <w:lang w:val="en-GB"/>
        </w:rPr>
        <w:t xml:space="preserve"> to deliver a consistent purchasing experience, develop its international footprint, and maintain service quality.</w:t>
      </w:r>
    </w:p>
    <w:p w14:paraId="20C4FB6B" w14:textId="77777777" w:rsidR="00225B83" w:rsidRDefault="00705FEF">
      <w:pPr>
        <w:pStyle w:val="Heading1"/>
        <w:spacing w:before="0"/>
        <w:rPr>
          <w:lang w:val="en-GB"/>
        </w:rPr>
      </w:pPr>
      <w:bookmarkStart w:id="8" w:name="_j219i4ck1us2"/>
      <w:bookmarkStart w:id="9" w:name="_Toc152180024"/>
      <w:bookmarkEnd w:id="8"/>
      <w:r>
        <w:rPr>
          <w:lang w:val="en-GB"/>
        </w:rPr>
        <w:t>Business Strategies within the market</w:t>
      </w:r>
      <w:bookmarkEnd w:id="9"/>
    </w:p>
    <w:p w14:paraId="3FEE0127" w14:textId="77777777" w:rsidR="00225B83" w:rsidRDefault="00705FEF">
      <w:pPr>
        <w:rPr>
          <w:b/>
          <w:lang w:val="en-GB"/>
        </w:rPr>
      </w:pPr>
      <w:r>
        <w:rPr>
          <w:b/>
          <w:lang w:val="en-GB"/>
        </w:rPr>
        <w:t>PESTLE Analysis</w:t>
      </w:r>
    </w:p>
    <w:p w14:paraId="28AF015F" w14:textId="77777777" w:rsidR="00225B83" w:rsidRDefault="00705FEF">
      <w:pPr>
        <w:rPr>
          <w:b/>
          <w:i/>
          <w:lang w:val="en-GB"/>
        </w:rPr>
      </w:pPr>
      <w:r>
        <w:rPr>
          <w:b/>
          <w:i/>
          <w:lang w:val="en-GB"/>
        </w:rPr>
        <w:t>Political factors</w:t>
      </w:r>
    </w:p>
    <w:p w14:paraId="5CD468EF" w14:textId="77777777" w:rsidR="00225B83" w:rsidRDefault="00705FEF">
      <w:pPr>
        <w:rPr>
          <w:lang w:val="en-GB"/>
        </w:rPr>
      </w:pPr>
      <w:r>
        <w:rPr>
          <w:lang w:val="en-GB"/>
        </w:rPr>
        <w:t xml:space="preserve">The political climate of the United Kingdom is stable, with efficient government programs and minimal levels of corruption, which attracts international investors and visitors. Despite its backing for </w:t>
      </w:r>
      <w:bookmarkStart w:id="10" w:name="OLE_LINK3"/>
      <w:bookmarkStart w:id="11" w:name="OLE_LINK4"/>
      <w:bookmarkStart w:id="12" w:name="OLE_LINK5"/>
      <w:bookmarkStart w:id="13" w:name="OLE_LINK6"/>
      <w:r>
        <w:rPr>
          <w:lang w:val="en-GB"/>
        </w:rPr>
        <w:t>authoritarian governments</w:t>
      </w:r>
      <w:bookmarkEnd w:id="10"/>
      <w:bookmarkEnd w:id="11"/>
      <w:r>
        <w:rPr>
          <w:lang w:val="en-GB"/>
        </w:rPr>
        <w:t>, the United Kingdom maintains excellent relations with a number of nations</w:t>
      </w:r>
      <w:bookmarkEnd w:id="12"/>
      <w:bookmarkEnd w:id="13"/>
      <w:r>
        <w:rPr>
          <w:lang w:val="en-GB"/>
        </w:rPr>
        <w:t xml:space="preserve">, particularly the United States, with whom it shares Western ideals, culture, and language. The United Kingdom's Brexit accord first created consternation in business circles and has resulted in the development of a free trade agreement with the European Union, allowing the country to expand and stay productive without disrupting its ties with </w:t>
      </w:r>
      <w:proofErr w:type="spellStart"/>
      <w:r>
        <w:rPr>
          <w:lang w:val="en-GB"/>
        </w:rPr>
        <w:t>neighboring</w:t>
      </w:r>
      <w:proofErr w:type="spellEnd"/>
      <w:r>
        <w:rPr>
          <w:lang w:val="en-GB"/>
        </w:rPr>
        <w:t xml:space="preserve"> European nations (House of Commons Library, 2023). </w:t>
      </w:r>
    </w:p>
    <w:p w14:paraId="5BCA8758" w14:textId="77777777" w:rsidR="00225B83" w:rsidRDefault="00705FEF">
      <w:pPr>
        <w:rPr>
          <w:b/>
          <w:i/>
          <w:lang w:val="en-GB"/>
        </w:rPr>
      </w:pPr>
      <w:r>
        <w:rPr>
          <w:b/>
          <w:i/>
          <w:lang w:val="en-GB"/>
        </w:rPr>
        <w:t>Economic factors</w:t>
      </w:r>
    </w:p>
    <w:p w14:paraId="03B711BD" w14:textId="77777777" w:rsidR="00225B83" w:rsidRDefault="00705FEF">
      <w:pPr>
        <w:rPr>
          <w:lang w:val="en-GB"/>
        </w:rPr>
      </w:pPr>
      <w:r>
        <w:rPr>
          <w:lang w:val="en-GB"/>
        </w:rPr>
        <w:t>The United Kingdom has experienced a growth in the GDP in the year 2023 as in September 2023 it has grown by 0.2% from the previous month (Graham, 2023). The inflation rate of the UK was seen to be 4.6% as compared to different economies such as Germany which had an inflation rate of 3%, the US which had an inflation of 2.1%, and the EuroZone with an inflation rate of 2.9% (House of Commons Library, 2023). This impacts the business of Next plc as the GDP and inflation as the business atmosphere consumer market as well and the investment of capital is all affected by the functioning of the economy of the UK as this is the main market for Next plc (refer to appendix 2).</w:t>
      </w:r>
    </w:p>
    <w:p w14:paraId="2130402D" w14:textId="77777777" w:rsidR="00225B83" w:rsidRDefault="00705FEF">
      <w:pPr>
        <w:rPr>
          <w:b/>
          <w:i/>
          <w:lang w:val="en-GB"/>
        </w:rPr>
      </w:pPr>
      <w:r>
        <w:rPr>
          <w:b/>
          <w:i/>
          <w:lang w:val="en-GB"/>
        </w:rPr>
        <w:t>Social factors:</w:t>
      </w:r>
    </w:p>
    <w:p w14:paraId="531AC0E2" w14:textId="77777777" w:rsidR="00225B83" w:rsidRDefault="00705FEF">
      <w:r>
        <w:rPr>
          <w:lang w:val="en-GB"/>
        </w:rPr>
        <w:t>The UK has a multi-culturally diverse population and is one of the key strengths of the economy as people from different backgrounds reside in the country. The literacy rate of the United Kingdom is 99% and is in the third position in terms of education level and social environment (Khan</w:t>
      </w:r>
      <w:r>
        <w:rPr>
          <w:i/>
          <w:lang w:val="en-GB"/>
        </w:rPr>
        <w:t xml:space="preserve"> et al</w:t>
      </w:r>
      <w:r>
        <w:rPr>
          <w:lang w:val="en-GB"/>
        </w:rPr>
        <w:t xml:space="preserve">., 2021). Businesses and companies can offer different products to different target segments of the market depending upon the needs and requirements. The consumer market is effectively growing with opportunities provided to businesses like Next PLC to grow and expand. </w:t>
      </w:r>
    </w:p>
    <w:p w14:paraId="44668354" w14:textId="77777777" w:rsidR="00225B83" w:rsidRDefault="00705FEF">
      <w:pPr>
        <w:rPr>
          <w:b/>
          <w:i/>
          <w:lang w:val="en-GB"/>
        </w:rPr>
      </w:pPr>
      <w:r>
        <w:rPr>
          <w:b/>
          <w:i/>
          <w:lang w:val="en-GB"/>
        </w:rPr>
        <w:t>Technological factors</w:t>
      </w:r>
    </w:p>
    <w:p w14:paraId="2BC91691" w14:textId="77777777" w:rsidR="00225B83" w:rsidRDefault="00705FEF">
      <w:pPr>
        <w:rPr>
          <w:lang w:val="en-GB"/>
        </w:rPr>
      </w:pPr>
      <w:r>
        <w:rPr>
          <w:lang w:val="en-GB"/>
        </w:rPr>
        <w:t>The UK is one of the most technologically advanced countries with various institutes for science and technology. London is recorded as the take and financial hub of the UK where private businesses in research institutes have been established to work on the technology. The tech industry is a high amount of revenue to the GDP of the UK and every year millions of pounds are invested in scientific and technological research. The use of artificial intelligence technology and machine learning as well as automation is actively used in the businesses that are working internationally to produce better resources and products for consumers (refer to appendix 2).</w:t>
      </w:r>
    </w:p>
    <w:p w14:paraId="5C73857A" w14:textId="77777777" w:rsidR="00225B83" w:rsidRDefault="00705FEF">
      <w:pPr>
        <w:rPr>
          <w:b/>
          <w:i/>
          <w:lang w:val="en-GB"/>
        </w:rPr>
      </w:pPr>
      <w:r>
        <w:rPr>
          <w:b/>
          <w:i/>
          <w:lang w:val="en-GB"/>
        </w:rPr>
        <w:t xml:space="preserve">Legal Factors: </w:t>
      </w:r>
    </w:p>
    <w:p w14:paraId="56D47A20" w14:textId="77777777" w:rsidR="00225B83" w:rsidRDefault="00705FEF">
      <w:pPr>
        <w:rPr>
          <w:lang w:val="en-GB"/>
        </w:rPr>
      </w:pPr>
      <w:r>
        <w:rPr>
          <w:lang w:val="en-GB"/>
        </w:rPr>
        <w:t xml:space="preserve">The legal environment of the UK is highly developed and business regulations are effectively followed in order to focus upon effective payment of taxes which is then read distributed into the economy for developments required. The legal environment of the UK is focused upon some of the major laws such as the </w:t>
      </w:r>
      <w:bookmarkStart w:id="14" w:name="OLE_LINK7"/>
      <w:bookmarkStart w:id="15" w:name="OLE_LINK8"/>
      <w:r>
        <w:rPr>
          <w:lang w:val="en-GB"/>
        </w:rPr>
        <w:t>Equality Act 2010</w:t>
      </w:r>
      <w:bookmarkEnd w:id="14"/>
      <w:bookmarkEnd w:id="15"/>
      <w:r>
        <w:rPr>
          <w:lang w:val="en-GB"/>
        </w:rPr>
        <w:t xml:space="preserve"> which is to protect people from being subject to discrimination as well as the </w:t>
      </w:r>
      <w:bookmarkStart w:id="16" w:name="OLE_LINK9"/>
      <w:bookmarkStart w:id="17" w:name="OLE_LINK10"/>
      <w:r>
        <w:rPr>
          <w:lang w:val="en-GB"/>
        </w:rPr>
        <w:t xml:space="preserve">Employment Act 1996 </w:t>
      </w:r>
      <w:bookmarkEnd w:id="16"/>
      <w:bookmarkEnd w:id="17"/>
      <w:r>
        <w:rPr>
          <w:lang w:val="en-GB"/>
        </w:rPr>
        <w:t>which deals with the permanent leaves minimum wage holiday pay maturity and other issues of the employees (KC, 2023).</w:t>
      </w:r>
    </w:p>
    <w:p w14:paraId="305E118A" w14:textId="77777777" w:rsidR="00225B83" w:rsidRDefault="00705FEF">
      <w:pPr>
        <w:rPr>
          <w:b/>
          <w:i/>
          <w:lang w:val="en-GB"/>
        </w:rPr>
      </w:pPr>
      <w:r>
        <w:rPr>
          <w:b/>
          <w:i/>
          <w:lang w:val="en-GB"/>
        </w:rPr>
        <w:t>Environmental:</w:t>
      </w:r>
    </w:p>
    <w:p w14:paraId="23D3B4E6" w14:textId="77777777" w:rsidR="00225B83" w:rsidRDefault="00705FEF">
      <w:r>
        <w:rPr>
          <w:lang w:val="en-GB"/>
        </w:rPr>
        <w:t xml:space="preserve">The United Kingdom has made tremendous progress in terms of environmental awareness and understanding the importance of sustainability. The Government of the UK has taken various steps in order to reduce pollution within the UK as this is incidental to increasing the tourism industry within the UK. The United Kingdom was the first nation to achieve net zero greenhouse gas machines as a legally binding target for its efforts to enhance sustainability as well as </w:t>
      </w:r>
      <w:proofErr w:type="spellStart"/>
      <w:r>
        <w:rPr>
          <w:lang w:val="en-GB"/>
        </w:rPr>
        <w:t>decarbonize</w:t>
      </w:r>
      <w:proofErr w:type="spellEnd"/>
      <w:r>
        <w:rPr>
          <w:lang w:val="en-GB"/>
        </w:rPr>
        <w:t xml:space="preserve"> the UK economy by the year 2050 (</w:t>
      </w:r>
      <w:proofErr w:type="spellStart"/>
      <w:r>
        <w:rPr>
          <w:lang w:val="en-GB"/>
        </w:rPr>
        <w:t>Dey</w:t>
      </w:r>
      <w:proofErr w:type="spellEnd"/>
      <w:r>
        <w:rPr>
          <w:lang w:val="en-GB"/>
        </w:rPr>
        <w:t xml:space="preserve"> </w:t>
      </w:r>
      <w:r>
        <w:rPr>
          <w:i/>
          <w:lang w:val="en-GB"/>
        </w:rPr>
        <w:t>et al</w:t>
      </w:r>
      <w:r>
        <w:rPr>
          <w:lang w:val="en-GB"/>
        </w:rPr>
        <w:t>., 2020). Companies such as Next PLC are also to abide by achieving net zero practices in their business</w:t>
      </w:r>
    </w:p>
    <w:p w14:paraId="0BCFA643" w14:textId="77777777" w:rsidR="00225B83" w:rsidRDefault="00705FEF">
      <w:pPr>
        <w:pStyle w:val="Heading1"/>
        <w:spacing w:before="0"/>
        <w:rPr>
          <w:lang w:val="en-GB"/>
        </w:rPr>
      </w:pPr>
      <w:bookmarkStart w:id="18" w:name="_68qskd86yqcz"/>
      <w:bookmarkStart w:id="19" w:name="_Toc152180025"/>
      <w:bookmarkEnd w:id="18"/>
      <w:r>
        <w:rPr>
          <w:lang w:val="en-GB"/>
        </w:rPr>
        <w:t>Competition in Relation to Sustainability and the Environment</w:t>
      </w:r>
      <w:bookmarkEnd w:id="19"/>
    </w:p>
    <w:p w14:paraId="382A0F7D" w14:textId="77777777" w:rsidR="00225B83" w:rsidRDefault="00705FEF">
      <w:pPr>
        <w:rPr>
          <w:b/>
          <w:lang w:val="en-GB"/>
        </w:rPr>
      </w:pPr>
      <w:r>
        <w:rPr>
          <w:b/>
          <w:lang w:val="en-GB"/>
        </w:rPr>
        <w:t>Porter's 5 Forces</w:t>
      </w:r>
    </w:p>
    <w:p w14:paraId="40A0FC43" w14:textId="77777777" w:rsidR="00225B83" w:rsidRDefault="00705FEF">
      <w:pPr>
        <w:jc w:val="center"/>
      </w:pPr>
      <w:r>
        <w:rPr>
          <w:b/>
          <w:noProof/>
          <w:lang w:val="en-US" w:eastAsia="en-US"/>
        </w:rPr>
        <w:drawing>
          <wp:inline distT="0" distB="0" distL="0" distR="0" wp14:anchorId="1697862E" wp14:editId="4E0360EF">
            <wp:extent cx="4365427" cy="3490959"/>
            <wp:effectExtent l="38100" t="38100" r="35123" b="33291"/>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365427" cy="3490959"/>
                    </a:xfrm>
                    <a:prstGeom prst="rect">
                      <a:avLst/>
                    </a:prstGeom>
                    <a:noFill/>
                    <a:ln w="28575">
                      <a:solidFill>
                        <a:srgbClr val="000000"/>
                      </a:solidFill>
                      <a:prstDash val="solid"/>
                    </a:ln>
                  </pic:spPr>
                </pic:pic>
              </a:graphicData>
            </a:graphic>
          </wp:inline>
        </w:drawing>
      </w:r>
    </w:p>
    <w:p w14:paraId="7AFA659C" w14:textId="77777777" w:rsidR="00225B83" w:rsidRDefault="00705FEF">
      <w:pPr>
        <w:jc w:val="center"/>
        <w:rPr>
          <w:b/>
          <w:lang w:val="en-GB"/>
        </w:rPr>
      </w:pPr>
      <w:r>
        <w:rPr>
          <w:b/>
          <w:lang w:val="en-GB"/>
        </w:rPr>
        <w:t>Figure 1: Porter’s 5 forces</w:t>
      </w:r>
    </w:p>
    <w:p w14:paraId="7319189D" w14:textId="77777777" w:rsidR="00225B83" w:rsidRDefault="00705FEF">
      <w:pPr>
        <w:jc w:val="center"/>
        <w:rPr>
          <w:lang w:val="en-GB"/>
        </w:rPr>
      </w:pPr>
      <w:r>
        <w:rPr>
          <w:lang w:val="en-GB"/>
        </w:rPr>
        <w:t>(Source: Self-created)</w:t>
      </w:r>
    </w:p>
    <w:p w14:paraId="24D2447C" w14:textId="77777777" w:rsidR="00225B83" w:rsidRDefault="00705FEF">
      <w:pPr>
        <w:rPr>
          <w:lang w:val="en-GB"/>
        </w:rPr>
      </w:pPr>
      <w:r>
        <w:rPr>
          <w:lang w:val="en-GB"/>
        </w:rPr>
        <w:t xml:space="preserve">Porter's Five Forces analysis is a methodology for </w:t>
      </w:r>
      <w:proofErr w:type="spellStart"/>
      <w:r>
        <w:rPr>
          <w:lang w:val="en-GB"/>
        </w:rPr>
        <w:t>analyzing</w:t>
      </w:r>
      <w:proofErr w:type="spellEnd"/>
      <w:r>
        <w:rPr>
          <w:lang w:val="en-GB"/>
        </w:rPr>
        <w:t xml:space="preserve"> industry competitiveness and establishing a corporate strategy. It focuses on five major elements that form the competitive environment: the threat of new entrants, buyer negotiating power, supplier bargaining power, danger of replacement products or services, and competitive rivalry intensity.</w:t>
      </w:r>
    </w:p>
    <w:p w14:paraId="319A0FDB" w14:textId="77777777" w:rsidR="00225B83" w:rsidRDefault="00705FEF">
      <w:pPr>
        <w:pStyle w:val="ListParagraph"/>
        <w:numPr>
          <w:ilvl w:val="0"/>
          <w:numId w:val="3"/>
        </w:numPr>
        <w:rPr>
          <w:b/>
          <w:lang w:val="en-GB"/>
        </w:rPr>
      </w:pPr>
      <w:r>
        <w:rPr>
          <w:b/>
          <w:lang w:val="en-GB"/>
        </w:rPr>
        <w:t>Threat of New Entrants</w:t>
      </w:r>
    </w:p>
    <w:p w14:paraId="7E5F10FB" w14:textId="77777777" w:rsidR="00225B83" w:rsidRDefault="00705FEF">
      <w:pPr>
        <w:rPr>
          <w:lang w:val="en-GB"/>
        </w:rPr>
      </w:pPr>
      <w:r>
        <w:rPr>
          <w:lang w:val="en-GB"/>
        </w:rPr>
        <w:t xml:space="preserve">Next Plc functions in the retail business, which has relatively low entry barriers. However, the company's strong brand presence and client loyalty may operate as a disincentive to prospective entrants. In terms of sustainability and the environment, Next Plc may face a minimal risk of new entrants. The </w:t>
      </w:r>
      <w:proofErr w:type="spellStart"/>
      <w:r>
        <w:rPr>
          <w:lang w:val="en-GB"/>
        </w:rPr>
        <w:t>organization</w:t>
      </w:r>
      <w:proofErr w:type="spellEnd"/>
      <w:r>
        <w:rPr>
          <w:lang w:val="en-GB"/>
        </w:rPr>
        <w:t xml:space="preserve"> has most likely invested heavily in sustainable practises such as ethical sourcing, carbon footprint reduction, and waste management (Epstein, 2018). These expenditures may function as entrance obstacles for new firms who need more means or skills to compete with Next's environmental initiatives. Furthermore, Next's existing brand and consumer devotion may dissuade new players from entering the industry</w:t>
      </w:r>
    </w:p>
    <w:p w14:paraId="201B77E1" w14:textId="77777777" w:rsidR="00225B83" w:rsidRDefault="00705FEF">
      <w:pPr>
        <w:pStyle w:val="ListParagraph"/>
        <w:numPr>
          <w:ilvl w:val="0"/>
          <w:numId w:val="4"/>
        </w:numPr>
        <w:rPr>
          <w:b/>
          <w:lang w:val="en-GB"/>
        </w:rPr>
      </w:pPr>
      <w:r>
        <w:rPr>
          <w:b/>
          <w:lang w:val="en-GB"/>
        </w:rPr>
        <w:t xml:space="preserve">Buyer Negotiating Power: </w:t>
      </w:r>
    </w:p>
    <w:p w14:paraId="58D2AE9B" w14:textId="77777777" w:rsidR="00225B83" w:rsidRDefault="00705FEF">
      <w:pPr>
        <w:rPr>
          <w:lang w:val="en-GB"/>
        </w:rPr>
      </w:pPr>
      <w:r>
        <w:rPr>
          <w:lang w:val="en-GB"/>
        </w:rPr>
        <w:t>Due to the availability of alternative items and merchants, consumers frequently have tremendous negotiating power in the retail industry (Goyal, 2020). Next Plc's dedication to sustainability and commitment to the environment may have an impact on its supplier relationships. If Next wants suppliers to comply with rigorous environmental requirements or to source resources in a sustainable manner, the number of accessible vendors may become limited. However, this might provide Next bargaining power, as suppliers may be eager to comply with these requirements in order to continue a partnership with a well-known store like Next.</w:t>
      </w:r>
    </w:p>
    <w:p w14:paraId="25814F2B" w14:textId="77777777" w:rsidR="00225B83" w:rsidRDefault="00705FEF">
      <w:pPr>
        <w:pStyle w:val="ListParagraph"/>
        <w:numPr>
          <w:ilvl w:val="0"/>
          <w:numId w:val="5"/>
        </w:numPr>
        <w:rPr>
          <w:b/>
          <w:lang w:val="en-GB"/>
        </w:rPr>
      </w:pPr>
      <w:r>
        <w:rPr>
          <w:b/>
          <w:lang w:val="en-GB"/>
        </w:rPr>
        <w:t>Bargaining power of Suppliers</w:t>
      </w:r>
    </w:p>
    <w:p w14:paraId="6CC6FCCF" w14:textId="77777777" w:rsidR="00225B83" w:rsidRDefault="00705FEF">
      <w:r>
        <w:rPr>
          <w:lang w:val="en-GB"/>
        </w:rPr>
        <w:t xml:space="preserve">Supplier negotiating strength in the retail business can vary depending on factors such as product originality, quantity of suppliers, and availability of replacements. Next Plc's size and existing ties with suppliers may provide it considerable bargaining power when negotiating favourable pricing. Consumers are becoming more aware of environmental concerns and are more willing to support businesses that practice sustainable practices (Zhang </w:t>
      </w:r>
      <w:r>
        <w:rPr>
          <w:i/>
          <w:lang w:val="en-GB"/>
        </w:rPr>
        <w:t>et al</w:t>
      </w:r>
      <w:r>
        <w:rPr>
          <w:lang w:val="en-GB"/>
        </w:rPr>
        <w:t xml:space="preserve">., 2019). As customers seek more ecologically friendly products and </w:t>
      </w:r>
      <w:proofErr w:type="spellStart"/>
      <w:r>
        <w:rPr>
          <w:lang w:val="en-GB"/>
        </w:rPr>
        <w:t>organizations</w:t>
      </w:r>
      <w:proofErr w:type="spellEnd"/>
      <w:r>
        <w:rPr>
          <w:lang w:val="en-GB"/>
        </w:rPr>
        <w:t>, this shift in consumer behaviour provides them more negotiating power. This indicates that Next Plc's sustainability initiatives might have a substantial impact on customer purchasing decisions, possibly providing consumers greater influence in their dealings with the firm.</w:t>
      </w:r>
    </w:p>
    <w:p w14:paraId="28DD8963" w14:textId="77777777" w:rsidR="00225B83" w:rsidRDefault="00705FEF">
      <w:pPr>
        <w:pStyle w:val="ListParagraph"/>
        <w:numPr>
          <w:ilvl w:val="0"/>
          <w:numId w:val="6"/>
        </w:numPr>
        <w:rPr>
          <w:b/>
          <w:lang w:val="en-GB"/>
        </w:rPr>
      </w:pPr>
      <w:r>
        <w:rPr>
          <w:b/>
          <w:lang w:val="en-GB"/>
        </w:rPr>
        <w:t>Competitive Rivalry</w:t>
      </w:r>
    </w:p>
    <w:p w14:paraId="55EC5BED" w14:textId="77777777" w:rsidR="00225B83" w:rsidRDefault="00705FEF">
      <w:pPr>
        <w:rPr>
          <w:lang w:val="en-GB"/>
        </w:rPr>
      </w:pPr>
      <w:r>
        <w:rPr>
          <w:lang w:val="en-GB"/>
        </w:rPr>
        <w:t>The retail business remains competitive, but when it comes to sustainability and environmental effect, Next Plc has a chance to differentiate itself from competitors. Next can increase its competitive position in the business by continuing to engage in sustainable practices and successfully communicate these efforts to consumers.</w:t>
      </w:r>
    </w:p>
    <w:p w14:paraId="678F7F71" w14:textId="77777777" w:rsidR="00225B83" w:rsidRDefault="00705FEF">
      <w:pPr>
        <w:pStyle w:val="ListParagraph"/>
        <w:numPr>
          <w:ilvl w:val="0"/>
          <w:numId w:val="7"/>
        </w:numPr>
        <w:rPr>
          <w:b/>
          <w:lang w:val="en-GB"/>
        </w:rPr>
      </w:pPr>
      <w:r>
        <w:rPr>
          <w:b/>
          <w:lang w:val="en-GB"/>
        </w:rPr>
        <w:t>Threat of Substitute products and services</w:t>
      </w:r>
    </w:p>
    <w:p w14:paraId="071904EB" w14:textId="77777777" w:rsidR="00225B83" w:rsidRDefault="00705FEF">
      <w:pPr>
        <w:rPr>
          <w:lang w:val="en-GB"/>
        </w:rPr>
      </w:pPr>
      <w:r>
        <w:rPr>
          <w:lang w:val="en-GB"/>
        </w:rPr>
        <w:t>Substitutes pose a significant challenge to the retail business since customers have several alternatives when it comes to fashion and clothes (</w:t>
      </w:r>
      <w:proofErr w:type="spellStart"/>
      <w:r>
        <w:rPr>
          <w:lang w:val="en-GB"/>
        </w:rPr>
        <w:t>Bruijl</w:t>
      </w:r>
      <w:proofErr w:type="spellEnd"/>
      <w:r>
        <w:rPr>
          <w:lang w:val="en-GB"/>
        </w:rPr>
        <w:t xml:space="preserve">, 2018). Substitutes for Next Plc may come from firms who extensively </w:t>
      </w:r>
      <w:proofErr w:type="spellStart"/>
      <w:r>
        <w:rPr>
          <w:lang w:val="en-GB"/>
        </w:rPr>
        <w:t>emphasize</w:t>
      </w:r>
      <w:proofErr w:type="spellEnd"/>
      <w:r>
        <w:rPr>
          <w:lang w:val="en-GB"/>
        </w:rPr>
        <w:t xml:space="preserve"> their eco-friendly practices or offer equivalent sustainable products in the context of sustainability and environmental effect. As consumer understanding of environmental concerns develops, they may choose more ecologically friendly replacements. Next must continue to develop and differentiate itself through its environmental activities in order to counter this danger.</w:t>
      </w:r>
    </w:p>
    <w:p w14:paraId="65DE704E" w14:textId="77777777" w:rsidR="00225B83" w:rsidRDefault="00705FEF">
      <w:pPr>
        <w:pStyle w:val="Heading1"/>
        <w:spacing w:before="0"/>
        <w:rPr>
          <w:lang w:val="en-GB"/>
        </w:rPr>
      </w:pPr>
      <w:bookmarkStart w:id="20" w:name="_juh7rh8x6q0m"/>
      <w:bookmarkStart w:id="21" w:name="_Toc152180026"/>
      <w:bookmarkEnd w:id="20"/>
      <w:r>
        <w:rPr>
          <w:lang w:val="en-GB"/>
        </w:rPr>
        <w:t>Strategic Direction and Recommendations</w:t>
      </w:r>
      <w:bookmarkEnd w:id="21"/>
    </w:p>
    <w:p w14:paraId="21873E60" w14:textId="77777777" w:rsidR="00225B83" w:rsidRDefault="00705FEF">
      <w:pPr>
        <w:pStyle w:val="ListParagraph"/>
        <w:numPr>
          <w:ilvl w:val="0"/>
          <w:numId w:val="7"/>
        </w:numPr>
        <w:rPr>
          <w:b/>
          <w:i/>
          <w:lang w:val="en-GB"/>
        </w:rPr>
      </w:pPr>
      <w:r>
        <w:rPr>
          <w:b/>
          <w:i/>
          <w:lang w:val="en-GB"/>
        </w:rPr>
        <w:t xml:space="preserve">Continue to </w:t>
      </w:r>
      <w:proofErr w:type="spellStart"/>
      <w:r>
        <w:rPr>
          <w:b/>
          <w:i/>
          <w:lang w:val="en-GB"/>
        </w:rPr>
        <w:t>prioritize</w:t>
      </w:r>
      <w:proofErr w:type="spellEnd"/>
      <w:r>
        <w:rPr>
          <w:b/>
          <w:i/>
          <w:lang w:val="en-GB"/>
        </w:rPr>
        <w:t xml:space="preserve"> environmental practices</w:t>
      </w:r>
    </w:p>
    <w:p w14:paraId="5C709AC7" w14:textId="77777777" w:rsidR="00225B83" w:rsidRDefault="00705FEF">
      <w:r>
        <w:rPr>
          <w:lang w:val="en-GB"/>
        </w:rPr>
        <w:t xml:space="preserve">Next Plc has already achieved great gains in sustainability, such as lowering carbon emissions, using recyclable packaging, and ethically sourcing items. Maintaining a focus on sustainability practises will not only appeal to environmentally concerned customers, but will also assist the </w:t>
      </w:r>
      <w:proofErr w:type="spellStart"/>
      <w:r>
        <w:rPr>
          <w:lang w:val="en-GB"/>
        </w:rPr>
        <w:t>organization</w:t>
      </w:r>
      <w:proofErr w:type="spellEnd"/>
      <w:r>
        <w:rPr>
          <w:lang w:val="en-GB"/>
        </w:rPr>
        <w:t xml:space="preserve"> in lowering expenses, improving brand recognition, and attracting top personnel (</w:t>
      </w:r>
      <w:proofErr w:type="spellStart"/>
      <w:r>
        <w:rPr>
          <w:lang w:val="en-GB"/>
        </w:rPr>
        <w:t>Laosirihongthong</w:t>
      </w:r>
      <w:proofErr w:type="spellEnd"/>
      <w:r>
        <w:rPr>
          <w:lang w:val="en-GB"/>
        </w:rPr>
        <w:t xml:space="preserve"> </w:t>
      </w:r>
      <w:r>
        <w:rPr>
          <w:i/>
          <w:lang w:val="en-GB"/>
        </w:rPr>
        <w:t>et al</w:t>
      </w:r>
      <w:r>
        <w:rPr>
          <w:lang w:val="en-GB"/>
        </w:rPr>
        <w:t xml:space="preserve">., 2020). </w:t>
      </w:r>
    </w:p>
    <w:p w14:paraId="66EE9D15" w14:textId="77777777" w:rsidR="00225B83" w:rsidRDefault="00705FEF">
      <w:r>
        <w:rPr>
          <w:b/>
          <w:i/>
          <w:lang w:val="en-GB"/>
        </w:rPr>
        <w:t>Recommendation:</w:t>
      </w:r>
      <w:r>
        <w:rPr>
          <w:lang w:val="en-GB"/>
        </w:rPr>
        <w:t xml:space="preserve"> Next Plc should continue to invest in sustainable practices such as renewable energy, waste reduction, and responsible material procurement. This will improve not just the environment but also the company's social responsibility and brand reputation.</w:t>
      </w:r>
    </w:p>
    <w:p w14:paraId="6B0D11D5" w14:textId="77777777" w:rsidR="00225B83" w:rsidRDefault="00705FEF">
      <w:pPr>
        <w:pStyle w:val="ListParagraph"/>
        <w:numPr>
          <w:ilvl w:val="0"/>
          <w:numId w:val="7"/>
        </w:numPr>
      </w:pPr>
      <w:r>
        <w:rPr>
          <w:b/>
          <w:i/>
          <w:lang w:val="en-GB"/>
        </w:rPr>
        <w:t>Expansion into new markets</w:t>
      </w:r>
    </w:p>
    <w:p w14:paraId="6F720519" w14:textId="77777777" w:rsidR="00225B83" w:rsidRDefault="00705FEF">
      <w:pPr>
        <w:rPr>
          <w:lang w:val="en-GB"/>
        </w:rPr>
      </w:pPr>
      <w:r>
        <w:rPr>
          <w:lang w:val="en-GB"/>
        </w:rPr>
        <w:t>In order to improve its client base and income, Next Plc might enter new areas such as online shopping. The firm may potentially consider expanding into overseas markets, particularly in nations with a growing middle class and a growing demand for environmentally friendly products.</w:t>
      </w:r>
    </w:p>
    <w:p w14:paraId="043A7F81" w14:textId="77777777" w:rsidR="00225B83" w:rsidRDefault="00705FEF">
      <w:r>
        <w:rPr>
          <w:b/>
          <w:i/>
          <w:lang w:val="en-GB"/>
        </w:rPr>
        <w:t xml:space="preserve">Recommendation: </w:t>
      </w:r>
      <w:r>
        <w:rPr>
          <w:lang w:val="en-GB"/>
        </w:rPr>
        <w:t xml:space="preserve">Next Plc should do market research to find possible markets and products that match its sustainability objectives. To broaden its reach and skills, the </w:t>
      </w:r>
      <w:proofErr w:type="spellStart"/>
      <w:r>
        <w:rPr>
          <w:lang w:val="en-GB"/>
        </w:rPr>
        <w:t>organization</w:t>
      </w:r>
      <w:proofErr w:type="spellEnd"/>
      <w:r>
        <w:rPr>
          <w:lang w:val="en-GB"/>
        </w:rPr>
        <w:t xml:space="preserve"> should pursue partnerships or acquisitions.</w:t>
      </w:r>
    </w:p>
    <w:p w14:paraId="533A2F3C" w14:textId="77777777" w:rsidR="00225B83" w:rsidRDefault="00705FEF">
      <w:pPr>
        <w:pStyle w:val="ListParagraph"/>
        <w:numPr>
          <w:ilvl w:val="0"/>
          <w:numId w:val="7"/>
        </w:numPr>
        <w:rPr>
          <w:b/>
          <w:i/>
          <w:lang w:val="en-GB"/>
        </w:rPr>
      </w:pPr>
      <w:r>
        <w:rPr>
          <w:b/>
          <w:i/>
          <w:lang w:val="en-GB"/>
        </w:rPr>
        <w:t>Creation of a circular business plan</w:t>
      </w:r>
    </w:p>
    <w:p w14:paraId="7A32F38D" w14:textId="77777777" w:rsidR="00225B83" w:rsidRDefault="00705FEF">
      <w:r>
        <w:rPr>
          <w:lang w:val="en-GB"/>
        </w:rPr>
        <w:t xml:space="preserve"> A circular business model entails creating restorative and regenerative goods and processes (</w:t>
      </w:r>
      <w:proofErr w:type="spellStart"/>
      <w:r>
        <w:rPr>
          <w:lang w:val="en-GB"/>
        </w:rPr>
        <w:t>Lüdeke‐Freund</w:t>
      </w:r>
      <w:proofErr w:type="spellEnd"/>
      <w:r>
        <w:rPr>
          <w:lang w:val="en-GB"/>
        </w:rPr>
        <w:t xml:space="preserve"> </w:t>
      </w:r>
      <w:r>
        <w:rPr>
          <w:i/>
          <w:lang w:val="en-GB"/>
        </w:rPr>
        <w:t>et al</w:t>
      </w:r>
      <w:r>
        <w:rPr>
          <w:lang w:val="en-GB"/>
        </w:rPr>
        <w:t xml:space="preserve">., 2022). Next Plc might use a circular model by producing long-lasting goods, employing recycled materials, and establishing closed-loop supply networks. </w:t>
      </w:r>
    </w:p>
    <w:p w14:paraId="0FB65180" w14:textId="77777777" w:rsidR="00225B83" w:rsidRDefault="00705FEF">
      <w:r>
        <w:rPr>
          <w:b/>
          <w:i/>
          <w:lang w:val="en-GB"/>
        </w:rPr>
        <w:t>Recommendation</w:t>
      </w:r>
      <w:r>
        <w:rPr>
          <w:lang w:val="en-GB"/>
        </w:rPr>
        <w:t>: Next Plc should spend in research and development to generate more circular goods and processes. This may influence building closed-loop supply chains, designing goods for lifespan, and engaging recycled supplies.</w:t>
      </w:r>
    </w:p>
    <w:p w14:paraId="606156EB" w14:textId="77777777" w:rsidR="00225B83" w:rsidRDefault="00705FEF">
      <w:pPr>
        <w:pStyle w:val="Heading1"/>
        <w:spacing w:before="0"/>
        <w:rPr>
          <w:lang w:val="en-GB"/>
        </w:rPr>
      </w:pPr>
      <w:bookmarkStart w:id="22" w:name="_7cr1e1fm0dvh"/>
      <w:bookmarkStart w:id="23" w:name="_Toc152180027"/>
      <w:bookmarkEnd w:id="22"/>
      <w:r>
        <w:rPr>
          <w:lang w:val="en-GB"/>
        </w:rPr>
        <w:t>Conclusion</w:t>
      </w:r>
      <w:bookmarkEnd w:id="23"/>
    </w:p>
    <w:p w14:paraId="115050C9" w14:textId="77777777" w:rsidR="00225B83" w:rsidRDefault="00705FEF">
      <w:pPr>
        <w:rPr>
          <w:lang w:val="en-GB"/>
        </w:rPr>
      </w:pPr>
      <w:r>
        <w:rPr>
          <w:lang w:val="en-GB"/>
        </w:rPr>
        <w:t>Next Plc is a reputable retailer that combines online and physical retail to provide clients with a seamless shopping experience. The organisation has a well-established supply chain management system and a wide range of products. However, it is heavily reliant on the UK market, which may have an impact on its global market share. The UK Next Plc's most effective scenarios are political, economic, and social. The resources of the company are in line with its business plan, which focuses on Omni channel commerce, product innovation, operational efficiency, and sustainability.</w:t>
      </w:r>
    </w:p>
    <w:p w14:paraId="5137F993" w14:textId="77777777" w:rsidR="00225B83" w:rsidRDefault="00225B83">
      <w:pPr>
        <w:pStyle w:val="Heading1"/>
        <w:spacing w:before="0"/>
        <w:rPr>
          <w:lang w:val="en-GB"/>
        </w:rPr>
      </w:pPr>
      <w:bookmarkStart w:id="24" w:name="_taqv83aj6y8a"/>
      <w:bookmarkEnd w:id="24"/>
    </w:p>
    <w:p w14:paraId="6B6E4BF9" w14:textId="77777777" w:rsidR="00225B83" w:rsidRDefault="00705FEF">
      <w:pPr>
        <w:pStyle w:val="Heading1"/>
        <w:pageBreakBefore/>
        <w:spacing w:before="0"/>
        <w:rPr>
          <w:lang w:val="en-GB"/>
        </w:rPr>
      </w:pPr>
      <w:bookmarkStart w:id="25" w:name="_w8qw0u8xw9gh"/>
      <w:bookmarkStart w:id="26" w:name="_Toc152180028"/>
      <w:bookmarkEnd w:id="25"/>
      <w:r>
        <w:rPr>
          <w:lang w:val="en-GB"/>
        </w:rPr>
        <w:t>Reference</w:t>
      </w:r>
      <w:bookmarkEnd w:id="26"/>
    </w:p>
    <w:p w14:paraId="01658BEB" w14:textId="77777777" w:rsidR="00225B83" w:rsidRDefault="00705FEF">
      <w:pPr>
        <w:rPr>
          <w:lang w:val="en-GB"/>
        </w:rPr>
      </w:pPr>
      <w:proofErr w:type="spellStart"/>
      <w:r>
        <w:rPr>
          <w:lang w:val="en-GB"/>
        </w:rPr>
        <w:t>Bruijl</w:t>
      </w:r>
      <w:proofErr w:type="spellEnd"/>
      <w:r>
        <w:rPr>
          <w:lang w:val="en-GB"/>
        </w:rPr>
        <w:t>, D.G.H.T., 2018. The relevance of Porter's five forces in today's innovative and changing business environment. Available at SSRN 3192207.</w:t>
      </w:r>
    </w:p>
    <w:p w14:paraId="2FB55E9C" w14:textId="77777777" w:rsidR="00225B83" w:rsidRDefault="00705FEF">
      <w:pPr>
        <w:rPr>
          <w:lang w:val="en-GB"/>
        </w:rPr>
      </w:pPr>
      <w:proofErr w:type="spellStart"/>
      <w:r>
        <w:rPr>
          <w:lang w:val="en-GB"/>
        </w:rPr>
        <w:t>Dey</w:t>
      </w:r>
      <w:proofErr w:type="spellEnd"/>
      <w:r>
        <w:rPr>
          <w:lang w:val="en-GB"/>
        </w:rPr>
        <w:t xml:space="preserve">, P.K., </w:t>
      </w:r>
      <w:proofErr w:type="spellStart"/>
      <w:r>
        <w:rPr>
          <w:lang w:val="en-GB"/>
        </w:rPr>
        <w:t>Malesios</w:t>
      </w:r>
      <w:proofErr w:type="spellEnd"/>
      <w:r>
        <w:rPr>
          <w:lang w:val="en-GB"/>
        </w:rPr>
        <w:t>, C., De, D., Chowdhury, S. and Abdelaziz, F.B., 2020. The impact of lean management practices and sustainably‐oriented innovation on sustainability performance of small and medium‐sized enterprises: empirical evidence from the UK. British Journal of Management, 31(1), pp.141-161.</w:t>
      </w:r>
    </w:p>
    <w:p w14:paraId="5BFB4EE7" w14:textId="77777777" w:rsidR="00225B83" w:rsidRDefault="00705FEF">
      <w:pPr>
        <w:rPr>
          <w:lang w:val="en-GB"/>
        </w:rPr>
      </w:pPr>
      <w:r>
        <w:rPr>
          <w:lang w:val="en-GB"/>
        </w:rPr>
        <w:t xml:space="preserve">Epstein, M.J., 2018. Making sustainability work: Best practices in managing and measuring corporate social, environmental and economic impacts. </w:t>
      </w:r>
      <w:proofErr w:type="spellStart"/>
      <w:r>
        <w:rPr>
          <w:lang w:val="en-GB"/>
        </w:rPr>
        <w:t>Routledge</w:t>
      </w:r>
      <w:proofErr w:type="spellEnd"/>
      <w:r>
        <w:rPr>
          <w:lang w:val="en-GB"/>
        </w:rPr>
        <w:t>.</w:t>
      </w:r>
    </w:p>
    <w:p w14:paraId="530EDD27" w14:textId="77777777" w:rsidR="00225B83" w:rsidRDefault="00705FEF">
      <w:pPr>
        <w:rPr>
          <w:lang w:val="en-GB"/>
        </w:rPr>
      </w:pPr>
      <w:r>
        <w:rPr>
          <w:lang w:val="en-GB"/>
        </w:rPr>
        <w:t>Goyal, A., 2020. A critical analysis of Porter’s 5 forces model of competitive advantage. Goyal, A.(2021). A Critical Analysis of Porter’s, 5.</w:t>
      </w:r>
    </w:p>
    <w:p w14:paraId="7C47129B" w14:textId="77777777" w:rsidR="00225B83" w:rsidRDefault="00705FEF">
      <w:r>
        <w:rPr>
          <w:lang w:val="en-GB"/>
        </w:rPr>
        <w:t xml:space="preserve">Graham, B. (2023). </w:t>
      </w:r>
      <w:r>
        <w:rPr>
          <w:i/>
          <w:lang w:val="en-GB"/>
        </w:rPr>
        <w:t>GDP monthly estimate, UK: September 2023</w:t>
      </w:r>
      <w:r>
        <w:rPr>
          <w:lang w:val="en-GB"/>
        </w:rPr>
        <w:t xml:space="preserve">, </w:t>
      </w:r>
      <w:r>
        <w:rPr>
          <w:i/>
          <w:lang w:val="en-GB"/>
        </w:rPr>
        <w:t>GDP monthly estimate, UK - Office for National Statistics</w:t>
      </w:r>
      <w:r>
        <w:rPr>
          <w:lang w:val="en-GB"/>
        </w:rPr>
        <w:t>. Office for National Statistics. Available at: https://www.ons.gov.uk/economy/grossdomesticproductgdp/bulletins/gdpmonthlyestimateuk/september2023#:~:text=Monthly%20GDP-,Monthly%20real%20gross%20domestic%20product%20(GDP)%20is%20estimated%20to%20have,2023%20are%20open%20for%20revision. (Accessed: 29 November 2023).</w:t>
      </w:r>
    </w:p>
    <w:p w14:paraId="4DA1C4A9" w14:textId="77777777" w:rsidR="00225B83" w:rsidRDefault="00705FEF">
      <w:pPr>
        <w:rPr>
          <w:lang w:val="en-GB"/>
        </w:rPr>
      </w:pPr>
      <w:r>
        <w:rPr>
          <w:lang w:val="en-GB"/>
        </w:rPr>
        <w:t>House of Commons Library, 2023. Rising Cost of living in UK. Available at: https://commonslibrary.parliament.uk/research-briefings/cbp-9428/#:~:text=International%20comparisons%20of%20inflation&amp;text=In%20October%202023%2C%20the%20UK’s,%25)%20and%20Italy%20(1.8%25). (Accessed: 29 November 2023).</w:t>
      </w:r>
    </w:p>
    <w:p w14:paraId="52026714" w14:textId="77777777" w:rsidR="00225B83" w:rsidRDefault="00705FEF">
      <w:pPr>
        <w:rPr>
          <w:lang w:val="en-GB"/>
        </w:rPr>
      </w:pPr>
      <w:r>
        <w:rPr>
          <w:lang w:val="en-GB"/>
        </w:rPr>
        <w:t>KC, A.M., 2023. Discrimination law: Text, cases and materials. Bloomsbury Publishing.</w:t>
      </w:r>
    </w:p>
    <w:p w14:paraId="41394262" w14:textId="77777777" w:rsidR="00225B83" w:rsidRDefault="00705FEF">
      <w:pPr>
        <w:rPr>
          <w:lang w:val="en-GB"/>
        </w:rPr>
      </w:pPr>
      <w:r>
        <w:rPr>
          <w:lang w:val="en-GB"/>
        </w:rPr>
        <w:t xml:space="preserve">Khan, S., </w:t>
      </w:r>
      <w:proofErr w:type="spellStart"/>
      <w:r>
        <w:rPr>
          <w:lang w:val="en-GB"/>
        </w:rPr>
        <w:t>Asif</w:t>
      </w:r>
      <w:proofErr w:type="spellEnd"/>
      <w:r>
        <w:rPr>
          <w:lang w:val="en-GB"/>
        </w:rPr>
        <w:t xml:space="preserve">, A. and </w:t>
      </w:r>
      <w:proofErr w:type="spellStart"/>
      <w:r>
        <w:rPr>
          <w:lang w:val="en-GB"/>
        </w:rPr>
        <w:t>Jaffery</w:t>
      </w:r>
      <w:proofErr w:type="spellEnd"/>
      <w:r>
        <w:rPr>
          <w:lang w:val="en-GB"/>
        </w:rPr>
        <w:t>, A.E., 2021. Language in a time of COVID-19: literacy bias ethnic minorities face during COVID-19 from online information in the UK. Journal of Racial and Ethnic Health Disparities, 8, pp.1242-1248.</w:t>
      </w:r>
    </w:p>
    <w:p w14:paraId="4CB47474" w14:textId="77777777" w:rsidR="00225B83" w:rsidRDefault="00705FEF">
      <w:pPr>
        <w:rPr>
          <w:lang w:val="en-GB"/>
        </w:rPr>
      </w:pPr>
      <w:proofErr w:type="spellStart"/>
      <w:r>
        <w:rPr>
          <w:lang w:val="en-GB"/>
        </w:rPr>
        <w:t>Laosirihongthong</w:t>
      </w:r>
      <w:proofErr w:type="spellEnd"/>
      <w:r>
        <w:rPr>
          <w:lang w:val="en-GB"/>
        </w:rPr>
        <w:t xml:space="preserve">, T., </w:t>
      </w:r>
      <w:proofErr w:type="spellStart"/>
      <w:r>
        <w:rPr>
          <w:lang w:val="en-GB"/>
        </w:rPr>
        <w:t>Samaranayake</w:t>
      </w:r>
      <w:proofErr w:type="spellEnd"/>
      <w:r>
        <w:rPr>
          <w:lang w:val="en-GB"/>
        </w:rPr>
        <w:t xml:space="preserve">, P., </w:t>
      </w:r>
      <w:proofErr w:type="spellStart"/>
      <w:r>
        <w:rPr>
          <w:lang w:val="en-GB"/>
        </w:rPr>
        <w:t>Nagalingam</w:t>
      </w:r>
      <w:proofErr w:type="spellEnd"/>
      <w:r>
        <w:rPr>
          <w:lang w:val="en-GB"/>
        </w:rPr>
        <w:t xml:space="preserve">, S.V. and </w:t>
      </w:r>
      <w:proofErr w:type="spellStart"/>
      <w:r>
        <w:rPr>
          <w:lang w:val="en-GB"/>
        </w:rPr>
        <w:t>Adebanjo</w:t>
      </w:r>
      <w:proofErr w:type="spellEnd"/>
      <w:r>
        <w:rPr>
          <w:lang w:val="en-GB"/>
        </w:rPr>
        <w:t xml:space="preserve">, D., 2020. </w:t>
      </w:r>
      <w:proofErr w:type="spellStart"/>
      <w:r>
        <w:rPr>
          <w:lang w:val="en-GB"/>
        </w:rPr>
        <w:t>Prioritization</w:t>
      </w:r>
      <w:proofErr w:type="spellEnd"/>
      <w:r>
        <w:rPr>
          <w:lang w:val="en-GB"/>
        </w:rPr>
        <w:t xml:space="preserve"> of sustainable supply chain practices with triple bottom line and organizational theories: industry and academic perspectives. Production Planning &amp; Control, 31(14), pp.1207-1221.</w:t>
      </w:r>
    </w:p>
    <w:p w14:paraId="41E47197" w14:textId="77777777" w:rsidR="00225B83" w:rsidRDefault="00705FEF">
      <w:pPr>
        <w:rPr>
          <w:lang w:val="en-GB"/>
        </w:rPr>
      </w:pPr>
      <w:proofErr w:type="spellStart"/>
      <w:r>
        <w:rPr>
          <w:lang w:val="en-GB"/>
        </w:rPr>
        <w:t>Lüdeke‐Freund</w:t>
      </w:r>
      <w:proofErr w:type="spellEnd"/>
      <w:r>
        <w:rPr>
          <w:lang w:val="en-GB"/>
        </w:rPr>
        <w:t xml:space="preserve">, F., Gold, S. and </w:t>
      </w:r>
      <w:proofErr w:type="spellStart"/>
      <w:r>
        <w:rPr>
          <w:lang w:val="en-GB"/>
        </w:rPr>
        <w:t>Bocken</w:t>
      </w:r>
      <w:proofErr w:type="spellEnd"/>
      <w:r>
        <w:rPr>
          <w:lang w:val="en-GB"/>
        </w:rPr>
        <w:t>, N.M., 2019. A review and typology of circular economy business model patterns. Journal of Industrial Ecology, 23(1), pp.36-61.</w:t>
      </w:r>
    </w:p>
    <w:p w14:paraId="73E67376" w14:textId="77777777" w:rsidR="00225B83" w:rsidRDefault="00705FEF">
      <w:pPr>
        <w:rPr>
          <w:lang w:val="en-GB"/>
        </w:rPr>
      </w:pPr>
      <w:r>
        <w:rPr>
          <w:lang w:val="en-GB"/>
        </w:rPr>
        <w:t>Next Plc, 2023. Annual Report.  Available at: https://www.nextplc.co.uk/~/media/Files/N/Next-PLC-V2/documents/2023/annual-reports-and-account-jan-2023.pdf (Accessed: 29 November 2023).</w:t>
      </w:r>
    </w:p>
    <w:p w14:paraId="6AE86C40" w14:textId="77777777" w:rsidR="00225B83" w:rsidRDefault="00705FEF">
      <w:pPr>
        <w:rPr>
          <w:lang w:val="en-GB"/>
        </w:rPr>
      </w:pPr>
      <w:r>
        <w:rPr>
          <w:lang w:val="en-GB"/>
        </w:rPr>
        <w:t>Next Plc, 2023. At a Glance. Available at: https://www.nextplc.co.uk/about-next/at-a-glance (Accessed: 29 November 2023).</w:t>
      </w:r>
    </w:p>
    <w:p w14:paraId="718DD326" w14:textId="77777777" w:rsidR="00225B83" w:rsidRDefault="00705FEF">
      <w:pPr>
        <w:rPr>
          <w:lang w:val="en-GB"/>
        </w:rPr>
      </w:pPr>
      <w:r>
        <w:rPr>
          <w:lang w:val="en-GB"/>
        </w:rPr>
        <w:t>Next Plc, 2023. Business Model. Available at: https://www.nextplc.co.uk/~/media/Files/N/Next-PLC-V2/documents/2023/business-model-a3.pdf (Accessed: 29 November 2023).</w:t>
      </w:r>
    </w:p>
    <w:p w14:paraId="68EA5B67" w14:textId="77777777" w:rsidR="00225B83" w:rsidRDefault="00705FEF">
      <w:pPr>
        <w:rPr>
          <w:lang w:val="en-GB"/>
        </w:rPr>
      </w:pPr>
      <w:proofErr w:type="spellStart"/>
      <w:r>
        <w:rPr>
          <w:lang w:val="en-GB"/>
        </w:rPr>
        <w:t>Parker-Strak</w:t>
      </w:r>
      <w:proofErr w:type="spellEnd"/>
      <w:r>
        <w:rPr>
          <w:lang w:val="en-GB"/>
        </w:rPr>
        <w:t xml:space="preserve">, R., Barnes, L., </w:t>
      </w:r>
      <w:proofErr w:type="spellStart"/>
      <w:r>
        <w:rPr>
          <w:lang w:val="en-GB"/>
        </w:rPr>
        <w:t>Studd</w:t>
      </w:r>
      <w:proofErr w:type="spellEnd"/>
      <w:r>
        <w:rPr>
          <w:lang w:val="en-GB"/>
        </w:rPr>
        <w:t>, R. and Doyle, S., 2020. Disruptive product development for online fast fashion retailers. Journal of Fashion Marketing and Management: An International Journal, 24(3), pp.517-532.</w:t>
      </w:r>
    </w:p>
    <w:p w14:paraId="01C16F57" w14:textId="77777777" w:rsidR="00225B83" w:rsidRDefault="00705FEF">
      <w:pPr>
        <w:rPr>
          <w:lang w:val="en-GB"/>
        </w:rPr>
      </w:pPr>
      <w:r>
        <w:rPr>
          <w:lang w:val="en-GB"/>
        </w:rPr>
        <w:t>Rashid, A. and Barnes, L., 2021. Exploring the blurring of fashion retail and wholesale brands from industry perspectives. The Journal of The Textile Institute, 112(3), pp.370-376.</w:t>
      </w:r>
    </w:p>
    <w:p w14:paraId="74D905D0" w14:textId="77777777" w:rsidR="00225B83" w:rsidRDefault="00705FEF">
      <w:pPr>
        <w:rPr>
          <w:lang w:val="en-GB"/>
        </w:rPr>
      </w:pPr>
      <w:proofErr w:type="spellStart"/>
      <w:r>
        <w:rPr>
          <w:lang w:val="en-GB"/>
        </w:rPr>
        <w:t>Schleper</w:t>
      </w:r>
      <w:proofErr w:type="spellEnd"/>
      <w:r>
        <w:rPr>
          <w:lang w:val="en-GB"/>
        </w:rPr>
        <w:t xml:space="preserve">, M.C., Gold, S., </w:t>
      </w:r>
      <w:proofErr w:type="spellStart"/>
      <w:r>
        <w:rPr>
          <w:lang w:val="en-GB"/>
        </w:rPr>
        <w:t>Trautrims</w:t>
      </w:r>
      <w:proofErr w:type="spellEnd"/>
      <w:r>
        <w:rPr>
          <w:lang w:val="en-GB"/>
        </w:rPr>
        <w:t xml:space="preserve">, A. and </w:t>
      </w:r>
      <w:proofErr w:type="spellStart"/>
      <w:r>
        <w:rPr>
          <w:lang w:val="en-GB"/>
        </w:rPr>
        <w:t>Baldock</w:t>
      </w:r>
      <w:proofErr w:type="spellEnd"/>
      <w:r>
        <w:rPr>
          <w:lang w:val="en-GB"/>
        </w:rPr>
        <w:t>, D., 2021. Pandemic-induced knowledge gaps in operations and supply chain management: COVID-19’s impacts on retailing. International Journal of Operations &amp; Production Management, 41(3), pp.193-205.</w:t>
      </w:r>
    </w:p>
    <w:p w14:paraId="44C0F905" w14:textId="77777777" w:rsidR="00225B83" w:rsidRDefault="00705FEF">
      <w:pPr>
        <w:rPr>
          <w:lang w:val="en-GB"/>
        </w:rPr>
      </w:pPr>
      <w:r>
        <w:rPr>
          <w:lang w:val="en-GB"/>
        </w:rPr>
        <w:t>Wen, X., Choi, T.M. and Chung, S.H., 2019. Fashion retail supply chain management: A review of operational models. International Journal of Production Economics, 207, pp.34-55.</w:t>
      </w:r>
    </w:p>
    <w:p w14:paraId="3A1E1A58" w14:textId="77777777" w:rsidR="00225B83" w:rsidRDefault="00705FEF">
      <w:pPr>
        <w:rPr>
          <w:lang w:val="en-GB"/>
        </w:rPr>
      </w:pPr>
      <w:bookmarkStart w:id="27" w:name="_lb4g13d8xwfc"/>
      <w:bookmarkEnd w:id="27"/>
      <w:r>
        <w:rPr>
          <w:lang w:val="en-GB"/>
        </w:rPr>
        <w:t>Zhang, B., Zhang, Y. and Zhou, P., 2021. Consumer attitude towards sustainability of fast fashion products in the UK. Sustainability, 13(4), p.1646.</w:t>
      </w:r>
    </w:p>
    <w:p w14:paraId="2FE58088" w14:textId="77777777" w:rsidR="00225B83" w:rsidRDefault="00225B83">
      <w:pPr>
        <w:pageBreakBefore/>
        <w:rPr>
          <w:lang w:val="en-GB"/>
        </w:rPr>
      </w:pPr>
    </w:p>
    <w:p w14:paraId="12809DBA" w14:textId="77777777" w:rsidR="00225B83" w:rsidRDefault="00705FEF">
      <w:pPr>
        <w:pStyle w:val="Heading1"/>
        <w:spacing w:before="0"/>
        <w:rPr>
          <w:lang w:val="en-GB"/>
        </w:rPr>
      </w:pPr>
      <w:bookmarkStart w:id="28" w:name="_Toc152180029"/>
      <w:r>
        <w:rPr>
          <w:lang w:val="en-GB"/>
        </w:rPr>
        <w:t>Appendices</w:t>
      </w:r>
      <w:bookmarkEnd w:id="28"/>
    </w:p>
    <w:p w14:paraId="6B2FA483" w14:textId="77777777" w:rsidR="00225B83" w:rsidRDefault="00705FEF">
      <w:pPr>
        <w:pStyle w:val="Heading2"/>
      </w:pPr>
      <w:bookmarkStart w:id="29" w:name="_Toc152180030"/>
      <w:bookmarkStart w:id="30" w:name="OLE_LINK1"/>
      <w:bookmarkStart w:id="31" w:name="OLE_LINK2"/>
      <w:r>
        <w:t>Appendix 1: SWOT analysis</w:t>
      </w:r>
      <w:bookmarkEnd w:id="29"/>
    </w:p>
    <w:tbl>
      <w:tblPr>
        <w:tblW w:w="9360" w:type="dxa"/>
        <w:tblLayout w:type="fixed"/>
        <w:tblCellMar>
          <w:left w:w="10" w:type="dxa"/>
          <w:right w:w="10" w:type="dxa"/>
        </w:tblCellMar>
        <w:tblLook w:val="0000" w:firstRow="0" w:lastRow="0" w:firstColumn="0" w:lastColumn="0" w:noHBand="0" w:noVBand="0"/>
      </w:tblPr>
      <w:tblGrid>
        <w:gridCol w:w="4680"/>
        <w:gridCol w:w="4680"/>
      </w:tblGrid>
      <w:tr w:rsidR="00225B83" w14:paraId="429AEE9E" w14:textId="77777777">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bookmarkEnd w:id="30"/>
          <w:bookmarkEnd w:id="31"/>
          <w:p w14:paraId="1DC71B6B" w14:textId="77777777" w:rsidR="00225B83" w:rsidRDefault="00705FEF">
            <w:pPr>
              <w:widowControl w:val="0"/>
              <w:pBdr>
                <w:top w:val="single" w:sz="2" w:space="31" w:color="FFFFFF" w:shadow="1"/>
                <w:left w:val="single" w:sz="2" w:space="31" w:color="FFFFFF" w:shadow="1"/>
                <w:bottom w:val="single" w:sz="2" w:space="31" w:color="FFFFFF" w:shadow="1"/>
                <w:right w:val="single" w:sz="2" w:space="31" w:color="FFFFFF" w:shadow="1"/>
              </w:pBdr>
              <w:jc w:val="left"/>
              <w:rPr>
                <w:b/>
                <w:lang w:val="en-GB"/>
              </w:rPr>
            </w:pPr>
            <w:r>
              <w:rPr>
                <w:b/>
                <w:lang w:val="en-GB"/>
              </w:rPr>
              <w:t>Strengths</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73AC03" w14:textId="77777777" w:rsidR="00225B83" w:rsidRDefault="00705FEF">
            <w:pPr>
              <w:widowControl w:val="0"/>
              <w:pBdr>
                <w:top w:val="single" w:sz="2" w:space="31" w:color="FFFFFF" w:shadow="1"/>
                <w:left w:val="single" w:sz="2" w:space="31" w:color="FFFFFF" w:shadow="1"/>
                <w:bottom w:val="single" w:sz="2" w:space="31" w:color="FFFFFF" w:shadow="1"/>
                <w:right w:val="single" w:sz="2" w:space="31" w:color="FFFFFF" w:shadow="1"/>
              </w:pBdr>
              <w:jc w:val="left"/>
              <w:rPr>
                <w:b/>
                <w:lang w:val="en-GB"/>
              </w:rPr>
            </w:pPr>
            <w:r>
              <w:rPr>
                <w:b/>
                <w:lang w:val="en-GB"/>
              </w:rPr>
              <w:t>Weaknesses</w:t>
            </w:r>
          </w:p>
        </w:tc>
      </w:tr>
      <w:tr w:rsidR="00225B83" w14:paraId="76317669" w14:textId="77777777">
        <w:trPr>
          <w:trHeight w:val="1635"/>
        </w:trPr>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CC10315" w14:textId="77777777" w:rsidR="00225B83" w:rsidRDefault="00705FEF">
            <w:pPr>
              <w:widowControl w:val="0"/>
              <w:numPr>
                <w:ilvl w:val="0"/>
                <w:numId w:val="8"/>
              </w:numPr>
              <w:pBdr>
                <w:top w:val="single" w:sz="2" w:space="31" w:color="FFFFFF" w:shadow="1"/>
                <w:left w:val="single" w:sz="2" w:space="31" w:color="FFFFFF" w:shadow="1"/>
                <w:bottom w:val="single" w:sz="2" w:space="31" w:color="FFFFFF" w:shadow="1"/>
                <w:right w:val="single" w:sz="2" w:space="31" w:color="FFFFFF" w:shadow="1"/>
              </w:pBdr>
              <w:jc w:val="left"/>
              <w:rPr>
                <w:lang w:val="en-GB"/>
              </w:rPr>
            </w:pPr>
            <w:r>
              <w:rPr>
                <w:lang w:val="en-GB"/>
              </w:rPr>
              <w:t>Strong Brand Reputation</w:t>
            </w:r>
          </w:p>
          <w:p w14:paraId="23A014BF" w14:textId="77777777" w:rsidR="00225B83" w:rsidRDefault="00705FEF">
            <w:pPr>
              <w:widowControl w:val="0"/>
              <w:numPr>
                <w:ilvl w:val="0"/>
                <w:numId w:val="8"/>
              </w:numPr>
              <w:pBdr>
                <w:top w:val="single" w:sz="2" w:space="31" w:color="FFFFFF" w:shadow="1"/>
                <w:left w:val="single" w:sz="2" w:space="31" w:color="FFFFFF" w:shadow="1"/>
                <w:bottom w:val="single" w:sz="2" w:space="31" w:color="FFFFFF" w:shadow="1"/>
                <w:right w:val="single" w:sz="2" w:space="31" w:color="FFFFFF" w:shadow="1"/>
              </w:pBdr>
              <w:jc w:val="left"/>
              <w:rPr>
                <w:lang w:val="en-GB"/>
              </w:rPr>
            </w:pPr>
            <w:proofErr w:type="spellStart"/>
            <w:r>
              <w:rPr>
                <w:lang w:val="en-GB"/>
              </w:rPr>
              <w:t>Omnichannel</w:t>
            </w:r>
            <w:proofErr w:type="spellEnd"/>
            <w:r>
              <w:rPr>
                <w:lang w:val="en-GB"/>
              </w:rPr>
              <w:t xml:space="preserve"> Business strategy</w:t>
            </w:r>
          </w:p>
          <w:p w14:paraId="4F48AE3D" w14:textId="77777777" w:rsidR="00225B83" w:rsidRDefault="00705FEF">
            <w:pPr>
              <w:widowControl w:val="0"/>
              <w:numPr>
                <w:ilvl w:val="0"/>
                <w:numId w:val="8"/>
              </w:numPr>
              <w:pBdr>
                <w:top w:val="single" w:sz="2" w:space="31" w:color="FFFFFF" w:shadow="1"/>
                <w:left w:val="single" w:sz="2" w:space="31" w:color="FFFFFF" w:shadow="1"/>
                <w:bottom w:val="single" w:sz="2" w:space="31" w:color="FFFFFF" w:shadow="1"/>
                <w:right w:val="single" w:sz="2" w:space="31" w:color="FFFFFF" w:shadow="1"/>
              </w:pBdr>
              <w:jc w:val="left"/>
              <w:rPr>
                <w:lang w:val="en-GB"/>
              </w:rPr>
            </w:pPr>
            <w:r>
              <w:rPr>
                <w:lang w:val="en-GB"/>
              </w:rPr>
              <w:t>Diversified Product Portfolio</w:t>
            </w:r>
          </w:p>
          <w:p w14:paraId="3251459C" w14:textId="77777777" w:rsidR="00225B83" w:rsidRDefault="00705FEF">
            <w:pPr>
              <w:widowControl w:val="0"/>
              <w:numPr>
                <w:ilvl w:val="0"/>
                <w:numId w:val="8"/>
              </w:numPr>
              <w:pBdr>
                <w:top w:val="single" w:sz="2" w:space="31" w:color="FFFFFF" w:shadow="1"/>
                <w:left w:val="single" w:sz="2" w:space="31" w:color="FFFFFF" w:shadow="1"/>
                <w:bottom w:val="single" w:sz="2" w:space="31" w:color="FFFFFF" w:shadow="1"/>
                <w:right w:val="single" w:sz="2" w:space="31" w:color="FFFFFF" w:shadow="1"/>
              </w:pBdr>
              <w:jc w:val="left"/>
              <w:rPr>
                <w:lang w:val="en-GB"/>
              </w:rPr>
            </w:pPr>
            <w:r>
              <w:rPr>
                <w:lang w:val="en-GB"/>
              </w:rPr>
              <w:t>Efficient Supply chain Management</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2E83747" w14:textId="77777777" w:rsidR="00225B83" w:rsidRDefault="00705FEF">
            <w:pPr>
              <w:widowControl w:val="0"/>
              <w:numPr>
                <w:ilvl w:val="0"/>
                <w:numId w:val="9"/>
              </w:numPr>
              <w:pBdr>
                <w:top w:val="single" w:sz="2" w:space="31" w:color="FFFFFF" w:shadow="1"/>
                <w:left w:val="single" w:sz="2" w:space="31" w:color="FFFFFF" w:shadow="1"/>
                <w:bottom w:val="single" w:sz="2" w:space="31" w:color="FFFFFF" w:shadow="1"/>
                <w:right w:val="single" w:sz="2" w:space="31" w:color="FFFFFF" w:shadow="1"/>
              </w:pBdr>
              <w:jc w:val="left"/>
              <w:rPr>
                <w:lang w:val="en-GB"/>
              </w:rPr>
            </w:pPr>
            <w:r>
              <w:rPr>
                <w:lang w:val="en-GB"/>
              </w:rPr>
              <w:t>High Dependence on the UK market</w:t>
            </w:r>
          </w:p>
          <w:p w14:paraId="519D952E" w14:textId="77777777" w:rsidR="00225B83" w:rsidRDefault="00705FEF">
            <w:pPr>
              <w:widowControl w:val="0"/>
              <w:numPr>
                <w:ilvl w:val="0"/>
                <w:numId w:val="9"/>
              </w:numPr>
              <w:pBdr>
                <w:top w:val="single" w:sz="2" w:space="31" w:color="FFFFFF" w:shadow="1"/>
                <w:left w:val="single" w:sz="2" w:space="31" w:color="FFFFFF" w:shadow="1"/>
                <w:bottom w:val="single" w:sz="2" w:space="31" w:color="FFFFFF" w:shadow="1"/>
                <w:right w:val="single" w:sz="2" w:space="31" w:color="FFFFFF" w:shadow="1"/>
              </w:pBdr>
              <w:jc w:val="left"/>
              <w:rPr>
                <w:lang w:val="en-GB"/>
              </w:rPr>
            </w:pPr>
            <w:r>
              <w:rPr>
                <w:lang w:val="en-GB"/>
              </w:rPr>
              <w:t>Limited Global Presence</w:t>
            </w:r>
          </w:p>
          <w:p w14:paraId="2570DF41" w14:textId="77777777" w:rsidR="00225B83" w:rsidRDefault="00705FEF">
            <w:pPr>
              <w:widowControl w:val="0"/>
              <w:numPr>
                <w:ilvl w:val="0"/>
                <w:numId w:val="9"/>
              </w:numPr>
              <w:pBdr>
                <w:top w:val="single" w:sz="2" w:space="31" w:color="FFFFFF" w:shadow="1"/>
                <w:left w:val="single" w:sz="2" w:space="31" w:color="FFFFFF" w:shadow="1"/>
                <w:bottom w:val="single" w:sz="2" w:space="31" w:color="FFFFFF" w:shadow="1"/>
                <w:right w:val="single" w:sz="2" w:space="31" w:color="FFFFFF" w:shadow="1"/>
              </w:pBdr>
              <w:jc w:val="left"/>
              <w:rPr>
                <w:lang w:val="en-GB"/>
              </w:rPr>
            </w:pPr>
            <w:r>
              <w:rPr>
                <w:lang w:val="en-GB"/>
              </w:rPr>
              <w:t>Sensitive to changing Fashion Trends</w:t>
            </w:r>
          </w:p>
        </w:tc>
      </w:tr>
      <w:tr w:rsidR="00225B83" w14:paraId="710C0E34" w14:textId="77777777">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2988404" w14:textId="77777777" w:rsidR="00225B83" w:rsidRDefault="00705FEF">
            <w:pPr>
              <w:widowControl w:val="0"/>
              <w:pBdr>
                <w:top w:val="single" w:sz="2" w:space="31" w:color="FFFFFF" w:shadow="1"/>
                <w:left w:val="single" w:sz="2" w:space="31" w:color="FFFFFF" w:shadow="1"/>
                <w:bottom w:val="single" w:sz="2" w:space="31" w:color="FFFFFF" w:shadow="1"/>
                <w:right w:val="single" w:sz="2" w:space="31" w:color="FFFFFF" w:shadow="1"/>
              </w:pBdr>
              <w:jc w:val="left"/>
              <w:rPr>
                <w:b/>
                <w:lang w:val="en-GB"/>
              </w:rPr>
            </w:pPr>
            <w:r>
              <w:rPr>
                <w:b/>
                <w:lang w:val="en-GB"/>
              </w:rPr>
              <w:t>Opportunities</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0D809F" w14:textId="77777777" w:rsidR="00225B83" w:rsidRDefault="00705FEF">
            <w:pPr>
              <w:widowControl w:val="0"/>
              <w:pBdr>
                <w:top w:val="single" w:sz="2" w:space="31" w:color="FFFFFF" w:shadow="1"/>
                <w:left w:val="single" w:sz="2" w:space="31" w:color="FFFFFF" w:shadow="1"/>
                <w:bottom w:val="single" w:sz="2" w:space="31" w:color="FFFFFF" w:shadow="1"/>
                <w:right w:val="single" w:sz="2" w:space="31" w:color="FFFFFF" w:shadow="1"/>
              </w:pBdr>
              <w:jc w:val="left"/>
              <w:rPr>
                <w:b/>
                <w:lang w:val="en-GB"/>
              </w:rPr>
            </w:pPr>
            <w:r>
              <w:rPr>
                <w:b/>
                <w:lang w:val="en-GB"/>
              </w:rPr>
              <w:t>Threats</w:t>
            </w:r>
          </w:p>
        </w:tc>
      </w:tr>
      <w:tr w:rsidR="00225B83" w14:paraId="4D618489" w14:textId="77777777">
        <w:trPr>
          <w:trHeight w:val="2025"/>
        </w:trPr>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689D4CD" w14:textId="77777777" w:rsidR="00225B83" w:rsidRDefault="00705FEF">
            <w:pPr>
              <w:widowControl w:val="0"/>
              <w:numPr>
                <w:ilvl w:val="0"/>
                <w:numId w:val="10"/>
              </w:numPr>
              <w:pBdr>
                <w:top w:val="single" w:sz="2" w:space="31" w:color="FFFFFF" w:shadow="1"/>
                <w:left w:val="single" w:sz="2" w:space="31" w:color="FFFFFF" w:shadow="1"/>
                <w:bottom w:val="single" w:sz="2" w:space="31" w:color="FFFFFF" w:shadow="1"/>
                <w:right w:val="single" w:sz="2" w:space="31" w:color="FFFFFF" w:shadow="1"/>
              </w:pBdr>
              <w:jc w:val="left"/>
              <w:rPr>
                <w:lang w:val="en-GB"/>
              </w:rPr>
            </w:pPr>
            <w:r>
              <w:rPr>
                <w:lang w:val="en-GB"/>
              </w:rPr>
              <w:t xml:space="preserve">E-commerce Growth </w:t>
            </w:r>
          </w:p>
          <w:p w14:paraId="20B5BCAD" w14:textId="77777777" w:rsidR="00225B83" w:rsidRDefault="00705FEF">
            <w:pPr>
              <w:widowControl w:val="0"/>
              <w:numPr>
                <w:ilvl w:val="0"/>
                <w:numId w:val="10"/>
              </w:numPr>
              <w:pBdr>
                <w:top w:val="single" w:sz="2" w:space="31" w:color="FFFFFF" w:shadow="1"/>
                <w:left w:val="single" w:sz="2" w:space="31" w:color="FFFFFF" w:shadow="1"/>
                <w:bottom w:val="single" w:sz="2" w:space="31" w:color="FFFFFF" w:shadow="1"/>
                <w:right w:val="single" w:sz="2" w:space="31" w:color="FFFFFF" w:shadow="1"/>
              </w:pBdr>
              <w:jc w:val="left"/>
              <w:rPr>
                <w:lang w:val="en-GB"/>
              </w:rPr>
            </w:pPr>
            <w:r>
              <w:rPr>
                <w:lang w:val="en-GB"/>
              </w:rPr>
              <w:t>International Expansion prospects</w:t>
            </w:r>
          </w:p>
          <w:p w14:paraId="77140A97" w14:textId="77777777" w:rsidR="00225B83" w:rsidRDefault="00705FEF">
            <w:pPr>
              <w:widowControl w:val="0"/>
              <w:numPr>
                <w:ilvl w:val="0"/>
                <w:numId w:val="10"/>
              </w:numPr>
              <w:pBdr>
                <w:top w:val="single" w:sz="2" w:space="31" w:color="FFFFFF" w:shadow="1"/>
                <w:left w:val="single" w:sz="2" w:space="31" w:color="FFFFFF" w:shadow="1"/>
                <w:bottom w:val="single" w:sz="2" w:space="31" w:color="FFFFFF" w:shadow="1"/>
                <w:right w:val="single" w:sz="2" w:space="31" w:color="FFFFFF" w:shadow="1"/>
              </w:pBdr>
              <w:jc w:val="left"/>
              <w:rPr>
                <w:lang w:val="en-GB"/>
              </w:rPr>
            </w:pPr>
            <w:r>
              <w:rPr>
                <w:lang w:val="en-GB"/>
              </w:rPr>
              <w:t>Diversification into New product lines</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6E74993" w14:textId="77777777" w:rsidR="00225B83" w:rsidRDefault="00705FEF">
            <w:pPr>
              <w:widowControl w:val="0"/>
              <w:numPr>
                <w:ilvl w:val="0"/>
                <w:numId w:val="11"/>
              </w:numPr>
              <w:pBdr>
                <w:top w:val="single" w:sz="2" w:space="31" w:color="FFFFFF" w:shadow="1"/>
                <w:left w:val="single" w:sz="2" w:space="31" w:color="FFFFFF" w:shadow="1"/>
                <w:bottom w:val="single" w:sz="2" w:space="31" w:color="FFFFFF" w:shadow="1"/>
                <w:right w:val="single" w:sz="2" w:space="31" w:color="FFFFFF" w:shadow="1"/>
              </w:pBdr>
              <w:jc w:val="left"/>
              <w:rPr>
                <w:lang w:val="en-GB"/>
              </w:rPr>
            </w:pPr>
            <w:r>
              <w:rPr>
                <w:lang w:val="en-GB"/>
              </w:rPr>
              <w:t>The competitive retail landscape of the UK</w:t>
            </w:r>
          </w:p>
          <w:p w14:paraId="01FE7CE0" w14:textId="77777777" w:rsidR="00225B83" w:rsidRDefault="00705FEF">
            <w:pPr>
              <w:widowControl w:val="0"/>
              <w:numPr>
                <w:ilvl w:val="0"/>
                <w:numId w:val="11"/>
              </w:numPr>
              <w:pBdr>
                <w:top w:val="single" w:sz="2" w:space="31" w:color="FFFFFF" w:shadow="1"/>
                <w:left w:val="single" w:sz="2" w:space="31" w:color="FFFFFF" w:shadow="1"/>
                <w:bottom w:val="single" w:sz="2" w:space="31" w:color="FFFFFF" w:shadow="1"/>
                <w:right w:val="single" w:sz="2" w:space="31" w:color="FFFFFF" w:shadow="1"/>
              </w:pBdr>
              <w:jc w:val="left"/>
              <w:rPr>
                <w:lang w:val="en-GB"/>
              </w:rPr>
            </w:pPr>
            <w:r>
              <w:rPr>
                <w:lang w:val="en-GB"/>
              </w:rPr>
              <w:t>Economic Downturns and Fluctuations</w:t>
            </w:r>
          </w:p>
          <w:p w14:paraId="1B094324" w14:textId="77777777" w:rsidR="00225B83" w:rsidRDefault="00705FEF">
            <w:pPr>
              <w:widowControl w:val="0"/>
              <w:numPr>
                <w:ilvl w:val="0"/>
                <w:numId w:val="11"/>
              </w:numPr>
              <w:pBdr>
                <w:top w:val="single" w:sz="2" w:space="31" w:color="FFFFFF" w:shadow="1"/>
                <w:left w:val="single" w:sz="2" w:space="31" w:color="FFFFFF" w:shadow="1"/>
                <w:bottom w:val="single" w:sz="2" w:space="31" w:color="FFFFFF" w:shadow="1"/>
                <w:right w:val="single" w:sz="2" w:space="31" w:color="FFFFFF" w:shadow="1"/>
              </w:pBdr>
              <w:jc w:val="left"/>
              <w:rPr>
                <w:lang w:val="en-GB"/>
              </w:rPr>
            </w:pPr>
            <w:r>
              <w:rPr>
                <w:lang w:val="en-GB"/>
              </w:rPr>
              <w:t>Supply Chain Risks and Disruptions</w:t>
            </w:r>
          </w:p>
        </w:tc>
      </w:tr>
    </w:tbl>
    <w:p w14:paraId="31265F0D" w14:textId="77777777" w:rsidR="00225B83" w:rsidRDefault="00705FEF">
      <w:pPr>
        <w:pStyle w:val="Heading2"/>
      </w:pPr>
      <w:bookmarkStart w:id="32" w:name="_Toc152180031"/>
      <w:r>
        <w:t>Appendix 2: PESTLE analysis</w:t>
      </w:r>
      <w:bookmarkEnd w:id="32"/>
    </w:p>
    <w:tbl>
      <w:tblPr>
        <w:tblW w:w="9350" w:type="dxa"/>
        <w:tblCellMar>
          <w:left w:w="10" w:type="dxa"/>
          <w:right w:w="10" w:type="dxa"/>
        </w:tblCellMar>
        <w:tblLook w:val="0000" w:firstRow="0" w:lastRow="0" w:firstColumn="0" w:lastColumn="0" w:noHBand="0" w:noVBand="0"/>
      </w:tblPr>
      <w:tblGrid>
        <w:gridCol w:w="2349"/>
        <w:gridCol w:w="7001"/>
      </w:tblGrid>
      <w:tr w:rsidR="00225B83" w14:paraId="3DF24132" w14:textId="77777777">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9430D" w14:textId="77777777" w:rsidR="00225B83" w:rsidRDefault="00705FEF">
            <w:pPr>
              <w:rPr>
                <w:b/>
                <w:lang w:val="en-GB"/>
              </w:rPr>
            </w:pPr>
            <w:r>
              <w:rPr>
                <w:b/>
                <w:lang w:val="en-GB"/>
              </w:rPr>
              <w:t>Factors</w:t>
            </w:r>
          </w:p>
        </w:tc>
        <w:tc>
          <w:tcPr>
            <w:tcW w:w="7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E0E94" w14:textId="77777777" w:rsidR="00225B83" w:rsidRDefault="00705FEF">
            <w:pPr>
              <w:rPr>
                <w:b/>
                <w:lang w:val="en-GB"/>
              </w:rPr>
            </w:pPr>
            <w:r>
              <w:rPr>
                <w:b/>
                <w:lang w:val="en-GB"/>
              </w:rPr>
              <w:t>Details</w:t>
            </w:r>
          </w:p>
        </w:tc>
      </w:tr>
      <w:tr w:rsidR="00225B83" w14:paraId="545A3601" w14:textId="77777777">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BF78E" w14:textId="77777777" w:rsidR="00225B83" w:rsidRDefault="00705FEF">
            <w:pPr>
              <w:rPr>
                <w:b/>
                <w:i/>
                <w:lang w:val="en-GB"/>
              </w:rPr>
            </w:pPr>
            <w:r>
              <w:rPr>
                <w:b/>
                <w:i/>
                <w:lang w:val="en-GB"/>
              </w:rPr>
              <w:t>Political</w:t>
            </w:r>
          </w:p>
        </w:tc>
        <w:tc>
          <w:tcPr>
            <w:tcW w:w="7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4B4A3" w14:textId="77777777" w:rsidR="00225B83" w:rsidRDefault="00705FEF">
            <w:pPr>
              <w:pStyle w:val="ListParagraph"/>
              <w:numPr>
                <w:ilvl w:val="0"/>
                <w:numId w:val="7"/>
              </w:numPr>
              <w:rPr>
                <w:lang w:val="en-GB"/>
              </w:rPr>
            </w:pPr>
            <w:r>
              <w:rPr>
                <w:lang w:val="en-GB"/>
              </w:rPr>
              <w:t>Stable political climate</w:t>
            </w:r>
          </w:p>
          <w:p w14:paraId="7C62B7F0" w14:textId="77777777" w:rsidR="00225B83" w:rsidRDefault="00705FEF">
            <w:pPr>
              <w:pStyle w:val="ListParagraph"/>
              <w:numPr>
                <w:ilvl w:val="0"/>
                <w:numId w:val="7"/>
              </w:numPr>
              <w:rPr>
                <w:lang w:val="en-GB"/>
              </w:rPr>
            </w:pPr>
            <w:r>
              <w:rPr>
                <w:lang w:val="en-GB"/>
              </w:rPr>
              <w:t>Authoritarian governments</w:t>
            </w:r>
          </w:p>
          <w:p w14:paraId="72377396" w14:textId="77777777" w:rsidR="00225B83" w:rsidRDefault="00705FEF">
            <w:pPr>
              <w:pStyle w:val="ListParagraph"/>
              <w:numPr>
                <w:ilvl w:val="0"/>
                <w:numId w:val="7"/>
              </w:numPr>
              <w:rPr>
                <w:lang w:val="en-GB"/>
              </w:rPr>
            </w:pPr>
            <w:r>
              <w:rPr>
                <w:lang w:val="en-GB"/>
              </w:rPr>
              <w:t>Excellent relations with a number of nations</w:t>
            </w:r>
          </w:p>
        </w:tc>
      </w:tr>
      <w:tr w:rsidR="00225B83" w14:paraId="06FBA1BC" w14:textId="77777777">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6AF96" w14:textId="77777777" w:rsidR="00225B83" w:rsidRDefault="00705FEF">
            <w:pPr>
              <w:rPr>
                <w:b/>
                <w:i/>
                <w:lang w:val="en-GB"/>
              </w:rPr>
            </w:pPr>
            <w:r>
              <w:rPr>
                <w:b/>
                <w:i/>
                <w:lang w:val="en-GB"/>
              </w:rPr>
              <w:t>Economic</w:t>
            </w:r>
          </w:p>
        </w:tc>
        <w:tc>
          <w:tcPr>
            <w:tcW w:w="7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AE48E" w14:textId="77777777" w:rsidR="00225B83" w:rsidRDefault="00705FEF">
            <w:pPr>
              <w:pStyle w:val="ListParagraph"/>
              <w:numPr>
                <w:ilvl w:val="0"/>
                <w:numId w:val="12"/>
              </w:numPr>
              <w:rPr>
                <w:lang w:val="en-GB"/>
              </w:rPr>
            </w:pPr>
            <w:r>
              <w:rPr>
                <w:lang w:val="en-GB"/>
              </w:rPr>
              <w:t>4.6% inflation rate</w:t>
            </w:r>
          </w:p>
          <w:p w14:paraId="68BF1E55" w14:textId="77777777" w:rsidR="00225B83" w:rsidRDefault="00705FEF">
            <w:pPr>
              <w:pStyle w:val="ListParagraph"/>
              <w:numPr>
                <w:ilvl w:val="0"/>
                <w:numId w:val="12"/>
              </w:numPr>
              <w:rPr>
                <w:lang w:val="en-GB"/>
              </w:rPr>
            </w:pPr>
            <w:r>
              <w:rPr>
                <w:lang w:val="en-GB"/>
              </w:rPr>
              <w:t>GDP growth is 0.2% as per September 2023</w:t>
            </w:r>
          </w:p>
        </w:tc>
      </w:tr>
      <w:tr w:rsidR="00225B83" w14:paraId="3B712F70" w14:textId="77777777">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870A0" w14:textId="77777777" w:rsidR="00225B83" w:rsidRDefault="00705FEF">
            <w:pPr>
              <w:rPr>
                <w:b/>
                <w:i/>
                <w:lang w:val="en-GB"/>
              </w:rPr>
            </w:pPr>
            <w:r>
              <w:rPr>
                <w:b/>
                <w:i/>
                <w:lang w:val="en-GB"/>
              </w:rPr>
              <w:t>Social</w:t>
            </w:r>
          </w:p>
        </w:tc>
        <w:tc>
          <w:tcPr>
            <w:tcW w:w="7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5A754" w14:textId="77777777" w:rsidR="00225B83" w:rsidRDefault="00705FEF">
            <w:pPr>
              <w:pStyle w:val="ListParagraph"/>
              <w:numPr>
                <w:ilvl w:val="0"/>
                <w:numId w:val="13"/>
              </w:numPr>
              <w:rPr>
                <w:lang w:val="en-GB"/>
              </w:rPr>
            </w:pPr>
            <w:r>
              <w:rPr>
                <w:lang w:val="en-GB"/>
              </w:rPr>
              <w:t>Literacy rate is 99%</w:t>
            </w:r>
          </w:p>
        </w:tc>
      </w:tr>
      <w:tr w:rsidR="00225B83" w14:paraId="0EED3C9D" w14:textId="77777777">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5A126" w14:textId="77777777" w:rsidR="00225B83" w:rsidRDefault="00705FEF">
            <w:pPr>
              <w:rPr>
                <w:b/>
                <w:i/>
                <w:lang w:val="en-GB"/>
              </w:rPr>
            </w:pPr>
            <w:r>
              <w:rPr>
                <w:b/>
                <w:i/>
                <w:lang w:val="en-GB"/>
              </w:rPr>
              <w:t>Technological</w:t>
            </w:r>
          </w:p>
        </w:tc>
        <w:tc>
          <w:tcPr>
            <w:tcW w:w="7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3F0E5" w14:textId="77777777" w:rsidR="00225B83" w:rsidRDefault="00705FEF">
            <w:pPr>
              <w:pStyle w:val="ListParagraph"/>
              <w:numPr>
                <w:ilvl w:val="0"/>
                <w:numId w:val="13"/>
              </w:numPr>
              <w:rPr>
                <w:lang w:val="en-GB"/>
              </w:rPr>
            </w:pPr>
            <w:r>
              <w:rPr>
                <w:lang w:val="en-GB"/>
              </w:rPr>
              <w:t>High investment in R&amp;D facilities</w:t>
            </w:r>
          </w:p>
        </w:tc>
      </w:tr>
      <w:tr w:rsidR="00225B83" w14:paraId="6AE26F58" w14:textId="77777777">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B1679" w14:textId="77777777" w:rsidR="00225B83" w:rsidRDefault="00705FEF">
            <w:pPr>
              <w:rPr>
                <w:b/>
                <w:i/>
                <w:lang w:val="en-GB"/>
              </w:rPr>
            </w:pPr>
            <w:r>
              <w:rPr>
                <w:b/>
                <w:i/>
                <w:lang w:val="en-GB"/>
              </w:rPr>
              <w:t>Legal</w:t>
            </w:r>
          </w:p>
        </w:tc>
        <w:tc>
          <w:tcPr>
            <w:tcW w:w="7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9E5B6" w14:textId="77777777" w:rsidR="00225B83" w:rsidRDefault="00705FEF">
            <w:pPr>
              <w:pStyle w:val="ListParagraph"/>
              <w:numPr>
                <w:ilvl w:val="0"/>
                <w:numId w:val="14"/>
              </w:numPr>
              <w:rPr>
                <w:lang w:val="en-GB"/>
              </w:rPr>
            </w:pPr>
            <w:r>
              <w:rPr>
                <w:lang w:val="en-GB"/>
              </w:rPr>
              <w:t>Equality Act 2010 restrains discrimination</w:t>
            </w:r>
          </w:p>
          <w:p w14:paraId="714E7B70" w14:textId="77777777" w:rsidR="00225B83" w:rsidRDefault="00705FEF">
            <w:pPr>
              <w:pStyle w:val="ListParagraph"/>
              <w:numPr>
                <w:ilvl w:val="0"/>
                <w:numId w:val="14"/>
              </w:numPr>
              <w:rPr>
                <w:lang w:val="en-GB"/>
              </w:rPr>
            </w:pPr>
            <w:r>
              <w:rPr>
                <w:lang w:val="en-GB"/>
              </w:rPr>
              <w:t>Employment Act 1996 ensures minimum wages and proper workplace environment</w:t>
            </w:r>
          </w:p>
        </w:tc>
      </w:tr>
      <w:tr w:rsidR="00225B83" w14:paraId="4DE7BDDE" w14:textId="77777777">
        <w:tc>
          <w:tcPr>
            <w:tcW w:w="23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68652" w14:textId="77777777" w:rsidR="00225B83" w:rsidRDefault="00705FEF">
            <w:pPr>
              <w:rPr>
                <w:b/>
                <w:i/>
                <w:lang w:val="en-GB"/>
              </w:rPr>
            </w:pPr>
            <w:r>
              <w:rPr>
                <w:b/>
                <w:i/>
                <w:lang w:val="en-GB"/>
              </w:rPr>
              <w:t>Environmental</w:t>
            </w:r>
          </w:p>
        </w:tc>
        <w:tc>
          <w:tcPr>
            <w:tcW w:w="7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EBBB4D" w14:textId="77777777" w:rsidR="00225B83" w:rsidRDefault="00705FEF">
            <w:pPr>
              <w:pStyle w:val="ListParagraph"/>
              <w:numPr>
                <w:ilvl w:val="0"/>
                <w:numId w:val="13"/>
              </w:numPr>
              <w:rPr>
                <w:lang w:val="en-GB"/>
              </w:rPr>
            </w:pPr>
            <w:r>
              <w:rPr>
                <w:lang w:val="en-GB"/>
              </w:rPr>
              <w:t>UK’s government supports environmental causes</w:t>
            </w:r>
          </w:p>
          <w:p w14:paraId="517D45B3" w14:textId="77777777" w:rsidR="00225B83" w:rsidRDefault="00705FEF">
            <w:pPr>
              <w:pStyle w:val="ListParagraph"/>
              <w:numPr>
                <w:ilvl w:val="0"/>
                <w:numId w:val="13"/>
              </w:numPr>
              <w:rPr>
                <w:lang w:val="en-GB"/>
              </w:rPr>
            </w:pPr>
            <w:r>
              <w:rPr>
                <w:lang w:val="en-GB"/>
              </w:rPr>
              <w:t>UK is the first country to implement net zero carbon particle emission in practical approach</w:t>
            </w:r>
          </w:p>
        </w:tc>
      </w:tr>
    </w:tbl>
    <w:p w14:paraId="4E6BBF52" w14:textId="77777777" w:rsidR="00225B83" w:rsidRDefault="00225B83">
      <w:pPr>
        <w:rPr>
          <w:lang w:val="en-GB"/>
        </w:rPr>
      </w:pPr>
    </w:p>
    <w:sectPr w:rsidR="00225B83">
      <w:footerReference w:type="default" r:id="rId8"/>
      <w:pgSz w:w="12240" w:h="15840"/>
      <w:pgMar w:top="1440" w:right="1440" w:bottom="1440" w:left="1440" w:header="720" w:footer="720" w:gutter="0"/>
      <w:pgBorders w:offsetFrom="page">
        <w:top w:val="single" w:sz="4" w:space="24" w:color="000000"/>
        <w:left w:val="single" w:sz="4" w:space="24" w:color="000000"/>
        <w:bottom w:val="single" w:sz="4" w:space="24" w:color="000000"/>
        <w:right w:val="single" w:sz="4" w:space="24" w:color="000000"/>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54D1F" w14:textId="77777777" w:rsidR="00996185" w:rsidRDefault="00996185">
      <w:pPr>
        <w:spacing w:line="240" w:lineRule="auto"/>
      </w:pPr>
      <w:r>
        <w:separator/>
      </w:r>
    </w:p>
  </w:endnote>
  <w:endnote w:type="continuationSeparator" w:id="0">
    <w:p w14:paraId="67AC4499" w14:textId="77777777" w:rsidR="00996185" w:rsidRDefault="009961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50E6D" w14:textId="77777777" w:rsidR="00705FEF" w:rsidRDefault="00705FEF">
    <w:pPr>
      <w:pStyle w:val="Footer"/>
      <w:jc w:val="right"/>
    </w:pPr>
    <w:r>
      <w:t xml:space="preserve">Page </w:t>
    </w:r>
    <w:r>
      <w:rPr>
        <w:b/>
      </w:rPr>
      <w:fldChar w:fldCharType="begin"/>
    </w:r>
    <w:r>
      <w:rPr>
        <w:b/>
      </w:rPr>
      <w:instrText xml:space="preserve"> PAGE </w:instrText>
    </w:r>
    <w:r>
      <w:rPr>
        <w:b/>
      </w:rPr>
      <w:fldChar w:fldCharType="separate"/>
    </w:r>
    <w:r>
      <w:rPr>
        <w:b/>
      </w:rPr>
      <w:t>3</w:t>
    </w:r>
    <w:r>
      <w:rPr>
        <w:b/>
      </w:rPr>
      <w:fldChar w:fldCharType="end"/>
    </w:r>
    <w:r>
      <w:t xml:space="preserve"> of </w:t>
    </w:r>
    <w:r>
      <w:rPr>
        <w:b/>
      </w:rPr>
      <w:fldChar w:fldCharType="begin"/>
    </w:r>
    <w:r>
      <w:rPr>
        <w:b/>
      </w:rPr>
      <w:instrText xml:space="preserve"> NUMPAGES </w:instrText>
    </w:r>
    <w:r>
      <w:rPr>
        <w:b/>
      </w:rPr>
      <w:fldChar w:fldCharType="separate"/>
    </w:r>
    <w:r>
      <w:rPr>
        <w:b/>
      </w:rPr>
      <w:t>14</w:t>
    </w:r>
    <w:r>
      <w:rPr>
        <w:b/>
      </w:rPr>
      <w:fldChar w:fldCharType="end"/>
    </w:r>
  </w:p>
  <w:p w14:paraId="2EA7309C" w14:textId="77777777" w:rsidR="00705FEF" w:rsidRDefault="00705F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3C92F" w14:textId="77777777" w:rsidR="00996185" w:rsidRDefault="00996185">
      <w:pPr>
        <w:spacing w:line="240" w:lineRule="auto"/>
      </w:pPr>
      <w:r>
        <w:rPr>
          <w:color w:val="000000"/>
        </w:rPr>
        <w:separator/>
      </w:r>
    </w:p>
  </w:footnote>
  <w:footnote w:type="continuationSeparator" w:id="0">
    <w:p w14:paraId="68B55613" w14:textId="77777777" w:rsidR="00996185" w:rsidRDefault="009961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4228"/>
    <w:multiLevelType w:val="multilevel"/>
    <w:tmpl w:val="7AFA2F90"/>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 w15:restartNumberingAfterBreak="0">
    <w:nsid w:val="0DC3199A"/>
    <w:multiLevelType w:val="multilevel"/>
    <w:tmpl w:val="9EC201F6"/>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2" w15:restartNumberingAfterBreak="0">
    <w:nsid w:val="1BB348F0"/>
    <w:multiLevelType w:val="multilevel"/>
    <w:tmpl w:val="D7C64A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4173A8D"/>
    <w:multiLevelType w:val="multilevel"/>
    <w:tmpl w:val="FA4030F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A0A4CAA"/>
    <w:multiLevelType w:val="multilevel"/>
    <w:tmpl w:val="916AFA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C9D1F64"/>
    <w:multiLevelType w:val="multilevel"/>
    <w:tmpl w:val="F1A631BA"/>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6" w15:restartNumberingAfterBreak="0">
    <w:nsid w:val="3D3A27D1"/>
    <w:multiLevelType w:val="multilevel"/>
    <w:tmpl w:val="793C4F08"/>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7" w15:restartNumberingAfterBreak="0">
    <w:nsid w:val="41B3227C"/>
    <w:multiLevelType w:val="multilevel"/>
    <w:tmpl w:val="5A5AB12E"/>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8" w15:restartNumberingAfterBreak="0">
    <w:nsid w:val="488C6EC5"/>
    <w:multiLevelType w:val="multilevel"/>
    <w:tmpl w:val="7D1893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1CD7D30"/>
    <w:multiLevelType w:val="multilevel"/>
    <w:tmpl w:val="CB10E0B4"/>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0" w15:restartNumberingAfterBreak="0">
    <w:nsid w:val="59862BA1"/>
    <w:multiLevelType w:val="multilevel"/>
    <w:tmpl w:val="1BC80E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E9F1E0A"/>
    <w:multiLevelType w:val="multilevel"/>
    <w:tmpl w:val="2902BF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7074724F"/>
    <w:multiLevelType w:val="multilevel"/>
    <w:tmpl w:val="024EB7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70D73B10"/>
    <w:multiLevelType w:val="multilevel"/>
    <w:tmpl w:val="0E264A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6776149">
    <w:abstractNumId w:val="0"/>
  </w:num>
  <w:num w:numId="2" w16cid:durableId="906762176">
    <w:abstractNumId w:val="6"/>
  </w:num>
  <w:num w:numId="3" w16cid:durableId="215507470">
    <w:abstractNumId w:val="12"/>
  </w:num>
  <w:num w:numId="4" w16cid:durableId="1895770950">
    <w:abstractNumId w:val="13"/>
  </w:num>
  <w:num w:numId="5" w16cid:durableId="1521699757">
    <w:abstractNumId w:val="8"/>
  </w:num>
  <w:num w:numId="6" w16cid:durableId="1280065761">
    <w:abstractNumId w:val="11"/>
  </w:num>
  <w:num w:numId="7" w16cid:durableId="2039697913">
    <w:abstractNumId w:val="4"/>
  </w:num>
  <w:num w:numId="8" w16cid:durableId="1385370366">
    <w:abstractNumId w:val="1"/>
  </w:num>
  <w:num w:numId="9" w16cid:durableId="1983847873">
    <w:abstractNumId w:val="9"/>
  </w:num>
  <w:num w:numId="10" w16cid:durableId="2064716632">
    <w:abstractNumId w:val="5"/>
  </w:num>
  <w:num w:numId="11" w16cid:durableId="1325549894">
    <w:abstractNumId w:val="7"/>
  </w:num>
  <w:num w:numId="12" w16cid:durableId="915476958">
    <w:abstractNumId w:val="10"/>
  </w:num>
  <w:num w:numId="13" w16cid:durableId="1424257332">
    <w:abstractNumId w:val="3"/>
  </w:num>
  <w:num w:numId="14" w16cid:durableId="803015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B83"/>
    <w:rsid w:val="00225B83"/>
    <w:rsid w:val="00257EE7"/>
    <w:rsid w:val="00380B37"/>
    <w:rsid w:val="00705FEF"/>
    <w:rsid w:val="00996185"/>
    <w:rsid w:val="00DF05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848D5B3"/>
  <w15:docId w15:val="{61BAB294-0D8F-4ADE-80EF-DDECFA0ED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autoSpaceDN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00"/>
      <w:outlineLvl w:val="0"/>
    </w:pPr>
    <w:rPr>
      <w:b/>
      <w:sz w:val="28"/>
      <w:szCs w:val="28"/>
    </w:rPr>
  </w:style>
  <w:style w:type="paragraph" w:styleId="Heading2">
    <w:name w:val="heading 2"/>
    <w:basedOn w:val="Normal"/>
    <w:next w:val="Normal"/>
    <w:uiPriority w:val="9"/>
    <w:unhideWhenUsed/>
    <w:qFormat/>
    <w:pPr>
      <w:keepNext/>
      <w:keepLines/>
      <w:outlineLvl w:val="1"/>
    </w:pPr>
    <w:rPr>
      <w:b/>
      <w:color w:val="000000"/>
      <w:sz w:val="26"/>
      <w:szCs w:val="32"/>
      <w:lang w:val="en-G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pPr>
      <w:spacing w:before="240" w:line="256" w:lineRule="auto"/>
      <w:jc w:val="left"/>
    </w:pPr>
    <w:rPr>
      <w:rFonts w:ascii="Calibri" w:eastAsia="MS Gothic" w:hAnsi="Calibri"/>
      <w:b w:val="0"/>
      <w:color w:val="365F91"/>
      <w:sz w:val="32"/>
      <w:szCs w:val="32"/>
      <w:lang w:val="en-US" w:eastAsia="en-US"/>
    </w:rPr>
  </w:style>
  <w:style w:type="paragraph" w:styleId="TOC1">
    <w:name w:val="toc 1"/>
    <w:basedOn w:val="Normal"/>
    <w:next w:val="Normal"/>
    <w:autoRedefine/>
    <w:pPr>
      <w:spacing w:after="100"/>
    </w:pPr>
  </w:style>
  <w:style w:type="character" w:styleId="Hyperlink">
    <w:name w:val="Hyperlink"/>
    <w:basedOn w:val="DefaultParagraphFont"/>
    <w:rPr>
      <w:color w:val="0000FF"/>
      <w:u w:val="single"/>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BalloonText">
    <w:name w:val="Balloon Text"/>
    <w:basedOn w:val="Normal"/>
    <w:pPr>
      <w:spacing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paragraph" w:styleId="ListParagraph">
    <w:name w:val="List Paragraph"/>
    <w:basedOn w:val="Normal"/>
    <w:pPr>
      <w:ind w:left="720"/>
      <w:contextualSpacing/>
    </w:pPr>
  </w:style>
  <w:style w:type="paragraph" w:styleId="TOC2">
    <w:name w:val="toc 2"/>
    <w:basedOn w:val="Normal"/>
    <w:next w:val="Normal"/>
    <w:autoRedefin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3333</Words>
  <Characters>19004</Characters>
  <Application>Microsoft Office Word</Application>
  <DocSecurity>0</DocSecurity>
  <Lines>158</Lines>
  <Paragraphs>44</Paragraphs>
  <ScaleCrop>false</ScaleCrop>
  <Company/>
  <LinksUpToDate>false</LinksUpToDate>
  <CharactersWithSpaces>22293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claudia macarie</cp:lastModifiedBy>
  <cp:revision>4</cp:revision>
  <dcterms:created xsi:type="dcterms:W3CDTF">2023-12-19T17:39:00Z</dcterms:created>
  <dcterms:modified xsi:type="dcterms:W3CDTF">2023-12-19T17:41:00Z</dcterms:modified>
</cp:coreProperties>
</file>