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240" w:lineRule="auto"/>
        <w:jc w:val="center"/>
        <w:rPr>
          <w:rFonts w:ascii="Times New Roman" w:hAnsi="Times New Roman"/>
          <w:outline w:val="0"/>
          <w:color w:val="434343"/>
          <w:sz w:val="24"/>
          <w:szCs w:val="24"/>
          <w:u w:color="434343"/>
          <w14:textFill>
            <w14:solidFill>
              <w14:srgbClr w14:val="434343"/>
            </w14:solidFill>
          </w14:textFill>
        </w:rPr>
      </w:pPr>
      <w:r>
        <w:rPr>
          <w:rFonts w:ascii="Times New Roman" w:hAnsi="Times New Roman"/>
          <w:outline w:val="0"/>
          <w:color w:val="434343"/>
          <w:sz w:val="24"/>
          <w:szCs w:val="24"/>
          <w:u w:color="434343"/>
          <w14:textFill>
            <w14:solidFill>
              <w14:srgbClr w14:val="434343"/>
            </w14:solidFill>
          </w14:textFill>
        </w:rPr>
        <w:drawing xmlns:a="http://schemas.openxmlformats.org/drawingml/2006/main">
          <wp:inline distT="0" distB="0" distL="0" distR="0">
            <wp:extent cx="5476498" cy="7091363"/>
            <wp:effectExtent l="0" t="0" r="0" b="0"/>
            <wp:docPr id="1073741825" name="officeArt object" descr="image1.jpg"/>
            <wp:cNvGraphicFramePr/>
            <a:graphic xmlns:a="http://schemas.openxmlformats.org/drawingml/2006/main">
              <a:graphicData uri="http://schemas.openxmlformats.org/drawingml/2006/picture">
                <pic:pic xmlns:pic="http://schemas.openxmlformats.org/drawingml/2006/picture">
                  <pic:nvPicPr>
                    <pic:cNvPr id="1073741825" name="image1.jpg" descr="image1.jpg"/>
                    <pic:cNvPicPr>
                      <a:picLocks noChangeAspect="1"/>
                    </pic:cNvPicPr>
                  </pic:nvPicPr>
                  <pic:blipFill>
                    <a:blip r:embed="rId4">
                      <a:extLst/>
                    </a:blip>
                    <a:stretch>
                      <a:fillRect/>
                    </a:stretch>
                  </pic:blipFill>
                  <pic:spPr>
                    <a:xfrm>
                      <a:off x="0" y="0"/>
                      <a:ext cx="5476498" cy="7091363"/>
                    </a:xfrm>
                    <a:prstGeom prst="rect">
                      <a:avLst/>
                    </a:prstGeom>
                    <a:ln w="12700" cap="flat">
                      <a:noFill/>
                      <a:miter lim="400000"/>
                    </a:ln>
                    <a:effectLst/>
                  </pic:spPr>
                </pic:pic>
              </a:graphicData>
            </a:graphic>
          </wp:inline>
        </w:drawing>
      </w:r>
    </w:p>
    <w:p>
      <w:pPr>
        <w:pStyle w:val="Body"/>
        <w:spacing w:line="240" w:lineRule="auto"/>
        <w:jc w:val="center"/>
        <w:rPr>
          <w:rFonts w:ascii="Times New Roman" w:cs="Times New Roman" w:hAnsi="Times New Roman" w:eastAsia="Times New Roman"/>
          <w:outline w:val="0"/>
          <w:color w:val="434343"/>
          <w:sz w:val="24"/>
          <w:szCs w:val="24"/>
          <w:u w:color="434343"/>
          <w14:textFill>
            <w14:solidFill>
              <w14:srgbClr w14:val="434343"/>
            </w14:solidFill>
          </w14:textFill>
        </w:rPr>
      </w:pPr>
      <w:r>
        <w:rPr>
          <w:rFonts w:ascii="Times New Roman" w:hAnsi="Times New Roman"/>
          <w:outline w:val="0"/>
          <w:color w:val="434343"/>
          <w:sz w:val="24"/>
          <w:szCs w:val="24"/>
          <w:u w:color="434343"/>
          <w:rtl w:val="0"/>
          <w:lang w:val="de-DE"/>
          <w14:textFill>
            <w14:solidFill>
              <w14:srgbClr w14:val="434343"/>
            </w14:solidFill>
          </w14:textFill>
        </w:rPr>
        <w:t xml:space="preserve">Rose Theodora </w:t>
      </w:r>
      <w:r>
        <w:rPr>
          <w:rFonts w:ascii="Times New Roman" w:hAnsi="Times New Roman" w:hint="default"/>
          <w:outline w:val="0"/>
          <w:color w:val="434343"/>
          <w:sz w:val="24"/>
          <w:szCs w:val="24"/>
          <w:u w:color="434343"/>
          <w:rtl w:val="0"/>
          <w:lang w:val="en-US"/>
          <w14:textFill>
            <w14:solidFill>
              <w14:srgbClr w14:val="434343"/>
            </w14:solidFill>
          </w14:textFill>
        </w:rPr>
        <w:t xml:space="preserve">– </w:t>
      </w:r>
      <w:r>
        <w:rPr>
          <w:rFonts w:ascii="Times New Roman" w:hAnsi="Times New Roman"/>
          <w:outline w:val="0"/>
          <w:color w:val="434343"/>
          <w:sz w:val="24"/>
          <w:szCs w:val="24"/>
          <w:u w:color="434343"/>
          <w:rtl w:val="0"/>
          <w14:textFill>
            <w14:solidFill>
              <w14:srgbClr w14:val="434343"/>
            </w14:solidFill>
          </w14:textFill>
        </w:rPr>
        <w:t xml:space="preserve">HPCA 7016 </w:t>
      </w:r>
      <w:r>
        <w:rPr>
          <w:rFonts w:ascii="Times New Roman" w:hAnsi="Times New Roman" w:hint="default"/>
          <w:outline w:val="0"/>
          <w:color w:val="434343"/>
          <w:sz w:val="24"/>
          <w:szCs w:val="24"/>
          <w:u w:color="434343"/>
          <w:rtl w:val="0"/>
          <w:lang w:val="en-US"/>
          <w14:textFill>
            <w14:solidFill>
              <w14:srgbClr w14:val="434343"/>
            </w14:solidFill>
          </w14:textFill>
        </w:rPr>
        <w:t xml:space="preserve">– </w:t>
      </w:r>
      <w:r>
        <w:rPr>
          <w:rFonts w:ascii="Times New Roman" w:hAnsi="Times New Roman"/>
          <w:outline w:val="0"/>
          <w:color w:val="434343"/>
          <w:sz w:val="24"/>
          <w:szCs w:val="24"/>
          <w:u w:color="434343"/>
          <w:rtl w:val="0"/>
          <w:lang w:val="en-US"/>
          <w14:textFill>
            <w14:solidFill>
              <w14:srgbClr w14:val="434343"/>
            </w14:solidFill>
          </w14:textFill>
        </w:rPr>
        <w:t>Essay 1</w:t>
      </w:r>
    </w:p>
    <w:p>
      <w:pPr>
        <w:pStyle w:val="Body"/>
        <w:spacing w:line="240" w:lineRule="auto"/>
        <w:jc w:val="center"/>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Fonts w:ascii="Times New Roman" w:hAnsi="Times New Roman"/>
          <w:outline w:val="0"/>
          <w:color w:val="434343"/>
          <w:sz w:val="24"/>
          <w:szCs w:val="24"/>
          <w:u w:color="434343"/>
          <w:rtl w:val="0"/>
          <w:lang w:val="de-DE"/>
          <w14:textFill>
            <w14:solidFill>
              <w14:srgbClr w14:val="434343"/>
            </w14:solidFill>
          </w14:textFill>
        </w:rPr>
        <w:t xml:space="preserve">Student ID: 2529550 e. </w:t>
      </w:r>
      <w:r>
        <w:rPr>
          <w:rStyle w:val="Hyperlink.0"/>
        </w:rPr>
        <w:fldChar w:fldCharType="begin" w:fldLock="0"/>
      </w:r>
      <w:r>
        <w:rPr>
          <w:rStyle w:val="Hyperlink.0"/>
        </w:rPr>
        <w:instrText xml:space="preserve"> HYPERLINK "mailto:2529550@student.uwtsd.ac.uk"</w:instrText>
      </w:r>
      <w:r>
        <w:rPr>
          <w:rStyle w:val="Hyperlink.0"/>
        </w:rPr>
        <w:fldChar w:fldCharType="separate" w:fldLock="0"/>
      </w:r>
      <w:r>
        <w:rPr>
          <w:rStyle w:val="Hyperlink.0"/>
          <w:rtl w:val="0"/>
          <w:lang w:val="nl-NL"/>
        </w:rPr>
        <w:t>2529550@student.uwtsd.ac.uk</w:t>
      </w:r>
      <w:r>
        <w:rPr/>
        <w:fldChar w:fldCharType="end" w:fldLock="0"/>
      </w:r>
      <w:r>
        <w:rPr>
          <w:rStyle w:val="None"/>
          <w:rFonts w:ascii="Times New Roman" w:hAnsi="Times New Roman"/>
          <w:outline w:val="0"/>
          <w:color w:val="434343"/>
          <w:sz w:val="24"/>
          <w:szCs w:val="24"/>
          <w:u w:color="434343"/>
          <w:rtl w:val="0"/>
          <w14:textFill>
            <w14:solidFill>
              <w14:srgbClr w14:val="434343"/>
            </w14:solidFill>
          </w14:textFill>
        </w:rPr>
        <w:t xml:space="preserve"> </w:t>
      </w:r>
    </w:p>
    <w:p>
      <w:pPr>
        <w:pStyle w:val="Body"/>
        <w:spacing w:line="240" w:lineRule="auto"/>
        <w:jc w:val="center"/>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Module Title: Researching Contemporary Cosmologies</w:t>
      </w:r>
    </w:p>
    <w:p>
      <w:pPr>
        <w:pStyle w:val="Body"/>
        <w:spacing w:line="240" w:lineRule="auto"/>
        <w:jc w:val="center"/>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For the 1st Module of the degree</w:t>
      </w:r>
    </w:p>
    <w:p>
      <w:pPr>
        <w:pStyle w:val="Body"/>
        <w:spacing w:line="240" w:lineRule="auto"/>
        <w:jc w:val="center"/>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 xml:space="preserve">I confirm that this is my own work: </w:t>
      </w:r>
      <w:r>
        <w:rPr>
          <w:rStyle w:val="Hyperlink.1"/>
        </w:rPr>
        <w:fldChar w:fldCharType="begin" w:fldLock="0"/>
      </w:r>
      <w:r>
        <w:rPr>
          <w:rStyle w:val="Hyperlink.1"/>
        </w:rPr>
        <w:instrText xml:space="preserve"> HYPERLINK "mailto:rose@rosetheodora.com"</w:instrText>
      </w:r>
      <w:r>
        <w:rPr>
          <w:rStyle w:val="Hyperlink.1"/>
        </w:rPr>
        <w:fldChar w:fldCharType="separate" w:fldLock="0"/>
      </w:r>
      <w:r>
        <w:rPr>
          <w:rStyle w:val="Hyperlink.1"/>
          <w:rtl w:val="0"/>
          <w:lang w:val="en-US"/>
        </w:rPr>
        <w:t>Rose Theodora</w:t>
      </w:r>
      <w:r>
        <w:rPr/>
        <w:fldChar w:fldCharType="end" w:fldLock="0"/>
      </w:r>
    </w:p>
    <w:p>
      <w:pPr>
        <w:pStyle w:val="Body"/>
        <w:spacing w:line="240" w:lineRule="auto"/>
        <w:jc w:val="center"/>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Date Due: 17 March 2026</w:t>
      </w:r>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Pr>
        <mc:AlternateContent>
          <mc:Choice Requires="wps">
            <w:drawing xmlns:a="http://schemas.openxmlformats.org/drawingml/2006/main">
              <wp:inline distT="0" distB="0" distL="0" distR="0">
                <wp:extent cx="5943600" cy="19050"/>
                <wp:effectExtent l="0" t="0" r="0" b="0"/>
                <wp:docPr id="1073741826" name="officeArt object" descr="Rectangle"/>
                <wp:cNvGraphicFramePr/>
                <a:graphic xmlns:a="http://schemas.openxmlformats.org/drawingml/2006/main">
                  <a:graphicData uri="http://schemas.microsoft.com/office/word/2010/wordprocessingShape">
                    <wps:wsp>
                      <wps:cNvSpPr/>
                      <wps:spPr>
                        <a:xfrm>
                          <a:off x="0" y="0"/>
                          <a:ext cx="5943600" cy="19050"/>
                        </a:xfrm>
                        <a:prstGeom prst="rect">
                          <a:avLst/>
                        </a:prstGeom>
                        <a:solidFill>
                          <a:srgbClr val="A0A0A0"/>
                        </a:solidFill>
                        <a:ln w="12700" cap="flat">
                          <a:noFill/>
                          <a:miter lim="400000"/>
                        </a:ln>
                        <a:effectLst/>
                      </wps:spPr>
                      <wps:bodyPr/>
                    </wps:wsp>
                  </a:graphicData>
                </a:graphic>
              </wp:inline>
            </w:drawing>
          </mc:Choice>
          <mc:Fallback>
            <w:pict>
              <v:rect id="_x0000_s1026" style="visibility:visible;width:468.0pt;height:1.5pt;">
                <v:fill color="#A0A0A0" opacity="100.0%" type="solid"/>
                <v:stroke on="f" weight="1.0pt" dashstyle="solid" endcap="flat" miterlimit="400.0%" joinstyle="miter" linestyle="single" startarrow="none" startarrowwidth="medium" startarrowlength="medium" endarrow="none" endarrowwidth="medium" endarrowlength="medium"/>
              </v:rect>
            </w:pict>
          </mc:Fallback>
        </mc:AlternateContent>
      </w:r>
    </w:p>
    <w:p>
      <w:pPr>
        <w:pStyle w:val="Heading 2"/>
        <w:keepNext w:val="0"/>
        <w:keepLines w:val="0"/>
        <w:spacing w:before="140" w:after="140" w:line="240" w:lineRule="auto"/>
      </w:pPr>
      <w:bookmarkStart w:name="_wpx6lvv3" w:id="0"/>
      <w:bookmarkEnd w:id="0"/>
      <w:r>
        <w:rPr>
          <w:rStyle w:val="None"/>
          <w:rFonts w:ascii="Times New Roman" w:hAnsi="Times New Roman"/>
          <w:outline w:val="0"/>
          <w:color w:val="434343"/>
          <w:u w:color="434343"/>
          <w:rtl w:val="0"/>
          <w14:textFill>
            <w14:solidFill>
              <w14:srgbClr w14:val="434343"/>
            </w14:solidFill>
          </w14:textFill>
        </w:rPr>
        <w:t>A</w:t>
      </w:r>
      <w:r>
        <w:rPr>
          <w:rStyle w:val="None"/>
          <w:rFonts w:ascii="Times New Roman" w:hAnsi="Times New Roman"/>
          <w:outline w:val="0"/>
          <w:color w:val="434343"/>
          <w:u w:color="434343"/>
          <w:rtl w:val="0"/>
          <w:lang w:val="en-US"/>
          <w14:textFill>
            <w14:solidFill>
              <w14:srgbClr w14:val="434343"/>
            </w14:solidFill>
          </w14:textFill>
        </w:rPr>
        <w:t xml:space="preserve"> Critical Comparison of Two Secondary Sources</w:t>
      </w:r>
    </w:p>
    <w:p>
      <w:pPr>
        <w:pStyle w:val="Body"/>
      </w:pPr>
      <w:r>
        <w:rPr>
          <w:rStyle w:val="None"/>
        </w:rPr>
        <mc:AlternateContent>
          <mc:Choice Requires="wps">
            <w:drawing xmlns:a="http://schemas.openxmlformats.org/drawingml/2006/main">
              <wp:inline distT="0" distB="0" distL="0" distR="0">
                <wp:extent cx="5943600" cy="19050"/>
                <wp:effectExtent l="0" t="0" r="0" b="0"/>
                <wp:docPr id="1073741827" name="officeArt object" descr="Rectangle"/>
                <wp:cNvGraphicFramePr/>
                <a:graphic xmlns:a="http://schemas.openxmlformats.org/drawingml/2006/main">
                  <a:graphicData uri="http://schemas.microsoft.com/office/word/2010/wordprocessingShape">
                    <wps:wsp>
                      <wps:cNvSpPr/>
                      <wps:spPr>
                        <a:xfrm>
                          <a:off x="0" y="0"/>
                          <a:ext cx="5943600" cy="19050"/>
                        </a:xfrm>
                        <a:prstGeom prst="rect">
                          <a:avLst/>
                        </a:prstGeom>
                        <a:solidFill>
                          <a:srgbClr val="A0A0A0"/>
                        </a:solidFill>
                        <a:ln w="12700" cap="flat">
                          <a:noFill/>
                          <a:miter lim="400000"/>
                        </a:ln>
                        <a:effectLst/>
                      </wps:spPr>
                      <wps:bodyPr/>
                    </wps:wsp>
                  </a:graphicData>
                </a:graphic>
              </wp:inline>
            </w:drawing>
          </mc:Choice>
          <mc:Fallback>
            <w:pict>
              <v:rect id="_x0000_s1027" style="visibility:visible;width:468.0pt;height:1.5pt;">
                <v:fill color="#A0A0A0" opacity="100.0%" type="solid"/>
                <v:stroke on="f" weight="1.0pt" dashstyle="solid" endcap="flat" miterlimit="400.0%" joinstyle="miter" linestyle="single" startarrow="none" startarrowwidth="medium" startarrowlength="medium" endarrow="none" endarrowwidth="medium" endarrowlength="medium"/>
              </v:rect>
            </w:pict>
          </mc:Fallback>
        </mc:AlternateContent>
      </w:r>
    </w:p>
    <w:p>
      <w:pPr>
        <w:pStyle w:val="Body"/>
      </w:pPr>
    </w:p>
    <w:p>
      <w:pPr>
        <w:pStyle w:val="Heading 3"/>
        <w:keepNext w:val="0"/>
        <w:keepLines w:val="0"/>
        <w:widowControl w:val="0"/>
        <w:spacing w:before="0" w:after="0" w:line="240" w:lineRule="auto"/>
        <w:rPr>
          <w:rStyle w:val="None"/>
          <w:rFonts w:ascii="Times New Roman" w:cs="Times New Roman" w:hAnsi="Times New Roman" w:eastAsia="Times New Roman"/>
          <w:b w:val="1"/>
          <w:bCs w:val="1"/>
          <w:sz w:val="26"/>
          <w:szCs w:val="26"/>
        </w:rPr>
      </w:pPr>
      <w:bookmarkStart w:name="_a3cqprntpr" w:id="1"/>
      <w:bookmarkEnd w:id="1"/>
      <w:r>
        <w:rPr>
          <w:rStyle w:val="None"/>
          <w:rFonts w:ascii="Times New Roman" w:hAnsi="Times New Roman"/>
          <w:b w:val="1"/>
          <w:bCs w:val="1"/>
          <w:sz w:val="26"/>
          <w:szCs w:val="26"/>
          <w:rtl w:val="0"/>
        </w:rPr>
        <w:t>I</w:t>
      </w:r>
      <w:r>
        <w:rPr>
          <w:rStyle w:val="None"/>
          <w:rFonts w:ascii="Times New Roman" w:hAnsi="Times New Roman"/>
          <w:b w:val="1"/>
          <w:bCs w:val="1"/>
          <w:sz w:val="26"/>
          <w:szCs w:val="26"/>
          <w:rtl w:val="0"/>
          <w:lang w:val="fr-FR"/>
        </w:rPr>
        <w:t>ntroduction</w:t>
      </w:r>
    </w:p>
    <w:p>
      <w:pPr>
        <w:pStyle w:val="Heading 3"/>
        <w:keepNext w:val="0"/>
        <w:keepLines w:val="0"/>
        <w:widowControl w:val="0"/>
        <w:spacing w:before="0" w:after="0" w:line="240" w:lineRule="auto"/>
        <w:ind w:firstLine="360"/>
      </w:pPr>
      <w:bookmarkStart w:name="_y29zsrm6f4qc" w:id="2"/>
      <w:bookmarkEnd w:id="2"/>
      <w:r>
        <w:rPr>
          <w:rStyle w:val="None"/>
          <w:rFonts w:ascii="Times New Roman" w:hAnsi="Times New Roman"/>
          <w:sz w:val="24"/>
          <w:szCs w:val="24"/>
          <w:shd w:val="clear" w:color="auto" w:fill="ffffff"/>
          <w:rtl w:val="0"/>
        </w:rPr>
        <w:t>T</w:t>
      </w:r>
      <w:r>
        <w:rPr>
          <w:rStyle w:val="None"/>
          <w:rFonts w:ascii="Times New Roman" w:hAnsi="Times New Roman"/>
          <w:sz w:val="24"/>
          <w:szCs w:val="24"/>
          <w:shd w:val="clear" w:color="auto" w:fill="ffffff"/>
          <w:rtl w:val="0"/>
          <w:lang w:val="en-US"/>
        </w:rPr>
        <w:t>his essay brings into conversation two secondary sources: T. L. Brink</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rPr>
        <w:t xml:space="preserve">s </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lang w:val="en-US"/>
        </w:rPr>
        <w:t>Inconsistency of Belief among Roman Catholic Girls: Concerning Religion, Astrology, Reincarnation</w:t>
      </w:r>
      <w:r>
        <w:rPr>
          <w:rStyle w:val="None"/>
          <w:rFonts w:ascii="Times New Roman" w:hAnsi="Times New Roman" w:hint="default"/>
          <w:sz w:val="24"/>
          <w:szCs w:val="24"/>
          <w:shd w:val="clear" w:color="auto" w:fill="ffffff"/>
          <w:rtl w:val="0"/>
          <w:lang w:val="en-US"/>
        </w:rPr>
        <w:t xml:space="preserve">’ </w:t>
      </w:r>
      <w:r>
        <w:rPr>
          <w:rStyle w:val="None"/>
          <w:rFonts w:ascii="Times New Roman" w:hAnsi="Times New Roman"/>
          <w:sz w:val="24"/>
          <w:szCs w:val="24"/>
          <w:shd w:val="clear" w:color="auto" w:fill="ffffff"/>
          <w:rtl w:val="0"/>
          <w:lang w:val="de-DE"/>
        </w:rPr>
        <w:t>and Gillian Bennett</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rPr>
        <w:t xml:space="preserve">s </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lang w:val="en-US"/>
        </w:rPr>
        <w:t>If I Knew You Were Coming, I</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lang w:val="en-US"/>
        </w:rPr>
        <w:t>d Have Baked a Cake</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lang w:val="en-US"/>
        </w:rPr>
        <w:t>: The Folklore of Foreknowledge in a Neighborhood Group</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rPr>
        <w:t xml:space="preserve">. </w:t>
      </w:r>
      <w:r>
        <w:rPr>
          <w:rStyle w:val="None"/>
          <w:rFonts w:ascii="Times New Roman" w:hAnsi="Times New Roman"/>
          <w:sz w:val="24"/>
          <w:szCs w:val="24"/>
          <w:rtl w:val="0"/>
          <w:lang w:val="en-US"/>
        </w:rPr>
        <w:t>In line with the assignment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terms, the discussion considers three related areas: the structure and use of literature, research methodology, and ethical questions, together with the researcher</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reflexive position. Although both papers address non-orthodox belief, they do so through different assumptions about what belief is and how it should be studied. Brink studies the consistency of religious belief within a survey format, whereas Bennett examines the narratives and social codes through which foreknowledge is discussed in the everyday lives of elderly women.</w:t>
      </w:r>
      <w:r>
        <w:rPr>
          <w:rStyle w:val="None"/>
          <w:rFonts w:ascii="Times New Roman" w:cs="Times New Roman" w:hAnsi="Times New Roman" w:eastAsia="Times New Roman"/>
          <w:sz w:val="24"/>
          <w:szCs w:val="24"/>
          <w:vertAlign w:val="superscript"/>
        </w:rPr>
        <w:footnoteReference w:id="1"/>
      </w:r>
      <w:r>
        <w:rPr>
          <w:rStyle w:val="None"/>
          <w:rFonts w:ascii="Times New Roman" w:hAnsi="Times New Roman"/>
          <w:sz w:val="24"/>
          <w:szCs w:val="24"/>
          <w:rtl w:val="0"/>
          <w:lang w:val="en-US"/>
        </w:rPr>
        <w:t xml:space="preserve"> The essay, therefore, investigates how each paper frames its material, what kind of evidence its method brings into view, and how its conclusions develop in relation to context and scholarship.</w:t>
      </w:r>
    </w:p>
    <w:p>
      <w:pPr>
        <w:pStyle w:val="Heading 3"/>
        <w:keepNext w:val="0"/>
        <w:keepLines w:val="0"/>
        <w:widowControl w:val="0"/>
        <w:spacing w:before="0" w:after="0" w:line="240" w:lineRule="auto"/>
        <w:rPr>
          <w:rStyle w:val="None"/>
          <w:rFonts w:ascii="Times New Roman" w:cs="Times New Roman" w:hAnsi="Times New Roman" w:eastAsia="Times New Roman"/>
          <w:b w:val="1"/>
          <w:bCs w:val="1"/>
          <w:sz w:val="24"/>
          <w:szCs w:val="24"/>
        </w:rPr>
      </w:pPr>
      <w:bookmarkStart w:name="_j6a8l9hv9rvw" w:id="3"/>
      <w:bookmarkEnd w:id="3"/>
    </w:p>
    <w:p>
      <w:pPr>
        <w:pStyle w:val="Heading 3"/>
        <w:keepNext w:val="0"/>
        <w:keepLines w:val="0"/>
        <w:widowControl w:val="0"/>
        <w:spacing w:before="0" w:after="0" w:line="240" w:lineRule="auto"/>
        <w:rPr>
          <w:rStyle w:val="None"/>
          <w:rFonts w:ascii="Times New Roman" w:cs="Times New Roman" w:hAnsi="Times New Roman" w:eastAsia="Times New Roman"/>
          <w:b w:val="1"/>
          <w:bCs w:val="1"/>
          <w:sz w:val="26"/>
          <w:szCs w:val="26"/>
        </w:rPr>
      </w:pPr>
      <w:bookmarkStart w:name="_m0x6xejgc5yn" w:id="4"/>
      <w:bookmarkEnd w:id="4"/>
      <w:r>
        <w:rPr>
          <w:rStyle w:val="None"/>
          <w:rFonts w:ascii="Times New Roman" w:hAnsi="Times New Roman"/>
          <w:b w:val="1"/>
          <w:bCs w:val="1"/>
          <w:sz w:val="26"/>
          <w:szCs w:val="26"/>
          <w:rtl w:val="0"/>
        </w:rPr>
        <w:t>S</w:t>
      </w:r>
      <w:r>
        <w:rPr>
          <w:rStyle w:val="None"/>
          <w:rFonts w:ascii="Times New Roman" w:hAnsi="Times New Roman"/>
          <w:b w:val="1"/>
          <w:bCs w:val="1"/>
          <w:sz w:val="26"/>
          <w:szCs w:val="26"/>
          <w:rtl w:val="0"/>
          <w:lang w:val="en-US"/>
        </w:rPr>
        <w:t>tructure and the use of literature</w:t>
      </w:r>
    </w:p>
    <w:p>
      <w:pPr>
        <w:pStyle w:val="Heading 3"/>
        <w:keepNext w:val="0"/>
        <w:keepLines w:val="0"/>
        <w:widowControl w:val="0"/>
        <w:spacing w:before="0" w:after="0" w:line="240" w:lineRule="auto"/>
        <w:ind w:firstLine="360"/>
        <w:rPr>
          <w:rStyle w:val="None"/>
          <w:rFonts w:ascii="Times New Roman" w:cs="Times New Roman" w:hAnsi="Times New Roman" w:eastAsia="Times New Roman"/>
          <w:shd w:val="clear" w:color="auto" w:fill="ffffff"/>
        </w:rPr>
      </w:pPr>
      <w:bookmarkStart w:name="_dd3ro0bptmo7" w:id="5"/>
      <w:bookmarkEnd w:id="5"/>
      <w:r>
        <w:rPr>
          <w:rStyle w:val="None"/>
          <w:rFonts w:ascii="Times New Roman" w:hAnsi="Times New Roman"/>
          <w:sz w:val="24"/>
          <w:szCs w:val="24"/>
          <w:rtl w:val="0"/>
        </w:rPr>
        <w:t>T</w:t>
      </w:r>
      <w:r>
        <w:rPr>
          <w:rStyle w:val="None"/>
          <w:rFonts w:ascii="Times New Roman" w:hAnsi="Times New Roman"/>
          <w:sz w:val="24"/>
          <w:szCs w:val="24"/>
          <w:rtl w:val="0"/>
          <w:lang w:val="en-US"/>
        </w:rPr>
        <w:t>he clearest difference between the papers is their structure. Brink</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article follows a conventional social-scientific journal format. The paper opens with a theoretical problem, then moves directly to the hypothesis, procedure, results, and a short discussion. His research question, sample, and results are immediately visible to the reader.</w:t>
      </w:r>
      <w:r>
        <w:rPr>
          <w:rStyle w:val="None"/>
          <w:rFonts w:ascii="Times New Roman" w:cs="Times New Roman" w:hAnsi="Times New Roman" w:eastAsia="Times New Roman"/>
          <w:sz w:val="24"/>
          <w:szCs w:val="24"/>
          <w:vertAlign w:val="superscript"/>
        </w:rPr>
        <w:footnoteReference w:id="2"/>
      </w:r>
      <w:r>
        <w:rPr>
          <w:rStyle w:val="None"/>
          <w:rFonts w:ascii="Times New Roman" w:hAnsi="Times New Roman"/>
          <w:sz w:val="24"/>
          <w:szCs w:val="24"/>
          <w:rtl w:val="0"/>
          <w:lang w:val="en-US"/>
        </w:rPr>
        <w:t xml:space="preserve"> Though this contraction limits the article</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interpretive range. Literature appears mainly to frame a problem that is already defined in advance. However, if Roman Catholic doctrine, astrology, and reincarnation are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logically incompatible</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the expectation is that respondents will affirm one set of beliefs and reject the others.</w:t>
      </w:r>
      <w:r>
        <w:rPr>
          <w:rStyle w:val="None"/>
          <w:rFonts w:ascii="Times New Roman" w:cs="Times New Roman" w:hAnsi="Times New Roman" w:eastAsia="Times New Roman"/>
          <w:sz w:val="24"/>
          <w:szCs w:val="24"/>
          <w:vertAlign w:val="superscript"/>
        </w:rPr>
        <w:footnoteReference w:id="3"/>
      </w:r>
      <w:r>
        <w:rPr>
          <w:rStyle w:val="None"/>
          <w:rFonts w:ascii="Times New Roman" w:hAnsi="Times New Roman"/>
          <w:sz w:val="24"/>
          <w:szCs w:val="24"/>
          <w:rtl w:val="0"/>
          <w:lang w:val="en-US"/>
        </w:rPr>
        <w:t xml:space="preserve"> In this light, the scholarship sets the terms of the problem before the data are presented. </w:t>
      </w:r>
      <w:r>
        <w:rPr>
          <w:rStyle w:val="None"/>
          <w:rFonts w:ascii="Times New Roman" w:hAnsi="Times New Roman"/>
          <w:sz w:val="24"/>
          <w:szCs w:val="24"/>
          <w:shd w:val="clear" w:color="auto" w:fill="ffffff"/>
          <w:rtl w:val="0"/>
          <w:lang w:val="en-US"/>
        </w:rPr>
        <w:t>The literature is not treated as something to be interpreted openly, but rather as a conceptual lens used to measure the data.</w:t>
      </w:r>
    </w:p>
    <w:p>
      <w:pPr>
        <w:pStyle w:val="Heading 3"/>
        <w:keepNext w:val="0"/>
        <w:keepLines w:val="0"/>
        <w:widowControl w:val="0"/>
        <w:spacing w:before="0" w:after="0" w:line="240" w:lineRule="auto"/>
        <w:ind w:firstLine="360"/>
        <w:rPr>
          <w:rStyle w:val="None"/>
          <w:rFonts w:ascii="Times New Roman" w:cs="Times New Roman" w:hAnsi="Times New Roman" w:eastAsia="Times New Roman"/>
        </w:rPr>
      </w:pPr>
      <w:bookmarkStart w:name="_fqg0nu5qcla5" w:id="6"/>
      <w:bookmarkEnd w:id="6"/>
      <w:r>
        <w:rPr>
          <w:rStyle w:val="None"/>
          <w:rFonts w:ascii="Times New Roman" w:hAnsi="Times New Roman"/>
          <w:sz w:val="24"/>
          <w:szCs w:val="24"/>
          <w:shd w:val="clear" w:color="auto" w:fill="ffffff"/>
          <w:rtl w:val="0"/>
        </w:rPr>
        <w:t>B</w:t>
      </w:r>
      <w:r>
        <w:rPr>
          <w:rStyle w:val="None"/>
          <w:rFonts w:ascii="Times New Roman" w:hAnsi="Times New Roman"/>
          <w:sz w:val="24"/>
          <w:szCs w:val="24"/>
          <w:shd w:val="clear" w:color="auto" w:fill="ffffff"/>
          <w:rtl w:val="0"/>
        </w:rPr>
        <w:t>ennett</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lang w:val="en-US"/>
        </w:rPr>
        <w:t xml:space="preserve">s earlier scholarship is more open to revision because the language of her participants keeps pressing against inherited categories. This helps explain why the two texts feel drastically different, even when both address forms of non-orthodox belief. </w:t>
      </w:r>
      <w:r>
        <w:rPr>
          <w:rStyle w:val="None"/>
          <w:rFonts w:ascii="Times New Roman" w:hAnsi="Times New Roman"/>
          <w:sz w:val="24"/>
          <w:szCs w:val="24"/>
          <w:rtl w:val="0"/>
        </w:rPr>
        <w:t>Bennett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chapter begins with a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statement of focus</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 rather than a narrow hypothesis: she is interested in the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common consent and agreement</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 xml:space="preserve">concerning knowledge of the future among elderly women in her hometown, and in the ways their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social situation and moral code shape the folklore that they share</w:t>
      </w:r>
      <w:r>
        <w:rPr>
          <w:rStyle w:val="None"/>
          <w:rFonts w:ascii="Times New Roman" w:hAnsi="Times New Roman" w:hint="default"/>
          <w:sz w:val="24"/>
          <w:szCs w:val="24"/>
          <w:rtl w:val="0"/>
          <w:lang w:val="en-US"/>
        </w:rPr>
        <w:t>’</w:t>
      </w:r>
      <w:r>
        <w:rPr>
          <w:rStyle w:val="None"/>
          <w:rFonts w:ascii="Times New Roman" w:hAnsi="Times New Roman"/>
          <w:sz w:val="24"/>
          <w:szCs w:val="24"/>
          <w:rtl w:val="0"/>
        </w:rPr>
        <w:t>.</w:t>
      </w:r>
      <w:r>
        <w:rPr>
          <w:rStyle w:val="None"/>
          <w:rFonts w:ascii="Times New Roman" w:cs="Times New Roman" w:hAnsi="Times New Roman" w:eastAsia="Times New Roman"/>
          <w:sz w:val="24"/>
          <w:szCs w:val="24"/>
          <w:vertAlign w:val="superscript"/>
        </w:rPr>
        <w:footnoteReference w:id="4"/>
      </w:r>
      <w:r>
        <w:rPr>
          <w:rStyle w:val="None"/>
          <w:rFonts w:ascii="Times New Roman" w:hAnsi="Times New Roman"/>
          <w:sz w:val="24"/>
          <w:szCs w:val="24"/>
          <w:rtl w:val="0"/>
          <w:lang w:val="en-US"/>
        </w:rPr>
        <w:t xml:space="preserve"> From there, the chapter proceeds through historical perspective, classificatory discussion, research setting, and analysis. The structure is slower, but not loose. It allows Bennett to move from earlier folklore collections to her fieldwork, then from fieldwork to interpretation, while keeping context in view. This gives the chapter a more expansive research design, with more room for terminology and analysis.</w:t>
      </w:r>
      <w:r>
        <w:rPr>
          <w:rStyle w:val="None"/>
          <w:rFonts w:ascii="Times New Roman" w:cs="Times New Roman" w:hAnsi="Times New Roman" w:eastAsia="Times New Roman"/>
          <w:sz w:val="24"/>
          <w:szCs w:val="24"/>
          <w:vertAlign w:val="superscript"/>
        </w:rPr>
        <w:footnoteReference w:id="5"/>
      </w:r>
    </w:p>
    <w:p>
      <w:pPr>
        <w:pStyle w:val="Heading 3"/>
        <w:keepNext w:val="0"/>
        <w:keepLines w:val="0"/>
        <w:widowControl w:val="0"/>
        <w:spacing w:before="0" w:after="0" w:line="240" w:lineRule="auto"/>
        <w:ind w:firstLine="360"/>
        <w:rPr>
          <w:rStyle w:val="None"/>
          <w:rFonts w:ascii="Times New Roman" w:cs="Times New Roman" w:hAnsi="Times New Roman" w:eastAsia="Times New Roman"/>
          <w:sz w:val="24"/>
          <w:szCs w:val="24"/>
        </w:rPr>
      </w:pPr>
      <w:bookmarkStart w:name="_phmv1vg1qc6g" w:id="7"/>
      <w:bookmarkEnd w:id="7"/>
      <w:r>
        <w:rPr>
          <w:rStyle w:val="None"/>
          <w:rFonts w:ascii="Times New Roman" w:hAnsi="Times New Roman"/>
          <w:sz w:val="24"/>
          <w:szCs w:val="24"/>
          <w:rtl w:val="0"/>
        </w:rPr>
        <w:t>B</w:t>
      </w:r>
      <w:r>
        <w:rPr>
          <w:rStyle w:val="None"/>
          <w:rFonts w:ascii="Times New Roman" w:hAnsi="Times New Roman"/>
          <w:sz w:val="24"/>
          <w:szCs w:val="24"/>
          <w:rtl w:val="0"/>
          <w:lang w:val="en-US"/>
        </w:rPr>
        <w:t>rink situates the article within a broader social-psychological literature on attitude consistency, drawing on theories of balance, congruity, dissonance, and belief congruence before later turning to a brief functional interpretation when the findings do not confirm the hypothesis.</w:t>
      </w:r>
      <w:r>
        <w:rPr>
          <w:rStyle w:val="None"/>
          <w:rFonts w:ascii="Times New Roman" w:cs="Times New Roman" w:hAnsi="Times New Roman" w:eastAsia="Times New Roman"/>
          <w:sz w:val="24"/>
          <w:szCs w:val="24"/>
          <w:vertAlign w:val="superscript"/>
        </w:rPr>
        <w:footnoteReference w:id="6"/>
      </w:r>
      <w:r>
        <w:rPr>
          <w:rStyle w:val="None"/>
          <w:rFonts w:ascii="Times New Roman" w:hAnsi="Times New Roman"/>
          <w:sz w:val="24"/>
          <w:szCs w:val="24"/>
          <w:rtl w:val="0"/>
          <w:lang w:val="en-US"/>
        </w:rPr>
        <w:t xml:space="preserve"> He suggests that beliefs which appear incompatible in doctrinal terms may still fulfil similar needs in conditions of confusion or uncertainty.</w:t>
      </w:r>
      <w:r>
        <w:rPr>
          <w:rStyle w:val="None"/>
          <w:rFonts w:ascii="Times New Roman" w:cs="Times New Roman" w:hAnsi="Times New Roman" w:eastAsia="Times New Roman"/>
          <w:sz w:val="24"/>
          <w:szCs w:val="24"/>
          <w:vertAlign w:val="superscript"/>
        </w:rPr>
        <w:footnoteReference w:id="7"/>
      </w:r>
      <w:r>
        <w:rPr>
          <w:rStyle w:val="None"/>
          <w:rFonts w:ascii="Times New Roman" w:hAnsi="Times New Roman"/>
          <w:sz w:val="24"/>
          <w:szCs w:val="24"/>
          <w:rtl w:val="0"/>
          <w:lang w:val="en-US"/>
        </w:rPr>
        <w:t xml:space="preserve"> The idea is not developed at length. The article does not consider in any depth whether participants understand belief differently, or whether doctrinal incompatibility is as clear in lived experience as it is in analytic terms. Bennett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chapter uses literature more flexibly. Historical sources are part of a discussion about continuity, change, and classificatory drift. In contrast, Bennett suggests that the language of foreknowledge traditions may have shifted over time, while also allowing for the possibility that earlier collectors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imposed their own, inappropriate, classification system on the material they collected</w:t>
      </w:r>
      <w:r>
        <w:rPr>
          <w:rStyle w:val="None"/>
          <w:rFonts w:ascii="Times New Roman" w:hAnsi="Times New Roman" w:hint="default"/>
          <w:sz w:val="24"/>
          <w:szCs w:val="24"/>
          <w:rtl w:val="0"/>
          <w:lang w:val="en-US"/>
        </w:rPr>
        <w:t>’</w:t>
      </w:r>
      <w:r>
        <w:rPr>
          <w:rStyle w:val="None"/>
          <w:rFonts w:ascii="Times New Roman" w:hAnsi="Times New Roman"/>
          <w:sz w:val="24"/>
          <w:szCs w:val="24"/>
          <w:rtl w:val="0"/>
        </w:rPr>
        <w:t>.</w:t>
      </w:r>
      <w:r>
        <w:rPr>
          <w:rStyle w:val="None"/>
          <w:rFonts w:ascii="Times New Roman" w:cs="Times New Roman" w:hAnsi="Times New Roman" w:eastAsia="Times New Roman"/>
          <w:sz w:val="24"/>
          <w:szCs w:val="24"/>
          <w:vertAlign w:val="superscript"/>
        </w:rPr>
        <w:footnoteReference w:id="8"/>
      </w:r>
      <w:r>
        <w:rPr>
          <w:rStyle w:val="None"/>
          <w:rFonts w:ascii="Times New Roman" w:hAnsi="Times New Roman"/>
          <w:sz w:val="24"/>
          <w:szCs w:val="24"/>
          <w:rtl w:val="0"/>
        </w:rPr>
        <w:t xml:space="preserve"> </w:t>
      </w:r>
      <w:r>
        <w:rPr>
          <w:rStyle w:val="None"/>
          <w:rFonts w:ascii="Times New Roman" w:hAnsi="Times New Roman"/>
          <w:sz w:val="24"/>
          <w:szCs w:val="24"/>
          <w:shd w:val="clear" w:color="auto" w:fill="ffffff"/>
          <w:rtl w:val="0"/>
          <w:lang w:val="en-US"/>
        </w:rPr>
        <w:t>For Bennett, earlier scholarship is more than scaffolding; she also reflects on how earlier scholars named and organised the material.</w:t>
      </w:r>
      <w:r>
        <w:rPr>
          <w:rStyle w:val="None"/>
          <w:rFonts w:ascii="Times New Roman" w:cs="Times New Roman" w:hAnsi="Times New Roman" w:eastAsia="Times New Roman"/>
          <w:sz w:val="24"/>
          <w:szCs w:val="24"/>
          <w:vertAlign w:val="superscript"/>
        </w:rPr>
        <w:footnoteReference w:id="9"/>
      </w:r>
    </w:p>
    <w:p>
      <w:pPr>
        <w:pStyle w:val="Heading 3"/>
        <w:keepNext w:val="0"/>
        <w:keepLines w:val="0"/>
        <w:widowControl w:val="0"/>
        <w:spacing w:before="0" w:after="0" w:line="240" w:lineRule="auto"/>
        <w:ind w:firstLine="360"/>
        <w:rPr>
          <w:rStyle w:val="None"/>
          <w:rFonts w:ascii="Times New Roman" w:cs="Times New Roman" w:hAnsi="Times New Roman" w:eastAsia="Times New Roman"/>
          <w:sz w:val="24"/>
          <w:szCs w:val="24"/>
        </w:rPr>
      </w:pPr>
      <w:bookmarkStart w:name="_zhb0jaqiv0u" w:id="8"/>
      <w:bookmarkEnd w:id="8"/>
      <w:r>
        <w:rPr>
          <w:rStyle w:val="None"/>
          <w:rFonts w:ascii="Times New Roman" w:hAnsi="Times New Roman"/>
          <w:sz w:val="24"/>
          <w:szCs w:val="24"/>
          <w:rtl w:val="0"/>
        </w:rPr>
        <w:t>T</w:t>
      </w:r>
      <w:r>
        <w:rPr>
          <w:rStyle w:val="None"/>
          <w:rFonts w:ascii="Times New Roman" w:hAnsi="Times New Roman"/>
          <w:sz w:val="24"/>
          <w:szCs w:val="24"/>
          <w:rtl w:val="0"/>
          <w:lang w:val="en-US"/>
        </w:rPr>
        <w:t>his contrast comes into sharper view when the two papers are read alongside further scholarship. Wuthnow</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study of astrology and marginality, for example, helps place Brink within a sociological tradition that treats astrology as a measurable feature of wider patterns of belief, particularly in relation to marginality.</w:t>
      </w:r>
      <w:r>
        <w:rPr>
          <w:rStyle w:val="None"/>
          <w:rFonts w:ascii="Times New Roman" w:cs="Times New Roman" w:hAnsi="Times New Roman" w:eastAsia="Times New Roman"/>
          <w:sz w:val="24"/>
          <w:szCs w:val="24"/>
          <w:vertAlign w:val="superscript"/>
        </w:rPr>
        <w:footnoteReference w:id="10"/>
      </w:r>
      <w:r>
        <w:rPr>
          <w:rStyle w:val="None"/>
          <w:rFonts w:ascii="Times New Roman" w:hAnsi="Times New Roman"/>
          <w:sz w:val="24"/>
          <w:szCs w:val="24"/>
          <w:rtl w:val="0"/>
          <w:lang w:val="it-IT"/>
        </w:rPr>
        <w:t xml:space="preserve"> Leonard Norman Primiano</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account of vernacular religion, published in </w:t>
      </w:r>
      <w:r>
        <w:rPr>
          <w:rStyle w:val="None"/>
          <w:rFonts w:ascii="Times New Roman" w:hAnsi="Times New Roman"/>
          <w:i w:val="1"/>
          <w:iCs w:val="1"/>
          <w:sz w:val="24"/>
          <w:szCs w:val="24"/>
          <w:rtl w:val="0"/>
          <w:lang w:val="de-DE"/>
        </w:rPr>
        <w:t>Western Folklore</w:t>
      </w:r>
      <w:r>
        <w:rPr>
          <w:rStyle w:val="None"/>
          <w:rFonts w:ascii="Times New Roman" w:hAnsi="Times New Roman"/>
          <w:sz w:val="24"/>
          <w:szCs w:val="24"/>
          <w:rtl w:val="0"/>
          <w:lang w:val="en-US"/>
        </w:rPr>
        <w:t xml:space="preserve"> in a special issue on reflexivity and the study of belief, points in a different direction. He argues that religious life is best understood as it is lived and practised, rather than as a fixed doctrinal system.</w:t>
      </w:r>
      <w:r>
        <w:rPr>
          <w:rStyle w:val="None"/>
          <w:rFonts w:ascii="Times New Roman" w:cs="Times New Roman" w:hAnsi="Times New Roman" w:eastAsia="Times New Roman"/>
          <w:sz w:val="24"/>
          <w:szCs w:val="24"/>
          <w:vertAlign w:val="superscript"/>
        </w:rPr>
        <w:footnoteReference w:id="11"/>
      </w:r>
      <w:r>
        <w:rPr>
          <w:rStyle w:val="None"/>
          <w:rFonts w:ascii="Times New Roman" w:hAnsi="Times New Roman"/>
          <w:sz w:val="24"/>
          <w:szCs w:val="24"/>
          <w:rtl w:val="0"/>
        </w:rPr>
        <w:t xml:space="preserve"> Brink</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literature review approaches belief as a matter of consistency between positions, whereas Bennett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approaches it through everyday understanding and practice. What most clearly distinguishes the papers is how each defines the object called belief.</w:t>
      </w:r>
    </w:p>
    <w:p>
      <w:pPr>
        <w:pStyle w:val="Heading 3"/>
        <w:keepNext w:val="0"/>
        <w:keepLines w:val="0"/>
        <w:widowControl w:val="0"/>
        <w:spacing w:before="0" w:after="0" w:line="240" w:lineRule="auto"/>
        <w:rPr>
          <w:rStyle w:val="None"/>
          <w:rFonts w:ascii="Times New Roman" w:cs="Times New Roman" w:hAnsi="Times New Roman" w:eastAsia="Times New Roman"/>
          <w:sz w:val="24"/>
          <w:szCs w:val="24"/>
        </w:rPr>
      </w:pPr>
      <w:bookmarkStart w:name="_qzgs57i8tvkq" w:id="9"/>
      <w:bookmarkEnd w:id="9"/>
    </w:p>
    <w:p>
      <w:pPr>
        <w:pStyle w:val="Heading 3"/>
        <w:keepNext w:val="0"/>
        <w:keepLines w:val="0"/>
        <w:spacing w:before="0" w:after="0" w:line="240" w:lineRule="auto"/>
        <w:rPr>
          <w:rStyle w:val="None"/>
          <w:rFonts w:ascii="Times New Roman" w:cs="Times New Roman" w:hAnsi="Times New Roman" w:eastAsia="Times New Roman"/>
          <w:b w:val="1"/>
          <w:bCs w:val="1"/>
          <w:sz w:val="26"/>
          <w:szCs w:val="26"/>
        </w:rPr>
      </w:pPr>
      <w:bookmarkStart w:name="_dsvka3xzv084" w:id="10"/>
      <w:bookmarkEnd w:id="10"/>
      <w:r>
        <w:rPr>
          <w:rStyle w:val="None"/>
          <w:rFonts w:ascii="Times New Roman" w:hAnsi="Times New Roman"/>
          <w:b w:val="1"/>
          <w:bCs w:val="1"/>
          <w:sz w:val="26"/>
          <w:szCs w:val="26"/>
          <w:rtl w:val="0"/>
        </w:rPr>
        <w:t>M</w:t>
      </w:r>
      <w:r>
        <w:rPr>
          <w:rStyle w:val="None"/>
          <w:rFonts w:ascii="Times New Roman" w:hAnsi="Times New Roman"/>
          <w:b w:val="1"/>
          <w:bCs w:val="1"/>
          <w:sz w:val="26"/>
          <w:szCs w:val="26"/>
          <w:rtl w:val="0"/>
          <w:lang w:val="en-US"/>
        </w:rPr>
        <w:t>ethodology and the form of knowledge produced</w:t>
      </w:r>
    </w:p>
    <w:p>
      <w:pPr>
        <w:pStyle w:val="Heading 3"/>
        <w:keepNext w:val="0"/>
        <w:keepLines w:val="0"/>
        <w:spacing w:before="0" w:after="0" w:line="240" w:lineRule="auto"/>
        <w:ind w:firstLine="360"/>
        <w:rPr>
          <w:rStyle w:val="None"/>
          <w:rFonts w:ascii="Times New Roman" w:cs="Times New Roman" w:hAnsi="Times New Roman" w:eastAsia="Times New Roman"/>
          <w:sz w:val="26"/>
          <w:szCs w:val="26"/>
        </w:rPr>
      </w:pPr>
      <w:bookmarkStart w:name="_q6uenmy50w" w:id="11"/>
      <w:bookmarkEnd w:id="11"/>
      <w:r>
        <w:rPr>
          <w:rStyle w:val="None"/>
          <w:rFonts w:ascii="Times New Roman" w:hAnsi="Times New Roman"/>
          <w:sz w:val="24"/>
          <w:szCs w:val="24"/>
          <w:rtl w:val="0"/>
        </w:rPr>
        <w:t>T</w:t>
      </w:r>
      <w:r>
        <w:rPr>
          <w:rStyle w:val="None"/>
          <w:rFonts w:ascii="Times New Roman" w:hAnsi="Times New Roman"/>
          <w:sz w:val="24"/>
          <w:szCs w:val="24"/>
          <w:rtl w:val="0"/>
          <w:lang w:val="en-US"/>
        </w:rPr>
        <w:t>heir conceptual differences become most visible in the methods. Brink uses a questionnaire-based survey design, whereas Bennett relies on qualitative, interview-based fieldwork conducted through recorded conversations. Brink surveyed 227 junior and senior students at a Catholic girls</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 xml:space="preserve">high school in Chicago. The data were collected in June 1976 by administering questionnaires during class time and, as he states,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Whoever was present in religion class (a required course) that day got a questionnaire.</w:t>
      </w:r>
      <w:r>
        <w:rPr>
          <w:rStyle w:val="None"/>
          <w:rFonts w:ascii="Times New Roman" w:hAnsi="Times New Roman" w:hint="default"/>
          <w:sz w:val="24"/>
          <w:szCs w:val="24"/>
          <w:rtl w:val="0"/>
          <w:lang w:val="en-US"/>
        </w:rPr>
        <w:t>’</w:t>
      </w:r>
      <w:r>
        <w:rPr>
          <w:rStyle w:val="None"/>
          <w:rFonts w:ascii="Times New Roman" w:cs="Times New Roman" w:hAnsi="Times New Roman" w:eastAsia="Times New Roman"/>
          <w:sz w:val="24"/>
          <w:szCs w:val="24"/>
          <w:vertAlign w:val="superscript"/>
        </w:rPr>
        <w:footnoteReference w:id="12"/>
      </w:r>
      <w:r>
        <w:rPr>
          <w:rStyle w:val="None"/>
          <w:rFonts w:ascii="Times New Roman" w:hAnsi="Times New Roman"/>
          <w:sz w:val="24"/>
          <w:szCs w:val="24"/>
          <w:rtl w:val="0"/>
          <w:lang w:val="en-US"/>
        </w:rPr>
        <w:t xml:space="preserve"> Brink uses a questionnaire to compare responses across a fixed set of items, including belief in God, attitudes to confession, Mass attendance, desire for baptism or last rites, and belief in astrology or reincarnation. He identifies as the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most striking finding</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the fact that some respondents affirmed both astrology and reincarnation, while those who believed in astrology did not differ greatly from other students on many measures of Catholic adherence.</w:t>
      </w:r>
      <w:r>
        <w:rPr>
          <w:rStyle w:val="None"/>
          <w:rFonts w:ascii="Times New Roman" w:cs="Times New Roman" w:hAnsi="Times New Roman" w:eastAsia="Times New Roman"/>
          <w:sz w:val="24"/>
          <w:szCs w:val="24"/>
          <w:vertAlign w:val="superscript"/>
        </w:rPr>
        <w:footnoteReference w:id="13"/>
      </w:r>
    </w:p>
    <w:p>
      <w:pPr>
        <w:pStyle w:val="Heading 3"/>
        <w:keepNext w:val="0"/>
        <w:keepLines w:val="0"/>
        <w:spacing w:before="0" w:after="0" w:line="240" w:lineRule="auto"/>
        <w:ind w:firstLine="360"/>
        <w:rPr>
          <w:rStyle w:val="None"/>
          <w:rFonts w:ascii="Times New Roman" w:cs="Times New Roman" w:hAnsi="Times New Roman" w:eastAsia="Times New Roman"/>
          <w:sz w:val="24"/>
          <w:szCs w:val="24"/>
        </w:rPr>
      </w:pPr>
      <w:bookmarkStart w:name="_cy74irt25zw7" w:id="12"/>
      <w:bookmarkEnd w:id="12"/>
      <w:r>
        <w:rPr>
          <w:rStyle w:val="None"/>
          <w:rFonts w:ascii="Times New Roman" w:hAnsi="Times New Roman"/>
          <w:sz w:val="24"/>
          <w:szCs w:val="24"/>
          <w:rtl w:val="0"/>
        </w:rPr>
        <w:t>T</w:t>
      </w:r>
      <w:r>
        <w:rPr>
          <w:rStyle w:val="None"/>
          <w:rFonts w:ascii="Times New Roman" w:hAnsi="Times New Roman"/>
          <w:sz w:val="24"/>
          <w:szCs w:val="24"/>
          <w:rtl w:val="0"/>
          <w:lang w:val="en-US"/>
        </w:rPr>
        <w:t>his enables comparison, but only within the categories set by the questionnaire. Brink</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survey shows which beliefs appeared together in the responses, but not how the students themselves understood the relationship between them. Methodologically, this weakens Brink</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paper because assent in this setting may carry several meanings at once. In a required religion class, a marked answer may register conviction, habit, compliance, or caution, and the questionnaire itself gives no way of distinguishing between them. The issue is that the form of the data limits what can be inferred with confidence from them.</w:t>
      </w:r>
      <w:r>
        <w:rPr>
          <w:rStyle w:val="None"/>
          <w:rFonts w:ascii="Times New Roman" w:cs="Times New Roman" w:hAnsi="Times New Roman" w:eastAsia="Times New Roman"/>
          <w:sz w:val="24"/>
          <w:szCs w:val="24"/>
          <w:vertAlign w:val="superscript"/>
        </w:rPr>
        <w:footnoteReference w:id="14"/>
      </w:r>
    </w:p>
    <w:p>
      <w:pPr>
        <w:pStyle w:val="Heading 3"/>
        <w:keepNext w:val="0"/>
        <w:keepLines w:val="0"/>
        <w:spacing w:before="0" w:after="0" w:line="240" w:lineRule="auto"/>
        <w:ind w:firstLine="360"/>
        <w:rPr>
          <w:rStyle w:val="None"/>
          <w:rFonts w:ascii="Times New Roman" w:cs="Times New Roman" w:hAnsi="Times New Roman" w:eastAsia="Times New Roman"/>
          <w:sz w:val="24"/>
          <w:szCs w:val="24"/>
        </w:rPr>
      </w:pPr>
      <w:bookmarkStart w:name="_ddug3n88275" w:id="13"/>
      <w:bookmarkEnd w:id="13"/>
      <w:r>
        <w:rPr>
          <w:rStyle w:val="None"/>
          <w:rFonts w:ascii="Times New Roman" w:hAnsi="Times New Roman"/>
          <w:sz w:val="24"/>
          <w:szCs w:val="24"/>
          <w:rtl w:val="0"/>
        </w:rPr>
        <w:t>B</w:t>
      </w:r>
      <w:r>
        <w:rPr>
          <w:rStyle w:val="None"/>
          <w:rFonts w:ascii="Times New Roman" w:hAnsi="Times New Roman"/>
          <w:sz w:val="24"/>
          <w:szCs w:val="24"/>
          <w:rtl w:val="0"/>
        </w:rPr>
        <w:t>ryman</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contrast between quantitative and qualitative research is useful, in that surveys are effective when the researcher wishes to identify and observe patterns and correlations across a population, but they are weaker when meaning, contradiction, or self-explanation are central to the inquiry. Brink</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design is therefore well suited to showing coexistence across categories, but poorly suited to showing how such coexistence was understood from within.</w:t>
      </w:r>
      <w:r>
        <w:rPr>
          <w:rStyle w:val="None"/>
          <w:rFonts w:ascii="Times New Roman" w:hAnsi="Times New Roman"/>
          <w:b w:val="1"/>
          <w:bCs w:val="1"/>
          <w:sz w:val="22"/>
          <w:szCs w:val="22"/>
          <w:rtl w:val="0"/>
        </w:rPr>
        <w:t xml:space="preserve"> </w:t>
      </w:r>
      <w:r>
        <w:rPr>
          <w:rStyle w:val="None"/>
          <w:rFonts w:ascii="Times New Roman" w:hAnsi="Times New Roman"/>
          <w:sz w:val="24"/>
          <w:szCs w:val="24"/>
          <w:rtl w:val="0"/>
          <w:lang w:val="en-US"/>
        </w:rPr>
        <w:t>The survey shows which beliefs appeared together in the responses, but not how the students themselves understood the relationship between them. Bryman</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contrast between quantitative and qualitative research is revealing, in that surveys are effective when the researcher wishes to identify and observe patterns and correlations across a population, but they are weaker when meaning, contradiction, or self-explanation are central to the inquiry.</w:t>
      </w:r>
      <w:r>
        <w:rPr>
          <w:rStyle w:val="None"/>
          <w:rFonts w:ascii="Times New Roman" w:cs="Times New Roman" w:hAnsi="Times New Roman" w:eastAsia="Times New Roman"/>
          <w:sz w:val="24"/>
          <w:szCs w:val="24"/>
          <w:vertAlign w:val="superscript"/>
        </w:rPr>
        <w:footnoteReference w:id="15"/>
      </w:r>
      <w:r>
        <w:rPr>
          <w:rStyle w:val="None"/>
          <w:rFonts w:ascii="Times New Roman" w:hAnsi="Times New Roman"/>
          <w:sz w:val="24"/>
          <w:szCs w:val="24"/>
          <w:rtl w:val="0"/>
        </w:rPr>
        <w:t xml:space="preserve"> </w:t>
      </w:r>
    </w:p>
    <w:p>
      <w:pPr>
        <w:pStyle w:val="Heading 3"/>
        <w:keepNext w:val="0"/>
        <w:keepLines w:val="0"/>
        <w:spacing w:before="0" w:after="0" w:line="240" w:lineRule="auto"/>
        <w:ind w:firstLine="360"/>
        <w:rPr>
          <w:rStyle w:val="None"/>
          <w:rFonts w:ascii="Times New Roman" w:cs="Times New Roman" w:hAnsi="Times New Roman" w:eastAsia="Times New Roman"/>
          <w:sz w:val="24"/>
          <w:szCs w:val="24"/>
        </w:rPr>
      </w:pPr>
      <w:bookmarkStart w:name="_j4v30yea1w9u" w:id="14"/>
      <w:bookmarkEnd w:id="14"/>
      <w:r>
        <w:rPr>
          <w:rStyle w:val="None"/>
          <w:rFonts w:ascii="Times New Roman" w:hAnsi="Times New Roman"/>
          <w:sz w:val="24"/>
          <w:szCs w:val="24"/>
          <w:rtl w:val="0"/>
        </w:rPr>
        <w:t>G</w:t>
      </w:r>
      <w:r>
        <w:rPr>
          <w:rStyle w:val="None"/>
          <w:rFonts w:ascii="Times New Roman" w:hAnsi="Times New Roman"/>
          <w:sz w:val="24"/>
          <w:szCs w:val="24"/>
          <w:rtl w:val="0"/>
          <w:lang w:val="en-US"/>
        </w:rPr>
        <w:t>iven the sensitivity of Bennett's topic, she sought a setting conducive to personal conversation and an intermediary who could introduce her to informants. After several false starts, she chose her father</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podiatry clinic. There, she sat in on treatment sessions, explained what she was researching and how she intended to use the material, and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recorded everything that was said</w:t>
      </w:r>
      <w:r>
        <w:rPr>
          <w:rStyle w:val="None"/>
          <w:rFonts w:ascii="Times New Roman" w:hAnsi="Times New Roman" w:hint="default"/>
          <w:sz w:val="24"/>
          <w:szCs w:val="24"/>
          <w:rtl w:val="0"/>
          <w:lang w:val="en-US"/>
        </w:rPr>
        <w:t>’</w:t>
      </w:r>
      <w:r>
        <w:rPr>
          <w:rStyle w:val="None"/>
          <w:rFonts w:ascii="Times New Roman" w:hAnsi="Times New Roman"/>
          <w:sz w:val="24"/>
          <w:szCs w:val="24"/>
          <w:rtl w:val="0"/>
        </w:rPr>
        <w:t>.</w:t>
      </w:r>
      <w:r>
        <w:rPr>
          <w:rStyle w:val="None"/>
          <w:rFonts w:ascii="Times New Roman" w:cs="Times New Roman" w:hAnsi="Times New Roman" w:eastAsia="Times New Roman"/>
          <w:sz w:val="24"/>
          <w:szCs w:val="24"/>
          <w:vertAlign w:val="superscript"/>
        </w:rPr>
        <w:footnoteReference w:id="16"/>
      </w:r>
      <w:r>
        <w:rPr>
          <w:rStyle w:val="None"/>
          <w:rFonts w:ascii="Times New Roman" w:hAnsi="Times New Roman"/>
          <w:sz w:val="24"/>
          <w:szCs w:val="24"/>
          <w:rtl w:val="0"/>
          <w:lang w:val="en-US"/>
        </w:rPr>
        <w:t xml:space="preserve"> Over five months, she interviewed 120 people of both sexes and various ages, though the main body of the chapter rests on the responses of eighty-seven women aged sixty to ninety-five.</w:t>
      </w:r>
      <w:r>
        <w:rPr>
          <w:rStyle w:val="None"/>
          <w:rFonts w:ascii="Times New Roman" w:cs="Times New Roman" w:hAnsi="Times New Roman" w:eastAsia="Times New Roman"/>
          <w:sz w:val="24"/>
          <w:szCs w:val="24"/>
          <w:vertAlign w:val="superscript"/>
        </w:rPr>
        <w:footnoteReference w:id="17"/>
      </w:r>
      <w:r>
        <w:rPr>
          <w:rStyle w:val="None"/>
          <w:rFonts w:ascii="Times New Roman" w:hAnsi="Times New Roman"/>
          <w:sz w:val="24"/>
          <w:szCs w:val="24"/>
          <w:rtl w:val="0"/>
          <w:lang w:val="en-US"/>
        </w:rPr>
        <w:t xml:space="preserve"> Her approach differs from Brink</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questionnaire. Instead of measuring responses to fixed statements, Bennett follows how foreknowledge is spoken about, the distinctions informants draw, the hesitations they show, and the stories through which shared ideas circulate. She articulates through her findings that belief is often expressed obliquely. The women she</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studying do not always speak of their experiences in direct or unqualified ways; more often, they soften their experiences as they qualify them.</w:t>
      </w:r>
      <w:r>
        <w:rPr>
          <w:rStyle w:val="None"/>
          <w:rFonts w:ascii="Times New Roman" w:cs="Times New Roman" w:hAnsi="Times New Roman" w:eastAsia="Times New Roman"/>
          <w:sz w:val="24"/>
          <w:szCs w:val="24"/>
          <w:vertAlign w:val="superscript"/>
        </w:rPr>
        <w:footnoteReference w:id="18"/>
      </w:r>
      <w:r>
        <w:rPr>
          <w:rStyle w:val="None"/>
          <w:rFonts w:ascii="Times New Roman" w:hAnsi="Times New Roman"/>
          <w:sz w:val="24"/>
          <w:szCs w:val="24"/>
          <w:rtl w:val="0"/>
          <w:lang w:val="en-US"/>
        </w:rPr>
        <w:t xml:space="preserve"> Methodologically, it suggests that belief is worked out within a moral and social frame. A questionnaire would be unlikely to capture those shifts in tone and self-positioning. Bennett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method captures not only what her participants say they believe, but the stance they take towards those beliefs as they speak.</w:t>
      </w:r>
    </w:p>
    <w:p>
      <w:pPr>
        <w:pStyle w:val="Heading 3"/>
        <w:keepNext w:val="0"/>
        <w:keepLines w:val="0"/>
        <w:spacing w:before="0" w:after="0" w:line="240" w:lineRule="auto"/>
        <w:ind w:firstLine="360"/>
        <w:rPr>
          <w:rStyle w:val="None"/>
          <w:rFonts w:ascii="Times New Roman" w:cs="Times New Roman" w:hAnsi="Times New Roman" w:eastAsia="Times New Roman"/>
          <w:sz w:val="24"/>
          <w:szCs w:val="24"/>
        </w:rPr>
      </w:pPr>
      <w:bookmarkStart w:name="_vuhuezlo" w:id="15"/>
      <w:bookmarkEnd w:id="15"/>
      <w:r>
        <w:rPr>
          <w:rStyle w:val="None"/>
          <w:rFonts w:ascii="Times New Roman" w:hAnsi="Times New Roman"/>
          <w:sz w:val="24"/>
          <w:szCs w:val="24"/>
          <w:rtl w:val="0"/>
        </w:rPr>
        <w:t>G</w:t>
      </w:r>
      <w:r>
        <w:rPr>
          <w:rStyle w:val="None"/>
          <w:rFonts w:ascii="Times New Roman" w:hAnsi="Times New Roman"/>
          <w:sz w:val="24"/>
          <w:szCs w:val="24"/>
          <w:rtl w:val="0"/>
          <w:lang w:val="nl-NL"/>
        </w:rPr>
        <w:t>eertz</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notion of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thick description</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helps to shed light on the methodological difference between the two papers: research should do more than document what happened. It should also show what an action or statement means within its social world.</w:t>
      </w:r>
      <w:r>
        <w:rPr>
          <w:rStyle w:val="None"/>
          <w:rFonts w:ascii="Times New Roman" w:cs="Times New Roman" w:hAnsi="Times New Roman" w:eastAsia="Times New Roman"/>
          <w:sz w:val="24"/>
          <w:szCs w:val="24"/>
          <w:vertAlign w:val="superscript"/>
        </w:rPr>
        <w:footnoteReference w:id="19"/>
      </w:r>
      <w:r>
        <w:rPr>
          <w:rStyle w:val="None"/>
          <w:rFonts w:ascii="Times New Roman" w:hAnsi="Times New Roman"/>
          <w:sz w:val="24"/>
          <w:szCs w:val="24"/>
          <w:rtl w:val="0"/>
          <w:lang w:val="de-DE"/>
        </w:rPr>
        <w:t xml:space="preserve"> In Bennett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kind of analysis, small details matter because they help to demonstrate what an experience means within its social setting. Access, classification, hedging, and moral tone form part of the material under analysis. She treats the circumstances in which people speak as part of the evidence.</w:t>
      </w:r>
      <w:r>
        <w:rPr>
          <w:rStyle w:val="None"/>
          <w:rFonts w:ascii="Times New Roman" w:cs="Times New Roman" w:hAnsi="Times New Roman" w:eastAsia="Times New Roman"/>
          <w:sz w:val="24"/>
          <w:szCs w:val="24"/>
          <w:vertAlign w:val="superscript"/>
        </w:rPr>
        <w:footnoteReference w:id="20"/>
      </w:r>
      <w:r>
        <w:rPr>
          <w:rStyle w:val="None"/>
          <w:rFonts w:ascii="Times New Roman" w:hAnsi="Times New Roman"/>
          <w:sz w:val="24"/>
          <w:szCs w:val="24"/>
          <w:rtl w:val="0"/>
          <w:lang w:val="en-US"/>
        </w:rPr>
        <w:t xml:space="preserve"> This allows her to notice distinctions that a questionnaire would be less able to capture. What an earlier folklorist might have classified as an omen may be described by Bennett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informants as a premonition, while the distinction between omens, premonitions, and telepathy depends less on fixed categories than on the seriousness of the outcome.</w:t>
      </w:r>
      <w:r>
        <w:rPr>
          <w:rStyle w:val="None"/>
          <w:rFonts w:ascii="Times New Roman" w:cs="Times New Roman" w:hAnsi="Times New Roman" w:eastAsia="Times New Roman"/>
          <w:sz w:val="24"/>
          <w:szCs w:val="24"/>
          <w:vertAlign w:val="superscript"/>
        </w:rPr>
        <w:footnoteReference w:id="21"/>
      </w:r>
      <w:r>
        <w:rPr>
          <w:rStyle w:val="None"/>
          <w:rFonts w:ascii="Times New Roman" w:hAnsi="Times New Roman"/>
          <w:sz w:val="24"/>
          <w:szCs w:val="24"/>
          <w:rtl w:val="0"/>
        </w:rPr>
        <w:t xml:space="preserve"> Bennett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fieldwork allows questions of naming and interpretation to remain part of the analysis, while Brink</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survey demonstrates that different beliefs can coexist within a Catholic school sample.</w:t>
      </w:r>
      <w:r>
        <w:rPr>
          <w:rStyle w:val="None"/>
          <w:rFonts w:ascii="Times New Roman" w:cs="Times New Roman" w:hAnsi="Times New Roman" w:eastAsia="Times New Roman"/>
          <w:sz w:val="24"/>
          <w:szCs w:val="24"/>
          <w:vertAlign w:val="superscript"/>
        </w:rPr>
        <w:footnoteReference w:id="22"/>
      </w:r>
      <w:r>
        <w:rPr>
          <w:rStyle w:val="None"/>
          <w:rFonts w:ascii="Times New Roman" w:hAnsi="Times New Roman"/>
          <w:sz w:val="24"/>
          <w:szCs w:val="24"/>
          <w:rtl w:val="0"/>
        </w:rPr>
        <w:t xml:space="preserve"> </w:t>
      </w:r>
    </w:p>
    <w:p>
      <w:pPr>
        <w:pStyle w:val="Body"/>
        <w:rPr>
          <w:rStyle w:val="None"/>
          <w:outline w:val="0"/>
          <w:color w:val="434343"/>
          <w:u w:color="434343"/>
          <w14:textFill>
            <w14:solidFill>
              <w14:srgbClr w14:val="434343"/>
            </w14:solidFill>
          </w14:textFill>
        </w:rPr>
      </w:pPr>
    </w:p>
    <w:p>
      <w:pPr>
        <w:pStyle w:val="Heading 3"/>
        <w:keepNext w:val="0"/>
        <w:keepLines w:val="0"/>
        <w:spacing w:before="0" w:after="0" w:line="240" w:lineRule="auto"/>
        <w:rPr>
          <w:rStyle w:val="None"/>
          <w:rFonts w:ascii="Times New Roman" w:cs="Times New Roman" w:hAnsi="Times New Roman" w:eastAsia="Times New Roman"/>
          <w:b w:val="1"/>
          <w:bCs w:val="1"/>
          <w:sz w:val="26"/>
          <w:szCs w:val="26"/>
        </w:rPr>
      </w:pPr>
      <w:bookmarkStart w:name="_f3z3ggonegx" w:id="16"/>
      <w:bookmarkEnd w:id="16"/>
      <w:r>
        <w:rPr>
          <w:rStyle w:val="None"/>
          <w:rFonts w:ascii="Times New Roman" w:hAnsi="Times New Roman"/>
          <w:b w:val="1"/>
          <w:bCs w:val="1"/>
          <w:sz w:val="26"/>
          <w:szCs w:val="26"/>
          <w:rtl w:val="0"/>
        </w:rPr>
        <w:t>E</w:t>
      </w:r>
      <w:r>
        <w:rPr>
          <w:rStyle w:val="None"/>
          <w:rFonts w:ascii="Times New Roman" w:hAnsi="Times New Roman"/>
          <w:b w:val="1"/>
          <w:bCs w:val="1"/>
          <w:sz w:val="26"/>
          <w:szCs w:val="26"/>
          <w:rtl w:val="0"/>
          <w:lang w:val="en-US"/>
        </w:rPr>
        <w:t xml:space="preserve">thics, environment, and what the evidence reveals </w:t>
      </w:r>
    </w:p>
    <w:p>
      <w:pPr>
        <w:pStyle w:val="Heading 3"/>
        <w:keepNext w:val="0"/>
        <w:keepLines w:val="0"/>
        <w:widowControl w:val="0"/>
        <w:spacing w:before="0" w:after="0" w:line="240" w:lineRule="auto"/>
        <w:ind w:firstLine="360"/>
        <w:rPr>
          <w:rStyle w:val="None"/>
          <w:rFonts w:ascii="Times New Roman" w:cs="Times New Roman" w:hAnsi="Times New Roman" w:eastAsia="Times New Roman"/>
          <w:sz w:val="24"/>
          <w:szCs w:val="24"/>
        </w:rPr>
      </w:pPr>
      <w:bookmarkStart w:name="_r13jo4k0o2zr" w:id="17"/>
      <w:bookmarkEnd w:id="17"/>
      <w:r>
        <w:rPr>
          <w:rStyle w:val="None"/>
          <w:rFonts w:ascii="Times New Roman" w:hAnsi="Times New Roman"/>
          <w:sz w:val="24"/>
          <w:szCs w:val="24"/>
          <w:rtl w:val="0"/>
        </w:rPr>
        <w:t>I</w:t>
      </w:r>
      <w:r>
        <w:rPr>
          <w:rStyle w:val="None"/>
          <w:rFonts w:ascii="Times New Roman" w:hAnsi="Times New Roman"/>
          <w:sz w:val="24"/>
          <w:szCs w:val="24"/>
          <w:rtl w:val="0"/>
          <w:lang w:val="en-US"/>
        </w:rPr>
        <w:t xml:space="preserve">n both papers, the setting matters because it shapes what participants were willing to say and how the findings should be interpreted. Brink reports that his questionnaires were administered during a required religion class: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Whoever was present in religion class (a required course) that day got a questionnaire.</w:t>
      </w:r>
      <w:r>
        <w:rPr>
          <w:rStyle w:val="None"/>
          <w:rFonts w:ascii="Times New Roman" w:hAnsi="Times New Roman" w:hint="default"/>
          <w:sz w:val="24"/>
          <w:szCs w:val="24"/>
          <w:rtl w:val="0"/>
          <w:lang w:val="en-US"/>
        </w:rPr>
        <w:t>’</w:t>
      </w:r>
      <w:r>
        <w:rPr>
          <w:rStyle w:val="None"/>
          <w:rFonts w:ascii="Times New Roman" w:cs="Times New Roman" w:hAnsi="Times New Roman" w:eastAsia="Times New Roman"/>
          <w:sz w:val="24"/>
          <w:szCs w:val="24"/>
          <w:vertAlign w:val="superscript"/>
        </w:rPr>
        <w:footnoteReference w:id="23"/>
      </w:r>
      <w:r>
        <w:rPr>
          <w:rStyle w:val="None"/>
          <w:rFonts w:ascii="Times New Roman" w:hAnsi="Times New Roman"/>
          <w:sz w:val="24"/>
          <w:szCs w:val="24"/>
          <w:rtl w:val="0"/>
          <w:lang w:val="en-US"/>
        </w:rPr>
        <w:t xml:space="preserve"> He gives little sense of the consent procedures surrounding the study. It remains unclear whether participation was voluntary, whether students could decline to take part or withdraw, whether responses were anonymous, and how confidentiality was protected. He also does not address parental consent, although some participants may have been minors.Those gaps matter, but they also need to be read in relation to the period in which the study was conducted. Brink</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article predates current ethical guidelines and does not explain how the questionnaires were handled, stored, or accessed after collection. It is therefore difficult to judge Brink</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survey process by standards formalised much later by the GDPR. Still, those omissions affect how the findings are received. Given that the questionnaires were administered in a required religion class at a Catholic girls</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school, it is difficult to know whether the responses reflect personal conviction or the conditions in which they were produced.</w:t>
      </w:r>
      <w:r>
        <w:rPr>
          <w:rStyle w:val="None"/>
          <w:outline w:val="0"/>
          <w:color w:val="222222"/>
          <w:sz w:val="22"/>
          <w:szCs w:val="22"/>
          <w:u w:color="222222"/>
          <w:shd w:val="clear" w:color="auto" w:fill="ffffff"/>
          <w:rtl w:val="0"/>
          <w14:textFill>
            <w14:solidFill>
              <w14:srgbClr w14:val="222222"/>
            </w14:solidFill>
          </w14:textFill>
        </w:rPr>
        <w:t xml:space="preserve"> </w:t>
      </w:r>
      <w:r>
        <w:rPr>
          <w:rStyle w:val="None"/>
          <w:rFonts w:ascii="Times New Roman" w:hAnsi="Times New Roman"/>
          <w:sz w:val="24"/>
          <w:szCs w:val="24"/>
          <w:rtl w:val="0"/>
          <w:lang w:val="de-DE"/>
        </w:rPr>
        <w:t>Considering BERA</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Ethical Guidelines for Educational Research, these gaps in Brinks</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study become easier to identify. The guidelines emphasise informed consent, voluntary participation, confidentiality, and protection from undue pressure within educational contexts.</w:t>
      </w:r>
      <w:r>
        <w:rPr>
          <w:rStyle w:val="None"/>
          <w:rFonts w:ascii="Times New Roman" w:cs="Times New Roman" w:hAnsi="Times New Roman" w:eastAsia="Times New Roman"/>
          <w:sz w:val="24"/>
          <w:szCs w:val="24"/>
          <w:vertAlign w:val="superscript"/>
        </w:rPr>
        <w:footnoteReference w:id="24"/>
      </w:r>
      <w:r>
        <w:rPr>
          <w:rStyle w:val="None"/>
          <w:rFonts w:ascii="Times New Roman" w:hAnsi="Times New Roman"/>
          <w:sz w:val="24"/>
          <w:szCs w:val="24"/>
          <w:rtl w:val="0"/>
          <w:lang w:val="en-US"/>
        </w:rPr>
        <w:t xml:space="preserve"> Since Brink does not describe voluntariness, it is difficult to assess how freely the students could respond.</w:t>
      </w:r>
    </w:p>
    <w:p>
      <w:pPr>
        <w:pStyle w:val="Heading 3"/>
        <w:keepNext w:val="0"/>
        <w:keepLines w:val="0"/>
        <w:widowControl w:val="0"/>
        <w:spacing w:before="0" w:after="0" w:line="240" w:lineRule="auto"/>
        <w:ind w:firstLine="360"/>
        <w:rPr>
          <w:rStyle w:val="None"/>
          <w:rFonts w:ascii="Times New Roman" w:cs="Times New Roman" w:hAnsi="Times New Roman" w:eastAsia="Times New Roman"/>
          <w:sz w:val="24"/>
          <w:szCs w:val="24"/>
        </w:rPr>
      </w:pPr>
      <w:bookmarkStart w:name="_tsrsaztxfq7s" w:id="18"/>
      <w:bookmarkEnd w:id="18"/>
      <w:r>
        <w:rPr>
          <w:rStyle w:val="None"/>
          <w:rFonts w:ascii="Times New Roman" w:hAnsi="Times New Roman"/>
          <w:sz w:val="24"/>
          <w:szCs w:val="24"/>
          <w:rtl w:val="0"/>
        </w:rPr>
        <w:t>B</w:t>
      </w:r>
      <w:r>
        <w:rPr>
          <w:rStyle w:val="None"/>
          <w:rFonts w:ascii="Times New Roman" w:hAnsi="Times New Roman"/>
          <w:sz w:val="24"/>
          <w:szCs w:val="24"/>
          <w:rtl w:val="0"/>
          <w:lang w:val="en-US"/>
        </w:rPr>
        <w:t>ennett is much more explicit about the conditions under which the research was carried out.</w:t>
      </w:r>
    </w:p>
    <w:p>
      <w:pPr>
        <w:pStyle w:val="Heading 3"/>
        <w:keepNext w:val="0"/>
        <w:keepLines w:val="0"/>
        <w:widowControl w:val="0"/>
        <w:spacing w:before="0" w:after="0" w:line="240" w:lineRule="auto"/>
        <w:ind w:firstLine="360"/>
        <w:rPr>
          <w:rStyle w:val="None"/>
          <w:rFonts w:ascii="Times New Roman" w:cs="Times New Roman" w:hAnsi="Times New Roman" w:eastAsia="Times New Roman"/>
          <w:sz w:val="24"/>
          <w:szCs w:val="24"/>
        </w:rPr>
      </w:pPr>
      <w:bookmarkStart w:name="_faiwp93mdoe0" w:id="19"/>
      <w:bookmarkEnd w:id="19"/>
      <w:r>
        <w:rPr>
          <w:rStyle w:val="None"/>
          <w:rFonts w:ascii="Times New Roman" w:hAnsi="Times New Roman"/>
          <w:sz w:val="24"/>
          <w:szCs w:val="24"/>
          <w:rtl w:val="0"/>
        </w:rPr>
        <w:t xml:space="preserve"> </w:t>
      </w:r>
    </w:p>
    <w:p>
      <w:pPr>
        <w:pStyle w:val="Heading 3"/>
        <w:keepNext w:val="0"/>
        <w:keepLines w:val="0"/>
        <w:widowControl w:val="0"/>
        <w:spacing w:before="0" w:after="0" w:line="240" w:lineRule="auto"/>
        <w:ind w:left="720" w:firstLine="360"/>
        <w:rPr>
          <w:rStyle w:val="None"/>
          <w:rFonts w:ascii="Times New Roman" w:cs="Times New Roman" w:hAnsi="Times New Roman" w:eastAsia="Times New Roman"/>
          <w:sz w:val="24"/>
          <w:szCs w:val="24"/>
        </w:rPr>
      </w:pPr>
      <w:bookmarkStart w:name="_myewp2hq4ewp" w:id="20"/>
      <w:bookmarkEnd w:id="20"/>
      <w:r>
        <w:rPr>
          <w:rStyle w:val="None"/>
          <w:rFonts w:ascii="Times New Roman" w:hAnsi="Times New Roman"/>
          <w:sz w:val="24"/>
          <w:szCs w:val="24"/>
          <w:rtl w:val="0"/>
          <w:lang w:val="de-DE"/>
        </w:rPr>
        <w:t>W</w:t>
      </w:r>
      <w:r>
        <w:rPr>
          <w:rStyle w:val="None"/>
          <w:rFonts w:ascii="Times New Roman" w:hAnsi="Times New Roman"/>
          <w:sz w:val="24"/>
          <w:szCs w:val="24"/>
          <w:rtl w:val="0"/>
          <w:lang w:val="en-US"/>
        </w:rPr>
        <w:t>ith their permission, I simply sat in on their treatment, told them what I was researching and how I was planning to use the material, and recorded everything that was said.</w:t>
      </w:r>
      <w:r>
        <w:rPr>
          <w:rStyle w:val="None"/>
          <w:rFonts w:ascii="Times New Roman" w:cs="Times New Roman" w:hAnsi="Times New Roman" w:eastAsia="Times New Roman"/>
          <w:sz w:val="24"/>
          <w:szCs w:val="24"/>
          <w:vertAlign w:val="superscript"/>
        </w:rPr>
        <w:footnoteReference w:id="25"/>
      </w:r>
      <w:r>
        <w:rPr>
          <w:rStyle w:val="None"/>
          <w:rFonts w:ascii="Times New Roman" w:hAnsi="Times New Roman"/>
          <w:sz w:val="24"/>
          <w:szCs w:val="24"/>
          <w:rtl w:val="0"/>
        </w:rPr>
        <w:t xml:space="preserve"> </w:t>
      </w:r>
    </w:p>
    <w:p>
      <w:pPr>
        <w:pStyle w:val="Heading 3"/>
        <w:keepNext w:val="0"/>
        <w:keepLines w:val="0"/>
        <w:widowControl w:val="0"/>
        <w:spacing w:before="0" w:after="0" w:line="240" w:lineRule="auto"/>
        <w:ind w:firstLine="360"/>
        <w:rPr>
          <w:rStyle w:val="None"/>
          <w:rFonts w:ascii="Times New Roman" w:cs="Times New Roman" w:hAnsi="Times New Roman" w:eastAsia="Times New Roman"/>
          <w:sz w:val="24"/>
          <w:szCs w:val="24"/>
        </w:rPr>
      </w:pPr>
      <w:bookmarkStart w:name="_of1t3llegc45" w:id="21"/>
      <w:bookmarkEnd w:id="21"/>
    </w:p>
    <w:p>
      <w:pPr>
        <w:pStyle w:val="Heading 3"/>
        <w:keepNext w:val="0"/>
        <w:keepLines w:val="0"/>
        <w:widowControl w:val="0"/>
        <w:spacing w:before="120" w:after="120" w:line="240" w:lineRule="auto"/>
        <w:rPr>
          <w:rStyle w:val="None"/>
          <w:rFonts w:ascii="Times New Roman" w:cs="Times New Roman" w:hAnsi="Times New Roman" w:eastAsia="Times New Roman"/>
          <w:sz w:val="24"/>
          <w:szCs w:val="24"/>
        </w:rPr>
      </w:pPr>
      <w:bookmarkStart w:name="_ukih917tp7a3" w:id="22"/>
      <w:bookmarkEnd w:id="22"/>
      <w:r>
        <w:rPr>
          <w:rStyle w:val="None"/>
          <w:rFonts w:ascii="Times New Roman" w:hAnsi="Times New Roman"/>
          <w:sz w:val="24"/>
          <w:szCs w:val="24"/>
          <w:rtl w:val="0"/>
        </w:rPr>
        <w:t>S</w:t>
      </w:r>
      <w:r>
        <w:rPr>
          <w:rStyle w:val="None"/>
          <w:rFonts w:ascii="Times New Roman" w:hAnsi="Times New Roman"/>
          <w:sz w:val="24"/>
          <w:szCs w:val="24"/>
          <w:rtl w:val="0"/>
          <w:lang w:val="en-US"/>
        </w:rPr>
        <w:t xml:space="preserve">he explains that participants gave permission, that she told them what she was researching and how the material would be used, and that she recorded the conversations. </w:t>
      </w:r>
      <w:r>
        <w:rPr>
          <w:rStyle w:val="None"/>
          <w:rFonts w:ascii="Times New Roman" w:hAnsi="Times New Roman"/>
          <w:sz w:val="24"/>
          <w:szCs w:val="24"/>
          <w:shd w:val="clear" w:color="auto" w:fill="ffffff"/>
          <w:rtl w:val="0"/>
          <w:lang w:val="en-US"/>
        </w:rPr>
        <w:t xml:space="preserve">This methodological openness is a strength, even if the chapter is not ethically straightforward. </w:t>
      </w:r>
      <w:r>
        <w:rPr>
          <w:rStyle w:val="None"/>
          <w:rFonts w:ascii="Times New Roman" w:hAnsi="Times New Roman"/>
          <w:sz w:val="24"/>
          <w:szCs w:val="24"/>
          <w:rtl w:val="0"/>
          <w:lang w:val="en-US"/>
        </w:rPr>
        <w:t xml:space="preserve">The clinic is a setting of acquaintance and asymmetry. Her father acts as an intermediary, and some demographic and religious information is derived partly through his knowledge of the patients and partly through conversational inference, which she describes as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it-IT"/>
        </w:rPr>
        <w:t>impressionistic</w:t>
      </w:r>
      <w:r>
        <w:rPr>
          <w:rStyle w:val="None"/>
          <w:rFonts w:ascii="Times New Roman" w:hAnsi="Times New Roman" w:hint="default"/>
          <w:sz w:val="24"/>
          <w:szCs w:val="24"/>
          <w:rtl w:val="0"/>
          <w:lang w:val="en-US"/>
        </w:rPr>
        <w:t>’</w:t>
      </w:r>
      <w:r>
        <w:rPr>
          <w:rStyle w:val="None"/>
          <w:rFonts w:ascii="Times New Roman" w:hAnsi="Times New Roman"/>
          <w:sz w:val="24"/>
          <w:szCs w:val="24"/>
          <w:rtl w:val="0"/>
        </w:rPr>
        <w:t>.</w:t>
      </w:r>
      <w:r>
        <w:rPr>
          <w:rStyle w:val="None"/>
          <w:rFonts w:ascii="Times New Roman" w:cs="Times New Roman" w:hAnsi="Times New Roman" w:eastAsia="Times New Roman"/>
          <w:sz w:val="24"/>
          <w:szCs w:val="24"/>
          <w:vertAlign w:val="superscript"/>
        </w:rPr>
        <w:footnoteReference w:id="26"/>
      </w:r>
      <w:r>
        <w:rPr>
          <w:rStyle w:val="None"/>
          <w:rFonts w:ascii="Times New Roman" w:hAnsi="Times New Roman"/>
          <w:sz w:val="24"/>
          <w:szCs w:val="24"/>
          <w:rtl w:val="0"/>
          <w:lang w:val="en-US"/>
        </w:rPr>
        <w:t xml:space="preserve"> This creates an ethical tension of its own. The clinic may have made participants more willing to speak because the setting was familiar and socially recognisable. At the same time, a conversation mediated by an intermediary and conducted in a semi-clinical setting may also have encouraged politeness or restraint. Etherington is supportive here because she shows why setting, relationship, and researchers</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presence matter to what can be said.</w:t>
      </w:r>
      <w:r>
        <w:rPr>
          <w:rStyle w:val="None"/>
          <w:rFonts w:ascii="Times New Roman" w:cs="Times New Roman" w:hAnsi="Times New Roman" w:eastAsia="Times New Roman"/>
          <w:sz w:val="24"/>
          <w:szCs w:val="24"/>
          <w:vertAlign w:val="superscript"/>
        </w:rPr>
        <w:footnoteReference w:id="27"/>
      </w:r>
      <w:r>
        <w:rPr>
          <w:rStyle w:val="None"/>
          <w:rFonts w:ascii="Times New Roman" w:hAnsi="Times New Roman"/>
          <w:sz w:val="24"/>
          <w:szCs w:val="24"/>
          <w:rtl w:val="0"/>
          <w:lang w:val="en-US"/>
        </w:rPr>
        <w:t xml:space="preserve"> Bennett makes those conditions visible enough for the reader to consider how they shape her findings.</w:t>
      </w:r>
    </w:p>
    <w:p>
      <w:pPr>
        <w:pStyle w:val="Heading 3"/>
        <w:spacing w:after="0"/>
        <w:rPr>
          <w:rStyle w:val="None"/>
          <w:rFonts w:ascii="Times New Roman" w:cs="Times New Roman" w:hAnsi="Times New Roman" w:eastAsia="Times New Roman"/>
          <w:b w:val="1"/>
          <w:bCs w:val="1"/>
          <w:sz w:val="26"/>
          <w:szCs w:val="26"/>
        </w:rPr>
      </w:pPr>
      <w:bookmarkStart w:name="_grs4krrou" w:id="23"/>
      <w:bookmarkEnd w:id="23"/>
      <w:r>
        <w:rPr>
          <w:rStyle w:val="None"/>
          <w:rFonts w:ascii="Times New Roman" w:hAnsi="Times New Roman"/>
          <w:b w:val="1"/>
          <w:bCs w:val="1"/>
          <w:sz w:val="26"/>
          <w:szCs w:val="26"/>
          <w:rtl w:val="0"/>
        </w:rPr>
        <w:t>R</w:t>
      </w:r>
      <w:r>
        <w:rPr>
          <w:rStyle w:val="None"/>
          <w:rFonts w:ascii="Times New Roman" w:hAnsi="Times New Roman"/>
          <w:b w:val="1"/>
          <w:bCs w:val="1"/>
          <w:sz w:val="26"/>
          <w:szCs w:val="26"/>
          <w:rtl w:val="0"/>
          <w:lang w:val="en-US"/>
        </w:rPr>
        <w:t>eflexivity, insider</w:t>
      </w:r>
      <w:r>
        <w:rPr>
          <w:rStyle w:val="None"/>
          <w:rFonts w:ascii="Times New Roman" w:hAnsi="Times New Roman" w:hint="default"/>
          <w:b w:val="1"/>
          <w:bCs w:val="1"/>
          <w:sz w:val="26"/>
          <w:szCs w:val="26"/>
          <w:rtl w:val="0"/>
          <w:lang w:val="en-US"/>
        </w:rPr>
        <w:t>–</w:t>
      </w:r>
      <w:r>
        <w:rPr>
          <w:rStyle w:val="None"/>
          <w:rFonts w:ascii="Times New Roman" w:hAnsi="Times New Roman"/>
          <w:b w:val="1"/>
          <w:bCs w:val="1"/>
          <w:sz w:val="26"/>
          <w:szCs w:val="26"/>
          <w:rtl w:val="0"/>
          <w:lang w:val="en-US"/>
        </w:rPr>
        <w:t>outsider positioning</w:t>
      </w:r>
    </w:p>
    <w:p>
      <w:pPr>
        <w:pStyle w:val="Heading 3"/>
        <w:keepNext w:val="0"/>
        <w:keepLines w:val="0"/>
        <w:spacing w:before="0" w:after="0" w:line="240" w:lineRule="auto"/>
        <w:ind w:firstLine="360"/>
        <w:rPr>
          <w:rStyle w:val="None"/>
          <w:rFonts w:ascii="Times New Roman" w:cs="Times New Roman" w:hAnsi="Times New Roman" w:eastAsia="Times New Roman"/>
          <w:sz w:val="24"/>
          <w:szCs w:val="24"/>
        </w:rPr>
      </w:pPr>
      <w:bookmarkStart w:name="_j849nj3n1lr" w:id="24"/>
      <w:bookmarkEnd w:id="24"/>
      <w:r>
        <w:rPr>
          <w:rStyle w:val="None"/>
          <w:rFonts w:ascii="Times New Roman" w:hAnsi="Times New Roman"/>
          <w:sz w:val="24"/>
          <w:szCs w:val="24"/>
          <w:rtl w:val="0"/>
        </w:rPr>
        <w:t>T</w:t>
      </w:r>
      <w:r>
        <w:rPr>
          <w:rStyle w:val="None"/>
          <w:rFonts w:ascii="Times New Roman" w:hAnsi="Times New Roman"/>
          <w:sz w:val="24"/>
          <w:szCs w:val="24"/>
          <w:rtl w:val="0"/>
          <w:lang w:val="en-US"/>
        </w:rPr>
        <w:t>he reflexive contrast between the two texts is essential to their methods. Brink offers almost no self-location. The article does not discuss his relation to the school community, to Catholicism, or to the assumptions built into the questionnaire. The categories in his survey are preset: Catholic doctrine, astrology, and reincarnation. Inconsistency is posed as a logical fact and then tested empirically.</w:t>
      </w:r>
      <w:r>
        <w:rPr>
          <w:rStyle w:val="None"/>
          <w:rFonts w:ascii="Times New Roman" w:cs="Times New Roman" w:hAnsi="Times New Roman" w:eastAsia="Times New Roman"/>
          <w:sz w:val="24"/>
          <w:szCs w:val="24"/>
          <w:vertAlign w:val="superscript"/>
        </w:rPr>
        <w:footnoteReference w:id="28"/>
      </w:r>
      <w:r>
        <w:rPr>
          <w:rStyle w:val="None"/>
          <w:rFonts w:ascii="Times New Roman" w:hAnsi="Times New Roman"/>
          <w:sz w:val="24"/>
          <w:szCs w:val="24"/>
          <w:rtl w:val="0"/>
          <w:lang w:val="en-US"/>
        </w:rPr>
        <w:t xml:space="preserve"> This is a predominantly etic design.</w:t>
      </w:r>
      <w:r>
        <w:rPr>
          <w:rStyle w:val="None"/>
          <w:rFonts w:ascii="Times New Roman" w:cs="Times New Roman" w:hAnsi="Times New Roman" w:eastAsia="Times New Roman"/>
          <w:sz w:val="24"/>
          <w:szCs w:val="24"/>
          <w:vertAlign w:val="superscript"/>
        </w:rPr>
        <w:footnoteReference w:id="29"/>
      </w:r>
      <w:r>
        <w:rPr>
          <w:rStyle w:val="None"/>
          <w:rFonts w:ascii="Times New Roman" w:hAnsi="Times New Roman"/>
          <w:sz w:val="24"/>
          <w:szCs w:val="24"/>
          <w:rtl w:val="0"/>
          <w:lang w:val="en-US"/>
        </w:rPr>
        <w:t xml:space="preserve"> It studies respondents through categories defined analytically in advance. When Brink turns at the end toward a functional interpretation, suggesting that apparently incompatible beliefs may fulfil similar needs for security or ego protection, the explanation remains external to participants</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own vocabularies.</w:t>
      </w:r>
      <w:r>
        <w:rPr>
          <w:rStyle w:val="None"/>
          <w:rFonts w:ascii="Times New Roman" w:cs="Times New Roman" w:hAnsi="Times New Roman" w:eastAsia="Times New Roman"/>
          <w:sz w:val="24"/>
          <w:szCs w:val="24"/>
          <w:vertAlign w:val="superscript"/>
        </w:rPr>
        <w:footnoteReference w:id="30"/>
      </w:r>
      <w:r>
        <w:rPr>
          <w:rStyle w:val="None"/>
          <w:rFonts w:ascii="Times New Roman" w:hAnsi="Times New Roman"/>
          <w:sz w:val="24"/>
          <w:szCs w:val="24"/>
          <w:rtl w:val="0"/>
          <w:lang w:val="en-US"/>
        </w:rPr>
        <w:t xml:space="preserve"> The girls do not get to say whether they experience incompatibility, indifference, layering, symbolic overlap, or selective attachment. Their beliefs appear as an arrangement of checkboxes.</w:t>
      </w:r>
    </w:p>
    <w:p>
      <w:pPr>
        <w:pStyle w:val="Heading 3"/>
        <w:keepNext w:val="0"/>
        <w:keepLines w:val="0"/>
        <w:spacing w:before="0" w:after="0" w:line="240" w:lineRule="auto"/>
        <w:ind w:firstLine="360"/>
        <w:rPr>
          <w:rStyle w:val="None"/>
          <w:rFonts w:ascii="Times New Roman" w:cs="Times New Roman" w:hAnsi="Times New Roman" w:eastAsia="Times New Roman"/>
          <w:sz w:val="24"/>
          <w:szCs w:val="24"/>
        </w:rPr>
      </w:pPr>
      <w:bookmarkStart w:name="_e33zz0ea4jmo" w:id="25"/>
      <w:bookmarkEnd w:id="25"/>
      <w:r>
        <w:rPr>
          <w:rStyle w:val="None"/>
          <w:rFonts w:ascii="Times New Roman" w:hAnsi="Times New Roman"/>
          <w:sz w:val="24"/>
          <w:szCs w:val="24"/>
          <w:rtl w:val="0"/>
        </w:rPr>
        <w:t>B</w:t>
      </w:r>
      <w:r>
        <w:rPr>
          <w:rStyle w:val="None"/>
          <w:rFonts w:ascii="Times New Roman" w:hAnsi="Times New Roman"/>
          <w:sz w:val="24"/>
          <w:szCs w:val="24"/>
          <w:rtl w:val="0"/>
        </w:rPr>
        <w:t>ennett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position is more complex. She is not an insider in the narrow sense of sharing the same demographic location as her primary informants, but she is not wholly outside the field either. She is working in her hometown through her father</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longstanding local practice, within a fairly homogeneous social churchgoing community.</w:t>
      </w:r>
      <w:r>
        <w:rPr>
          <w:rStyle w:val="None"/>
          <w:rFonts w:ascii="Times New Roman" w:cs="Times New Roman" w:hAnsi="Times New Roman" w:eastAsia="Times New Roman"/>
          <w:sz w:val="24"/>
          <w:szCs w:val="24"/>
          <w:vertAlign w:val="superscript"/>
        </w:rPr>
        <w:footnoteReference w:id="31"/>
      </w:r>
      <w:r>
        <w:rPr>
          <w:rStyle w:val="None"/>
          <w:rFonts w:ascii="Times New Roman" w:hAnsi="Times New Roman"/>
          <w:sz w:val="24"/>
          <w:szCs w:val="24"/>
          <w:rtl w:val="0"/>
          <w:lang w:val="en-US"/>
        </w:rPr>
        <w:t xml:space="preserve"> Dwyer and Buckle</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phrase, the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space between</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helps to make sense of Bennett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approach by rejecting a binary view of insider/outsider. They argue that researchers often work from an in-between place where familiarity can ease access without creating too much distance. Bennett occupies this insider</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outsider position. She is close enough to the participants to gain their trust, but far enough removed to be attentive to how tone, classification, and social code shape what is said.</w:t>
      </w:r>
      <w:r>
        <w:rPr>
          <w:rStyle w:val="None"/>
          <w:rFonts w:ascii="Times New Roman" w:cs="Times New Roman" w:hAnsi="Times New Roman" w:eastAsia="Times New Roman"/>
          <w:sz w:val="24"/>
          <w:szCs w:val="24"/>
          <w:vertAlign w:val="superscript"/>
        </w:rPr>
        <w:footnoteReference w:id="32"/>
      </w:r>
      <w:r>
        <w:rPr>
          <w:rStyle w:val="None"/>
          <w:rFonts w:ascii="Times New Roman" w:hAnsi="Times New Roman"/>
          <w:sz w:val="24"/>
          <w:szCs w:val="24"/>
          <w:rtl w:val="0"/>
          <w:lang w:val="en-US"/>
        </w:rPr>
        <w:t xml:space="preserve"> As both an insider and an outsider, Bennett is able to balance between emic and etic perspectives throughout her chapter. For the women she studies, involuntary knowledge is treated as a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da-DK"/>
        </w:rPr>
        <w:t>gift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while active divination risks impropriety.</w:t>
      </w:r>
      <w:r>
        <w:rPr>
          <w:rStyle w:val="None"/>
          <w:rFonts w:ascii="Times New Roman" w:cs="Times New Roman" w:hAnsi="Times New Roman" w:eastAsia="Times New Roman"/>
          <w:sz w:val="24"/>
          <w:szCs w:val="24"/>
          <w:vertAlign w:val="superscript"/>
        </w:rPr>
        <w:footnoteReference w:id="33"/>
      </w:r>
      <w:r>
        <w:rPr>
          <w:rStyle w:val="None"/>
          <w:rFonts w:ascii="Times New Roman" w:hAnsi="Times New Roman"/>
          <w:sz w:val="24"/>
          <w:szCs w:val="24"/>
          <w:rtl w:val="0"/>
          <w:lang w:val="en-US"/>
        </w:rPr>
        <w:t xml:space="preserve"> She then links those distinctions to questions of propriety, acceptable conduct, and the impact of social participation, without losing sight of the women</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own vernacular.</w:t>
      </w:r>
    </w:p>
    <w:p>
      <w:pPr>
        <w:pStyle w:val="Heading 3"/>
        <w:keepNext w:val="0"/>
        <w:keepLines w:val="0"/>
        <w:spacing w:before="0" w:after="0" w:line="240" w:lineRule="auto"/>
        <w:ind w:firstLine="360"/>
        <w:rPr>
          <w:rStyle w:val="None"/>
          <w:rFonts w:ascii="Times New Roman" w:cs="Times New Roman" w:hAnsi="Times New Roman" w:eastAsia="Times New Roman"/>
          <w:sz w:val="24"/>
          <w:szCs w:val="24"/>
        </w:rPr>
      </w:pPr>
      <w:bookmarkStart w:name="_h2wmx9u7cxze" w:id="26"/>
      <w:bookmarkEnd w:id="26"/>
      <w:r>
        <w:rPr>
          <w:rStyle w:val="None"/>
          <w:rFonts w:ascii="Times New Roman" w:hAnsi="Times New Roman"/>
          <w:sz w:val="24"/>
          <w:szCs w:val="24"/>
          <w:rtl w:val="0"/>
        </w:rPr>
        <w:t>H</w:t>
      </w:r>
      <w:r>
        <w:rPr>
          <w:rStyle w:val="None"/>
          <w:rFonts w:ascii="Times New Roman" w:hAnsi="Times New Roman"/>
          <w:sz w:val="24"/>
          <w:szCs w:val="24"/>
          <w:rtl w:val="0"/>
        </w:rPr>
        <w:t>aynes</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perspective is valuable because she presents reflexivity as a crucial part of the research process, stating that it requires attention not only to participants and topic, but also to the researcher</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role in shaping what becomes evidence.</w:t>
      </w:r>
      <w:r>
        <w:rPr>
          <w:rStyle w:val="None"/>
          <w:rFonts w:ascii="Times New Roman" w:cs="Times New Roman" w:hAnsi="Times New Roman" w:eastAsia="Times New Roman"/>
          <w:sz w:val="24"/>
          <w:szCs w:val="24"/>
          <w:vertAlign w:val="superscript"/>
        </w:rPr>
        <w:footnoteReference w:id="34"/>
      </w:r>
      <w:r>
        <w:rPr>
          <w:rStyle w:val="None"/>
          <w:rFonts w:ascii="Times New Roman" w:hAnsi="Times New Roman"/>
          <w:sz w:val="24"/>
          <w:szCs w:val="24"/>
          <w:rtl w:val="0"/>
          <w:lang w:val="en-US"/>
        </w:rPr>
        <w:t xml:space="preserve"> Brink leaves that role largely unspoken, whereas Bennett repeatedly shows how topic, venue, access, and interpretive limits affect the research process. This does not remove the researcher</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influence or the effects of the setting, but it does make them easier to see.</w:t>
      </w:r>
      <w:r>
        <w:rPr>
          <w:rStyle w:val="None"/>
          <w:rFonts w:ascii="Times New Roman" w:cs="Times New Roman" w:hAnsi="Times New Roman" w:eastAsia="Times New Roman"/>
          <w:sz w:val="24"/>
          <w:szCs w:val="24"/>
          <w:vertAlign w:val="superscript"/>
        </w:rPr>
        <w:footnoteReference w:id="35"/>
      </w:r>
    </w:p>
    <w:p>
      <w:pPr>
        <w:pStyle w:val="Heading 3"/>
        <w:keepNext w:val="0"/>
        <w:keepLines w:val="0"/>
        <w:spacing w:before="0" w:after="0" w:line="240" w:lineRule="auto"/>
        <w:rPr>
          <w:rStyle w:val="None"/>
          <w:rFonts w:ascii="Times New Roman" w:cs="Times New Roman" w:hAnsi="Times New Roman" w:eastAsia="Times New Roman"/>
          <w:b w:val="1"/>
          <w:bCs w:val="1"/>
          <w:sz w:val="24"/>
          <w:szCs w:val="24"/>
        </w:rPr>
      </w:pPr>
      <w:bookmarkStart w:name="_juqxm06zopgj" w:id="27"/>
      <w:bookmarkEnd w:id="27"/>
    </w:p>
    <w:p>
      <w:pPr>
        <w:pStyle w:val="Heading 3"/>
        <w:keepNext w:val="0"/>
        <w:keepLines w:val="0"/>
        <w:spacing w:before="0" w:after="0" w:line="240" w:lineRule="auto"/>
        <w:rPr>
          <w:rStyle w:val="None"/>
          <w:rFonts w:ascii="Times New Roman" w:cs="Times New Roman" w:hAnsi="Times New Roman" w:eastAsia="Times New Roman"/>
          <w:b w:val="1"/>
          <w:bCs w:val="1"/>
          <w:sz w:val="26"/>
          <w:szCs w:val="26"/>
        </w:rPr>
      </w:pPr>
      <w:bookmarkStart w:name="_ipnclohwk4b" w:id="28"/>
      <w:bookmarkEnd w:id="28"/>
      <w:r>
        <w:rPr>
          <w:rStyle w:val="None"/>
          <w:rFonts w:ascii="Times New Roman" w:hAnsi="Times New Roman"/>
          <w:b w:val="1"/>
          <w:bCs w:val="1"/>
          <w:sz w:val="26"/>
          <w:szCs w:val="26"/>
          <w:rtl w:val="0"/>
        </w:rPr>
        <w:t>C</w:t>
      </w:r>
      <w:r>
        <w:rPr>
          <w:rStyle w:val="None"/>
          <w:rFonts w:ascii="Times New Roman" w:hAnsi="Times New Roman"/>
          <w:b w:val="1"/>
          <w:bCs w:val="1"/>
          <w:sz w:val="26"/>
          <w:szCs w:val="26"/>
          <w:rtl w:val="0"/>
          <w:lang w:val="it-IT"/>
        </w:rPr>
        <w:t>onclusion</w:t>
      </w:r>
    </w:p>
    <w:p>
      <w:pPr>
        <w:pStyle w:val="Heading 3"/>
        <w:keepNext w:val="0"/>
        <w:keepLines w:val="0"/>
        <w:spacing w:before="0" w:after="0" w:line="240" w:lineRule="auto"/>
        <w:ind w:firstLine="360"/>
        <w:rPr>
          <w:rStyle w:val="None"/>
          <w:rFonts w:ascii="Times New Roman" w:cs="Times New Roman" w:hAnsi="Times New Roman" w:eastAsia="Times New Roman"/>
          <w:sz w:val="24"/>
          <w:szCs w:val="24"/>
        </w:rPr>
      </w:pPr>
      <w:bookmarkStart w:name="_ag4wzqjcvfjf" w:id="29"/>
      <w:bookmarkEnd w:id="29"/>
      <w:r>
        <w:rPr>
          <w:rStyle w:val="None"/>
          <w:rFonts w:ascii="Times New Roman" w:hAnsi="Times New Roman"/>
          <w:sz w:val="24"/>
          <w:szCs w:val="24"/>
          <w:rtl w:val="0"/>
        </w:rPr>
        <w:t>A</w:t>
      </w:r>
      <w:r>
        <w:rPr>
          <w:rStyle w:val="None"/>
          <w:rFonts w:ascii="Times New Roman" w:hAnsi="Times New Roman"/>
          <w:sz w:val="24"/>
          <w:szCs w:val="24"/>
          <w:rtl w:val="0"/>
          <w:lang w:val="en-US"/>
        </w:rPr>
        <w:t xml:space="preserve"> comparison of Brink and Bennett across structure, methodology, ethics, and reflexive positioning brings out two quite different ways of studying belief. Brink</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article is succinct and tightly organised, using a survey to examine how different religious beliefs appear together in responses to pre-set statements. His data show that belief in astrology or reincarnation did not simply erase Catholic devotion among the high school girls; rather, different beliefs coexisted within the same sample. At the same time, his method leaves less room to explore how those combinations were understood, and the research setting remains ethically and reflexively underdescribed. Simultaneously, his method leaves less room to explore how those combinations were understood, and the research setting remains ethically and reflexively underdescribed. Bennett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chapter is strikingly different. It brings historical scholarship, research setting, and participant language together in a way that allows her research categories to be shaped through lived usage and observation. Her findings may be more limited in statistical scope, but they show much more about how belief is spoken about, understood, and managed in daily life.</w:t>
      </w:r>
    </w:p>
    <w:p>
      <w:pPr>
        <w:pStyle w:val="Heading 3"/>
        <w:keepNext w:val="0"/>
        <w:keepLines w:val="0"/>
        <w:spacing w:before="0" w:after="0" w:line="240" w:lineRule="auto"/>
        <w:ind w:firstLine="360"/>
        <w:rPr>
          <w:rStyle w:val="None"/>
          <w:rFonts w:ascii="Times New Roman" w:cs="Times New Roman" w:hAnsi="Times New Roman" w:eastAsia="Times New Roman"/>
          <w:sz w:val="24"/>
          <w:szCs w:val="24"/>
        </w:rPr>
      </w:pPr>
      <w:bookmarkStart w:name="_x9ax9d6ja5od" w:id="30"/>
      <w:bookmarkEnd w:id="30"/>
      <w:r>
        <w:rPr>
          <w:rStyle w:val="None"/>
          <w:rFonts w:ascii="Times New Roman" w:hAnsi="Times New Roman"/>
          <w:sz w:val="24"/>
          <w:szCs w:val="24"/>
          <w:rtl w:val="0"/>
        </w:rPr>
        <w:t>T</w:t>
      </w:r>
      <w:r>
        <w:rPr>
          <w:rStyle w:val="None"/>
          <w:rFonts w:ascii="Times New Roman" w:hAnsi="Times New Roman"/>
          <w:sz w:val="24"/>
          <w:szCs w:val="24"/>
          <w:rtl w:val="0"/>
          <w:lang w:val="en-US"/>
        </w:rPr>
        <w:t>aken together, the papers illuminate a deeper methodological issue. Belief takes on a different form depending on how it is studied. In Brink, belief appears across pre-selected statements. While in Bennett, it is revealed through story, hesitation, and the language women use to make sense of their experiences. Their most contrasting element lies in the different ways each defines and brings belief into view.</w:t>
      </w:r>
    </w:p>
    <w:p>
      <w:pPr>
        <w:pStyle w:val="Heading 3"/>
        <w:keepNext w:val="0"/>
        <w:keepLines w:val="0"/>
        <w:spacing w:before="0" w:after="0" w:line="240" w:lineRule="auto"/>
        <w:rPr>
          <w:rStyle w:val="None"/>
          <w:rFonts w:ascii="Times New Roman" w:cs="Times New Roman" w:hAnsi="Times New Roman" w:eastAsia="Times New Roman"/>
          <w:sz w:val="24"/>
          <w:szCs w:val="24"/>
        </w:rPr>
      </w:pPr>
      <w:bookmarkStart w:name="_ox9zftistqgl" w:id="31"/>
      <w:bookmarkEnd w:id="31"/>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Pr>
        <mc:AlternateContent>
          <mc:Choice Requires="wps">
            <w:drawing xmlns:a="http://schemas.openxmlformats.org/drawingml/2006/main">
              <wp:inline distT="0" distB="0" distL="0" distR="0">
                <wp:extent cx="5943600" cy="19050"/>
                <wp:effectExtent l="0" t="0" r="0" b="0"/>
                <wp:docPr id="1073741828" name="officeArt object" descr="Rectangle"/>
                <wp:cNvGraphicFramePr/>
                <a:graphic xmlns:a="http://schemas.openxmlformats.org/drawingml/2006/main">
                  <a:graphicData uri="http://schemas.microsoft.com/office/word/2010/wordprocessingShape">
                    <wps:wsp>
                      <wps:cNvSpPr/>
                      <wps:spPr>
                        <a:xfrm>
                          <a:off x="0" y="0"/>
                          <a:ext cx="5943600" cy="19050"/>
                        </a:xfrm>
                        <a:prstGeom prst="rect">
                          <a:avLst/>
                        </a:prstGeom>
                        <a:solidFill>
                          <a:srgbClr val="A0A0A0"/>
                        </a:solidFill>
                        <a:ln w="12700" cap="flat">
                          <a:noFill/>
                          <a:miter lim="400000"/>
                        </a:ln>
                        <a:effectLst/>
                      </wps:spPr>
                      <wps:bodyPr/>
                    </wps:wsp>
                  </a:graphicData>
                </a:graphic>
              </wp:inline>
            </w:drawing>
          </mc:Choice>
          <mc:Fallback>
            <w:pict>
              <v:rect id="_x0000_s1028" style="visibility:visible;width:468.0pt;height:1.5pt;">
                <v:fill color="#A0A0A0" opacity="100.0%" type="solid"/>
                <v:stroke on="f" weight="1.0pt" dashstyle="solid" endcap="flat" miterlimit="400.0%" joinstyle="miter" linestyle="single" startarrow="none" startarrowwidth="medium" startarrowlength="medium" endarrow="none" endarrowwidth="medium" endarrowlength="medium"/>
              </v:rect>
            </w:pict>
          </mc:Fallback>
        </mc:AlternateContent>
      </w:r>
    </w:p>
    <w:p>
      <w:pPr>
        <w:pStyle w:val="Heading 2"/>
        <w:keepNext w:val="0"/>
        <w:keepLines w:val="0"/>
        <w:spacing w:line="240" w:lineRule="auto"/>
        <w:rPr>
          <w:rStyle w:val="None"/>
          <w:rFonts w:ascii="Times New Roman" w:cs="Times New Roman" w:hAnsi="Times New Roman" w:eastAsia="Times New Roman"/>
          <w:b w:val="1"/>
          <w:bCs w:val="1"/>
          <w:outline w:val="0"/>
          <w:color w:val="434343"/>
          <w:sz w:val="28"/>
          <w:szCs w:val="28"/>
          <w:u w:color="434343"/>
          <w14:textFill>
            <w14:solidFill>
              <w14:srgbClr w14:val="434343"/>
            </w14:solidFill>
          </w14:textFill>
        </w:rPr>
      </w:pPr>
      <w:bookmarkStart w:name="_dxukl7f2vwsb" w:id="32"/>
      <w:bookmarkEnd w:id="32"/>
      <w:r>
        <w:rPr>
          <w:rStyle w:val="None"/>
          <w:rFonts w:ascii="Times New Roman" w:hAnsi="Times New Roman"/>
          <w:b w:val="1"/>
          <w:bCs w:val="1"/>
          <w:outline w:val="0"/>
          <w:color w:val="434343"/>
          <w:sz w:val="28"/>
          <w:szCs w:val="28"/>
          <w:u w:color="434343"/>
          <w:rtl w:val="0"/>
          <w14:textFill>
            <w14:solidFill>
              <w14:srgbClr w14:val="434343"/>
            </w14:solidFill>
          </w14:textFill>
        </w:rPr>
        <w:t>B</w:t>
      </w:r>
      <w:r>
        <w:rPr>
          <w:rStyle w:val="None"/>
          <w:rFonts w:ascii="Times New Roman" w:hAnsi="Times New Roman"/>
          <w:b w:val="1"/>
          <w:bCs w:val="1"/>
          <w:outline w:val="0"/>
          <w:color w:val="434343"/>
          <w:sz w:val="28"/>
          <w:szCs w:val="28"/>
          <w:u w:color="434343"/>
          <w:rtl w:val="0"/>
          <w:lang w:val="fr-FR"/>
          <w14:textFill>
            <w14:solidFill>
              <w14:srgbClr w14:val="434343"/>
            </w14:solidFill>
          </w14:textFill>
        </w:rPr>
        <w:t>ibliography</w:t>
      </w:r>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14:textFill>
            <w14:solidFill>
              <w14:srgbClr w14:val="434343"/>
            </w14:solidFill>
          </w14:textFill>
        </w:rPr>
        <w:t xml:space="preserve">Bennett, Gillian, </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en-US"/>
          <w14:textFill>
            <w14:solidFill>
              <w14:srgbClr w14:val="434343"/>
            </w14:solidFill>
          </w14:textFill>
        </w:rPr>
        <w:t>If I Knew You Were Coming, I</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en-US"/>
          <w14:textFill>
            <w14:solidFill>
              <w14:srgbClr w14:val="434343"/>
            </w14:solidFill>
          </w14:textFill>
        </w:rPr>
        <w:t>d Have Baked a Cake</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en-US"/>
          <w14:textFill>
            <w14:solidFill>
              <w14:srgbClr w14:val="434343"/>
            </w14:solidFill>
          </w14:textFill>
        </w:rPr>
        <w:t xml:space="preserve">: The Folklore of </w:t>
      </w:r>
    </w:p>
    <w:p>
      <w:pPr>
        <w:pStyle w:val="Body"/>
        <w:spacing w:line="240" w:lineRule="auto"/>
        <w:ind w:left="720" w:hanging="360"/>
        <w:rPr>
          <w:rStyle w:val="None"/>
          <w:rFonts w:ascii="Times New Roman" w:cs="Times New Roman" w:hAnsi="Times New Roman" w:eastAsia="Times New Roman"/>
          <w:i w:val="1"/>
          <w:iCs w:val="1"/>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Foreknowledge in a Neighborhood Group</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it-IT"/>
          <w14:textFill>
            <w14:solidFill>
              <w14:srgbClr w14:val="434343"/>
            </w14:solidFill>
          </w14:textFill>
        </w:rPr>
        <w:t xml:space="preserve">, in </w:t>
      </w:r>
      <w:r>
        <w:rPr>
          <w:rStyle w:val="None"/>
          <w:rFonts w:ascii="Times New Roman" w:hAnsi="Times New Roman"/>
          <w:i w:val="1"/>
          <w:iCs w:val="1"/>
          <w:outline w:val="0"/>
          <w:color w:val="434343"/>
          <w:sz w:val="24"/>
          <w:szCs w:val="24"/>
          <w:u w:color="434343"/>
          <w:rtl w:val="0"/>
          <w:lang w:val="en-US"/>
          <w14:textFill>
            <w14:solidFill>
              <w14:srgbClr w14:val="434343"/>
            </w14:solidFill>
          </w14:textFill>
        </w:rPr>
        <w:t xml:space="preserve">Out of the Ordinary: Folklore and the </w:t>
      </w:r>
    </w:p>
    <w:p>
      <w:pPr>
        <w:pStyle w:val="Body"/>
        <w:spacing w:line="240" w:lineRule="auto"/>
        <w:ind w:left="360" w:firstLine="0"/>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i w:val="1"/>
          <w:iCs w:val="1"/>
          <w:outline w:val="0"/>
          <w:color w:val="434343"/>
          <w:sz w:val="24"/>
          <w:szCs w:val="24"/>
          <w:u w:color="434343"/>
          <w:rtl w:val="0"/>
          <w:lang w:val="it-IT"/>
          <w14:textFill>
            <w14:solidFill>
              <w14:srgbClr w14:val="434343"/>
            </w14:solidFill>
          </w14:textFill>
        </w:rPr>
        <w:t>Supernatural</w:t>
      </w:r>
      <w:r>
        <w:rPr>
          <w:rStyle w:val="None"/>
          <w:rFonts w:ascii="Times New Roman" w:hAnsi="Times New Roman"/>
          <w:outline w:val="0"/>
          <w:color w:val="434343"/>
          <w:sz w:val="24"/>
          <w:szCs w:val="24"/>
          <w:u w:color="434343"/>
          <w:rtl w:val="0"/>
          <w:lang w:val="en-US"/>
          <w14:textFill>
            <w14:solidFill>
              <w14:srgbClr w14:val="434343"/>
            </w14:solidFill>
          </w14:textFill>
        </w:rPr>
        <w:t>, ed. by Barbara Walker (Logan, UT: Utah State University Press, 1995), pp. 122</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42</w:t>
      </w:r>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 xml:space="preserve">British Educational Research Association, </w:t>
      </w:r>
      <w:r>
        <w:rPr>
          <w:rStyle w:val="None"/>
          <w:rFonts w:ascii="Times New Roman" w:hAnsi="Times New Roman"/>
          <w:i w:val="1"/>
          <w:iCs w:val="1"/>
          <w:outline w:val="0"/>
          <w:color w:val="434343"/>
          <w:sz w:val="24"/>
          <w:szCs w:val="24"/>
          <w:u w:color="434343"/>
          <w:rtl w:val="0"/>
          <w:lang w:val="en-US"/>
          <w14:textFill>
            <w14:solidFill>
              <w14:srgbClr w14:val="434343"/>
            </w14:solidFill>
          </w14:textFill>
        </w:rPr>
        <w:t>Ethical Guidelines for Educational Research</w:t>
      </w:r>
      <w:r>
        <w:rPr>
          <w:rStyle w:val="None"/>
          <w:rFonts w:ascii="Times New Roman" w:hAnsi="Times New Roman"/>
          <w:outline w:val="0"/>
          <w:color w:val="434343"/>
          <w:sz w:val="24"/>
          <w:szCs w:val="24"/>
          <w:u w:color="434343"/>
          <w:rtl w:val="0"/>
          <w:lang w:val="en-US"/>
          <w14:textFill>
            <w14:solidFill>
              <w14:srgbClr w14:val="434343"/>
            </w14:solidFill>
          </w14:textFill>
        </w:rPr>
        <w:t xml:space="preserve">, 4th edn </w:t>
      </w:r>
    </w:p>
    <w:p>
      <w:pPr>
        <w:pStyle w:val="Body"/>
        <w:spacing w:line="240" w:lineRule="auto"/>
        <w:ind w:firstLine="360"/>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de-DE"/>
          <w14:textFill>
            <w14:solidFill>
              <w14:srgbClr w14:val="434343"/>
            </w14:solidFill>
          </w14:textFill>
        </w:rPr>
        <w:t>(London: BERA, 2018)</w:t>
      </w:r>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 xml:space="preserve">Brink, T. L., </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en-US"/>
          <w14:textFill>
            <w14:solidFill>
              <w14:srgbClr w14:val="434343"/>
            </w14:solidFill>
          </w14:textFill>
        </w:rPr>
        <w:t xml:space="preserve">Inconsistency of Belief among Roman Catholic Girls: Concerning Religion, </w:t>
      </w:r>
    </w:p>
    <w:p>
      <w:pPr>
        <w:pStyle w:val="Body"/>
        <w:spacing w:line="240" w:lineRule="auto"/>
        <w:ind w:firstLine="360"/>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Astrology, Reincarnation</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 xml:space="preserve">, </w:t>
      </w:r>
      <w:r>
        <w:rPr>
          <w:rStyle w:val="None"/>
          <w:rFonts w:ascii="Times New Roman" w:hAnsi="Times New Roman"/>
          <w:i w:val="1"/>
          <w:iCs w:val="1"/>
          <w:outline w:val="0"/>
          <w:color w:val="434343"/>
          <w:sz w:val="24"/>
          <w:szCs w:val="24"/>
          <w:u w:color="434343"/>
          <w:rtl w:val="0"/>
          <w:lang w:val="en-US"/>
          <w14:textFill>
            <w14:solidFill>
              <w14:srgbClr w14:val="434343"/>
            </w14:solidFill>
          </w14:textFill>
        </w:rPr>
        <w:t>Review of Religious Research</w:t>
      </w:r>
      <w:r>
        <w:rPr>
          <w:rStyle w:val="None"/>
          <w:rFonts w:ascii="Times New Roman" w:hAnsi="Times New Roman"/>
          <w:outline w:val="0"/>
          <w:color w:val="434343"/>
          <w:sz w:val="24"/>
          <w:szCs w:val="24"/>
          <w:u w:color="434343"/>
          <w:rtl w:val="0"/>
          <w14:textFill>
            <w14:solidFill>
              <w14:srgbClr w14:val="434343"/>
            </w14:solidFill>
          </w14:textFill>
        </w:rPr>
        <w:t>, 20.1 (1978), 82</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85</w:t>
      </w:r>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14:textFill>
            <w14:solidFill>
              <w14:srgbClr w14:val="434343"/>
            </w14:solidFill>
          </w14:textFill>
        </w:rPr>
        <w:t xml:space="preserve">Bryman, Alan, </w:t>
      </w:r>
      <w:r>
        <w:rPr>
          <w:rStyle w:val="None"/>
          <w:rFonts w:ascii="Times New Roman" w:hAnsi="Times New Roman"/>
          <w:i w:val="1"/>
          <w:iCs w:val="1"/>
          <w:outline w:val="0"/>
          <w:color w:val="434343"/>
          <w:sz w:val="24"/>
          <w:szCs w:val="24"/>
          <w:u w:color="434343"/>
          <w:rtl w:val="0"/>
          <w:lang w:val="en-US"/>
          <w14:textFill>
            <w14:solidFill>
              <w14:srgbClr w14:val="434343"/>
            </w14:solidFill>
          </w14:textFill>
        </w:rPr>
        <w:t>Quantity and Quality in Social Research</w:t>
      </w:r>
      <w:r>
        <w:rPr>
          <w:rStyle w:val="None"/>
          <w:rFonts w:ascii="Times New Roman" w:hAnsi="Times New Roman"/>
          <w:outline w:val="0"/>
          <w:color w:val="434343"/>
          <w:sz w:val="24"/>
          <w:szCs w:val="24"/>
          <w:u w:color="434343"/>
          <w:rtl w:val="0"/>
          <w:lang w:val="en-US"/>
          <w14:textFill>
            <w14:solidFill>
              <w14:srgbClr w14:val="434343"/>
            </w14:solidFill>
          </w14:textFill>
        </w:rPr>
        <w:t xml:space="preserve"> (London: Routledge, 1988)</w:t>
      </w:r>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 xml:space="preserve">Dwyer, S. Corbin, and Jennifer L. Buckle, </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en-US"/>
          <w14:textFill>
            <w14:solidFill>
              <w14:srgbClr w14:val="434343"/>
            </w14:solidFill>
          </w14:textFill>
        </w:rPr>
        <w:t xml:space="preserve">The Space Between: On Being an Insider-Outsider in </w:t>
      </w:r>
    </w:p>
    <w:p>
      <w:pPr>
        <w:pStyle w:val="Body"/>
        <w:spacing w:line="240" w:lineRule="auto"/>
        <w:ind w:firstLine="720"/>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Qualitative Research</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 xml:space="preserve">, </w:t>
      </w:r>
      <w:r>
        <w:rPr>
          <w:rStyle w:val="None"/>
          <w:rFonts w:ascii="Times New Roman" w:hAnsi="Times New Roman"/>
          <w:i w:val="1"/>
          <w:iCs w:val="1"/>
          <w:outline w:val="0"/>
          <w:color w:val="434343"/>
          <w:sz w:val="24"/>
          <w:szCs w:val="24"/>
          <w:u w:color="434343"/>
          <w:rtl w:val="0"/>
          <w:lang w:val="en-US"/>
          <w14:textFill>
            <w14:solidFill>
              <w14:srgbClr w14:val="434343"/>
            </w14:solidFill>
          </w14:textFill>
        </w:rPr>
        <w:t>International Journal of Qualitative Methods</w:t>
      </w:r>
      <w:r>
        <w:rPr>
          <w:rStyle w:val="None"/>
          <w:rFonts w:ascii="Times New Roman" w:hAnsi="Times New Roman"/>
          <w:outline w:val="0"/>
          <w:color w:val="434343"/>
          <w:sz w:val="24"/>
          <w:szCs w:val="24"/>
          <w:u w:color="434343"/>
          <w:rtl w:val="0"/>
          <w14:textFill>
            <w14:solidFill>
              <w14:srgbClr w14:val="434343"/>
            </w14:solidFill>
          </w14:textFill>
        </w:rPr>
        <w:t>, 8.1 (2009), 54</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63</w:t>
      </w:r>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 xml:space="preserve">Etherington, Kim, </w:t>
      </w:r>
      <w:r>
        <w:rPr>
          <w:rStyle w:val="None"/>
          <w:rFonts w:ascii="Times New Roman" w:hAnsi="Times New Roman"/>
          <w:i w:val="1"/>
          <w:iCs w:val="1"/>
          <w:outline w:val="0"/>
          <w:color w:val="434343"/>
          <w:sz w:val="24"/>
          <w:szCs w:val="24"/>
          <w:u w:color="434343"/>
          <w:rtl w:val="0"/>
          <w:lang w:val="en-US"/>
          <w14:textFill>
            <w14:solidFill>
              <w14:srgbClr w14:val="434343"/>
            </w14:solidFill>
          </w14:textFill>
        </w:rPr>
        <w:t>Becoming a Reflexive Researcher: Using Ourselves in Research</w:t>
      </w:r>
      <w:r>
        <w:rPr>
          <w:rStyle w:val="None"/>
          <w:rFonts w:ascii="Times New Roman" w:hAnsi="Times New Roman"/>
          <w:outline w:val="0"/>
          <w:color w:val="434343"/>
          <w:sz w:val="24"/>
          <w:szCs w:val="24"/>
          <w:u w:color="434343"/>
          <w:rtl w:val="0"/>
          <w14:textFill>
            <w14:solidFill>
              <w14:srgbClr w14:val="434343"/>
            </w14:solidFill>
          </w14:textFill>
        </w:rPr>
        <w:t xml:space="preserve"> (London: </w:t>
      </w:r>
    </w:p>
    <w:p>
      <w:pPr>
        <w:pStyle w:val="Body"/>
        <w:spacing w:line="240" w:lineRule="auto"/>
        <w:ind w:firstLine="360"/>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de-DE"/>
          <w14:textFill>
            <w14:solidFill>
              <w14:srgbClr w14:val="434343"/>
            </w14:solidFill>
          </w14:textFill>
        </w:rPr>
        <w:t>Jessica Kingsley, 2004)</w:t>
      </w:r>
    </w:p>
    <w:p>
      <w:pPr>
        <w:pStyle w:val="Body"/>
        <w:spacing w:line="240" w:lineRule="auto"/>
        <w:rPr>
          <w:rStyle w:val="None"/>
          <w:rFonts w:ascii="Times New Roman" w:cs="Times New Roman" w:hAnsi="Times New Roman" w:eastAsia="Times New Roman"/>
          <w:i w:val="1"/>
          <w:iCs w:val="1"/>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nl-NL"/>
          <w14:textFill>
            <w14:solidFill>
              <w14:srgbClr w14:val="434343"/>
            </w14:solidFill>
          </w14:textFill>
        </w:rPr>
        <w:t xml:space="preserve">Geertz, Clifford, </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en-US"/>
          <w14:textFill>
            <w14:solidFill>
              <w14:srgbClr w14:val="434343"/>
            </w14:solidFill>
          </w14:textFill>
        </w:rPr>
        <w:t>Thick Description: Toward an Interpretive Theory of Culture</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it-IT"/>
          <w14:textFill>
            <w14:solidFill>
              <w14:srgbClr w14:val="434343"/>
            </w14:solidFill>
          </w14:textFill>
        </w:rPr>
        <w:t xml:space="preserve">, in </w:t>
      </w:r>
      <w:r>
        <w:rPr>
          <w:rStyle w:val="None"/>
          <w:rFonts w:ascii="Times New Roman" w:hAnsi="Times New Roman"/>
          <w:i w:val="1"/>
          <w:iCs w:val="1"/>
          <w:outline w:val="0"/>
          <w:color w:val="434343"/>
          <w:sz w:val="24"/>
          <w:szCs w:val="24"/>
          <w:u w:color="434343"/>
          <w:rtl w:val="0"/>
          <w:lang w:val="en-US"/>
          <w14:textFill>
            <w14:solidFill>
              <w14:srgbClr w14:val="434343"/>
            </w14:solidFill>
          </w14:textFill>
        </w:rPr>
        <w:t xml:space="preserve">The </w:t>
      </w:r>
    </w:p>
    <w:p>
      <w:pPr>
        <w:pStyle w:val="Body"/>
        <w:spacing w:line="240" w:lineRule="auto"/>
        <w:ind w:firstLine="360"/>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i w:val="1"/>
          <w:iCs w:val="1"/>
          <w:outline w:val="0"/>
          <w:color w:val="434343"/>
          <w:sz w:val="24"/>
          <w:szCs w:val="24"/>
          <w:u w:color="434343"/>
          <w:rtl w:val="0"/>
          <w:lang w:val="en-US"/>
          <w14:textFill>
            <w14:solidFill>
              <w14:srgbClr w14:val="434343"/>
            </w14:solidFill>
          </w14:textFill>
        </w:rPr>
        <w:t>Interpretation of Cultures</w:t>
      </w:r>
      <w:r>
        <w:rPr>
          <w:rStyle w:val="None"/>
          <w:rFonts w:ascii="Times New Roman" w:hAnsi="Times New Roman"/>
          <w:outline w:val="0"/>
          <w:color w:val="434343"/>
          <w:sz w:val="24"/>
          <w:szCs w:val="24"/>
          <w:u w:color="434343"/>
          <w:rtl w:val="0"/>
          <w:lang w:val="en-US"/>
          <w14:textFill>
            <w14:solidFill>
              <w14:srgbClr w14:val="434343"/>
            </w14:solidFill>
          </w14:textFill>
        </w:rPr>
        <w:t xml:space="preserve"> (New York: Basic Books, 1973), pp. 3</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30</w:t>
      </w:r>
    </w:p>
    <w:p>
      <w:pPr>
        <w:pStyle w:val="Body"/>
        <w:spacing w:line="240" w:lineRule="auto"/>
        <w:rPr>
          <w:rStyle w:val="None"/>
          <w:rFonts w:ascii="Times New Roman" w:cs="Times New Roman" w:hAnsi="Times New Roman" w:eastAsia="Times New Roman"/>
          <w:i w:val="1"/>
          <w:iCs w:val="1"/>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 xml:space="preserve">Haynes, Kathryn, </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en-US"/>
          <w14:textFill>
            <w14:solidFill>
              <w14:srgbClr w14:val="434343"/>
            </w14:solidFill>
          </w14:textFill>
        </w:rPr>
        <w:t>Reflexivity in Qualitative Research</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it-IT"/>
          <w14:textFill>
            <w14:solidFill>
              <w14:srgbClr w14:val="434343"/>
            </w14:solidFill>
          </w14:textFill>
        </w:rPr>
        <w:t xml:space="preserve">, in </w:t>
      </w:r>
      <w:r>
        <w:rPr>
          <w:rStyle w:val="None"/>
          <w:rFonts w:ascii="Times New Roman" w:hAnsi="Times New Roman"/>
          <w:i w:val="1"/>
          <w:iCs w:val="1"/>
          <w:outline w:val="0"/>
          <w:color w:val="434343"/>
          <w:sz w:val="24"/>
          <w:szCs w:val="24"/>
          <w:u w:color="434343"/>
          <w:rtl w:val="0"/>
          <w:lang w:val="en-US"/>
          <w14:textFill>
            <w14:solidFill>
              <w14:srgbClr w14:val="434343"/>
            </w14:solidFill>
          </w14:textFill>
        </w:rPr>
        <w:t xml:space="preserve">Qualitative Research Methods in </w:t>
      </w:r>
    </w:p>
    <w:p>
      <w:pPr>
        <w:pStyle w:val="Body"/>
        <w:spacing w:line="240" w:lineRule="auto"/>
        <w:ind w:left="720" w:hanging="360"/>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i w:val="1"/>
          <w:iCs w:val="1"/>
          <w:outline w:val="0"/>
          <w:color w:val="434343"/>
          <w:sz w:val="24"/>
          <w:szCs w:val="24"/>
          <w:u w:color="434343"/>
          <w:rtl w:val="0"/>
          <w:lang w:val="fr-FR"/>
          <w14:textFill>
            <w14:solidFill>
              <w14:srgbClr w14:val="434343"/>
            </w14:solidFill>
          </w14:textFill>
        </w:rPr>
        <w:t>Human Geography</w:t>
      </w:r>
      <w:r>
        <w:rPr>
          <w:rStyle w:val="None"/>
          <w:rFonts w:ascii="Times New Roman" w:hAnsi="Times New Roman"/>
          <w:outline w:val="0"/>
          <w:color w:val="434343"/>
          <w:sz w:val="24"/>
          <w:szCs w:val="24"/>
          <w:u w:color="434343"/>
          <w:rtl w:val="0"/>
          <w:lang w:val="en-US"/>
          <w14:textFill>
            <w14:solidFill>
              <w14:srgbClr w14:val="434343"/>
            </w14:solidFill>
          </w14:textFill>
        </w:rPr>
        <w:t>, ed. by Iain Hay, 3rd edn (Oxford: Oxford University Press, 2016), pp.</w:t>
      </w:r>
    </w:p>
    <w:p>
      <w:pPr>
        <w:pStyle w:val="Body"/>
        <w:spacing w:line="240" w:lineRule="auto"/>
        <w:ind w:left="720" w:hanging="360"/>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14:textFill>
            <w14:solidFill>
              <w14:srgbClr w14:val="434343"/>
            </w14:solidFill>
          </w14:textFill>
        </w:rPr>
        <w:t>72</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89</w:t>
      </w:r>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14:textFill>
            <w14:solidFill>
              <w14:srgbClr w14:val="434343"/>
            </w14:solidFill>
          </w14:textFill>
        </w:rPr>
        <w:t xml:space="preserve">Lakoff, George, </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en-US"/>
          <w14:textFill>
            <w14:solidFill>
              <w14:srgbClr w14:val="434343"/>
            </w14:solidFill>
          </w14:textFill>
        </w:rPr>
        <w:t>Hedges: A Study in Meaning Criteria and the Logic of Fuzzy Concepts</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 xml:space="preserve">, </w:t>
      </w:r>
    </w:p>
    <w:p>
      <w:pPr>
        <w:pStyle w:val="Body"/>
        <w:spacing w:line="240" w:lineRule="auto"/>
        <w:ind w:firstLine="360"/>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i w:val="1"/>
          <w:iCs w:val="1"/>
          <w:outline w:val="0"/>
          <w:color w:val="434343"/>
          <w:sz w:val="24"/>
          <w:szCs w:val="24"/>
          <w:u w:color="434343"/>
          <w:rtl w:val="0"/>
          <w:lang w:val="en-US"/>
          <w14:textFill>
            <w14:solidFill>
              <w14:srgbClr w14:val="434343"/>
            </w14:solidFill>
          </w14:textFill>
        </w:rPr>
        <w:t>Journal of Philosophical Logic</w:t>
      </w:r>
      <w:r>
        <w:rPr>
          <w:rStyle w:val="None"/>
          <w:rFonts w:ascii="Times New Roman" w:hAnsi="Times New Roman"/>
          <w:outline w:val="0"/>
          <w:color w:val="434343"/>
          <w:sz w:val="24"/>
          <w:szCs w:val="24"/>
          <w:u w:color="434343"/>
          <w:rtl w:val="0"/>
          <w14:textFill>
            <w14:solidFill>
              <w14:srgbClr w14:val="434343"/>
            </w14:solidFill>
          </w14:textFill>
        </w:rPr>
        <w:t>, 2.4 (1973), 458</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508</w:t>
      </w:r>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it-IT"/>
          <w14:textFill>
            <w14:solidFill>
              <w14:srgbClr w14:val="434343"/>
            </w14:solidFill>
          </w14:textFill>
        </w:rPr>
        <w:t xml:space="preserve">Primiano, Leonard Norman, </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en-US"/>
          <w14:textFill>
            <w14:solidFill>
              <w14:srgbClr w14:val="434343"/>
            </w14:solidFill>
          </w14:textFill>
        </w:rPr>
        <w:t xml:space="preserve">Vernacular Religion and the Search for Method in Religious </w:t>
      </w:r>
    </w:p>
    <w:p>
      <w:pPr>
        <w:pStyle w:val="Body"/>
        <w:spacing w:line="240" w:lineRule="auto"/>
        <w:ind w:firstLine="360"/>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14:textFill>
            <w14:solidFill>
              <w14:srgbClr w14:val="434343"/>
            </w14:solidFill>
          </w14:textFill>
        </w:rPr>
        <w:t>Folklife</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 xml:space="preserve">, </w:t>
      </w:r>
      <w:r>
        <w:rPr>
          <w:rStyle w:val="None"/>
          <w:rFonts w:ascii="Times New Roman" w:hAnsi="Times New Roman"/>
          <w:i w:val="1"/>
          <w:iCs w:val="1"/>
          <w:outline w:val="0"/>
          <w:color w:val="434343"/>
          <w:sz w:val="24"/>
          <w:szCs w:val="24"/>
          <w:u w:color="434343"/>
          <w:rtl w:val="0"/>
          <w:lang w:val="de-DE"/>
          <w14:textFill>
            <w14:solidFill>
              <w14:srgbClr w14:val="434343"/>
            </w14:solidFill>
          </w14:textFill>
        </w:rPr>
        <w:t>Western Folklore</w:t>
      </w:r>
      <w:r>
        <w:rPr>
          <w:rStyle w:val="None"/>
          <w:rFonts w:ascii="Times New Roman" w:hAnsi="Times New Roman"/>
          <w:outline w:val="0"/>
          <w:color w:val="434343"/>
          <w:sz w:val="24"/>
          <w:szCs w:val="24"/>
          <w:u w:color="434343"/>
          <w:rtl w:val="0"/>
          <w14:textFill>
            <w14:solidFill>
              <w14:srgbClr w14:val="434343"/>
            </w14:solidFill>
          </w14:textFill>
        </w:rPr>
        <w:t>, 54.1 (1995), 37</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56</w:t>
      </w:r>
    </w:p>
    <w:p>
      <w:pPr>
        <w:pStyle w:val="Body"/>
        <w:spacing w:line="240" w:lineRule="auto"/>
        <w:rPr>
          <w:rStyle w:val="None"/>
          <w:rFonts w:ascii="Times New Roman" w:cs="Times New Roman" w:hAnsi="Times New Roman" w:eastAsia="Times New Roman"/>
          <w:outline w:val="0"/>
          <w:color w:val="434343"/>
          <w:sz w:val="24"/>
          <w:szCs w:val="24"/>
          <w:u w:color="434343"/>
          <w14:textFill>
            <w14:solidFill>
              <w14:srgbClr w14:val="434343"/>
            </w14:solidFill>
          </w14:textFill>
        </w:rPr>
      </w:pPr>
      <w:r>
        <w:rPr>
          <w:rStyle w:val="None"/>
          <w:rFonts w:ascii="Times New Roman" w:hAnsi="Times New Roman"/>
          <w:outline w:val="0"/>
          <w:color w:val="434343"/>
          <w:sz w:val="24"/>
          <w:szCs w:val="24"/>
          <w:u w:color="434343"/>
          <w:rtl w:val="0"/>
          <w:lang w:val="en-US"/>
          <w14:textFill>
            <w14:solidFill>
              <w14:srgbClr w14:val="434343"/>
            </w14:solidFill>
          </w14:textFill>
        </w:rPr>
        <w:t xml:space="preserve">Wuthnow, Robert, </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lang w:val="en-US"/>
          <w14:textFill>
            <w14:solidFill>
              <w14:srgbClr w14:val="434343"/>
            </w14:solidFill>
          </w14:textFill>
        </w:rPr>
        <w:t>Astrology and Marginality</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 xml:space="preserve">, </w:t>
      </w:r>
      <w:r>
        <w:rPr>
          <w:rStyle w:val="None"/>
          <w:rFonts w:ascii="Times New Roman" w:hAnsi="Times New Roman"/>
          <w:i w:val="1"/>
          <w:iCs w:val="1"/>
          <w:outline w:val="0"/>
          <w:color w:val="434343"/>
          <w:sz w:val="24"/>
          <w:szCs w:val="24"/>
          <w:u w:color="434343"/>
          <w:rtl w:val="0"/>
          <w:lang w:val="en-US"/>
          <w14:textFill>
            <w14:solidFill>
              <w14:srgbClr w14:val="434343"/>
            </w14:solidFill>
          </w14:textFill>
        </w:rPr>
        <w:t>Journal for the Scientific Study of Religion</w:t>
      </w:r>
      <w:r>
        <w:rPr>
          <w:rStyle w:val="None"/>
          <w:rFonts w:ascii="Times New Roman" w:hAnsi="Times New Roman"/>
          <w:outline w:val="0"/>
          <w:color w:val="434343"/>
          <w:sz w:val="24"/>
          <w:szCs w:val="24"/>
          <w:u w:color="434343"/>
          <w:rtl w:val="0"/>
          <w14:textFill>
            <w14:solidFill>
              <w14:srgbClr w14:val="434343"/>
            </w14:solidFill>
          </w14:textFill>
        </w:rPr>
        <w:t xml:space="preserve">, 15.2 </w:t>
      </w:r>
    </w:p>
    <w:p>
      <w:pPr>
        <w:pStyle w:val="Body"/>
        <w:spacing w:line="240" w:lineRule="auto"/>
        <w:ind w:firstLine="360"/>
      </w:pPr>
      <w:r>
        <w:rPr>
          <w:rStyle w:val="None"/>
          <w:rFonts w:ascii="Times New Roman" w:hAnsi="Times New Roman"/>
          <w:outline w:val="0"/>
          <w:color w:val="434343"/>
          <w:sz w:val="24"/>
          <w:szCs w:val="24"/>
          <w:u w:color="434343"/>
          <w:rtl w:val="0"/>
          <w14:textFill>
            <w14:solidFill>
              <w14:srgbClr w14:val="434343"/>
            </w14:solidFill>
          </w14:textFill>
        </w:rPr>
        <w:t>(1976), 157</w:t>
      </w:r>
      <w:r>
        <w:rPr>
          <w:rStyle w:val="None"/>
          <w:rFonts w:ascii="Times New Roman" w:hAnsi="Times New Roman" w:hint="default"/>
          <w:outline w:val="0"/>
          <w:color w:val="434343"/>
          <w:sz w:val="24"/>
          <w:szCs w:val="24"/>
          <w:u w:color="434343"/>
          <w:rtl w:val="0"/>
          <w:lang w:val="en-US"/>
          <w14:textFill>
            <w14:solidFill>
              <w14:srgbClr w14:val="434343"/>
            </w14:solidFill>
          </w14:textFill>
        </w:rPr>
        <w:t>–</w:t>
      </w:r>
      <w:r>
        <w:rPr>
          <w:rStyle w:val="None"/>
          <w:rFonts w:ascii="Times New Roman" w:hAnsi="Times New Roman"/>
          <w:outline w:val="0"/>
          <w:color w:val="434343"/>
          <w:sz w:val="24"/>
          <w:szCs w:val="24"/>
          <w:u w:color="434343"/>
          <w:rtl w:val="0"/>
          <w14:textFill>
            <w14:solidFill>
              <w14:srgbClr w14:val="434343"/>
            </w14:solidFill>
          </w14:textFill>
        </w:rPr>
        <w:t>68</w:t>
      </w:r>
    </w:p>
    <w:sectPr>
      <w:headerReference w:type="default" r:id="rId5"/>
      <w:headerReference w:type="first" r:id="rId6"/>
      <w:footerReference w:type="default" r:id="rId7"/>
      <w:footerReference w:type="first" r:id="rId8"/>
      <w:pgSz w:w="12240" w:h="15840" w:orient="portrait"/>
      <w:pgMar w:top="1440" w:right="1440" w:bottom="1440" w:left="1440" w:header="720" w:footer="720"/>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rFonts w:ascii="Times New Roman" w:hAnsi="Times New Roman"/>
          <w:sz w:val="20"/>
          <w:szCs w:val="20"/>
          <w:rtl w:val="0"/>
        </w:rPr>
        <w:t xml:space="preserve"> Brink, pp. 82</w:t>
      </w:r>
      <w:r>
        <w:rPr>
          <w:rStyle w:val="None"/>
          <w:rFonts w:ascii="Times New Roman" w:hAnsi="Times New Roman" w:hint="default"/>
          <w:sz w:val="20"/>
          <w:szCs w:val="20"/>
          <w:rtl w:val="0"/>
          <w:lang w:val="en-US"/>
        </w:rPr>
        <w:t>–</w:t>
      </w:r>
      <w:r>
        <w:rPr>
          <w:rStyle w:val="None"/>
          <w:rFonts w:ascii="Times New Roman" w:hAnsi="Times New Roman"/>
          <w:sz w:val="20"/>
          <w:szCs w:val="20"/>
          <w:rtl w:val="0"/>
        </w:rPr>
        <w:t>83; Bennett, p. 122.</w:t>
      </w:r>
    </w:p>
  </w:footnote>
  <w:footnote w:id="2">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Brink, pp. 82</w:t>
      </w:r>
      <w:r>
        <w:rPr>
          <w:rStyle w:val="None"/>
          <w:rFonts w:ascii="Times New Roman" w:hAnsi="Times New Roman" w:hint="default"/>
          <w:sz w:val="20"/>
          <w:szCs w:val="20"/>
          <w:rtl w:val="0"/>
          <w:lang w:val="en-US"/>
        </w:rPr>
        <w:t>–</w:t>
      </w:r>
      <w:r>
        <w:rPr>
          <w:rStyle w:val="None"/>
          <w:rFonts w:ascii="Times New Roman" w:hAnsi="Times New Roman"/>
          <w:sz w:val="20"/>
          <w:szCs w:val="20"/>
          <w:rtl w:val="0"/>
        </w:rPr>
        <w:t xml:space="preserve">83. </w:t>
      </w:r>
    </w:p>
  </w:footnote>
  <w:footnote w:id="3">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rFonts w:ascii="Times New Roman" w:hAnsi="Times New Roman"/>
          <w:sz w:val="20"/>
          <w:szCs w:val="20"/>
          <w:rtl w:val="0"/>
        </w:rPr>
        <w:t xml:space="preserve"> Brink, p. 82.</w:t>
      </w:r>
    </w:p>
  </w:footnote>
  <w:footnote w:id="4">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Bennett, p. 122.</w:t>
      </w:r>
    </w:p>
  </w:footnote>
  <w:footnote w:id="5">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Bennett, pp. 122</w:t>
      </w:r>
      <w:r>
        <w:rPr>
          <w:rStyle w:val="None"/>
          <w:rFonts w:ascii="Times New Roman" w:hAnsi="Times New Roman" w:hint="default"/>
          <w:sz w:val="20"/>
          <w:szCs w:val="20"/>
          <w:rtl w:val="0"/>
          <w:lang w:val="en-US"/>
        </w:rPr>
        <w:t>–</w:t>
      </w:r>
      <w:r>
        <w:rPr>
          <w:rStyle w:val="None"/>
          <w:rFonts w:ascii="Times New Roman" w:hAnsi="Times New Roman"/>
          <w:sz w:val="20"/>
          <w:szCs w:val="20"/>
          <w:rtl w:val="0"/>
        </w:rPr>
        <w:t>27.</w:t>
      </w:r>
    </w:p>
  </w:footnote>
  <w:footnote w:id="6">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Brink, pp. 82, 84</w:t>
      </w:r>
      <w:r>
        <w:rPr>
          <w:rStyle w:val="None"/>
          <w:rFonts w:ascii="Times New Roman" w:hAnsi="Times New Roman" w:hint="default"/>
          <w:sz w:val="20"/>
          <w:szCs w:val="20"/>
          <w:rtl w:val="0"/>
          <w:lang w:val="en-US"/>
        </w:rPr>
        <w:t>–</w:t>
      </w:r>
      <w:r>
        <w:rPr>
          <w:rStyle w:val="None"/>
          <w:rFonts w:ascii="Times New Roman" w:hAnsi="Times New Roman"/>
          <w:sz w:val="20"/>
          <w:szCs w:val="20"/>
          <w:rtl w:val="0"/>
        </w:rPr>
        <w:t>85.</w:t>
      </w:r>
    </w:p>
  </w:footnote>
  <w:footnote w:id="7">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Brink, p. 85.</w:t>
      </w:r>
    </w:p>
  </w:footnote>
  <w:footnote w:id="8">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Bennett, p. 126.</w:t>
      </w:r>
    </w:p>
  </w:footnote>
  <w:footnote w:id="9">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Bennett, pp. 123</w:t>
      </w:r>
      <w:r>
        <w:rPr>
          <w:rStyle w:val="None"/>
          <w:rFonts w:ascii="Times New Roman" w:hAnsi="Times New Roman" w:hint="default"/>
          <w:sz w:val="20"/>
          <w:szCs w:val="20"/>
          <w:rtl w:val="0"/>
          <w:lang w:val="en-US"/>
        </w:rPr>
        <w:t>–</w:t>
      </w:r>
      <w:r>
        <w:rPr>
          <w:rStyle w:val="None"/>
          <w:rFonts w:ascii="Times New Roman" w:hAnsi="Times New Roman"/>
          <w:sz w:val="20"/>
          <w:szCs w:val="20"/>
          <w:rtl w:val="0"/>
        </w:rPr>
        <w:t>26.</w:t>
      </w:r>
    </w:p>
  </w:footnote>
  <w:footnote w:id="10">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lang w:val="en-US"/>
        </w:rPr>
        <w:t xml:space="preserve">Robert Wuthnow, </w:t>
      </w:r>
      <w:r>
        <w:rPr>
          <w:rStyle w:val="None"/>
          <w:rFonts w:ascii="Times New Roman" w:hAnsi="Times New Roman" w:hint="default"/>
          <w:sz w:val="20"/>
          <w:szCs w:val="20"/>
          <w:rtl w:val="0"/>
          <w:lang w:val="en-US"/>
        </w:rPr>
        <w:t>‘</w:t>
      </w:r>
      <w:r>
        <w:rPr>
          <w:rStyle w:val="None"/>
          <w:rFonts w:ascii="Times New Roman" w:hAnsi="Times New Roman"/>
          <w:sz w:val="20"/>
          <w:szCs w:val="20"/>
          <w:rtl w:val="0"/>
          <w:lang w:val="en-US"/>
        </w:rPr>
        <w:t>Astrology and Marginality</w:t>
      </w:r>
      <w:r>
        <w:rPr>
          <w:rStyle w:val="None"/>
          <w:rFonts w:ascii="Times New Roman" w:hAnsi="Times New Roman" w:hint="default"/>
          <w:sz w:val="20"/>
          <w:szCs w:val="20"/>
          <w:rtl w:val="0"/>
          <w:lang w:val="en-US"/>
        </w:rPr>
        <w:t>’</w:t>
      </w:r>
      <w:r>
        <w:rPr>
          <w:rStyle w:val="None"/>
          <w:rFonts w:ascii="Times New Roman" w:hAnsi="Times New Roman"/>
          <w:sz w:val="20"/>
          <w:szCs w:val="20"/>
          <w:rtl w:val="0"/>
        </w:rPr>
        <w:t xml:space="preserve">, </w:t>
      </w:r>
      <w:r>
        <w:rPr>
          <w:rStyle w:val="None"/>
          <w:rFonts w:ascii="Times New Roman" w:hAnsi="Times New Roman"/>
          <w:i w:val="1"/>
          <w:iCs w:val="1"/>
          <w:sz w:val="20"/>
          <w:szCs w:val="20"/>
          <w:rtl w:val="0"/>
          <w:lang w:val="en-US"/>
        </w:rPr>
        <w:t>Journal for the Scientific Study of Religion</w:t>
      </w:r>
      <w:r>
        <w:rPr>
          <w:rStyle w:val="None"/>
          <w:rFonts w:ascii="Times New Roman" w:hAnsi="Times New Roman"/>
          <w:sz w:val="20"/>
          <w:szCs w:val="20"/>
          <w:rtl w:val="0"/>
        </w:rPr>
        <w:t>, 15.2 (1976), 157</w:t>
      </w:r>
      <w:r>
        <w:rPr>
          <w:rStyle w:val="None"/>
          <w:rFonts w:ascii="Times New Roman" w:hAnsi="Times New Roman" w:hint="default"/>
          <w:sz w:val="20"/>
          <w:szCs w:val="20"/>
          <w:rtl w:val="0"/>
          <w:lang w:val="en-US"/>
        </w:rPr>
        <w:t>–</w:t>
      </w:r>
      <w:r>
        <w:rPr>
          <w:rStyle w:val="None"/>
          <w:rFonts w:ascii="Times New Roman" w:hAnsi="Times New Roman"/>
          <w:sz w:val="20"/>
          <w:szCs w:val="20"/>
          <w:rtl w:val="0"/>
        </w:rPr>
        <w:t>68 (p. 160).</w:t>
      </w:r>
    </w:p>
  </w:footnote>
  <w:footnote w:id="11">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lang w:val="it-IT"/>
        </w:rPr>
        <w:t xml:space="preserve">Leonard Norman Primiano, </w:t>
      </w:r>
      <w:r>
        <w:rPr>
          <w:rStyle w:val="None"/>
          <w:rFonts w:ascii="Times New Roman" w:hAnsi="Times New Roman" w:hint="default"/>
          <w:sz w:val="20"/>
          <w:szCs w:val="20"/>
          <w:rtl w:val="0"/>
          <w:lang w:val="en-US"/>
        </w:rPr>
        <w:t>‘</w:t>
      </w:r>
      <w:r>
        <w:rPr>
          <w:rStyle w:val="None"/>
          <w:rFonts w:ascii="Times New Roman" w:hAnsi="Times New Roman"/>
          <w:sz w:val="20"/>
          <w:szCs w:val="20"/>
          <w:rtl w:val="0"/>
          <w:lang w:val="en-US"/>
        </w:rPr>
        <w:t>Vernacular Religion and the Search for Method in Religious Folklife</w:t>
      </w:r>
      <w:r>
        <w:rPr>
          <w:rStyle w:val="None"/>
          <w:rFonts w:ascii="Times New Roman" w:hAnsi="Times New Roman" w:hint="default"/>
          <w:sz w:val="20"/>
          <w:szCs w:val="20"/>
          <w:rtl w:val="0"/>
          <w:lang w:val="en-US"/>
        </w:rPr>
        <w:t>’</w:t>
      </w:r>
      <w:r>
        <w:rPr>
          <w:rStyle w:val="None"/>
          <w:rFonts w:ascii="Times New Roman" w:hAnsi="Times New Roman"/>
          <w:sz w:val="20"/>
          <w:szCs w:val="20"/>
          <w:rtl w:val="0"/>
        </w:rPr>
        <w:t xml:space="preserve">, </w:t>
      </w:r>
      <w:r>
        <w:rPr>
          <w:rStyle w:val="None"/>
          <w:rFonts w:ascii="Times New Roman" w:hAnsi="Times New Roman"/>
          <w:i w:val="1"/>
          <w:iCs w:val="1"/>
          <w:sz w:val="20"/>
          <w:szCs w:val="20"/>
          <w:rtl w:val="0"/>
          <w:lang w:val="de-DE"/>
        </w:rPr>
        <w:t>Western Folklore</w:t>
      </w:r>
      <w:r>
        <w:rPr>
          <w:rStyle w:val="None"/>
          <w:rFonts w:ascii="Times New Roman" w:hAnsi="Times New Roman"/>
          <w:sz w:val="20"/>
          <w:szCs w:val="20"/>
          <w:rtl w:val="0"/>
        </w:rPr>
        <w:t>, 54.1 (1995), 37</w:t>
      </w:r>
      <w:r>
        <w:rPr>
          <w:rStyle w:val="None"/>
          <w:rFonts w:ascii="Times New Roman" w:hAnsi="Times New Roman" w:hint="default"/>
          <w:sz w:val="20"/>
          <w:szCs w:val="20"/>
          <w:rtl w:val="0"/>
          <w:lang w:val="en-US"/>
        </w:rPr>
        <w:t>–</w:t>
      </w:r>
      <w:r>
        <w:rPr>
          <w:rStyle w:val="None"/>
          <w:rFonts w:ascii="Times New Roman" w:hAnsi="Times New Roman"/>
          <w:sz w:val="20"/>
          <w:szCs w:val="20"/>
          <w:rtl w:val="0"/>
        </w:rPr>
        <w:t>56 (p. 44).</w:t>
      </w:r>
    </w:p>
  </w:footnote>
  <w:footnote w:id="12">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rFonts w:ascii="Times New Roman" w:hAnsi="Times New Roman"/>
          <w:sz w:val="20"/>
          <w:szCs w:val="20"/>
          <w:rtl w:val="0"/>
        </w:rPr>
        <w:t xml:space="preserve"> Brink, p. 83.</w:t>
      </w:r>
    </w:p>
  </w:footnote>
  <w:footnote w:id="13">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Brink, p. 83.</w:t>
      </w:r>
    </w:p>
  </w:footnote>
  <w:footnote w:id="14">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Brink, pp. 83</w:t>
      </w:r>
      <w:r>
        <w:rPr>
          <w:rStyle w:val="None"/>
          <w:rFonts w:ascii="Times New Roman" w:hAnsi="Times New Roman" w:hint="default"/>
          <w:sz w:val="20"/>
          <w:szCs w:val="20"/>
          <w:rtl w:val="0"/>
          <w:lang w:val="en-US"/>
        </w:rPr>
        <w:t>–</w:t>
      </w:r>
      <w:r>
        <w:rPr>
          <w:rStyle w:val="None"/>
          <w:rFonts w:ascii="Times New Roman" w:hAnsi="Times New Roman"/>
          <w:sz w:val="20"/>
          <w:szCs w:val="20"/>
          <w:rtl w:val="0"/>
        </w:rPr>
        <w:t>84.</w:t>
      </w:r>
    </w:p>
  </w:footnote>
  <w:footnote w:id="15">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 xml:space="preserve">Alan Bryman, </w:t>
      </w:r>
      <w:r>
        <w:rPr>
          <w:rStyle w:val="None"/>
          <w:rFonts w:ascii="Times New Roman" w:hAnsi="Times New Roman"/>
          <w:i w:val="1"/>
          <w:iCs w:val="1"/>
          <w:sz w:val="20"/>
          <w:szCs w:val="20"/>
          <w:rtl w:val="0"/>
          <w:lang w:val="en-US"/>
        </w:rPr>
        <w:t>Quantity and Quality in Social Research</w:t>
      </w:r>
      <w:r>
        <w:rPr>
          <w:rStyle w:val="None"/>
          <w:rFonts w:ascii="Times New Roman" w:hAnsi="Times New Roman"/>
          <w:sz w:val="20"/>
          <w:szCs w:val="20"/>
          <w:rtl w:val="0"/>
          <w:lang w:val="en-US"/>
        </w:rPr>
        <w:t xml:space="preserve"> (London: Routledge, 1988), pp. 94</w:t>
      </w:r>
      <w:r>
        <w:rPr>
          <w:rStyle w:val="None"/>
          <w:rFonts w:ascii="Times New Roman" w:hAnsi="Times New Roman" w:hint="default"/>
          <w:sz w:val="20"/>
          <w:szCs w:val="20"/>
          <w:rtl w:val="0"/>
          <w:lang w:val="en-US"/>
        </w:rPr>
        <w:t>–</w:t>
      </w:r>
      <w:r>
        <w:rPr>
          <w:rStyle w:val="None"/>
          <w:rFonts w:ascii="Times New Roman" w:hAnsi="Times New Roman"/>
          <w:sz w:val="20"/>
          <w:szCs w:val="20"/>
          <w:rtl w:val="0"/>
        </w:rPr>
        <w:t>121.</w:t>
      </w:r>
    </w:p>
  </w:footnote>
  <w:footnote w:id="16">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Bennett, p. 127.</w:t>
      </w:r>
    </w:p>
  </w:footnote>
  <w:footnote w:id="17">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shd w:val="clear" w:color="auto" w:fill="ffffff"/>
          <w:rtl w:val="0"/>
        </w:rPr>
        <w:t>Bennett, pp. 127</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rPr>
        <w:t>28.</w:t>
      </w:r>
    </w:p>
  </w:footnote>
  <w:footnote w:id="18">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shd w:val="clear" w:color="auto" w:fill="ffffff"/>
          <w:rtl w:val="0"/>
        </w:rPr>
        <w:t>Bennett, pp. 127</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rPr>
        <w:t>28, 133</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rPr>
        <w:t>35</w:t>
      </w:r>
    </w:p>
  </w:footnote>
  <w:footnote w:id="19">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lang w:val="nl-NL"/>
        </w:rPr>
        <w:t xml:space="preserve">Clifford Geertz, </w:t>
      </w:r>
      <w:r>
        <w:rPr>
          <w:rStyle w:val="None"/>
          <w:rFonts w:ascii="Times New Roman" w:hAnsi="Times New Roman" w:hint="default"/>
          <w:sz w:val="20"/>
          <w:szCs w:val="20"/>
          <w:rtl w:val="0"/>
          <w:lang w:val="en-US"/>
        </w:rPr>
        <w:t>‘</w:t>
      </w:r>
      <w:r>
        <w:rPr>
          <w:rStyle w:val="None"/>
          <w:rFonts w:ascii="Times New Roman" w:hAnsi="Times New Roman"/>
          <w:sz w:val="20"/>
          <w:szCs w:val="20"/>
          <w:rtl w:val="0"/>
          <w:lang w:val="en-US"/>
        </w:rPr>
        <w:t>Thick Description: Toward an Interpretive Theory of Culture</w:t>
      </w:r>
      <w:r>
        <w:rPr>
          <w:rStyle w:val="None"/>
          <w:rFonts w:ascii="Times New Roman" w:hAnsi="Times New Roman" w:hint="default"/>
          <w:sz w:val="20"/>
          <w:szCs w:val="20"/>
          <w:rtl w:val="0"/>
          <w:lang w:val="en-US"/>
        </w:rPr>
        <w:t>’</w:t>
      </w:r>
      <w:r>
        <w:rPr>
          <w:rStyle w:val="None"/>
          <w:rFonts w:ascii="Times New Roman" w:hAnsi="Times New Roman"/>
          <w:sz w:val="20"/>
          <w:szCs w:val="20"/>
          <w:rtl w:val="0"/>
          <w:lang w:val="it-IT"/>
        </w:rPr>
        <w:t xml:space="preserve">, in </w:t>
      </w:r>
      <w:r>
        <w:rPr>
          <w:rStyle w:val="None"/>
          <w:rFonts w:ascii="Times New Roman" w:hAnsi="Times New Roman"/>
          <w:i w:val="1"/>
          <w:iCs w:val="1"/>
          <w:sz w:val="20"/>
          <w:szCs w:val="20"/>
          <w:rtl w:val="0"/>
          <w:lang w:val="en-US"/>
        </w:rPr>
        <w:t xml:space="preserve">The Interpretation of Cultures </w:t>
      </w:r>
      <w:r>
        <w:rPr>
          <w:rStyle w:val="None"/>
          <w:rFonts w:ascii="Times New Roman" w:hAnsi="Times New Roman"/>
          <w:sz w:val="20"/>
          <w:szCs w:val="20"/>
          <w:rtl w:val="0"/>
          <w:lang w:val="en-US"/>
        </w:rPr>
        <w:t>(New York: Basic Books, 1973), pp. 3</w:t>
      </w:r>
      <w:r>
        <w:rPr>
          <w:rStyle w:val="None"/>
          <w:rFonts w:ascii="Times New Roman" w:hAnsi="Times New Roman" w:hint="default"/>
          <w:sz w:val="20"/>
          <w:szCs w:val="20"/>
          <w:rtl w:val="0"/>
          <w:lang w:val="en-US"/>
        </w:rPr>
        <w:t>–</w:t>
      </w:r>
      <w:r>
        <w:rPr>
          <w:rStyle w:val="None"/>
          <w:rFonts w:ascii="Times New Roman" w:hAnsi="Times New Roman"/>
          <w:sz w:val="20"/>
          <w:szCs w:val="20"/>
          <w:rtl w:val="0"/>
        </w:rPr>
        <w:t>30 (pp. 6</w:t>
      </w:r>
      <w:r>
        <w:rPr>
          <w:rStyle w:val="None"/>
          <w:rFonts w:ascii="Times New Roman" w:hAnsi="Times New Roman" w:hint="default"/>
          <w:sz w:val="20"/>
          <w:szCs w:val="20"/>
          <w:rtl w:val="0"/>
          <w:lang w:val="en-US"/>
        </w:rPr>
        <w:t>–</w:t>
      </w:r>
      <w:r>
        <w:rPr>
          <w:rStyle w:val="None"/>
          <w:rFonts w:ascii="Times New Roman" w:hAnsi="Times New Roman"/>
          <w:sz w:val="20"/>
          <w:szCs w:val="20"/>
          <w:rtl w:val="0"/>
        </w:rPr>
        <w:t>10).</w:t>
      </w:r>
    </w:p>
  </w:footnote>
  <w:footnote w:id="20">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Bennett, pp. 127</w:t>
      </w:r>
      <w:r>
        <w:rPr>
          <w:rStyle w:val="None"/>
          <w:rFonts w:ascii="Times New Roman" w:hAnsi="Times New Roman" w:hint="default"/>
          <w:sz w:val="20"/>
          <w:szCs w:val="20"/>
          <w:rtl w:val="0"/>
          <w:lang w:val="en-US"/>
        </w:rPr>
        <w:t>–</w:t>
      </w:r>
      <w:r>
        <w:rPr>
          <w:rStyle w:val="None"/>
          <w:rFonts w:ascii="Times New Roman" w:hAnsi="Times New Roman"/>
          <w:sz w:val="20"/>
          <w:szCs w:val="20"/>
          <w:rtl w:val="0"/>
        </w:rPr>
        <w:t>28, 133</w:t>
      </w:r>
      <w:r>
        <w:rPr>
          <w:rStyle w:val="None"/>
          <w:rFonts w:ascii="Times New Roman" w:hAnsi="Times New Roman" w:hint="default"/>
          <w:sz w:val="20"/>
          <w:szCs w:val="20"/>
          <w:rtl w:val="0"/>
          <w:lang w:val="en-US"/>
        </w:rPr>
        <w:t>–</w:t>
      </w:r>
      <w:r>
        <w:rPr>
          <w:rStyle w:val="None"/>
          <w:rFonts w:ascii="Times New Roman" w:hAnsi="Times New Roman"/>
          <w:sz w:val="20"/>
          <w:szCs w:val="20"/>
          <w:rtl w:val="0"/>
          <w:lang w:val="nl-NL"/>
        </w:rPr>
        <w:t xml:space="preserve">39; George Lakoff, </w:t>
      </w:r>
      <w:r>
        <w:rPr>
          <w:rStyle w:val="None"/>
          <w:rFonts w:ascii="Times New Roman" w:hAnsi="Times New Roman" w:hint="default"/>
          <w:sz w:val="20"/>
          <w:szCs w:val="20"/>
          <w:rtl w:val="0"/>
          <w:lang w:val="en-US"/>
        </w:rPr>
        <w:t>‘</w:t>
      </w:r>
      <w:r>
        <w:rPr>
          <w:rStyle w:val="None"/>
          <w:rFonts w:ascii="Times New Roman" w:hAnsi="Times New Roman"/>
          <w:sz w:val="20"/>
          <w:szCs w:val="20"/>
          <w:rtl w:val="0"/>
          <w:lang w:val="en-US"/>
        </w:rPr>
        <w:t>Hedges: A Study in Meaning Criteria and the Logic of Fuzzy Concepts</w:t>
      </w:r>
      <w:r>
        <w:rPr>
          <w:rStyle w:val="None"/>
          <w:rFonts w:ascii="Times New Roman" w:hAnsi="Times New Roman" w:hint="default"/>
          <w:sz w:val="20"/>
          <w:szCs w:val="20"/>
          <w:rtl w:val="0"/>
          <w:lang w:val="en-US"/>
        </w:rPr>
        <w:t>’</w:t>
      </w:r>
      <w:r>
        <w:rPr>
          <w:rStyle w:val="None"/>
          <w:rFonts w:ascii="Times New Roman" w:hAnsi="Times New Roman"/>
          <w:sz w:val="20"/>
          <w:szCs w:val="20"/>
          <w:rtl w:val="0"/>
        </w:rPr>
        <w:t xml:space="preserve">, </w:t>
      </w:r>
      <w:r>
        <w:rPr>
          <w:rStyle w:val="None"/>
          <w:rFonts w:ascii="Times New Roman" w:hAnsi="Times New Roman"/>
          <w:i w:val="1"/>
          <w:iCs w:val="1"/>
          <w:sz w:val="20"/>
          <w:szCs w:val="20"/>
          <w:rtl w:val="0"/>
          <w:lang w:val="en-US"/>
        </w:rPr>
        <w:t>Journal of Philosophical Logic</w:t>
      </w:r>
      <w:r>
        <w:rPr>
          <w:rStyle w:val="None"/>
          <w:rFonts w:ascii="Times New Roman" w:hAnsi="Times New Roman"/>
          <w:sz w:val="20"/>
          <w:szCs w:val="20"/>
          <w:rtl w:val="0"/>
        </w:rPr>
        <w:t>, 2.4 (1973), 458</w:t>
      </w:r>
      <w:r>
        <w:rPr>
          <w:rStyle w:val="None"/>
          <w:rFonts w:ascii="Times New Roman" w:hAnsi="Times New Roman" w:hint="default"/>
          <w:sz w:val="20"/>
          <w:szCs w:val="20"/>
          <w:rtl w:val="0"/>
          <w:lang w:val="en-US"/>
        </w:rPr>
        <w:t>–</w:t>
      </w:r>
      <w:r>
        <w:rPr>
          <w:rStyle w:val="None"/>
          <w:rFonts w:ascii="Times New Roman" w:hAnsi="Times New Roman"/>
          <w:sz w:val="20"/>
          <w:szCs w:val="20"/>
          <w:rtl w:val="0"/>
        </w:rPr>
        <w:t>508.</w:t>
      </w:r>
    </w:p>
  </w:footnote>
  <w:footnote w:id="21">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shd w:val="clear" w:color="auto" w:fill="ffffff"/>
          <w:rtl w:val="0"/>
        </w:rPr>
        <w:t>Bennett, p. 126.</w:t>
      </w:r>
    </w:p>
  </w:footnote>
  <w:footnote w:id="22">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hint="default"/>
          <w:sz w:val="20"/>
          <w:szCs w:val="20"/>
          <w:rtl w:val="0"/>
          <w:lang w:val="en-US"/>
        </w:rPr>
        <w:t>​​</w:t>
      </w:r>
      <w:r>
        <w:rPr>
          <w:rStyle w:val="None"/>
          <w:rFonts w:ascii="Times New Roman" w:hAnsi="Times New Roman"/>
          <w:sz w:val="20"/>
          <w:szCs w:val="20"/>
          <w:shd w:val="clear" w:color="auto" w:fill="ffffff"/>
          <w:rtl w:val="0"/>
        </w:rPr>
        <w:t>Brink, pp. 83</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rPr>
        <w:t>84; Bennett, pp. 126</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rPr>
        <w:t>27, 133</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rPr>
        <w:t>39.</w:t>
      </w:r>
    </w:p>
  </w:footnote>
  <w:footnote w:id="23">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shd w:val="clear" w:color="auto" w:fill="ffffff"/>
          <w:rtl w:val="0"/>
        </w:rPr>
        <w:t>Brink, p. 83.</w:t>
      </w:r>
    </w:p>
  </w:footnote>
  <w:footnote w:id="24">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shd w:val="clear" w:color="auto" w:fill="ffffff"/>
          <w:rtl w:val="0"/>
          <w:lang w:val="en-US"/>
        </w:rPr>
        <w:t>British Educational Research Association,</w:t>
      </w:r>
      <w:r>
        <w:rPr>
          <w:rStyle w:val="None"/>
          <w:rFonts w:ascii="Times New Roman" w:hAnsi="Times New Roman"/>
          <w:sz w:val="20"/>
          <w:szCs w:val="20"/>
          <w:rtl w:val="0"/>
        </w:rPr>
        <w:t xml:space="preserve"> </w:t>
      </w:r>
      <w:r>
        <w:rPr>
          <w:rStyle w:val="None"/>
          <w:rFonts w:ascii="Times New Roman" w:hAnsi="Times New Roman"/>
          <w:i w:val="1"/>
          <w:iCs w:val="1"/>
          <w:sz w:val="20"/>
          <w:szCs w:val="20"/>
          <w:rtl w:val="0"/>
          <w:lang w:val="en-US"/>
        </w:rPr>
        <w:t>Ethical Guidelines for Educational Research</w:t>
      </w:r>
      <w:r>
        <w:rPr>
          <w:rStyle w:val="None"/>
          <w:rFonts w:ascii="Times New Roman" w:hAnsi="Times New Roman"/>
          <w:sz w:val="20"/>
          <w:szCs w:val="20"/>
          <w:shd w:val="clear" w:color="auto" w:fill="ffffff"/>
          <w:rtl w:val="0"/>
          <w:lang w:val="en-US"/>
        </w:rPr>
        <w:t>, 4th edn (London: BERA, 2018).</w:t>
      </w:r>
    </w:p>
  </w:footnote>
  <w:footnote w:id="25">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lang w:val="es-ES_tradnl"/>
        </w:rPr>
        <w:t xml:space="preserve"> ​​</w:t>
      </w:r>
      <w:r>
        <w:rPr>
          <w:rStyle w:val="None"/>
          <w:rFonts w:ascii="Times New Roman" w:hAnsi="Times New Roman"/>
          <w:sz w:val="20"/>
          <w:szCs w:val="20"/>
          <w:rtl w:val="0"/>
        </w:rPr>
        <w:t xml:space="preserve">Bennett, </w:t>
      </w:r>
      <w:r>
        <w:rPr>
          <w:rStyle w:val="None"/>
          <w:rFonts w:ascii="Times New Roman" w:hAnsi="Times New Roman"/>
          <w:sz w:val="20"/>
          <w:szCs w:val="20"/>
          <w:shd w:val="clear" w:color="auto" w:fill="ffffff"/>
          <w:rtl w:val="0"/>
        </w:rPr>
        <w:t>p. 127.</w:t>
      </w:r>
    </w:p>
  </w:footnote>
  <w:footnote w:id="26">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shd w:val="clear" w:color="auto" w:fill="ffffff"/>
          <w:rtl w:val="0"/>
        </w:rPr>
        <w:t>Bennett, pp. 127</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rPr>
        <w:t>28.</w:t>
      </w:r>
    </w:p>
  </w:footnote>
  <w:footnote w:id="27">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shd w:val="clear" w:color="auto" w:fill="ffffff"/>
          <w:rtl w:val="0"/>
          <w:lang w:val="en-US"/>
        </w:rPr>
        <w:t>Kim Etherington,</w:t>
      </w:r>
      <w:r>
        <w:rPr>
          <w:rStyle w:val="None"/>
          <w:rFonts w:ascii="Times New Roman" w:hAnsi="Times New Roman"/>
          <w:sz w:val="20"/>
          <w:szCs w:val="20"/>
          <w:rtl w:val="0"/>
        </w:rPr>
        <w:t xml:space="preserve"> </w:t>
      </w:r>
      <w:r>
        <w:rPr>
          <w:rStyle w:val="None"/>
          <w:rFonts w:ascii="Times New Roman" w:hAnsi="Times New Roman"/>
          <w:i w:val="1"/>
          <w:iCs w:val="1"/>
          <w:sz w:val="20"/>
          <w:szCs w:val="20"/>
          <w:rtl w:val="0"/>
          <w:lang w:val="en-US"/>
        </w:rPr>
        <w:t>Becoming a Reflexive Researcher: Using Ourselves in Research</w:t>
      </w:r>
      <w:r>
        <w:rPr>
          <w:rStyle w:val="None"/>
          <w:rFonts w:ascii="Times New Roman" w:hAnsi="Times New Roman"/>
          <w:sz w:val="20"/>
          <w:szCs w:val="20"/>
          <w:rtl w:val="0"/>
        </w:rPr>
        <w:t xml:space="preserve"> </w:t>
      </w:r>
      <w:r>
        <w:rPr>
          <w:rStyle w:val="None"/>
          <w:rFonts w:ascii="Times New Roman" w:hAnsi="Times New Roman"/>
          <w:sz w:val="20"/>
          <w:szCs w:val="20"/>
          <w:shd w:val="clear" w:color="auto" w:fill="ffffff"/>
          <w:rtl w:val="0"/>
          <w:lang w:val="da-DK"/>
        </w:rPr>
        <w:t>(London: Jessica Kingsley, 2004).</w:t>
      </w:r>
    </w:p>
  </w:footnote>
  <w:footnote w:id="28">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lang w:val="en-US"/>
        </w:rPr>
        <w:t xml:space="preserve">Kenneth L. Pike, </w:t>
      </w:r>
      <w:r>
        <w:rPr>
          <w:rStyle w:val="None"/>
          <w:rFonts w:ascii="Times New Roman" w:hAnsi="Times New Roman"/>
          <w:i w:val="1"/>
          <w:iCs w:val="1"/>
          <w:sz w:val="20"/>
          <w:szCs w:val="20"/>
          <w:rtl w:val="0"/>
          <w:lang w:val="en-US"/>
        </w:rPr>
        <w:t>Language in Relation to a Unified Theory of the Structure of Human Behavior</w:t>
      </w:r>
      <w:r>
        <w:rPr>
          <w:rStyle w:val="None"/>
          <w:rFonts w:ascii="Times New Roman" w:hAnsi="Times New Roman"/>
          <w:sz w:val="20"/>
          <w:szCs w:val="20"/>
          <w:rtl w:val="0"/>
          <w:lang w:val="en-US"/>
        </w:rPr>
        <w:t>, 2nd edn (The Hague: Mouton, 1967).</w:t>
      </w:r>
    </w:p>
  </w:footnote>
  <w:footnote w:id="29">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lang w:val="en-US"/>
        </w:rPr>
        <w:t xml:space="preserve">Sonya Corbin Dwyer and Jennifer L. Buckle, </w:t>
      </w:r>
      <w:r>
        <w:rPr>
          <w:rStyle w:val="None"/>
          <w:rFonts w:ascii="Times New Roman" w:hAnsi="Times New Roman" w:hint="default"/>
          <w:sz w:val="20"/>
          <w:szCs w:val="20"/>
          <w:rtl w:val="0"/>
          <w:lang w:val="en-US"/>
        </w:rPr>
        <w:t>‘</w:t>
      </w:r>
      <w:r>
        <w:rPr>
          <w:rStyle w:val="None"/>
          <w:rFonts w:ascii="Times New Roman" w:hAnsi="Times New Roman"/>
          <w:sz w:val="20"/>
          <w:szCs w:val="20"/>
          <w:rtl w:val="0"/>
          <w:lang w:val="en-US"/>
        </w:rPr>
        <w:t>The Space Between: On Being an Insider-Outsider in Qualitative Research</w:t>
      </w:r>
      <w:r>
        <w:rPr>
          <w:rStyle w:val="None"/>
          <w:rFonts w:ascii="Times New Roman" w:hAnsi="Times New Roman" w:hint="default"/>
          <w:sz w:val="20"/>
          <w:szCs w:val="20"/>
          <w:rtl w:val="0"/>
          <w:lang w:val="en-US"/>
        </w:rPr>
        <w:t>’</w:t>
      </w:r>
      <w:r>
        <w:rPr>
          <w:rStyle w:val="None"/>
          <w:rFonts w:ascii="Times New Roman" w:hAnsi="Times New Roman"/>
          <w:sz w:val="20"/>
          <w:szCs w:val="20"/>
          <w:rtl w:val="0"/>
        </w:rPr>
        <w:t xml:space="preserve">, </w:t>
      </w:r>
      <w:r>
        <w:rPr>
          <w:rStyle w:val="None"/>
          <w:rFonts w:ascii="Times New Roman" w:hAnsi="Times New Roman"/>
          <w:i w:val="1"/>
          <w:iCs w:val="1"/>
          <w:sz w:val="20"/>
          <w:szCs w:val="20"/>
          <w:rtl w:val="0"/>
          <w:lang w:val="en-US"/>
        </w:rPr>
        <w:t>International Journal of Qualitative Methods</w:t>
      </w:r>
      <w:r>
        <w:rPr>
          <w:rStyle w:val="None"/>
          <w:rFonts w:ascii="Times New Roman" w:hAnsi="Times New Roman"/>
          <w:sz w:val="20"/>
          <w:szCs w:val="20"/>
          <w:rtl w:val="0"/>
        </w:rPr>
        <w:t>, 8.1 (2009), 54</w:t>
      </w:r>
      <w:r>
        <w:rPr>
          <w:rStyle w:val="None"/>
          <w:rFonts w:ascii="Times New Roman" w:hAnsi="Times New Roman" w:hint="default"/>
          <w:sz w:val="20"/>
          <w:szCs w:val="20"/>
          <w:rtl w:val="0"/>
          <w:lang w:val="en-US"/>
        </w:rPr>
        <w:t>–</w:t>
      </w:r>
      <w:r>
        <w:rPr>
          <w:rStyle w:val="None"/>
          <w:rFonts w:ascii="Times New Roman" w:hAnsi="Times New Roman"/>
          <w:sz w:val="20"/>
          <w:szCs w:val="20"/>
          <w:rtl w:val="0"/>
        </w:rPr>
        <w:t>63.</w:t>
      </w:r>
    </w:p>
  </w:footnote>
  <w:footnote w:id="30">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rFonts w:ascii="Times New Roman" w:hAnsi="Times New Roman"/>
          <w:sz w:val="20"/>
          <w:szCs w:val="20"/>
          <w:shd w:val="clear" w:color="auto" w:fill="ffffff"/>
          <w:rtl w:val="0"/>
        </w:rPr>
        <w:t xml:space="preserve"> Brink, p. 85</w:t>
      </w:r>
    </w:p>
  </w:footnote>
  <w:footnote w:id="31">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Bennett, pp. 122, 127</w:t>
      </w:r>
      <w:r>
        <w:rPr>
          <w:rStyle w:val="None"/>
          <w:rFonts w:ascii="Times New Roman" w:hAnsi="Times New Roman" w:hint="default"/>
          <w:sz w:val="20"/>
          <w:szCs w:val="20"/>
          <w:rtl w:val="0"/>
          <w:lang w:val="en-US"/>
        </w:rPr>
        <w:t>–</w:t>
      </w:r>
      <w:r>
        <w:rPr>
          <w:rStyle w:val="None"/>
          <w:rFonts w:ascii="Times New Roman" w:hAnsi="Times New Roman"/>
          <w:sz w:val="20"/>
          <w:szCs w:val="20"/>
          <w:rtl w:val="0"/>
        </w:rPr>
        <w:t>28.</w:t>
      </w:r>
    </w:p>
  </w:footnote>
  <w:footnote w:id="32">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rFonts w:ascii="Times New Roman" w:hAnsi="Times New Roman"/>
          <w:sz w:val="20"/>
          <w:szCs w:val="20"/>
          <w:rtl w:val="0"/>
        </w:rPr>
        <w:t xml:space="preserve"> </w:t>
      </w:r>
      <w:r>
        <w:rPr>
          <w:rStyle w:val="None"/>
          <w:rFonts w:ascii="Times New Roman" w:hAnsi="Times New Roman"/>
          <w:sz w:val="20"/>
          <w:szCs w:val="20"/>
          <w:shd w:val="clear" w:color="auto" w:fill="ffffff"/>
          <w:rtl w:val="0"/>
          <w:lang w:val="en-US"/>
        </w:rPr>
        <w:t xml:space="preserve">S. Corbin Dwyer and Jennifer L. Buckle, </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lang w:val="en-US"/>
        </w:rPr>
        <w:t>The Space Between: On Being an Insider-Outsider in Qualitative Research</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rPr>
        <w:t>,</w:t>
      </w:r>
      <w:r>
        <w:rPr>
          <w:rStyle w:val="None"/>
          <w:rFonts w:ascii="Times New Roman" w:hAnsi="Times New Roman"/>
          <w:sz w:val="20"/>
          <w:szCs w:val="20"/>
          <w:rtl w:val="0"/>
        </w:rPr>
        <w:t xml:space="preserve"> </w:t>
      </w:r>
      <w:r>
        <w:rPr>
          <w:rStyle w:val="None"/>
          <w:rFonts w:ascii="Times New Roman" w:hAnsi="Times New Roman"/>
          <w:i w:val="1"/>
          <w:iCs w:val="1"/>
          <w:sz w:val="20"/>
          <w:szCs w:val="20"/>
          <w:rtl w:val="0"/>
          <w:lang w:val="en-US"/>
        </w:rPr>
        <w:t>International Journal of Qualitative Methods</w:t>
      </w:r>
      <w:r>
        <w:rPr>
          <w:rStyle w:val="None"/>
          <w:rFonts w:ascii="Times New Roman" w:hAnsi="Times New Roman"/>
          <w:sz w:val="20"/>
          <w:szCs w:val="20"/>
          <w:shd w:val="clear" w:color="auto" w:fill="ffffff"/>
          <w:rtl w:val="0"/>
        </w:rPr>
        <w:t>, 8.1 (2009), 54</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rPr>
        <w:t>63.</w:t>
      </w:r>
    </w:p>
  </w:footnote>
  <w:footnote w:id="33">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lang w:val="es-ES_tradnl"/>
        </w:rPr>
        <w:t xml:space="preserve"> ​​</w:t>
      </w:r>
      <w:r>
        <w:rPr>
          <w:rStyle w:val="None"/>
          <w:rFonts w:ascii="Times New Roman" w:hAnsi="Times New Roman"/>
          <w:sz w:val="20"/>
          <w:szCs w:val="20"/>
          <w:shd w:val="clear" w:color="auto" w:fill="ffffff"/>
          <w:rtl w:val="0"/>
        </w:rPr>
        <w:t>Bennett, pp. 139.</w:t>
      </w:r>
    </w:p>
  </w:footnote>
  <w:footnote w:id="34">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lang w:val="en-US"/>
        </w:rPr>
        <w:t xml:space="preserve">Kathryn Haynes, </w:t>
      </w:r>
      <w:r>
        <w:rPr>
          <w:rStyle w:val="None"/>
          <w:rFonts w:ascii="Times New Roman" w:hAnsi="Times New Roman" w:hint="default"/>
          <w:sz w:val="20"/>
          <w:szCs w:val="20"/>
          <w:rtl w:val="0"/>
          <w:lang w:val="en-US"/>
        </w:rPr>
        <w:t>‘</w:t>
      </w:r>
      <w:r>
        <w:rPr>
          <w:rStyle w:val="None"/>
          <w:rFonts w:ascii="Times New Roman" w:hAnsi="Times New Roman"/>
          <w:sz w:val="20"/>
          <w:szCs w:val="20"/>
          <w:rtl w:val="0"/>
          <w:lang w:val="en-US"/>
        </w:rPr>
        <w:t>Reflexivity in Qualitative Research</w:t>
      </w:r>
      <w:r>
        <w:rPr>
          <w:rStyle w:val="None"/>
          <w:rFonts w:ascii="Times New Roman" w:hAnsi="Times New Roman" w:hint="default"/>
          <w:sz w:val="20"/>
          <w:szCs w:val="20"/>
          <w:rtl w:val="0"/>
          <w:lang w:val="en-US"/>
        </w:rPr>
        <w:t>’</w:t>
      </w:r>
      <w:r>
        <w:rPr>
          <w:rStyle w:val="None"/>
          <w:rFonts w:ascii="Times New Roman" w:hAnsi="Times New Roman"/>
          <w:sz w:val="20"/>
          <w:szCs w:val="20"/>
          <w:rtl w:val="0"/>
          <w:lang w:val="it-IT"/>
        </w:rPr>
        <w:t xml:space="preserve">, in </w:t>
      </w:r>
      <w:r>
        <w:rPr>
          <w:rStyle w:val="None"/>
          <w:rFonts w:ascii="Times New Roman" w:hAnsi="Times New Roman"/>
          <w:i w:val="1"/>
          <w:iCs w:val="1"/>
          <w:sz w:val="20"/>
          <w:szCs w:val="20"/>
          <w:rtl w:val="0"/>
          <w:lang w:val="en-US"/>
        </w:rPr>
        <w:t>Qualitative Research Methods in Human Geography</w:t>
      </w:r>
      <w:r>
        <w:rPr>
          <w:rStyle w:val="None"/>
          <w:rFonts w:ascii="Times New Roman" w:hAnsi="Times New Roman"/>
          <w:sz w:val="20"/>
          <w:szCs w:val="20"/>
          <w:rtl w:val="0"/>
          <w:lang w:val="en-US"/>
        </w:rPr>
        <w:t>, ed. by Iain Hay, 3rd edn (Oxford: Oxford University Press, 2016), pp. 72</w:t>
      </w:r>
      <w:r>
        <w:rPr>
          <w:rStyle w:val="None"/>
          <w:rFonts w:ascii="Times New Roman" w:hAnsi="Times New Roman" w:hint="default"/>
          <w:sz w:val="20"/>
          <w:szCs w:val="20"/>
          <w:rtl w:val="0"/>
          <w:lang w:val="en-US"/>
        </w:rPr>
        <w:t>–</w:t>
      </w:r>
      <w:r>
        <w:rPr>
          <w:rStyle w:val="None"/>
          <w:rFonts w:ascii="Times New Roman" w:hAnsi="Times New Roman"/>
          <w:sz w:val="20"/>
          <w:szCs w:val="20"/>
          <w:rtl w:val="0"/>
        </w:rPr>
        <w:t>89.</w:t>
      </w:r>
    </w:p>
  </w:footnote>
  <w:footnote w:id="35">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shd w:val="clear" w:color="auto" w:fill="ffffff"/>
          <w:rtl w:val="0"/>
          <w:lang w:val="da-DK"/>
        </w:rPr>
        <w:t>Haynes, pp. 72</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rPr>
        <w:t>89; Bennett, pp. 127</w:t>
      </w:r>
      <w:r>
        <w:rPr>
          <w:rStyle w:val="None"/>
          <w:rFonts w:ascii="Times New Roman" w:hAnsi="Times New Roman" w:hint="default"/>
          <w:sz w:val="20"/>
          <w:szCs w:val="20"/>
          <w:shd w:val="clear" w:color="auto" w:fill="ffffff"/>
          <w:rtl w:val="0"/>
          <w:lang w:val="en-US"/>
        </w:rPr>
        <w:t>–</w:t>
      </w:r>
      <w:r>
        <w:rPr>
          <w:rStyle w:val="None"/>
          <w:rFonts w:ascii="Times New Roman" w:hAnsi="Times New Roman"/>
          <w:sz w:val="20"/>
          <w:szCs w:val="20"/>
          <w:shd w:val="clear" w:color="auto" w:fill="ffffff"/>
          <w:rtl w:val="0"/>
        </w:rPr>
        <w:t>28, 140.</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jc w:val="right"/>
    </w:pPr>
    <w:r>
      <w:rPr/>
      <w:fldChar w:fldCharType="begin" w:fldLock="0"/>
    </w:r>
    <w:r>
      <w:instrText xml:space="preserve"> PAGE </w:instrText>
    </w:r>
    <w:r>
      <w:rPr/>
      <w:fldChar w:fldCharType="separate" w:fldLock="0"/>
    </w:r>
    <w:r/>
    <w:r>
      <w:rPr/>
      <w:fldChar w:fldCharType="end" w:fldLock="0"/>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rFonts w:ascii="Times New Roman" w:cs="Times New Roman" w:hAnsi="Times New Roman" w:eastAsia="Times New Roman"/>
      <w:outline w:val="0"/>
      <w:color w:val="1155cc"/>
      <w:sz w:val="24"/>
      <w:szCs w:val="24"/>
      <w:u w:val="single" w:color="1155cc"/>
      <w14:textFill>
        <w14:solidFill>
          <w14:srgbClr w14:val="1155CC"/>
        </w14:solidFill>
      </w14:textFill>
    </w:rPr>
  </w:style>
  <w:style w:type="character" w:styleId="Hyperlink.1">
    <w:name w:val="Hyperlink.1"/>
    <w:basedOn w:val="None"/>
    <w:next w:val="Hyperlink.1"/>
    <w:rPr>
      <w:rFonts w:ascii="Times New Roman" w:cs="Times New Roman" w:hAnsi="Times New Roman" w:eastAsia="Times New Roman"/>
      <w:outline w:val="0"/>
      <w:color w:val="0000ee"/>
      <w:sz w:val="24"/>
      <w:szCs w:val="24"/>
      <w:u w:val="single" w:color="0000ee"/>
      <w14:textFill>
        <w14:solidFill>
          <w14:srgbClr w14:val="0000EE"/>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276" w:lineRule="auto"/>
      <w:ind w:left="0" w:right="0" w:firstLine="0"/>
      <w:jc w:val="left"/>
      <w:outlineLvl w:val="1"/>
    </w:pPr>
    <w:rPr>
      <w:rFonts w:ascii="Arial" w:cs="Arial" w:hAnsi="Arial" w:eastAsia="Arial"/>
      <w:b w:val="0"/>
      <w:bCs w:val="0"/>
      <w:i w:val="0"/>
      <w:iCs w:val="0"/>
      <w:caps w:val="0"/>
      <w:smallCaps w:val="0"/>
      <w:strike w:val="0"/>
      <w:dstrike w:val="0"/>
      <w:outline w:val="0"/>
      <w:color w:val="000000"/>
      <w:spacing w:val="0"/>
      <w:kern w:val="0"/>
      <w:position w:val="0"/>
      <w:sz w:val="32"/>
      <w:szCs w:val="32"/>
      <w:u w:val="none" w:color="000000"/>
      <w:shd w:val="nil" w:color="auto" w:fill="auto"/>
      <w:vertAlign w:val="baseline"/>
      <w14:textOutline>
        <w14:noFill/>
      </w14:textOutline>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320" w:after="80" w:line="276" w:lineRule="auto"/>
      <w:ind w:left="0" w:right="0" w:firstLine="0"/>
      <w:jc w:val="left"/>
      <w:outlineLvl w:val="2"/>
    </w:pPr>
    <w:rPr>
      <w:rFonts w:ascii="Arial" w:cs="Arial" w:hAnsi="Arial" w:eastAsia="Arial"/>
      <w:b w:val="0"/>
      <w:bCs w:val="0"/>
      <w:i w:val="0"/>
      <w:iCs w:val="0"/>
      <w:caps w:val="0"/>
      <w:smallCaps w:val="0"/>
      <w:strike w:val="0"/>
      <w:dstrike w:val="0"/>
      <w:outline w:val="0"/>
      <w:color w:val="434343"/>
      <w:spacing w:val="0"/>
      <w:kern w:val="0"/>
      <w:position w:val="0"/>
      <w:sz w:val="28"/>
      <w:szCs w:val="28"/>
      <w:u w:val="none" w:color="434343"/>
      <w:shd w:val="nil" w:color="auto" w:fill="auto"/>
      <w:vertAlign w:val="baseline"/>
      <w14:textOutline>
        <w14:noFill/>
      </w14:textOutline>
      <w14:textFill>
        <w14:solidFill>
          <w14:srgbClr w14:val="434343"/>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otnotes" Target="footnotes.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