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B29" w:rsidRPr="00FC56FF" w:rsidRDefault="00797B29" w:rsidP="00420348">
      <w:pPr>
        <w:jc w:val="center"/>
        <w:rPr>
          <w:rFonts w:ascii="Arial" w:hAnsi="Arial" w:cs="Arial"/>
          <w:b/>
          <w:sz w:val="36"/>
          <w:szCs w:val="36"/>
          <w:u w:val="single"/>
        </w:rPr>
      </w:pPr>
    </w:p>
    <w:p w:rsidR="00420348" w:rsidRPr="00FC56FF" w:rsidRDefault="00A1224C" w:rsidP="00420348">
      <w:pPr>
        <w:jc w:val="center"/>
        <w:rPr>
          <w:rFonts w:ascii="Arial" w:hAnsi="Arial" w:cs="Arial"/>
          <w:b/>
          <w:sz w:val="36"/>
          <w:szCs w:val="36"/>
          <w:u w:val="single"/>
        </w:rPr>
      </w:pPr>
      <w:r w:rsidRPr="00FC56FF">
        <w:rPr>
          <w:rFonts w:ascii="Arial" w:hAnsi="Arial" w:cs="Arial"/>
          <w:b/>
          <w:sz w:val="36"/>
          <w:szCs w:val="36"/>
          <w:u w:val="single"/>
        </w:rPr>
        <w:t>Witness</w:t>
      </w:r>
      <w:r w:rsidR="00DF284E" w:rsidRPr="00FC56FF">
        <w:rPr>
          <w:rFonts w:ascii="Arial" w:hAnsi="Arial" w:cs="Arial"/>
          <w:b/>
          <w:sz w:val="36"/>
          <w:szCs w:val="36"/>
          <w:u w:val="single"/>
        </w:rPr>
        <w:t xml:space="preserve"> Interview Handling Stolen Goods</w:t>
      </w:r>
      <w:r w:rsidR="000101C6" w:rsidRPr="00FC56FF">
        <w:rPr>
          <w:rFonts w:ascii="Arial" w:hAnsi="Arial" w:cs="Arial"/>
          <w:b/>
          <w:sz w:val="36"/>
          <w:szCs w:val="36"/>
          <w:u w:val="single"/>
        </w:rPr>
        <w:t xml:space="preserve"> Task Sheet</w:t>
      </w:r>
    </w:p>
    <w:p w:rsidR="00420348" w:rsidRPr="00FC56FF" w:rsidRDefault="005B296D" w:rsidP="00420348">
      <w:pPr>
        <w:jc w:val="center"/>
        <w:rPr>
          <w:rFonts w:ascii="Arial" w:hAnsi="Arial" w:cs="Arial"/>
          <w:b/>
          <w:sz w:val="36"/>
          <w:szCs w:val="36"/>
          <w:u w:val="single"/>
        </w:rPr>
      </w:pPr>
      <w:r w:rsidRPr="00FC56FF">
        <w:rPr>
          <w:rFonts w:ascii="Arial" w:hAnsi="Arial" w:cs="Arial"/>
          <w:b/>
          <w:sz w:val="36"/>
          <w:szCs w:val="36"/>
          <w:u w:val="single"/>
        </w:rPr>
        <w:t>Scenario 8 Handling Stolen Goods</w:t>
      </w:r>
      <w:r w:rsidR="001233A1" w:rsidRPr="00FC56FF">
        <w:rPr>
          <w:rFonts w:ascii="Arial" w:hAnsi="Arial" w:cs="Arial"/>
          <w:b/>
          <w:sz w:val="36"/>
          <w:szCs w:val="36"/>
          <w:u w:val="single"/>
        </w:rPr>
        <w:t xml:space="preserve"> </w:t>
      </w:r>
      <w:r w:rsidR="00933CE1" w:rsidRPr="00FC56FF">
        <w:rPr>
          <w:rFonts w:ascii="Arial" w:hAnsi="Arial" w:cs="Arial"/>
          <w:b/>
          <w:sz w:val="36"/>
          <w:szCs w:val="36"/>
          <w:u w:val="single"/>
        </w:rPr>
        <w:t>–</w:t>
      </w:r>
      <w:r w:rsidR="001233A1" w:rsidRPr="00FC56FF">
        <w:rPr>
          <w:rFonts w:ascii="Arial" w:hAnsi="Arial" w:cs="Arial"/>
          <w:b/>
          <w:sz w:val="36"/>
          <w:szCs w:val="36"/>
          <w:u w:val="single"/>
        </w:rPr>
        <w:t xml:space="preserve"> </w:t>
      </w:r>
      <w:r w:rsidR="00A1224C" w:rsidRPr="00FC56FF">
        <w:rPr>
          <w:rFonts w:ascii="Arial" w:hAnsi="Arial" w:cs="Arial"/>
          <w:b/>
          <w:sz w:val="36"/>
          <w:szCs w:val="36"/>
          <w:u w:val="single"/>
        </w:rPr>
        <w:t>Witness</w:t>
      </w:r>
      <w:r w:rsidR="00FB47BD" w:rsidRPr="00FC56FF">
        <w:rPr>
          <w:rFonts w:ascii="Arial" w:hAnsi="Arial" w:cs="Arial"/>
          <w:b/>
          <w:sz w:val="36"/>
          <w:szCs w:val="36"/>
          <w:u w:val="single"/>
        </w:rPr>
        <w:t xml:space="preserve"> </w:t>
      </w:r>
      <w:r w:rsidR="000101C6" w:rsidRPr="00FC56FF">
        <w:rPr>
          <w:rFonts w:ascii="Arial" w:hAnsi="Arial" w:cs="Arial"/>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5B296D" w:rsidRDefault="005B296D" w:rsidP="005B296D">
      <w:pPr>
        <w:spacing w:after="0" w:line="360" w:lineRule="auto"/>
        <w:rPr>
          <w:rFonts w:ascii="Arial" w:eastAsia="Times New Roman" w:hAnsi="Arial" w:cs="Arial"/>
          <w:b/>
          <w:sz w:val="28"/>
          <w:szCs w:val="28"/>
          <w:u w:val="single"/>
          <w:lang w:eastAsia="en-GB"/>
        </w:rPr>
      </w:pPr>
    </w:p>
    <w:p w:rsidR="00A1224C" w:rsidRPr="00A1224C" w:rsidRDefault="00FC56FF" w:rsidP="00A1224C">
      <w:pPr>
        <w:spacing w:line="360" w:lineRule="auto"/>
        <w:rPr>
          <w:b/>
          <w:noProof/>
          <w:sz w:val="28"/>
          <w:szCs w:val="28"/>
          <w:lang w:eastAsia="en-GB"/>
        </w:rPr>
      </w:pPr>
      <w:r>
        <w:rPr>
          <w:b/>
          <w:noProof/>
          <w:sz w:val="28"/>
          <w:szCs w:val="28"/>
          <w:lang w:eastAsia="en-GB"/>
        </w:rPr>
        <w:t>Witness: Use your o</w:t>
      </w:r>
      <w:r w:rsidR="00A1224C" w:rsidRPr="00A1224C">
        <w:rPr>
          <w:b/>
          <w:noProof/>
          <w:sz w:val="28"/>
          <w:szCs w:val="28"/>
          <w:lang w:eastAsia="en-GB"/>
        </w:rPr>
        <w:t>wn details</w:t>
      </w:r>
      <w:r w:rsidR="002907D5">
        <w:rPr>
          <w:b/>
          <w:noProof/>
          <w:sz w:val="28"/>
          <w:szCs w:val="28"/>
          <w:lang w:eastAsia="en-GB"/>
        </w:rPr>
        <w:t xml:space="preserve"> (address in Bridgend)</w:t>
      </w:r>
    </w:p>
    <w:p w:rsidR="00A1224C" w:rsidRDefault="003A5755" w:rsidP="00A1224C">
      <w:pPr>
        <w:spacing w:line="360" w:lineRule="auto"/>
        <w:rPr>
          <w:rFonts w:ascii="Arial" w:hAnsi="Arial" w:cs="Arial"/>
          <w:sz w:val="24"/>
          <w:szCs w:val="24"/>
        </w:rPr>
      </w:pPr>
      <w:r>
        <w:rPr>
          <w:rFonts w:ascii="Arial" w:hAnsi="Arial" w:cs="Arial"/>
          <w:sz w:val="24"/>
          <w:szCs w:val="24"/>
        </w:rPr>
        <w:t xml:space="preserve">Overnight </w:t>
      </w:r>
      <w:r w:rsidR="00A1224C">
        <w:rPr>
          <w:rFonts w:ascii="Arial" w:hAnsi="Arial" w:cs="Arial"/>
          <w:sz w:val="24"/>
          <w:szCs w:val="24"/>
        </w:rPr>
        <w:t>Saturday</w:t>
      </w:r>
      <w:r>
        <w:rPr>
          <w:rFonts w:ascii="Arial" w:hAnsi="Arial" w:cs="Arial"/>
          <w:sz w:val="24"/>
          <w:szCs w:val="24"/>
        </w:rPr>
        <w:t>-Sunday,</w:t>
      </w:r>
      <w:r w:rsidR="00A1224C">
        <w:rPr>
          <w:rFonts w:ascii="Arial" w:hAnsi="Arial" w:cs="Arial"/>
          <w:sz w:val="24"/>
          <w:szCs w:val="24"/>
        </w:rPr>
        <w:t xml:space="preserve"> </w:t>
      </w:r>
      <w:r w:rsidR="00A1224C" w:rsidRPr="00E4103C">
        <w:rPr>
          <w:rFonts w:ascii="Arial" w:hAnsi="Arial" w:cs="Arial"/>
          <w:sz w:val="24"/>
          <w:szCs w:val="24"/>
        </w:rPr>
        <w:t xml:space="preserve">your car </w:t>
      </w:r>
      <w:r w:rsidR="00FC56FF" w:rsidRPr="00FC56FF">
        <w:rPr>
          <w:rFonts w:ascii="Arial" w:hAnsi="Arial" w:cs="Arial"/>
          <w:b/>
          <w:sz w:val="24"/>
          <w:szCs w:val="24"/>
        </w:rPr>
        <w:t xml:space="preserve">(use your own vehicle details) </w:t>
      </w:r>
      <w:r w:rsidR="00A1224C" w:rsidRPr="00E4103C">
        <w:rPr>
          <w:rFonts w:ascii="Arial" w:hAnsi="Arial" w:cs="Arial"/>
          <w:sz w:val="24"/>
          <w:szCs w:val="24"/>
        </w:rPr>
        <w:t xml:space="preserve">was </w:t>
      </w:r>
      <w:r>
        <w:rPr>
          <w:rFonts w:ascii="Arial" w:hAnsi="Arial" w:cs="Arial"/>
          <w:sz w:val="24"/>
          <w:szCs w:val="24"/>
        </w:rPr>
        <w:t>broken into</w:t>
      </w:r>
      <w:bookmarkStart w:id="0" w:name="_GoBack"/>
      <w:bookmarkEnd w:id="0"/>
      <w:r w:rsidR="00A1224C" w:rsidRPr="00E4103C">
        <w:rPr>
          <w:rFonts w:ascii="Arial" w:hAnsi="Arial" w:cs="Arial"/>
          <w:sz w:val="24"/>
          <w:szCs w:val="24"/>
        </w:rPr>
        <w:t xml:space="preserve"> whilst outside your home. You must have left it unlocked as there was no damage to the loc</w:t>
      </w:r>
      <w:r w:rsidR="00A1224C">
        <w:rPr>
          <w:rFonts w:ascii="Arial" w:hAnsi="Arial" w:cs="Arial"/>
          <w:sz w:val="24"/>
          <w:szCs w:val="24"/>
        </w:rPr>
        <w:t>ks but you found it with the near side</w:t>
      </w:r>
      <w:r w:rsidR="00A63174">
        <w:rPr>
          <w:rFonts w:ascii="Arial" w:hAnsi="Arial" w:cs="Arial"/>
          <w:sz w:val="24"/>
          <w:szCs w:val="24"/>
        </w:rPr>
        <w:t xml:space="preserve"> door wide open. Your NavMan</w:t>
      </w:r>
      <w:r w:rsidR="00A1224C">
        <w:rPr>
          <w:rFonts w:ascii="Arial" w:hAnsi="Arial" w:cs="Arial"/>
          <w:sz w:val="24"/>
          <w:szCs w:val="24"/>
        </w:rPr>
        <w:t xml:space="preserve"> </w:t>
      </w:r>
      <w:r w:rsidR="00A1224C" w:rsidRPr="00E4103C">
        <w:rPr>
          <w:rFonts w:ascii="Arial" w:hAnsi="Arial" w:cs="Arial"/>
          <w:sz w:val="24"/>
          <w:szCs w:val="24"/>
        </w:rPr>
        <w:t xml:space="preserve">Sat Nav was missing. </w:t>
      </w:r>
      <w:r w:rsidR="00A1224C">
        <w:rPr>
          <w:rFonts w:ascii="Arial" w:hAnsi="Arial" w:cs="Arial"/>
          <w:sz w:val="24"/>
          <w:szCs w:val="24"/>
        </w:rPr>
        <w:t xml:space="preserve">You did not </w:t>
      </w:r>
      <w:r w:rsidR="00A1224C" w:rsidRPr="00E4103C">
        <w:rPr>
          <w:rFonts w:ascii="Arial" w:hAnsi="Arial" w:cs="Arial"/>
          <w:sz w:val="24"/>
          <w:szCs w:val="24"/>
        </w:rPr>
        <w:t>report</w:t>
      </w:r>
      <w:r w:rsidR="00A1224C">
        <w:rPr>
          <w:rFonts w:ascii="Arial" w:hAnsi="Arial" w:cs="Arial"/>
          <w:sz w:val="24"/>
          <w:szCs w:val="24"/>
        </w:rPr>
        <w:t xml:space="preserve"> the theft</w:t>
      </w:r>
      <w:r w:rsidR="00A1224C" w:rsidRPr="00E4103C">
        <w:rPr>
          <w:rFonts w:ascii="Arial" w:hAnsi="Arial" w:cs="Arial"/>
          <w:sz w:val="24"/>
          <w:szCs w:val="24"/>
        </w:rPr>
        <w:t xml:space="preserve"> to the Police or insurance as you felt it was your mistake.</w:t>
      </w:r>
    </w:p>
    <w:p w:rsidR="00AA235B" w:rsidRDefault="00AA235B" w:rsidP="00A1224C">
      <w:pPr>
        <w:spacing w:line="360" w:lineRule="auto"/>
        <w:rPr>
          <w:rFonts w:ascii="Arial" w:hAnsi="Arial" w:cs="Arial"/>
          <w:sz w:val="24"/>
          <w:szCs w:val="24"/>
        </w:rPr>
      </w:pPr>
    </w:p>
    <w:p w:rsidR="00A1224C" w:rsidRDefault="00167FB4" w:rsidP="00A1224C">
      <w:pPr>
        <w:spacing w:line="360" w:lineRule="auto"/>
        <w:rPr>
          <w:rFonts w:ascii="Arial" w:hAnsi="Arial" w:cs="Arial"/>
          <w:sz w:val="24"/>
          <w:szCs w:val="24"/>
        </w:rPr>
      </w:pPr>
      <w:r>
        <w:rPr>
          <w:rFonts w:ascii="Arial" w:hAnsi="Arial" w:cs="Arial"/>
          <w:sz w:val="24"/>
          <w:szCs w:val="24"/>
        </w:rPr>
        <w:t>The SAT NAV was a NavMan</w:t>
      </w:r>
      <w:r w:rsidR="00A1224C" w:rsidRPr="00E4103C">
        <w:rPr>
          <w:rFonts w:ascii="Arial" w:hAnsi="Arial" w:cs="Arial"/>
          <w:sz w:val="24"/>
          <w:szCs w:val="24"/>
        </w:rPr>
        <w:t xml:space="preserve"> XL and valued at £100.00. It is identifiable as you marked it in an in</w:t>
      </w:r>
      <w:r w:rsidR="00650B64">
        <w:rPr>
          <w:rFonts w:ascii="Arial" w:hAnsi="Arial" w:cs="Arial"/>
          <w:sz w:val="24"/>
          <w:szCs w:val="24"/>
        </w:rPr>
        <w:t>delible red pen with a large DOT</w:t>
      </w:r>
      <w:r w:rsidR="00A1224C" w:rsidRPr="00E4103C">
        <w:rPr>
          <w:rFonts w:ascii="Arial" w:hAnsi="Arial" w:cs="Arial"/>
          <w:sz w:val="24"/>
          <w:szCs w:val="24"/>
        </w:rPr>
        <w:t xml:space="preserve"> by the on off button.</w:t>
      </w:r>
    </w:p>
    <w:p w:rsidR="00A1224C" w:rsidRPr="00E4103C" w:rsidRDefault="00A1224C" w:rsidP="00A1224C">
      <w:pPr>
        <w:spacing w:line="360" w:lineRule="auto"/>
        <w:rPr>
          <w:rFonts w:ascii="Arial" w:hAnsi="Arial" w:cs="Arial"/>
          <w:sz w:val="24"/>
          <w:szCs w:val="24"/>
        </w:rPr>
      </w:pPr>
    </w:p>
    <w:p w:rsidR="00A1224C" w:rsidRPr="00E4103C" w:rsidRDefault="00A1224C" w:rsidP="00A1224C">
      <w:pPr>
        <w:spacing w:line="360" w:lineRule="auto"/>
        <w:rPr>
          <w:rFonts w:ascii="Arial" w:hAnsi="Arial" w:cs="Arial"/>
          <w:sz w:val="24"/>
          <w:szCs w:val="24"/>
        </w:rPr>
      </w:pPr>
      <w:r>
        <w:rPr>
          <w:rFonts w:ascii="Arial" w:hAnsi="Arial" w:cs="Arial"/>
          <w:sz w:val="24"/>
          <w:szCs w:val="24"/>
        </w:rPr>
        <w:t>This morning at 11am,</w:t>
      </w:r>
      <w:r w:rsidRPr="00E4103C">
        <w:rPr>
          <w:rFonts w:ascii="Arial" w:hAnsi="Arial" w:cs="Arial"/>
          <w:sz w:val="24"/>
          <w:szCs w:val="24"/>
        </w:rPr>
        <w:t xml:space="preserve"> you were walking around </w:t>
      </w:r>
      <w:r w:rsidR="00FC56FF">
        <w:rPr>
          <w:rFonts w:ascii="Arial" w:hAnsi="Arial" w:cs="Arial"/>
          <w:sz w:val="24"/>
          <w:szCs w:val="24"/>
        </w:rPr>
        <w:t>Bridgend</w:t>
      </w:r>
      <w:r w:rsidR="00650B64">
        <w:rPr>
          <w:rFonts w:ascii="Arial" w:hAnsi="Arial" w:cs="Arial"/>
          <w:sz w:val="24"/>
          <w:szCs w:val="24"/>
        </w:rPr>
        <w:t xml:space="preserve"> indoor market</w:t>
      </w:r>
    </w:p>
    <w:p w:rsidR="00DD31EC" w:rsidRDefault="00A1224C" w:rsidP="00A1224C">
      <w:pPr>
        <w:spacing w:line="360" w:lineRule="auto"/>
        <w:rPr>
          <w:rFonts w:ascii="Arial" w:hAnsi="Arial" w:cs="Arial"/>
          <w:sz w:val="24"/>
          <w:szCs w:val="24"/>
        </w:rPr>
      </w:pPr>
      <w:r w:rsidRPr="00E4103C">
        <w:rPr>
          <w:rFonts w:ascii="Arial" w:hAnsi="Arial" w:cs="Arial"/>
          <w:sz w:val="24"/>
          <w:szCs w:val="24"/>
        </w:rPr>
        <w:t>You walked a</w:t>
      </w:r>
      <w:r>
        <w:rPr>
          <w:rFonts w:ascii="Arial" w:hAnsi="Arial" w:cs="Arial"/>
          <w:sz w:val="24"/>
          <w:szCs w:val="24"/>
        </w:rPr>
        <w:t>round the stalls and saw a local person that you know</w:t>
      </w:r>
      <w:r w:rsidR="00A63174">
        <w:rPr>
          <w:rFonts w:ascii="Arial" w:hAnsi="Arial" w:cs="Arial"/>
          <w:sz w:val="24"/>
          <w:szCs w:val="24"/>
        </w:rPr>
        <w:t xml:space="preserve"> on a stall called ‘THE BARGAIN BOOTH’</w:t>
      </w:r>
      <w:r>
        <w:rPr>
          <w:rFonts w:ascii="Arial" w:hAnsi="Arial" w:cs="Arial"/>
          <w:sz w:val="24"/>
          <w:szCs w:val="24"/>
        </w:rPr>
        <w:t xml:space="preserve">. The person </w:t>
      </w:r>
      <w:r w:rsidRPr="00E4103C">
        <w:rPr>
          <w:rFonts w:ascii="Arial" w:hAnsi="Arial" w:cs="Arial"/>
          <w:sz w:val="24"/>
          <w:szCs w:val="24"/>
        </w:rPr>
        <w:t>was standing behind</w:t>
      </w:r>
      <w:r w:rsidR="00650B64">
        <w:rPr>
          <w:rFonts w:ascii="Arial" w:hAnsi="Arial" w:cs="Arial"/>
          <w:sz w:val="24"/>
          <w:szCs w:val="24"/>
        </w:rPr>
        <w:t xml:space="preserve"> a stall</w:t>
      </w:r>
      <w:r>
        <w:rPr>
          <w:rFonts w:ascii="Arial" w:hAnsi="Arial" w:cs="Arial"/>
          <w:sz w:val="24"/>
          <w:szCs w:val="24"/>
        </w:rPr>
        <w:t xml:space="preserve">. </w:t>
      </w:r>
      <w:r w:rsidRPr="00E4103C">
        <w:rPr>
          <w:rFonts w:ascii="Arial" w:hAnsi="Arial" w:cs="Arial"/>
          <w:sz w:val="24"/>
          <w:szCs w:val="24"/>
        </w:rPr>
        <w:t xml:space="preserve">You </w:t>
      </w:r>
      <w:r w:rsidR="00DD31EC">
        <w:rPr>
          <w:rFonts w:ascii="Arial" w:hAnsi="Arial" w:cs="Arial"/>
          <w:sz w:val="24"/>
          <w:szCs w:val="24"/>
        </w:rPr>
        <w:t>remember the person</w:t>
      </w:r>
      <w:r>
        <w:rPr>
          <w:rFonts w:ascii="Arial" w:hAnsi="Arial" w:cs="Arial"/>
          <w:sz w:val="24"/>
          <w:szCs w:val="24"/>
        </w:rPr>
        <w:t xml:space="preserve"> from school so you </w:t>
      </w:r>
      <w:r w:rsidRPr="00E4103C">
        <w:rPr>
          <w:rFonts w:ascii="Arial" w:hAnsi="Arial" w:cs="Arial"/>
          <w:sz w:val="24"/>
          <w:szCs w:val="24"/>
        </w:rPr>
        <w:t>stopped to s</w:t>
      </w:r>
      <w:r w:rsidR="00DD31EC">
        <w:rPr>
          <w:rFonts w:ascii="Arial" w:hAnsi="Arial" w:cs="Arial"/>
          <w:sz w:val="24"/>
          <w:szCs w:val="24"/>
        </w:rPr>
        <w:t xml:space="preserve">peak to them. </w:t>
      </w:r>
    </w:p>
    <w:p w:rsidR="00650B64" w:rsidRDefault="00650B64" w:rsidP="00650B64">
      <w:pPr>
        <w:spacing w:line="360" w:lineRule="auto"/>
        <w:jc w:val="center"/>
        <w:rPr>
          <w:rFonts w:ascii="Arial" w:hAnsi="Arial" w:cs="Arial"/>
          <w:b/>
          <w:sz w:val="24"/>
          <w:szCs w:val="24"/>
        </w:rPr>
      </w:pPr>
      <w:r>
        <w:rPr>
          <w:rFonts w:ascii="Arial" w:hAnsi="Arial" w:cs="Arial"/>
          <w:b/>
          <w:sz w:val="24"/>
          <w:szCs w:val="24"/>
          <w:highlight w:val="cyan"/>
        </w:rPr>
        <w:t>!!     Watch the film clip</w:t>
      </w:r>
      <w:r w:rsidRPr="00650B64">
        <w:rPr>
          <w:rFonts w:ascii="Arial" w:hAnsi="Arial" w:cs="Arial"/>
          <w:b/>
          <w:sz w:val="24"/>
          <w:szCs w:val="24"/>
          <w:highlight w:val="cyan"/>
        </w:rPr>
        <w:t xml:space="preserve">    !!</w:t>
      </w:r>
    </w:p>
    <w:p w:rsidR="00650B64" w:rsidRDefault="00650B64" w:rsidP="00650B64">
      <w:pPr>
        <w:spacing w:line="360" w:lineRule="auto"/>
        <w:jc w:val="center"/>
        <w:rPr>
          <w:rFonts w:ascii="Arial" w:hAnsi="Arial" w:cs="Arial"/>
          <w:b/>
          <w:sz w:val="24"/>
          <w:szCs w:val="24"/>
        </w:rPr>
      </w:pPr>
    </w:p>
    <w:p w:rsidR="00650B64" w:rsidRDefault="00650B64" w:rsidP="00650B64">
      <w:pPr>
        <w:spacing w:line="360" w:lineRule="auto"/>
        <w:rPr>
          <w:rFonts w:ascii="Arial" w:hAnsi="Arial" w:cs="Arial"/>
          <w:sz w:val="24"/>
          <w:szCs w:val="24"/>
        </w:rPr>
      </w:pPr>
      <w:r w:rsidRPr="00650B64">
        <w:rPr>
          <w:rFonts w:ascii="Arial" w:hAnsi="Arial" w:cs="Arial"/>
          <w:sz w:val="24"/>
          <w:szCs w:val="24"/>
        </w:rPr>
        <w:t>You bring your Sat Nav home with you and phone the Police.</w:t>
      </w:r>
    </w:p>
    <w:p w:rsidR="00FC56FF" w:rsidRPr="00FC56FF" w:rsidRDefault="00FC56FF" w:rsidP="00FC56FF">
      <w:pPr>
        <w:spacing w:line="360" w:lineRule="auto"/>
        <w:rPr>
          <w:rFonts w:ascii="Arial" w:hAnsi="Arial" w:cs="Arial"/>
          <w:b/>
          <w:sz w:val="24"/>
          <w:szCs w:val="24"/>
        </w:rPr>
      </w:pPr>
      <w:r>
        <w:rPr>
          <w:rFonts w:ascii="Arial" w:hAnsi="Arial" w:cs="Arial"/>
          <w:b/>
          <w:sz w:val="24"/>
          <w:szCs w:val="24"/>
        </w:rPr>
        <w:t>*** T</w:t>
      </w:r>
      <w:r w:rsidRPr="00FC56FF">
        <w:rPr>
          <w:rFonts w:ascii="Arial" w:hAnsi="Arial" w:cs="Arial"/>
          <w:b/>
          <w:sz w:val="24"/>
          <w:szCs w:val="24"/>
        </w:rPr>
        <w:t>he photo of the sat nav is the actual item ***</w:t>
      </w:r>
    </w:p>
    <w:p w:rsidR="00A802D4" w:rsidRDefault="00A802D4" w:rsidP="00646163">
      <w:pPr>
        <w:spacing w:line="360" w:lineRule="auto"/>
        <w:rPr>
          <w:b/>
          <w:sz w:val="28"/>
          <w:szCs w:val="28"/>
          <w:u w:val="single"/>
        </w:rPr>
      </w:pPr>
    </w:p>
    <w:p w:rsidR="00AA235B" w:rsidRDefault="00AA235B">
      <w:pPr>
        <w:rPr>
          <w:b/>
          <w:sz w:val="28"/>
          <w:szCs w:val="28"/>
          <w:u w:val="single"/>
        </w:rPr>
      </w:pPr>
    </w:p>
    <w:p w:rsidR="00BD1C22" w:rsidRPr="00FC56FF" w:rsidRDefault="004900BD" w:rsidP="00646163">
      <w:pPr>
        <w:spacing w:line="360" w:lineRule="auto"/>
        <w:rPr>
          <w:rFonts w:ascii="Arial" w:hAnsi="Arial" w:cs="Arial"/>
          <w:noProof/>
          <w:lang w:eastAsia="en-GB"/>
        </w:rPr>
      </w:pPr>
      <w:r w:rsidRPr="00FC56FF">
        <w:rPr>
          <w:rFonts w:ascii="Arial" w:hAnsi="Arial" w:cs="Arial"/>
          <w:b/>
          <w:sz w:val="28"/>
          <w:szCs w:val="28"/>
          <w:u w:val="single"/>
        </w:rPr>
        <w:t>Aims of the Scenario</w:t>
      </w:r>
    </w:p>
    <w:p w:rsidR="004900BD" w:rsidRPr="00FC56FF" w:rsidRDefault="004900BD">
      <w:pPr>
        <w:rPr>
          <w:rFonts w:ascii="Arial" w:hAnsi="Arial" w:cs="Arial"/>
          <w:sz w:val="24"/>
          <w:szCs w:val="24"/>
        </w:rPr>
      </w:pPr>
    </w:p>
    <w:p w:rsidR="004900BD" w:rsidRPr="00FC56FF" w:rsidRDefault="004900BD" w:rsidP="004900BD">
      <w:pPr>
        <w:pStyle w:val="ListParagraph"/>
        <w:numPr>
          <w:ilvl w:val="0"/>
          <w:numId w:val="13"/>
        </w:numPr>
        <w:rPr>
          <w:rFonts w:ascii="Arial" w:hAnsi="Arial" w:cs="Arial"/>
          <w:sz w:val="28"/>
          <w:szCs w:val="28"/>
        </w:rPr>
      </w:pPr>
      <w:r w:rsidRPr="00FC56FF">
        <w:rPr>
          <w:rFonts w:ascii="Arial" w:hAnsi="Arial" w:cs="Arial"/>
          <w:sz w:val="28"/>
          <w:szCs w:val="28"/>
        </w:rPr>
        <w:t>The aim of investigative interviewing is to obtain accurate and reliable accounts from victims, witnesses or suspects about matters under police investigation.</w:t>
      </w:r>
    </w:p>
    <w:p w:rsidR="004900BD" w:rsidRPr="00FC56FF" w:rsidRDefault="004900BD" w:rsidP="004900BD">
      <w:pPr>
        <w:pStyle w:val="ListParagraph"/>
        <w:numPr>
          <w:ilvl w:val="0"/>
          <w:numId w:val="13"/>
        </w:numPr>
        <w:rPr>
          <w:rFonts w:ascii="Arial" w:hAnsi="Arial" w:cs="Arial"/>
          <w:sz w:val="28"/>
          <w:szCs w:val="28"/>
        </w:rPr>
      </w:pPr>
      <w:r w:rsidRPr="00FC56FF">
        <w:rPr>
          <w:rFonts w:ascii="Arial" w:hAnsi="Arial" w:cs="Arial"/>
          <w:sz w:val="28"/>
          <w:szCs w:val="28"/>
        </w:rPr>
        <w:t>Investigators must act fairly when questioning victims, witnesses or suspects. Vulnerable people must be treated with particular consideration at all times.</w:t>
      </w:r>
    </w:p>
    <w:p w:rsidR="004900BD" w:rsidRPr="00FC56FF" w:rsidRDefault="004900BD" w:rsidP="004900BD">
      <w:pPr>
        <w:pStyle w:val="ListParagraph"/>
        <w:numPr>
          <w:ilvl w:val="0"/>
          <w:numId w:val="13"/>
        </w:numPr>
        <w:rPr>
          <w:rFonts w:ascii="Arial" w:hAnsi="Arial" w:cs="Arial"/>
          <w:sz w:val="28"/>
          <w:szCs w:val="28"/>
        </w:rPr>
      </w:pPr>
      <w:r w:rsidRPr="00FC56FF">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FC56FF" w:rsidRDefault="005156C4" w:rsidP="005156C4">
      <w:pPr>
        <w:pStyle w:val="ListParagraph"/>
        <w:numPr>
          <w:ilvl w:val="0"/>
          <w:numId w:val="13"/>
        </w:numPr>
        <w:rPr>
          <w:rFonts w:ascii="Arial" w:hAnsi="Arial" w:cs="Arial"/>
          <w:sz w:val="28"/>
          <w:szCs w:val="28"/>
        </w:rPr>
      </w:pPr>
      <w:r w:rsidRPr="00FC56FF">
        <w:rPr>
          <w:rFonts w:ascii="Arial" w:hAnsi="Arial" w:cs="Arial"/>
          <w:sz w:val="28"/>
          <w:szCs w:val="28"/>
        </w:rPr>
        <w:t>When conducting an interview, investigators are free to ask a wide range of questions in order to obtain material which may assist an investigation.</w:t>
      </w:r>
    </w:p>
    <w:p w:rsidR="005156C4" w:rsidRPr="00FC56FF" w:rsidRDefault="005156C4" w:rsidP="005156C4">
      <w:pPr>
        <w:pStyle w:val="ListParagraph"/>
        <w:numPr>
          <w:ilvl w:val="0"/>
          <w:numId w:val="13"/>
        </w:numPr>
        <w:rPr>
          <w:rFonts w:ascii="Arial" w:hAnsi="Arial" w:cs="Arial"/>
          <w:sz w:val="28"/>
          <w:szCs w:val="28"/>
        </w:rPr>
      </w:pPr>
      <w:r w:rsidRPr="00FC56FF">
        <w:rPr>
          <w:rFonts w:ascii="Arial" w:hAnsi="Arial" w:cs="Arial"/>
          <w:sz w:val="28"/>
          <w:szCs w:val="28"/>
        </w:rPr>
        <w:t>Investigators should recognise the positive impact of an early admission in the context of the criminal justice system.</w:t>
      </w:r>
    </w:p>
    <w:p w:rsidR="005156C4" w:rsidRPr="00FC56FF" w:rsidRDefault="005156C4" w:rsidP="005156C4">
      <w:pPr>
        <w:pStyle w:val="ListParagraph"/>
        <w:numPr>
          <w:ilvl w:val="0"/>
          <w:numId w:val="13"/>
        </w:numPr>
        <w:rPr>
          <w:rFonts w:ascii="Arial" w:hAnsi="Arial" w:cs="Arial"/>
          <w:sz w:val="28"/>
          <w:szCs w:val="28"/>
        </w:rPr>
      </w:pPr>
      <w:r w:rsidRPr="00FC56FF">
        <w:rPr>
          <w:rFonts w:ascii="Arial" w:hAnsi="Arial" w:cs="Arial"/>
          <w:sz w:val="28"/>
          <w:szCs w:val="28"/>
        </w:rPr>
        <w:t>Investigators are not bound to accept the first answer given. Questioning is not unfair merely because it is persistent.</w:t>
      </w:r>
    </w:p>
    <w:p w:rsidR="005156C4" w:rsidRPr="00FC56FF" w:rsidRDefault="005156C4" w:rsidP="005156C4">
      <w:pPr>
        <w:pStyle w:val="ListParagraph"/>
        <w:numPr>
          <w:ilvl w:val="0"/>
          <w:numId w:val="13"/>
        </w:numPr>
        <w:rPr>
          <w:rFonts w:ascii="Arial" w:hAnsi="Arial" w:cs="Arial"/>
          <w:sz w:val="28"/>
          <w:szCs w:val="28"/>
        </w:rPr>
      </w:pPr>
      <w:r w:rsidRPr="00FC56FF">
        <w:rPr>
          <w:rFonts w:ascii="Arial" w:hAnsi="Arial" w:cs="Arial"/>
          <w:sz w:val="28"/>
          <w:szCs w:val="28"/>
        </w:rPr>
        <w:t>Even when the right of silence is exercised by a suspect, investigators have a responsibility to put questions to them.</w:t>
      </w:r>
    </w:p>
    <w:p w:rsidR="005156C4" w:rsidRPr="00FC56FF" w:rsidRDefault="005156C4" w:rsidP="005156C4">
      <w:pPr>
        <w:pStyle w:val="ListParagraph"/>
        <w:rPr>
          <w:rFonts w:ascii="Arial" w:hAnsi="Arial" w:cs="Arial"/>
          <w:sz w:val="28"/>
          <w:szCs w:val="28"/>
        </w:rPr>
      </w:pPr>
    </w:p>
    <w:p w:rsidR="00AA235B" w:rsidRPr="00FC56FF" w:rsidRDefault="00AA235B">
      <w:pPr>
        <w:rPr>
          <w:rFonts w:ascii="Arial" w:hAnsi="Arial" w:cs="Arial"/>
          <w:sz w:val="20"/>
          <w:szCs w:val="20"/>
        </w:rPr>
      </w:pPr>
      <w:r w:rsidRPr="00FC56FF">
        <w:rPr>
          <w:rFonts w:ascii="Arial" w:hAnsi="Arial" w:cs="Arial"/>
          <w:sz w:val="20"/>
          <w:szCs w:val="20"/>
        </w:rPr>
        <w:br w:type="page"/>
      </w:r>
    </w:p>
    <w:p w:rsidR="00A30027" w:rsidRPr="00FC56FF" w:rsidRDefault="004107B3" w:rsidP="00A30027">
      <w:pPr>
        <w:rPr>
          <w:rFonts w:ascii="Arial" w:hAnsi="Arial" w:cs="Arial"/>
          <w:b/>
          <w:sz w:val="28"/>
          <w:szCs w:val="24"/>
          <w:u w:val="single"/>
        </w:rPr>
      </w:pPr>
      <w:r w:rsidRPr="00FC56FF">
        <w:rPr>
          <w:rFonts w:ascii="Arial" w:hAnsi="Arial" w:cs="Arial"/>
          <w:b/>
          <w:sz w:val="28"/>
          <w:szCs w:val="24"/>
          <w:u w:val="single"/>
        </w:rPr>
        <w:lastRenderedPageBreak/>
        <w:t>Outcome of the S</w:t>
      </w:r>
      <w:r w:rsidR="00A30027" w:rsidRPr="00FC56FF">
        <w:rPr>
          <w:rFonts w:ascii="Arial" w:hAnsi="Arial" w:cs="Arial"/>
          <w:b/>
          <w:sz w:val="28"/>
          <w:szCs w:val="24"/>
          <w:u w:val="single"/>
        </w:rPr>
        <w:t>cenario</w:t>
      </w:r>
    </w:p>
    <w:p w:rsidR="004107B3" w:rsidRPr="00FC56FF" w:rsidRDefault="004107B3" w:rsidP="00694E01">
      <w:pPr>
        <w:rPr>
          <w:rFonts w:ascii="Arial" w:hAnsi="Arial" w:cs="Arial"/>
          <w:b/>
          <w:sz w:val="28"/>
          <w:szCs w:val="28"/>
          <w:u w:val="single"/>
        </w:rPr>
      </w:pPr>
    </w:p>
    <w:p w:rsidR="00EE7207" w:rsidRPr="00FC56FF" w:rsidRDefault="00013198" w:rsidP="00013198">
      <w:pPr>
        <w:numPr>
          <w:ilvl w:val="0"/>
          <w:numId w:val="12"/>
        </w:numPr>
        <w:rPr>
          <w:rFonts w:ascii="Arial" w:hAnsi="Arial" w:cs="Arial"/>
          <w:sz w:val="28"/>
          <w:szCs w:val="28"/>
        </w:rPr>
      </w:pPr>
      <w:r w:rsidRPr="00FC56FF">
        <w:rPr>
          <w:rFonts w:ascii="Arial" w:hAnsi="Arial" w:cs="Arial"/>
          <w:sz w:val="28"/>
          <w:szCs w:val="28"/>
        </w:rPr>
        <w:t>Aim</w:t>
      </w:r>
      <w:r w:rsidR="000C67F8" w:rsidRPr="00FC56FF">
        <w:rPr>
          <w:rFonts w:ascii="Arial" w:hAnsi="Arial" w:cs="Arial"/>
          <w:sz w:val="28"/>
          <w:szCs w:val="28"/>
        </w:rPr>
        <w:t xml:space="preserve">: To Provide interviewers with the competence to prepare and </w:t>
      </w:r>
      <w:r w:rsidRPr="00FC56FF">
        <w:rPr>
          <w:rFonts w:ascii="Arial" w:hAnsi="Arial" w:cs="Arial"/>
          <w:sz w:val="28"/>
          <w:szCs w:val="28"/>
        </w:rPr>
        <w:t>plan interviews</w:t>
      </w:r>
      <w:r w:rsidR="000C67F8" w:rsidRPr="00FC56FF">
        <w:rPr>
          <w:rFonts w:ascii="Arial" w:hAnsi="Arial" w:cs="Arial"/>
          <w:sz w:val="28"/>
          <w:szCs w:val="28"/>
        </w:rPr>
        <w:t xml:space="preserve"> with suspects.</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Objectives</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Assess information gathered about  suspect(s)</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Assess the type and current condition of the suspect to inform the approach to the interview in accordance with legal requirements.</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 xml:space="preserve">Establish the correct interview approach utilising the engage and explain phase aide memoir </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Identify the nature of the allegation and identify investigative important information</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Produce a written interview plan that takes account of the suspect assessment , the needs of the investigation and legal requirements</w:t>
      </w:r>
    </w:p>
    <w:p w:rsidR="00EE7207" w:rsidRPr="00FC56FF" w:rsidRDefault="000C67F8" w:rsidP="00013198">
      <w:pPr>
        <w:numPr>
          <w:ilvl w:val="0"/>
          <w:numId w:val="12"/>
        </w:numPr>
        <w:rPr>
          <w:rFonts w:ascii="Arial" w:hAnsi="Arial" w:cs="Arial"/>
          <w:sz w:val="28"/>
          <w:szCs w:val="28"/>
        </w:rPr>
      </w:pPr>
      <w:r w:rsidRPr="00FC56FF">
        <w:rPr>
          <w:rFonts w:ascii="Arial" w:hAnsi="Arial" w:cs="Arial"/>
          <w:sz w:val="28"/>
          <w:szCs w:val="28"/>
        </w:rPr>
        <w:t>Select and set up t</w:t>
      </w:r>
      <w:r w:rsidR="00013198" w:rsidRPr="00FC56FF">
        <w:rPr>
          <w:rFonts w:ascii="Arial" w:hAnsi="Arial" w:cs="Arial"/>
          <w:sz w:val="28"/>
          <w:szCs w:val="28"/>
        </w:rPr>
        <w:t>he necessary interview location</w:t>
      </w:r>
      <w:r w:rsidRPr="00FC56FF">
        <w:rPr>
          <w:rFonts w:ascii="Arial" w:hAnsi="Arial" w:cs="Arial"/>
          <w:sz w:val="28"/>
          <w:szCs w:val="28"/>
        </w:rPr>
        <w:t>, resources and personnel.</w:t>
      </w:r>
    </w:p>
    <w:p w:rsidR="004107B3" w:rsidRPr="00FC56FF" w:rsidRDefault="004107B3" w:rsidP="00694E01">
      <w:pPr>
        <w:rPr>
          <w:rFonts w:ascii="Arial" w:hAnsi="Arial" w:cs="Arial"/>
          <w:sz w:val="28"/>
          <w:szCs w:val="28"/>
        </w:rPr>
      </w:pPr>
    </w:p>
    <w:p w:rsidR="004107B3" w:rsidRPr="00FC56FF" w:rsidRDefault="004107B3" w:rsidP="00694E01">
      <w:pPr>
        <w:rPr>
          <w:rFonts w:ascii="Arial" w:hAnsi="Arial" w:cs="Arial"/>
          <w:sz w:val="28"/>
          <w:szCs w:val="28"/>
        </w:rPr>
      </w:pPr>
    </w:p>
    <w:p w:rsidR="004107B3" w:rsidRPr="00FC56FF" w:rsidRDefault="004107B3" w:rsidP="00694E01">
      <w:pPr>
        <w:rPr>
          <w:rFonts w:ascii="Arial" w:hAnsi="Arial" w:cs="Arial"/>
          <w:sz w:val="28"/>
          <w:szCs w:val="28"/>
        </w:rPr>
      </w:pPr>
    </w:p>
    <w:p w:rsidR="004107B3" w:rsidRPr="00FC56FF" w:rsidRDefault="004107B3" w:rsidP="00694E01">
      <w:pPr>
        <w:rPr>
          <w:rFonts w:ascii="Arial" w:hAnsi="Arial" w:cs="Arial"/>
          <w:sz w:val="28"/>
          <w:szCs w:val="28"/>
        </w:rPr>
      </w:pPr>
    </w:p>
    <w:p w:rsidR="004107B3" w:rsidRPr="00FC56FF" w:rsidRDefault="004107B3" w:rsidP="00694E01">
      <w:pPr>
        <w:rPr>
          <w:rFonts w:ascii="Arial" w:hAnsi="Arial" w:cs="Arial"/>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AA235B" w:rsidRDefault="00AA235B">
      <w:pPr>
        <w:rPr>
          <w:rFonts w:ascii="Arial" w:eastAsia="Times New Roman" w:hAnsi="Arial" w:cs="Arial"/>
          <w:b/>
          <w:color w:val="000000"/>
          <w:sz w:val="32"/>
          <w:szCs w:val="28"/>
          <w:u w:val="single"/>
          <w:lang w:eastAsia="en-GB"/>
        </w:rPr>
      </w:pPr>
      <w:r>
        <w:rPr>
          <w:rFonts w:ascii="Arial" w:hAnsi="Arial" w:cs="Arial"/>
          <w:b/>
          <w:color w:val="000000"/>
          <w:sz w:val="32"/>
          <w:szCs w:val="28"/>
          <w:u w:val="single"/>
        </w:rPr>
        <w:br w:type="page"/>
      </w:r>
    </w:p>
    <w:p w:rsidR="00615E30" w:rsidRPr="00615E30" w:rsidRDefault="00615E30" w:rsidP="00615E30">
      <w:pPr>
        <w:pStyle w:val="first"/>
        <w:rPr>
          <w:rFonts w:ascii="Arial" w:hAnsi="Arial" w:cs="Arial"/>
          <w:b/>
          <w:color w:val="000000"/>
          <w:sz w:val="32"/>
          <w:szCs w:val="28"/>
          <w:u w:val="single"/>
        </w:rPr>
      </w:pPr>
      <w:r w:rsidRPr="00615E30">
        <w:rPr>
          <w:rFonts w:ascii="Arial" w:hAnsi="Arial" w:cs="Arial"/>
          <w:b/>
          <w:color w:val="000000"/>
          <w:sz w:val="32"/>
          <w:szCs w:val="28"/>
          <w:u w:val="single"/>
        </w:rPr>
        <w:lastRenderedPageBreak/>
        <w:t>Section 1 of the Theft Act 1968 provides the legal definition of theft.</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1(1) A person is guilty of theft if he </w:t>
      </w:r>
      <w:hyperlink r:id="rId8" w:history="1">
        <w:r w:rsidRPr="00615E30">
          <w:rPr>
            <w:rStyle w:val="Hyperlink"/>
            <w:rFonts w:ascii="Arial" w:hAnsi="Arial" w:cs="Arial"/>
          </w:rPr>
          <w:t>dishonestly</w:t>
        </w:r>
      </w:hyperlink>
      <w:r w:rsidRPr="00615E30">
        <w:rPr>
          <w:rFonts w:ascii="Arial" w:hAnsi="Arial" w:cs="Arial"/>
          <w:color w:val="000000"/>
        </w:rPr>
        <w:t> </w:t>
      </w:r>
      <w:hyperlink r:id="rId9" w:history="1">
        <w:r w:rsidRPr="00615E30">
          <w:rPr>
            <w:rStyle w:val="Hyperlink"/>
            <w:rFonts w:ascii="Arial" w:hAnsi="Arial" w:cs="Arial"/>
          </w:rPr>
          <w:t>appropriates</w:t>
        </w:r>
      </w:hyperlink>
      <w:r w:rsidRPr="00615E30">
        <w:rPr>
          <w:rFonts w:ascii="Arial" w:hAnsi="Arial" w:cs="Arial"/>
          <w:color w:val="000000"/>
        </w:rPr>
        <w:t> </w:t>
      </w:r>
      <w:hyperlink r:id="rId10" w:history="1">
        <w:r w:rsidRPr="00615E30">
          <w:rPr>
            <w:rStyle w:val="Hyperlink"/>
            <w:rFonts w:ascii="Arial" w:hAnsi="Arial" w:cs="Arial"/>
          </w:rPr>
          <w:t>property</w:t>
        </w:r>
      </w:hyperlink>
      <w:r w:rsidRPr="00615E30">
        <w:rPr>
          <w:rFonts w:ascii="Arial" w:hAnsi="Arial" w:cs="Arial"/>
          <w:color w:val="000000"/>
        </w:rPr>
        <w:t> </w:t>
      </w:r>
      <w:hyperlink r:id="rId11" w:history="1">
        <w:r w:rsidRPr="00615E30">
          <w:rPr>
            <w:rStyle w:val="Hyperlink"/>
            <w:rFonts w:ascii="Arial" w:hAnsi="Arial" w:cs="Arial"/>
          </w:rPr>
          <w:t>belonging to another</w:t>
        </w:r>
      </w:hyperlink>
      <w:r w:rsidRPr="00615E30">
        <w:rPr>
          <w:rFonts w:ascii="Arial" w:hAnsi="Arial" w:cs="Arial"/>
          <w:color w:val="000000"/>
        </w:rPr>
        <w:t> </w:t>
      </w:r>
      <w:hyperlink r:id="rId12" w:history="1">
        <w:r w:rsidRPr="00615E30">
          <w:rPr>
            <w:rStyle w:val="Hyperlink"/>
            <w:rFonts w:ascii="Arial" w:hAnsi="Arial" w:cs="Arial"/>
          </w:rPr>
          <w:t>with the intention of permanently depriving the other of it</w:t>
        </w:r>
      </w:hyperlink>
      <w:r w:rsidRPr="00615E30">
        <w:rPr>
          <w:rFonts w:ascii="Arial" w:hAnsi="Arial" w:cs="Arial"/>
          <w:color w:val="000000"/>
        </w:rPr>
        <w:t xml:space="preserve"> and 'thief' and 'steal' shall be construed accordingly. </w:t>
      </w:r>
    </w:p>
    <w:p w:rsidR="00615E30" w:rsidRPr="00615E30" w:rsidRDefault="00615E30" w:rsidP="00615E30">
      <w:pPr>
        <w:pStyle w:val="NormalWeb"/>
        <w:rPr>
          <w:rFonts w:ascii="Arial" w:hAnsi="Arial" w:cs="Arial"/>
          <w:color w:val="000000"/>
        </w:rPr>
      </w:pPr>
      <w:r w:rsidRPr="00615E30">
        <w:rPr>
          <w:rFonts w:ascii="Arial" w:hAnsi="Arial" w:cs="Arial"/>
          <w:color w:val="000000"/>
        </w:rPr>
        <w:t>1(2) It is immaterial whether the appropriation is made with a view to gain, or is made for the thief's own benefit.</w:t>
      </w:r>
    </w:p>
    <w:p w:rsidR="00615E30" w:rsidRPr="00615E30" w:rsidRDefault="00615E30" w:rsidP="00615E30">
      <w:pPr>
        <w:pStyle w:val="NormalWeb"/>
        <w:rPr>
          <w:rFonts w:ascii="Arial" w:hAnsi="Arial" w:cs="Arial"/>
          <w:color w:val="000000"/>
        </w:rPr>
      </w:pPr>
      <w:r w:rsidRPr="00615E30">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 xml:space="preserve">Notes </w:t>
      </w:r>
      <w:r w:rsidRPr="00615E30">
        <w:rPr>
          <w:rFonts w:ascii="Arial" w:hAnsi="Arial" w:cs="Arial"/>
          <w:b/>
          <w:bCs/>
          <w:color w:val="000000"/>
        </w:rPr>
        <w:br/>
      </w:r>
      <w:r w:rsidRPr="00615E30">
        <w:rPr>
          <w:rStyle w:val="Emphasis"/>
          <w:rFonts w:ascii="Arial" w:hAnsi="Arial" w:cs="Arial"/>
          <w:color w:val="000000"/>
        </w:rPr>
        <w:t xml:space="preserve">(i) The wording which makes the above an offence is found in section 7 of the Act. All five of these elements must be proved to obtain a </w:t>
      </w:r>
      <w:r w:rsidR="00F3051D" w:rsidRPr="00615E30">
        <w:rPr>
          <w:rStyle w:val="Emphasis"/>
          <w:rFonts w:ascii="Arial" w:hAnsi="Arial" w:cs="Arial"/>
          <w:color w:val="000000"/>
        </w:rPr>
        <w:t>conviction. The</w:t>
      </w:r>
      <w:r w:rsidRPr="00615E30">
        <w:rPr>
          <w:rStyle w:val="Emphasis"/>
          <w:rFonts w:ascii="Arial" w:hAnsi="Arial" w:cs="Arial"/>
          <w:color w:val="000000"/>
        </w:rPr>
        <w:t xml:space="preserve"> term 'property' in this Act is not the same as that in the offence of </w:t>
      </w:r>
      <w:hyperlink r:id="rId13" w:history="1">
        <w:r w:rsidRPr="00615E30">
          <w:rPr>
            <w:rStyle w:val="Hyperlink"/>
            <w:rFonts w:ascii="Arial" w:hAnsi="Arial" w:cs="Arial"/>
            <w:i/>
            <w:iCs/>
          </w:rPr>
          <w:t>criminal damage</w:t>
        </w:r>
      </w:hyperlink>
      <w:r w:rsidRPr="00615E30">
        <w:rPr>
          <w:rStyle w:val="Emphasis"/>
          <w:rFonts w:ascii="Arial" w:hAnsi="Arial" w:cs="Arial"/>
          <w:color w:val="000000"/>
        </w:rPr>
        <w:t>.</w:t>
      </w:r>
      <w:r w:rsidRPr="00615E30">
        <w:rPr>
          <w:rFonts w:ascii="Arial" w:hAnsi="Arial" w:cs="Arial"/>
          <w:i/>
          <w:iCs/>
          <w:color w:val="000000"/>
        </w:rPr>
        <w:br/>
      </w:r>
      <w:r w:rsidRPr="00615E30">
        <w:rPr>
          <w:rStyle w:val="Emphasis"/>
          <w:rFonts w:ascii="Arial" w:hAnsi="Arial" w:cs="Arial"/>
          <w:color w:val="000000"/>
        </w:rPr>
        <w:t xml:space="preserve">(ii) Immigration officers have a power of arrest for theft (see </w:t>
      </w:r>
      <w:hyperlink r:id="rId14" w:history="1">
        <w:r w:rsidRPr="00615E30">
          <w:rPr>
            <w:rStyle w:val="Emphasis"/>
            <w:rFonts w:ascii="Arial" w:hAnsi="Arial" w:cs="Arial"/>
            <w:color w:val="0000FF"/>
            <w:u w:val="single"/>
          </w:rPr>
          <w:t xml:space="preserve">section 14 </w:t>
        </w:r>
      </w:hyperlink>
      <w:r w:rsidRPr="00615E30">
        <w:rPr>
          <w:rStyle w:val="Emphasis"/>
          <w:rFonts w:ascii="Arial" w:hAnsi="Arial" w:cs="Arial"/>
          <w:color w:val="000000"/>
        </w:rPr>
        <w:t xml:space="preserve">of the Asylum and Immigration (Treatment of Claimants, </w:t>
      </w:r>
      <w:r w:rsidR="00F3051D" w:rsidRPr="00615E30">
        <w:rPr>
          <w:rStyle w:val="Emphasis"/>
          <w:rFonts w:ascii="Arial" w:hAnsi="Arial" w:cs="Arial"/>
          <w:color w:val="000000"/>
        </w:rPr>
        <w:t>etc.</w:t>
      </w:r>
      <w:r w:rsidRPr="00615E30">
        <w:rPr>
          <w:rStyle w:val="Emphasis"/>
          <w:rFonts w:ascii="Arial" w:hAnsi="Arial" w:cs="Arial"/>
          <w:color w:val="000000"/>
        </w:rPr>
        <w:t>) Act 2004). This power is available to an immigration officer who uncovers evidence of this (and other offences) whilst in the course of their usual duties (investigating immigration matters).</w:t>
      </w:r>
      <w:r w:rsidRPr="00615E30">
        <w:rPr>
          <w:rFonts w:ascii="Arial" w:hAnsi="Arial" w:cs="Arial"/>
          <w:color w:val="000000"/>
        </w:rPr>
        <w:br/>
      </w:r>
      <w:r w:rsidRPr="00615E30">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615E30">
          <w:rPr>
            <w:rStyle w:val="Emphasis"/>
            <w:rFonts w:ascii="Arial" w:hAnsi="Arial" w:cs="Arial"/>
            <w:color w:val="0000FF"/>
            <w:u w:val="single"/>
          </w:rPr>
          <w:t>www.police.e-register.net</w:t>
        </w:r>
      </w:hyperlink>
      <w:r w:rsidRPr="00615E30">
        <w:rPr>
          <w:rFonts w:ascii="Arial" w:hAnsi="Arial" w:cs="Arial"/>
          <w:color w:val="000000"/>
        </w:rPr>
        <w:t>.</w:t>
      </w:r>
      <w:r w:rsidRPr="00615E30">
        <w:rPr>
          <w:rFonts w:ascii="Arial" w:hAnsi="Arial" w:cs="Arial"/>
          <w:color w:val="000000"/>
        </w:rPr>
        <w:br/>
      </w:r>
      <w:r w:rsidRPr="00615E30">
        <w:rPr>
          <w:rStyle w:val="Emphasis"/>
          <w:rFonts w:ascii="Arial" w:hAnsi="Arial" w:cs="Arial"/>
          <w:color w:val="000000"/>
        </w:rPr>
        <w:t xml:space="preserve">(iv) Please see the document on </w:t>
      </w:r>
      <w:hyperlink r:id="rId16" w:history="1">
        <w:r w:rsidR="00F3051D" w:rsidRPr="00615E30">
          <w:rPr>
            <w:rStyle w:val="Hyperlink"/>
            <w:rFonts w:ascii="Arial" w:hAnsi="Arial" w:cs="Arial"/>
            <w:i/>
            <w:iCs/>
          </w:rPr>
          <w:t>carjacking</w:t>
        </w:r>
      </w:hyperlink>
      <w:r w:rsidRPr="00615E30">
        <w:rPr>
          <w:rStyle w:val="Emphasis"/>
          <w:rFonts w:ascii="Arial" w:hAnsi="Arial" w:cs="Arial"/>
          <w:color w:val="000000"/>
        </w:rPr>
        <w:t>, where the offence of theft may be applicable.</w:t>
      </w:r>
      <w:r w:rsidRPr="00615E30">
        <w:rPr>
          <w:rFonts w:ascii="Arial" w:hAnsi="Arial" w:cs="Arial"/>
          <w:color w:val="000000"/>
        </w:rPr>
        <w:br/>
      </w:r>
      <w:r w:rsidRPr="00615E30">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615E30">
        <w:rPr>
          <w:rFonts w:ascii="Arial" w:hAnsi="Arial" w:cs="Arial"/>
          <w:i/>
          <w:iCs/>
          <w:color w:val="000000"/>
        </w:rPr>
        <w:br/>
      </w:r>
      <w:r w:rsidRPr="00615E30">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4107B3" w:rsidRPr="00694E01" w:rsidRDefault="004107B3" w:rsidP="00694E01">
      <w:pPr>
        <w:rPr>
          <w:sz w:val="28"/>
          <w:szCs w:val="28"/>
        </w:rPr>
      </w:pPr>
    </w:p>
    <w:p w:rsidR="00AA235B" w:rsidRDefault="00AA235B">
      <w:pPr>
        <w:rPr>
          <w:rFonts w:ascii="Arial" w:hAnsi="Arial" w:cs="Arial"/>
          <w:sz w:val="24"/>
          <w:szCs w:val="24"/>
        </w:rPr>
      </w:pPr>
      <w:r>
        <w:rPr>
          <w:rFonts w:ascii="Arial" w:hAnsi="Arial" w:cs="Arial"/>
          <w:sz w:val="24"/>
          <w:szCs w:val="24"/>
        </w:rPr>
        <w:br w:type="page"/>
      </w:r>
    </w:p>
    <w:p w:rsidR="00A802D4" w:rsidRPr="00A802D4" w:rsidRDefault="00A802D4" w:rsidP="00A802D4">
      <w:pPr>
        <w:rPr>
          <w:b/>
          <w:sz w:val="32"/>
          <w:szCs w:val="32"/>
          <w:u w:val="single"/>
        </w:rPr>
      </w:pPr>
      <w:r w:rsidRPr="00A802D4">
        <w:rPr>
          <w:rFonts w:ascii="Arial" w:hAnsi="Arial" w:cs="Arial"/>
          <w:b/>
          <w:color w:val="000000"/>
          <w:sz w:val="32"/>
          <w:szCs w:val="32"/>
          <w:u w:val="single"/>
          <w:shd w:val="clear" w:color="auto" w:fill="FFFFFF"/>
        </w:rPr>
        <w:lastRenderedPageBreak/>
        <w:t xml:space="preserve">Section 22 of the Theft Act 1968 creates various offences relating to handling stolen goods. </w:t>
      </w:r>
    </w:p>
    <w:p w:rsidR="00A802D4" w:rsidRPr="00A802D4" w:rsidRDefault="00A802D4" w:rsidP="00A802D4">
      <w:pPr>
        <w:pStyle w:val="NormalWeb"/>
        <w:spacing w:after="0"/>
        <w:rPr>
          <w:rFonts w:ascii="Arial" w:hAnsi="Arial" w:cs="Arial"/>
          <w:color w:val="000000"/>
        </w:rPr>
      </w:pPr>
      <w:r w:rsidRPr="00A802D4">
        <w:rPr>
          <w:rFonts w:ascii="Arial" w:hAnsi="Arial" w:cs="Arial"/>
          <w:color w:val="000000"/>
        </w:rPr>
        <w:t xml:space="preserve">22(1) A person handles stolen goods if (otherwise than in the course of the </w:t>
      </w:r>
      <w:hyperlink r:id="rId17" w:history="1">
        <w:r w:rsidRPr="00A802D4">
          <w:rPr>
            <w:rStyle w:val="Hyperlink"/>
            <w:rFonts w:ascii="Arial" w:hAnsi="Arial" w:cs="Arial"/>
            <w:bdr w:val="none" w:sz="0" w:space="0" w:color="auto" w:frame="1"/>
          </w:rPr>
          <w:t>stealing</w:t>
        </w:r>
      </w:hyperlink>
      <w:r w:rsidRPr="00A802D4">
        <w:rPr>
          <w:rFonts w:ascii="Arial" w:hAnsi="Arial" w:cs="Arial"/>
          <w:color w:val="000000"/>
        </w:rPr>
        <w:t xml:space="preserve">) knowing or believing them to be </w:t>
      </w:r>
      <w:hyperlink r:id="rId18" w:history="1">
        <w:r w:rsidRPr="00A802D4">
          <w:rPr>
            <w:rStyle w:val="Hyperlink"/>
            <w:rFonts w:ascii="Arial" w:hAnsi="Arial" w:cs="Arial"/>
          </w:rPr>
          <w:t>stolen goods</w:t>
        </w:r>
      </w:hyperlink>
      <w:r w:rsidRPr="00A802D4">
        <w:rPr>
          <w:rFonts w:ascii="Arial" w:hAnsi="Arial" w:cs="Arial"/>
          <w:color w:val="000000"/>
        </w:rPr>
        <w:t xml:space="preserve"> he </w:t>
      </w:r>
      <w:hyperlink r:id="rId19" w:history="1">
        <w:r w:rsidRPr="00A802D4">
          <w:rPr>
            <w:rStyle w:val="Hyperlink"/>
            <w:rFonts w:ascii="Arial" w:hAnsi="Arial" w:cs="Arial"/>
          </w:rPr>
          <w:t>dishonestly</w:t>
        </w:r>
      </w:hyperlink>
      <w:r w:rsidRPr="00A802D4">
        <w:rPr>
          <w:rFonts w:ascii="Arial" w:hAnsi="Arial" w:cs="Arial"/>
          <w:color w:val="000000"/>
        </w:rPr>
        <w:t xml:space="preserve"> receives the </w:t>
      </w:r>
      <w:hyperlink r:id="rId20" w:history="1">
        <w:r w:rsidRPr="00A802D4">
          <w:rPr>
            <w:rStyle w:val="Hyperlink"/>
            <w:rFonts w:ascii="Arial" w:hAnsi="Arial" w:cs="Arial"/>
          </w:rPr>
          <w:t>goods</w:t>
        </w:r>
      </w:hyperlink>
      <w:r w:rsidRPr="00A802D4">
        <w:rPr>
          <w:rFonts w:ascii="Arial" w:hAnsi="Arial" w:cs="Arial"/>
          <w:color w:val="000000"/>
        </w:rPr>
        <w:t>, or dishonestly undertakes or assists in their retention, removal, disposal, or realisation by or for the benefit of another person, or if he arranges to do so.</w:t>
      </w:r>
    </w:p>
    <w:p w:rsidR="00A802D4" w:rsidRPr="00A802D4" w:rsidRDefault="00A802D4" w:rsidP="00A802D4">
      <w:pPr>
        <w:pStyle w:val="NormalWeb"/>
        <w:rPr>
          <w:rFonts w:ascii="Arial" w:hAnsi="Arial" w:cs="Arial"/>
          <w:color w:val="000000"/>
        </w:rPr>
      </w:pPr>
      <w:r w:rsidRPr="00A802D4">
        <w:rPr>
          <w:rFonts w:ascii="Arial" w:hAnsi="Arial" w:cs="Arial"/>
          <w:color w:val="000000"/>
        </w:rPr>
        <w:t xml:space="preserve">22(2) </w:t>
      </w:r>
      <w:r w:rsidRPr="00A802D4">
        <w:rPr>
          <w:rStyle w:val="Emphasis"/>
          <w:rFonts w:ascii="Arial" w:hAnsi="Arial" w:cs="Arial"/>
          <w:color w:val="000000"/>
        </w:rPr>
        <w:t>penalty only - see below</w:t>
      </w:r>
    </w:p>
    <w:p w:rsidR="00A802D4" w:rsidRPr="00A802D4" w:rsidRDefault="00A802D4" w:rsidP="00A802D4">
      <w:pPr>
        <w:pStyle w:val="last"/>
        <w:spacing w:after="0"/>
        <w:rPr>
          <w:rFonts w:ascii="Arial" w:hAnsi="Arial" w:cs="Arial"/>
          <w:color w:val="000000"/>
        </w:rPr>
      </w:pPr>
      <w:r w:rsidRPr="00A802D4">
        <w:rPr>
          <w:rStyle w:val="Strong"/>
          <w:rFonts w:ascii="Arial" w:hAnsi="Arial" w:cs="Arial"/>
          <w:color w:val="000000"/>
        </w:rPr>
        <w:t>Notes</w:t>
      </w:r>
      <w:r w:rsidRPr="00A802D4">
        <w:rPr>
          <w:rFonts w:ascii="Arial" w:hAnsi="Arial" w:cs="Arial"/>
          <w:b/>
          <w:bCs/>
          <w:color w:val="000000"/>
        </w:rPr>
        <w:br/>
      </w:r>
      <w:r w:rsidRPr="00A802D4">
        <w:rPr>
          <w:rStyle w:val="Emphasis"/>
          <w:rFonts w:ascii="Arial" w:hAnsi="Arial" w:cs="Arial"/>
          <w:color w:val="000000"/>
        </w:rPr>
        <w:t xml:space="preserve">(i) The term of </w:t>
      </w:r>
      <w:hyperlink r:id="rId21" w:history="1">
        <w:r w:rsidRPr="00A802D4">
          <w:rPr>
            <w:rStyle w:val="Hyperlink"/>
            <w:rFonts w:ascii="Arial" w:hAnsi="Arial" w:cs="Arial"/>
            <w:i/>
            <w:iCs/>
          </w:rPr>
          <w:t>dishonesty</w:t>
        </w:r>
      </w:hyperlink>
      <w:r w:rsidRPr="00A802D4">
        <w:rPr>
          <w:rStyle w:val="Emphasis"/>
          <w:rFonts w:ascii="Arial" w:hAnsi="Arial" w:cs="Arial"/>
          <w:color w:val="000000"/>
        </w:rPr>
        <w:t xml:space="preserve"> is expanded in the cases of </w:t>
      </w:r>
      <w:hyperlink r:id="rId22" w:history="1">
        <w:r w:rsidRPr="00A802D4">
          <w:rPr>
            <w:rStyle w:val="Hyperlink"/>
            <w:rFonts w:ascii="Arial" w:hAnsi="Arial" w:cs="Arial"/>
            <w:i/>
            <w:iCs/>
          </w:rPr>
          <w:t>R v Feeley</w:t>
        </w:r>
      </w:hyperlink>
      <w:r w:rsidRPr="00A802D4">
        <w:rPr>
          <w:rStyle w:val="Emphasis"/>
          <w:rFonts w:ascii="Arial" w:hAnsi="Arial" w:cs="Arial"/>
          <w:color w:val="000000"/>
        </w:rPr>
        <w:t xml:space="preserve"> and </w:t>
      </w:r>
      <w:hyperlink r:id="rId23" w:history="1">
        <w:r w:rsidRPr="00A802D4">
          <w:rPr>
            <w:rStyle w:val="Hyperlink"/>
            <w:rFonts w:ascii="Arial" w:hAnsi="Arial" w:cs="Arial"/>
            <w:i/>
            <w:iCs/>
          </w:rPr>
          <w:t>R v Ghosh</w:t>
        </w:r>
      </w:hyperlink>
      <w:r w:rsidRPr="00A802D4">
        <w:rPr>
          <w:rFonts w:ascii="Arial" w:hAnsi="Arial" w:cs="Arial"/>
          <w:i/>
          <w:iCs/>
          <w:color w:val="000000"/>
        </w:rPr>
        <w:br/>
      </w:r>
      <w:r w:rsidRPr="00A802D4">
        <w:rPr>
          <w:rStyle w:val="Emphasis"/>
          <w:rFonts w:ascii="Arial" w:hAnsi="Arial" w:cs="Arial"/>
          <w:color w:val="000000"/>
        </w:rPr>
        <w:t>(ii) There are two basic types of offender, the person who actually receives the goods and the person who, for want of a better expression, 'manages' the goods for the benefit of another. There are many different ways in which 'managing' stolen goods can be committed. An offender should not be charged with several different offences of handling the same stolen goods just by using variations in the wordings. Such action has been ruled as being bad for 'duplicity' (a legal term for attempting to double an offender's liability before a Court based on one set of facts). However, it is quite proper to create a 'managing' charge incorporating all of the alternatives.</w:t>
      </w:r>
      <w:r w:rsidRPr="00A802D4">
        <w:rPr>
          <w:rFonts w:ascii="Arial" w:hAnsi="Arial" w:cs="Arial"/>
          <w:i/>
          <w:iCs/>
          <w:color w:val="000000"/>
        </w:rPr>
        <w:br/>
      </w:r>
      <w:r w:rsidRPr="00A802D4">
        <w:rPr>
          <w:rStyle w:val="Emphasis"/>
          <w:rFonts w:ascii="Arial" w:hAnsi="Arial" w:cs="Arial"/>
          <w:color w:val="000000"/>
        </w:rPr>
        <w:t xml:space="preserve">(iii) Be aware of further provisions relating to this offence in </w:t>
      </w:r>
      <w:hyperlink r:id="rId24" w:history="1">
        <w:r w:rsidRPr="00A802D4">
          <w:rPr>
            <w:rStyle w:val="Hyperlink"/>
            <w:rFonts w:ascii="Arial" w:hAnsi="Arial" w:cs="Arial"/>
            <w:i/>
            <w:iCs/>
          </w:rPr>
          <w:t>section 24</w:t>
        </w:r>
      </w:hyperlink>
      <w:r w:rsidRPr="00A802D4">
        <w:rPr>
          <w:rStyle w:val="Emphasis"/>
          <w:rFonts w:ascii="Arial" w:hAnsi="Arial" w:cs="Arial"/>
          <w:color w:val="000000"/>
        </w:rPr>
        <w:t xml:space="preserve"> and </w:t>
      </w:r>
      <w:hyperlink r:id="rId25" w:history="1">
        <w:r w:rsidRPr="00A802D4">
          <w:rPr>
            <w:rStyle w:val="Hyperlink"/>
            <w:rFonts w:ascii="Arial" w:hAnsi="Arial" w:cs="Arial"/>
            <w:i/>
            <w:iCs/>
          </w:rPr>
          <w:t>section 27</w:t>
        </w:r>
      </w:hyperlink>
      <w:r w:rsidRPr="00A802D4">
        <w:rPr>
          <w:rStyle w:val="Emphasis"/>
          <w:rFonts w:ascii="Arial" w:hAnsi="Arial" w:cs="Arial"/>
          <w:color w:val="000000"/>
        </w:rPr>
        <w:t>.</w:t>
      </w:r>
      <w:r w:rsidRPr="00A802D4">
        <w:rPr>
          <w:rFonts w:ascii="Arial" w:hAnsi="Arial" w:cs="Arial"/>
          <w:i/>
          <w:iCs/>
          <w:color w:val="000000"/>
        </w:rPr>
        <w:br/>
      </w:r>
      <w:r w:rsidRPr="00A802D4">
        <w:rPr>
          <w:rStyle w:val="Emphasis"/>
          <w:rFonts w:ascii="Arial" w:hAnsi="Arial" w:cs="Arial"/>
          <w:color w:val="000000"/>
        </w:rPr>
        <w:t xml:space="preserve">(iv) If the items which are the subject of the investigation are artifacts or antiquities from anywhere in the world (and which have been removed from a site illegally), consider the offence of </w:t>
      </w:r>
      <w:hyperlink r:id="rId26" w:history="1">
        <w:r w:rsidRPr="00A802D4">
          <w:rPr>
            <w:rStyle w:val="Hyperlink"/>
            <w:rFonts w:ascii="Arial" w:hAnsi="Arial" w:cs="Arial"/>
            <w:i/>
            <w:iCs/>
          </w:rPr>
          <w:t>dealing in cultural objects</w:t>
        </w:r>
      </w:hyperlink>
      <w:r w:rsidRPr="00A802D4">
        <w:rPr>
          <w:rStyle w:val="Emphasis"/>
          <w:rFonts w:ascii="Arial" w:hAnsi="Arial" w:cs="Arial"/>
          <w:color w:val="000000"/>
        </w:rPr>
        <w:t xml:space="preserve"> contrary to section 1 of the Dealing in Cultural Objects (Offences) Act 2003.</w:t>
      </w:r>
      <w:r w:rsidRPr="00A802D4">
        <w:rPr>
          <w:rFonts w:ascii="Arial" w:hAnsi="Arial" w:cs="Arial"/>
          <w:i/>
          <w:iCs/>
          <w:color w:val="000000"/>
        </w:rPr>
        <w:br/>
      </w:r>
      <w:r w:rsidRPr="00A802D4">
        <w:rPr>
          <w:rStyle w:val="Emphasis"/>
          <w:rFonts w:ascii="Arial" w:hAnsi="Arial" w:cs="Arial"/>
          <w:color w:val="000000"/>
        </w:rPr>
        <w:t xml:space="preserve">(v) Immigration officers have a power of arrest for theft (see </w:t>
      </w:r>
      <w:hyperlink r:id="rId27" w:history="1">
        <w:r w:rsidRPr="00A802D4">
          <w:rPr>
            <w:rStyle w:val="Hyperlink"/>
            <w:rFonts w:ascii="Arial" w:hAnsi="Arial" w:cs="Arial"/>
            <w:i/>
            <w:iCs/>
          </w:rPr>
          <w:t>section 14</w:t>
        </w:r>
      </w:hyperlink>
      <w:r w:rsidRPr="00A802D4">
        <w:rPr>
          <w:rStyle w:val="Emphasis"/>
          <w:rFonts w:ascii="Arial" w:hAnsi="Arial" w:cs="Arial"/>
          <w:color w:val="000000"/>
        </w:rPr>
        <w:t xml:space="preserve"> of the Asylum &amp; Immigration (Treatment of Claimants, etc.) Act 2004). This power is available to an immigration officer who uncovers evidence of this (and other offences) whilst in the course of their usual duties (investigating immigration matters).</w:t>
      </w:r>
      <w:r w:rsidRPr="00A802D4">
        <w:rPr>
          <w:rFonts w:ascii="Arial" w:hAnsi="Arial" w:cs="Arial"/>
          <w:i/>
          <w:iCs/>
          <w:color w:val="000000"/>
        </w:rPr>
        <w:br/>
      </w:r>
      <w:r w:rsidRPr="00A802D4">
        <w:rPr>
          <w:rStyle w:val="Emphasis"/>
          <w:rFonts w:ascii="Arial" w:hAnsi="Arial" w:cs="Arial"/>
          <w:color w:val="000000"/>
        </w:rPr>
        <w:t xml:space="preserve">(vi) A secure network which protects jewellery, watches and other treasured items, providing the Police with a nationwide database to search and trace the owners of recovered items can be found at </w:t>
      </w:r>
      <w:hyperlink r:id="rId28" w:history="1">
        <w:r w:rsidRPr="00A802D4">
          <w:rPr>
            <w:rStyle w:val="Hyperlink"/>
            <w:rFonts w:ascii="Arial" w:hAnsi="Arial" w:cs="Arial"/>
            <w:i/>
            <w:iCs/>
          </w:rPr>
          <w:t>www.police.e-register.net</w:t>
        </w:r>
      </w:hyperlink>
      <w:r w:rsidRPr="00A802D4">
        <w:rPr>
          <w:rStyle w:val="Emphasis"/>
          <w:rFonts w:ascii="Arial" w:hAnsi="Arial" w:cs="Arial"/>
          <w:color w:val="000000"/>
        </w:rPr>
        <w:t xml:space="preserve"> .</w:t>
      </w:r>
      <w:r w:rsidRPr="00A802D4">
        <w:rPr>
          <w:rFonts w:ascii="Arial" w:hAnsi="Arial" w:cs="Arial"/>
          <w:i/>
          <w:iCs/>
          <w:color w:val="000000"/>
        </w:rPr>
        <w:br/>
      </w:r>
      <w:r w:rsidRPr="00A802D4">
        <w:rPr>
          <w:rStyle w:val="Emphasis"/>
          <w:rFonts w:ascii="Arial" w:hAnsi="Arial" w:cs="Arial"/>
          <w:color w:val="000000"/>
        </w:rPr>
        <w:t xml:space="preserve">(vii) </w:t>
      </w:r>
      <w:r w:rsidRPr="00A802D4">
        <w:rPr>
          <w:rStyle w:val="Strong"/>
          <w:rFonts w:ascii="Arial" w:hAnsi="Arial" w:cs="Arial"/>
          <w:i/>
          <w:iCs/>
          <w:color w:val="000000"/>
        </w:rPr>
        <w:t xml:space="preserve">Otherwise than in the course of stealing: </w:t>
      </w:r>
      <w:r w:rsidRPr="00A802D4">
        <w:rPr>
          <w:rStyle w:val="Emphasis"/>
          <w:rFonts w:ascii="Arial" w:hAnsi="Arial" w:cs="Arial"/>
          <w:color w:val="000000"/>
        </w:rPr>
        <w:t xml:space="preserve">Sometimes the facts of a case may fit either </w:t>
      </w:r>
      <w:hyperlink r:id="rId29" w:history="1">
        <w:r w:rsidRPr="00A802D4">
          <w:rPr>
            <w:rStyle w:val="Emphasis"/>
            <w:rFonts w:ascii="Arial" w:hAnsi="Arial" w:cs="Arial"/>
            <w:color w:val="0000FF"/>
            <w:u w:val="single"/>
            <w:bdr w:val="none" w:sz="0" w:space="0" w:color="auto" w:frame="1"/>
          </w:rPr>
          <w:t>stealing</w:t>
        </w:r>
      </w:hyperlink>
      <w:r w:rsidRPr="00A802D4">
        <w:rPr>
          <w:rStyle w:val="Emphasis"/>
          <w:rFonts w:ascii="Arial" w:hAnsi="Arial" w:cs="Arial"/>
          <w:color w:val="000000"/>
        </w:rPr>
        <w:t xml:space="preserve"> or handling. In order to determine whether goods were handled 'otherwise than in the course of stealing', it should be considered whether or not the actions of the suspect formed an on-going part of the theft, or if the theft was complete and he/she was a third party becoming involved after the event. In many instances where the circumstances are unclear it will be for the Court to make the decision and alternative charges of theft and handling should be preferred. For example, S, who works in a warehouse, throws goods out of an open window onto spare ground. Then . . .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By pre-arrangement, an accomplice, X, is waiting and takes the goods away. X commits theft.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lastRenderedPageBreak/>
        <w:t xml:space="preserve">By pre-arrangement, an accomplice, X, arrives half an hour later and takes the goods. It is most likely that X commits theft particularly if his role was a joint enterprise and the goods were to be shared out between the two men. However a court may consider handling appropriate if X was taking the goods and giving S cash in payment (in which case it may not matter if the removal was half an hour later or at the time the goods were thrown out of the window).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After work S goes to a pub and tells a friend, Y, what he has done. The friend goes and collects the goods. Y commits handling. </w:t>
      </w:r>
    </w:p>
    <w:p w:rsidR="00A802D4" w:rsidRPr="00A802D4" w:rsidRDefault="00A802D4" w:rsidP="00A802D4">
      <w:pPr>
        <w:pStyle w:val="NormalWeb"/>
        <w:rPr>
          <w:rFonts w:ascii="Arial" w:hAnsi="Arial" w:cs="Arial"/>
          <w:i/>
          <w:iCs/>
          <w:color w:val="000000"/>
        </w:rPr>
      </w:pPr>
      <w:r w:rsidRPr="00A802D4">
        <w:rPr>
          <w:rStyle w:val="Emphasis"/>
          <w:rFonts w:ascii="Arial" w:hAnsi="Arial" w:cs="Arial"/>
          <w:color w:val="000000"/>
        </w:rPr>
        <w:t>For all practical purposes, a thief can only become the handler of property that he/she has stolen, once he/she has severed his/her control over the property and later decides, (whilst they are still stolen goods) to have dealings with the property once again. For example:</w:t>
      </w:r>
    </w:p>
    <w:p w:rsidR="00A802D4" w:rsidRPr="00A802D4" w:rsidRDefault="00A802D4" w:rsidP="00A802D4">
      <w:pPr>
        <w:pStyle w:val="NormalWeb"/>
        <w:rPr>
          <w:rFonts w:ascii="Arial" w:hAnsi="Arial" w:cs="Arial"/>
          <w:i/>
          <w:iCs/>
          <w:color w:val="000000"/>
        </w:rPr>
      </w:pPr>
      <w:r w:rsidRPr="00A802D4">
        <w:rPr>
          <w:rStyle w:val="Emphasis"/>
          <w:rFonts w:ascii="Arial" w:hAnsi="Arial" w:cs="Arial"/>
          <w:color w:val="000000"/>
        </w:rPr>
        <w:t>T steals a television. He sells it to H who sells it on to V (both believing it to be stolen). Unexpectedly, T gets a better offer for the television from a different source and buys it back from V. T would be a handler of the television.</w:t>
      </w:r>
    </w:p>
    <w:p w:rsidR="00615E30" w:rsidRPr="00A802D4" w:rsidRDefault="00A802D4" w:rsidP="00A802D4">
      <w:pPr>
        <w:spacing w:before="240"/>
        <w:rPr>
          <w:rFonts w:ascii="Arial" w:hAnsi="Arial" w:cs="Arial"/>
          <w:sz w:val="24"/>
          <w:szCs w:val="24"/>
        </w:rPr>
      </w:pPr>
      <w:r w:rsidRPr="00A802D4">
        <w:rPr>
          <w:rStyle w:val="Emphasis"/>
          <w:rFonts w:ascii="Arial" w:hAnsi="Arial" w:cs="Arial"/>
          <w:color w:val="000000"/>
          <w:sz w:val="24"/>
          <w:szCs w:val="24"/>
        </w:rPr>
        <w:t xml:space="preserve">(viii) </w:t>
      </w:r>
      <w:r w:rsidRPr="00A802D4">
        <w:rPr>
          <w:rStyle w:val="Strong"/>
          <w:rFonts w:ascii="Arial" w:hAnsi="Arial" w:cs="Arial"/>
          <w:i/>
          <w:iCs/>
          <w:color w:val="000000"/>
          <w:sz w:val="24"/>
          <w:szCs w:val="24"/>
        </w:rPr>
        <w:t>Knowing and Believing:</w:t>
      </w:r>
      <w:r w:rsidRPr="00A802D4">
        <w:rPr>
          <w:rStyle w:val="Emphasis"/>
          <w:rFonts w:ascii="Arial" w:hAnsi="Arial" w:cs="Arial"/>
          <w:color w:val="000000"/>
          <w:sz w:val="24"/>
          <w:szCs w:val="24"/>
        </w:rPr>
        <w:t xml:space="preserve"> Knowing includes having actually been told that the goods are stolen, by someone with </w:t>
      </w:r>
      <w:r w:rsidR="001623F2" w:rsidRPr="00A802D4">
        <w:rPr>
          <w:rStyle w:val="Emphasis"/>
          <w:rFonts w:ascii="Arial" w:hAnsi="Arial" w:cs="Arial"/>
          <w:color w:val="000000"/>
          <w:sz w:val="24"/>
          <w:szCs w:val="24"/>
        </w:rPr>
        <w:t>first-hand</w:t>
      </w:r>
      <w:r w:rsidRPr="00A802D4">
        <w:rPr>
          <w:rStyle w:val="Emphasis"/>
          <w:rFonts w:ascii="Arial" w:hAnsi="Arial" w:cs="Arial"/>
          <w:color w:val="000000"/>
          <w:sz w:val="24"/>
          <w:szCs w:val="24"/>
        </w:rPr>
        <w:t xml:space="preserve"> knowledge, such as the thief or burglar. Believing means the state of mind of a person who says to himself that he could not be certain that goods are stolen, but there could be no other reasonable conclusion in the light of all the circumstances. Knowledge or belief that goods are stolen can be proved by direct evidence from the thief, an admission by the handler or circumstantial evidence such as - the low price paid for them; the method of storage; furtive disposal; removal of identifying marks; denial of possession; possession soon after the theft (i.e. the doctrine of recent possession (R v Abramovitch (1916) 11 Cr AppR 45), if someone is found in possession of stolen goods, shortly after they have been stolen, "the jury should be told that they may in the absence of any reasonable explanation, find the prisoner guilty."). Unlawful acts by individuals must be proved, but it has been held that gestures such as a nod or a wink may be sufficient to help prove guilt. There are also statutory provisions relating to </w:t>
      </w:r>
      <w:hyperlink r:id="rId30" w:history="1">
        <w:r w:rsidRPr="00A802D4">
          <w:rPr>
            <w:rStyle w:val="Hyperlink"/>
            <w:rFonts w:ascii="Arial" w:hAnsi="Arial" w:cs="Arial"/>
            <w:i/>
            <w:iCs/>
            <w:sz w:val="24"/>
            <w:szCs w:val="24"/>
          </w:rPr>
          <w:t>special evidence</w:t>
        </w:r>
      </w:hyperlink>
      <w:r w:rsidRPr="00A802D4">
        <w:rPr>
          <w:rStyle w:val="Emphasis"/>
          <w:rFonts w:ascii="Arial" w:hAnsi="Arial" w:cs="Arial"/>
          <w:color w:val="000000"/>
          <w:sz w:val="24"/>
          <w:szCs w:val="24"/>
        </w:rPr>
        <w:t xml:space="preserve"> which could help with this element of the offence. See also </w:t>
      </w:r>
      <w:hyperlink r:id="rId31" w:history="1">
        <w:r w:rsidRPr="00A802D4">
          <w:rPr>
            <w:rStyle w:val="Hyperlink"/>
            <w:rFonts w:ascii="Arial" w:hAnsi="Arial" w:cs="Arial"/>
            <w:i/>
            <w:iCs/>
            <w:sz w:val="24"/>
            <w:szCs w:val="24"/>
          </w:rPr>
          <w:t>R v Hall 1985</w:t>
        </w:r>
      </w:hyperlink>
      <w:r w:rsidRPr="00A802D4">
        <w:rPr>
          <w:rStyle w:val="Emphasis"/>
          <w:rFonts w:ascii="Arial" w:hAnsi="Arial" w:cs="Arial"/>
          <w:color w:val="000000"/>
          <w:sz w:val="24"/>
          <w:szCs w:val="24"/>
        </w:rPr>
        <w:t xml:space="preserve"> and </w:t>
      </w:r>
      <w:hyperlink r:id="rId32" w:history="1">
        <w:r w:rsidRPr="00A802D4">
          <w:rPr>
            <w:rStyle w:val="Hyperlink"/>
            <w:rFonts w:ascii="Arial" w:hAnsi="Arial" w:cs="Arial"/>
            <w:i/>
            <w:iCs/>
            <w:sz w:val="24"/>
            <w:szCs w:val="24"/>
          </w:rPr>
          <w:t>R v Elizabeth Forsyth 1997</w:t>
        </w:r>
      </w:hyperlink>
      <w:r w:rsidRPr="00A802D4">
        <w:rPr>
          <w:rStyle w:val="Emphasis"/>
          <w:rFonts w:ascii="Arial" w:hAnsi="Arial" w:cs="Arial"/>
          <w:color w:val="000000"/>
          <w:sz w:val="24"/>
          <w:szCs w:val="24"/>
        </w:rPr>
        <w:t>.</w:t>
      </w:r>
      <w:r w:rsidRPr="00A802D4">
        <w:rPr>
          <w:rFonts w:ascii="Arial" w:hAnsi="Arial" w:cs="Arial"/>
          <w:i/>
          <w:iCs/>
          <w:color w:val="000000"/>
          <w:sz w:val="24"/>
          <w:szCs w:val="24"/>
        </w:rPr>
        <w:br/>
      </w:r>
      <w:r w:rsidRPr="00A802D4">
        <w:rPr>
          <w:rStyle w:val="Emphasis"/>
          <w:rFonts w:ascii="Arial" w:hAnsi="Arial" w:cs="Arial"/>
          <w:color w:val="000000"/>
          <w:sz w:val="24"/>
          <w:szCs w:val="24"/>
        </w:rPr>
        <w:t>(ix)</w:t>
      </w:r>
      <w:r w:rsidRPr="00A802D4">
        <w:rPr>
          <w:rStyle w:val="Strong"/>
          <w:rFonts w:ascii="Arial" w:hAnsi="Arial" w:cs="Arial"/>
          <w:i/>
          <w:iCs/>
          <w:color w:val="000000"/>
          <w:sz w:val="24"/>
          <w:szCs w:val="24"/>
        </w:rPr>
        <w:t xml:space="preserve"> Receiving:</w:t>
      </w:r>
      <w:r w:rsidRPr="00A802D4">
        <w:rPr>
          <w:rStyle w:val="Emphasis"/>
          <w:rFonts w:ascii="Arial" w:hAnsi="Arial" w:cs="Arial"/>
          <w:color w:val="000000"/>
          <w:sz w:val="24"/>
          <w:szCs w:val="24"/>
        </w:rPr>
        <w:t xml:space="preserve"> Is not specifically defined, but case law has established its meaning as 'gaining possession (actual or constructive) or control' . For more on </w:t>
      </w:r>
      <w:hyperlink r:id="rId33" w:history="1">
        <w:r w:rsidRPr="00A802D4">
          <w:rPr>
            <w:rStyle w:val="Hyperlink"/>
            <w:rFonts w:ascii="Arial" w:hAnsi="Arial" w:cs="Arial"/>
            <w:i/>
            <w:iCs/>
            <w:sz w:val="24"/>
            <w:szCs w:val="24"/>
          </w:rPr>
          <w:t>common law possession and the relevant cases</w:t>
        </w:r>
      </w:hyperlink>
      <w:r w:rsidRPr="00A802D4">
        <w:rPr>
          <w:rStyle w:val="Emphasis"/>
          <w:rFonts w:ascii="Arial" w:hAnsi="Arial" w:cs="Arial"/>
          <w:color w:val="000000"/>
          <w:sz w:val="24"/>
          <w:szCs w:val="24"/>
        </w:rPr>
        <w:t>, see the main document on the subject. There does not need to be any benefit to the receiver. The receipt of the goods must be proved. If the receiver is still negotiating the receipt then another aspect of the offence of handling stolen goods could apply. The receiver must have knowledge that the goods are stolen at the time of their receipt, a bona fide innocent purchaser cannot become a handler at a later date (</w:t>
      </w:r>
      <w:hyperlink r:id="rId34" w:history="1">
        <w:r w:rsidRPr="00A802D4">
          <w:rPr>
            <w:rStyle w:val="Hyperlink"/>
            <w:rFonts w:ascii="Arial" w:hAnsi="Arial" w:cs="Arial"/>
            <w:i/>
            <w:iCs/>
            <w:sz w:val="24"/>
            <w:szCs w:val="24"/>
          </w:rPr>
          <w:t>R v Bloxham 1982</w:t>
        </w:r>
      </w:hyperlink>
      <w:r w:rsidRPr="00A802D4">
        <w:rPr>
          <w:rStyle w:val="Emphasis"/>
          <w:rFonts w:ascii="Arial" w:hAnsi="Arial" w:cs="Arial"/>
          <w:color w:val="000000"/>
          <w:sz w:val="24"/>
          <w:szCs w:val="24"/>
        </w:rPr>
        <w:t>).</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 </w:t>
      </w:r>
      <w:r w:rsidRPr="00A802D4">
        <w:rPr>
          <w:rStyle w:val="Strong"/>
          <w:rFonts w:ascii="Arial" w:hAnsi="Arial" w:cs="Arial"/>
          <w:i/>
          <w:iCs/>
          <w:color w:val="000000"/>
          <w:sz w:val="24"/>
          <w:szCs w:val="24"/>
        </w:rPr>
        <w:t xml:space="preserve">Undertakes or Assists: </w:t>
      </w:r>
      <w:r w:rsidRPr="00A802D4">
        <w:rPr>
          <w:rStyle w:val="Emphasis"/>
          <w:rFonts w:ascii="Arial" w:hAnsi="Arial" w:cs="Arial"/>
          <w:color w:val="000000"/>
          <w:sz w:val="24"/>
          <w:szCs w:val="24"/>
        </w:rPr>
        <w:t xml:space="preserve">Undertakes has been held to include where the person agrees to perform the act or acts constituting the offence. Assists has been held to </w:t>
      </w:r>
      <w:r w:rsidRPr="00A802D4">
        <w:rPr>
          <w:rStyle w:val="Emphasis"/>
          <w:rFonts w:ascii="Arial" w:hAnsi="Arial" w:cs="Arial"/>
          <w:color w:val="000000"/>
          <w:sz w:val="24"/>
          <w:szCs w:val="24"/>
        </w:rPr>
        <w:lastRenderedPageBreak/>
        <w:t>include allowing someone to store goods in a flat and refusing to answer police questions about their whereabouts (</w:t>
      </w:r>
      <w:hyperlink r:id="rId35" w:history="1">
        <w:r w:rsidRPr="00A802D4">
          <w:rPr>
            <w:rStyle w:val="Hyperlink"/>
            <w:rFonts w:ascii="Arial" w:hAnsi="Arial" w:cs="Arial"/>
            <w:i/>
            <w:iCs/>
            <w:sz w:val="24"/>
            <w:szCs w:val="24"/>
          </w:rPr>
          <w:t>R v Brown 1968</w:t>
        </w:r>
      </w:hyperlink>
      <w:r w:rsidRPr="00A802D4">
        <w:rPr>
          <w:rStyle w:val="Emphasis"/>
          <w:rFonts w:ascii="Arial" w:hAnsi="Arial" w:cs="Arial"/>
          <w:color w:val="000000"/>
          <w:sz w:val="24"/>
          <w:szCs w:val="24"/>
        </w:rPr>
        <w:t xml:space="preserve">). The act may be one of omission, such as the owner of premises allowing stolen goods to remain there after he becomes aware that they are stolen. </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 </w:t>
      </w:r>
      <w:r w:rsidRPr="00A802D4">
        <w:rPr>
          <w:rStyle w:val="Strong"/>
          <w:rFonts w:ascii="Arial" w:hAnsi="Arial" w:cs="Arial"/>
          <w:i/>
          <w:iCs/>
          <w:color w:val="000000"/>
          <w:sz w:val="24"/>
          <w:szCs w:val="24"/>
        </w:rPr>
        <w:t xml:space="preserve">Retention - Removal - Disposal - Realisation: </w:t>
      </w:r>
      <w:r w:rsidRPr="00A802D4">
        <w:rPr>
          <w:rStyle w:val="Emphasis"/>
          <w:rFonts w:ascii="Arial" w:hAnsi="Arial" w:cs="Arial"/>
          <w:color w:val="000000"/>
          <w:sz w:val="24"/>
          <w:szCs w:val="24"/>
        </w:rPr>
        <w:t xml:space="preserve">These terms are not specifically defined in the Act and should therefore be given their ordinary dictionary meaning. More than one of the terms might fit a particular set of </w:t>
      </w:r>
      <w:r w:rsidR="001623F2" w:rsidRPr="00A802D4">
        <w:rPr>
          <w:rStyle w:val="Emphasis"/>
          <w:rFonts w:ascii="Arial" w:hAnsi="Arial" w:cs="Arial"/>
          <w:color w:val="000000"/>
          <w:sz w:val="24"/>
          <w:szCs w:val="24"/>
        </w:rPr>
        <w:t xml:space="preserve">circumstances. </w:t>
      </w:r>
      <w:r w:rsidRPr="00A802D4">
        <w:rPr>
          <w:rStyle w:val="Emphasis"/>
          <w:rFonts w:ascii="Arial" w:hAnsi="Arial" w:cs="Arial"/>
          <w:color w:val="000000"/>
          <w:sz w:val="24"/>
          <w:szCs w:val="24"/>
        </w:rPr>
        <w:t>If in doubt, charge them as alternatives. Retention means keeping in one's own possession or control. Removal means moving a thing to another place. Disposal means the act of disposing or getting rid of, or bestowing or giving. Realisation means conversion into cash or money.</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(xii) </w:t>
      </w:r>
      <w:r w:rsidRPr="00A802D4">
        <w:rPr>
          <w:rStyle w:val="Strong"/>
          <w:rFonts w:ascii="Arial" w:hAnsi="Arial" w:cs="Arial"/>
          <w:i/>
          <w:iCs/>
          <w:color w:val="000000"/>
          <w:sz w:val="24"/>
          <w:szCs w:val="24"/>
        </w:rPr>
        <w:t xml:space="preserve">Benefit of Another: </w:t>
      </w:r>
      <w:r w:rsidRPr="00A802D4">
        <w:rPr>
          <w:rStyle w:val="Emphasis"/>
          <w:rFonts w:ascii="Arial" w:hAnsi="Arial" w:cs="Arial"/>
          <w:color w:val="000000"/>
          <w:sz w:val="24"/>
          <w:szCs w:val="24"/>
        </w:rPr>
        <w:t xml:space="preserve">The person gaining benefit must gain some sort of advantage from the arrangement (although in some circumstances he/she may not be aware of it at the time) and it need not be financial. Except in very rare circumstances (see 'in the course of stealing' above) a thief cannot be the handler of the property he has stolen, </w:t>
      </w:r>
      <w:r w:rsidRPr="00A802D4">
        <w:rPr>
          <w:rStyle w:val="Emphasis"/>
          <w:rFonts w:ascii="Arial" w:hAnsi="Arial" w:cs="Arial"/>
          <w:color w:val="000000"/>
          <w:sz w:val="24"/>
          <w:szCs w:val="24"/>
          <w:u w:val="single"/>
        </w:rPr>
        <w:t>but</w:t>
      </w:r>
      <w:r w:rsidRPr="00A802D4">
        <w:rPr>
          <w:rStyle w:val="Emphasis"/>
          <w:rFonts w:ascii="Arial" w:hAnsi="Arial" w:cs="Arial"/>
          <w:color w:val="000000"/>
          <w:sz w:val="24"/>
          <w:szCs w:val="24"/>
        </w:rPr>
        <w:t xml:space="preserve"> can be the person who benefits from, for example, someone else storing it for him . The term 'another person' cannot mean the person purchasing goods from the individual who is disposing of them or co-defendants on the same indictment (R v Gingell 1999). The cases of R v Bloxham 1982 and R v Tokeley-Parry 1998 in the below list of cases may also be of assistance. </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(xiii) </w:t>
      </w:r>
      <w:r w:rsidRPr="00A802D4">
        <w:rPr>
          <w:rStyle w:val="Strong"/>
          <w:rFonts w:ascii="Arial" w:hAnsi="Arial" w:cs="Arial"/>
          <w:i/>
          <w:iCs/>
          <w:color w:val="000000"/>
          <w:sz w:val="24"/>
          <w:szCs w:val="24"/>
        </w:rPr>
        <w:t xml:space="preserve">Arranges to do so: </w:t>
      </w:r>
      <w:r w:rsidRPr="00A802D4">
        <w:rPr>
          <w:rStyle w:val="Emphasis"/>
          <w:rFonts w:ascii="Arial" w:hAnsi="Arial" w:cs="Arial"/>
          <w:color w:val="000000"/>
          <w:sz w:val="24"/>
          <w:szCs w:val="24"/>
        </w:rPr>
        <w:t>This phrase is intended to include the go-between or middleman who makes the arrangement, but may never go near the stolen goods themselves.</w:t>
      </w:r>
    </w:p>
    <w:sectPr w:rsidR="00615E30" w:rsidRPr="00A802D4" w:rsidSect="00FC56FF">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FB4" w:rsidRDefault="003A5755" w:rsidP="003A5755">
    <w:pPr>
      <w:pStyle w:val="Footer"/>
      <w:rPr>
        <w:color w:val="000000"/>
        <w:sz w:val="17"/>
      </w:rPr>
    </w:pPr>
    <w:bookmarkStart w:id="3" w:name="TITUS1FooterEvenPages"/>
    <w:r>
      <w:rPr>
        <w:color w:val="000000"/>
        <w:sz w:val="17"/>
      </w:rPr>
      <w:t> </w:t>
    </w:r>
  </w:p>
  <w:bookmarkEnd w:id="3"/>
  <w:p w:rsidR="00167FB4" w:rsidRDefault="00167FB4" w:rsidP="00167FB4">
    <w:pPr>
      <w:pStyle w:val="Footer"/>
    </w:pPr>
    <w:r>
      <w:rPr>
        <w:noProof/>
        <w:lang w:eastAsia="en-GB"/>
      </w:rPr>
      <mc:AlternateContent>
        <mc:Choice Requires="wps">
          <w:drawing>
            <wp:anchor distT="0" distB="0" distL="114300" distR="114300" simplePos="0" relativeHeight="251661312" behindDoc="0" locked="0" layoutInCell="1" allowOverlap="1" wp14:anchorId="15BB5ADC" wp14:editId="4F997320">
              <wp:simplePos x="0" y="0"/>
              <wp:positionH relativeFrom="column">
                <wp:posOffset>-914400</wp:posOffset>
              </wp:positionH>
              <wp:positionV relativeFrom="paragraph">
                <wp:posOffset>24765</wp:posOffset>
              </wp:positionV>
              <wp:extent cx="5943600" cy="274320"/>
              <wp:effectExtent l="0" t="0" r="0" b="0"/>
              <wp:wrapNone/>
              <wp:docPr id="6" name="Rectangle 6"/>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65685B" id="Rectangle 6" o:spid="_x0000_s1026" style="position:absolute;margin-left:-1in;margin-top:1.95pt;width:468pt;height:21.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" fillcolor="white [3212]" stroked="f" strokeweight="1pt">
              <v:fill opacity="0"/>
            </v:rect>
          </w:pict>
        </mc:Fallback>
      </mc:AlternateContent>
    </w:r>
  </w:p>
  <w:p w:rsidR="00FC56FF" w:rsidRDefault="00FC5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FF" w:rsidRDefault="003A5755" w:rsidP="003A5755">
    <w:pPr>
      <w:pStyle w:val="Footer"/>
      <w:rPr>
        <w:color w:val="000000"/>
        <w:sz w:val="17"/>
      </w:rPr>
    </w:pPr>
    <w:bookmarkStart w:id="4" w:name="TITUS1FooterPrimary"/>
    <w:r>
      <w:rPr>
        <w:color w:val="000000"/>
        <w:sz w:val="17"/>
      </w:rPr>
      <w:t> </w:t>
    </w:r>
  </w:p>
  <w:bookmarkEnd w:id="4"/>
  <w:p w:rsidR="006618F8" w:rsidRDefault="00AA235B">
    <w:pPr>
      <w:pStyle w:val="Foot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24765</wp:posOffset>
              </wp:positionV>
              <wp:extent cx="5943600" cy="274320"/>
              <wp:effectExtent l="0" t="0" r="0" b="0"/>
              <wp:wrapNone/>
              <wp:docPr id="156" name="Rectangle 156"/>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B6DB1B" id="Rectangle 156" o:spid="_x0000_s1026" style="position:absolute;margin-left:-1in;margin-top:1.9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" fillcolor="white [3212]" stroked="f" strokeweight="1pt">
              <v:fill opacity="0"/>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FF" w:rsidRDefault="003A5755" w:rsidP="003A5755">
    <w:pPr>
      <w:pStyle w:val="Footer"/>
      <w:rPr>
        <w:color w:val="000000"/>
        <w:sz w:val="17"/>
      </w:rPr>
    </w:pPr>
    <w:bookmarkStart w:id="6" w:name="TITUS1FooterFirstPage"/>
    <w:r>
      <w:rPr>
        <w:color w:val="000000"/>
        <w:sz w:val="17"/>
      </w:rPr>
      <w:t> </w:t>
    </w:r>
  </w:p>
  <w:bookmarkEnd w:id="6"/>
  <w:p w:rsidR="00FC56FF" w:rsidRDefault="00FC5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FF" w:rsidRDefault="003A5755" w:rsidP="003A5755">
    <w:pPr>
      <w:pStyle w:val="Header"/>
      <w:rPr>
        <w:color w:val="000000"/>
        <w:sz w:val="17"/>
      </w:rPr>
    </w:pPr>
    <w:bookmarkStart w:id="1" w:name="TITUS1HeaderEvenPages"/>
    <w:r>
      <w:rPr>
        <w:color w:val="000000"/>
        <w:sz w:val="17"/>
      </w:rPr>
      <w:t> </w:t>
    </w:r>
  </w:p>
  <w:bookmarkEnd w:id="1"/>
  <w:p w:rsidR="00FC56FF" w:rsidRDefault="00FC56FF" w:rsidP="00FC56FF">
    <w:pPr>
      <w:pStyle w:val="Header"/>
    </w:pPr>
    <w:r>
      <w:rPr>
        <w:noProof/>
        <w:lang w:eastAsia="en-GB"/>
      </w:rPr>
      <w:drawing>
        <wp:inline distT="0" distB="0" distL="0" distR="0" wp14:anchorId="5BD5D73A" wp14:editId="35AEB7F8">
          <wp:extent cx="5731510" cy="9353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FC56FF" w:rsidRDefault="00FC5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FF" w:rsidRDefault="003A5755" w:rsidP="003A5755">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FF" w:rsidRDefault="003A5755" w:rsidP="003A5755">
    <w:pPr>
      <w:pStyle w:val="Header"/>
      <w:rPr>
        <w:color w:val="000000"/>
        <w:sz w:val="17"/>
      </w:rPr>
    </w:pPr>
    <w:bookmarkStart w:id="5" w:name="TITUS1HeaderFirstPage"/>
    <w:r>
      <w:rPr>
        <w:color w:val="000000"/>
        <w:sz w:val="17"/>
      </w:rPr>
      <w:t> </w:t>
    </w:r>
  </w:p>
  <w:bookmarkEnd w:id="5"/>
  <w:p w:rsidR="00FC56FF" w:rsidRDefault="00FC56FF" w:rsidP="00FC56FF">
    <w:pPr>
      <w:pStyle w:val="Header"/>
    </w:pPr>
    <w:r>
      <w:rPr>
        <w:noProof/>
        <w:lang w:eastAsia="en-GB"/>
      </w:rPr>
      <w:drawing>
        <wp:inline distT="0" distB="0" distL="0" distR="0" wp14:anchorId="661C73CC" wp14:editId="6C93556A">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FC56FF" w:rsidRDefault="00FC5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E48B2"/>
    <w:multiLevelType w:val="hybridMultilevel"/>
    <w:tmpl w:val="551A5B88"/>
    <w:lvl w:ilvl="0" w:tplc="FFB6900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8473D"/>
    <w:multiLevelType w:val="multilevel"/>
    <w:tmpl w:val="4B0C6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43875"/>
    <w:multiLevelType w:val="hybridMultilevel"/>
    <w:tmpl w:val="39C0E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14"/>
  </w:num>
  <w:num w:numId="4">
    <w:abstractNumId w:val="8"/>
  </w:num>
  <w:num w:numId="5">
    <w:abstractNumId w:val="4"/>
  </w:num>
  <w:num w:numId="6">
    <w:abstractNumId w:val="7"/>
  </w:num>
  <w:num w:numId="7">
    <w:abstractNumId w:val="15"/>
  </w:num>
  <w:num w:numId="8">
    <w:abstractNumId w:val="12"/>
  </w:num>
  <w:num w:numId="9">
    <w:abstractNumId w:val="10"/>
  </w:num>
  <w:num w:numId="10">
    <w:abstractNumId w:val="2"/>
  </w:num>
  <w:num w:numId="11">
    <w:abstractNumId w:val="11"/>
  </w:num>
  <w:num w:numId="12">
    <w:abstractNumId w:val="6"/>
  </w:num>
  <w:num w:numId="13">
    <w:abstractNumId w:val="16"/>
  </w:num>
  <w:num w:numId="14">
    <w:abstractNumId w:val="3"/>
  </w:num>
  <w:num w:numId="15">
    <w:abstractNumId w:val="9"/>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0F6455"/>
    <w:rsid w:val="00106EBD"/>
    <w:rsid w:val="00112114"/>
    <w:rsid w:val="001233A1"/>
    <w:rsid w:val="00125393"/>
    <w:rsid w:val="00135735"/>
    <w:rsid w:val="00153AD4"/>
    <w:rsid w:val="001623F2"/>
    <w:rsid w:val="00162781"/>
    <w:rsid w:val="00167FB4"/>
    <w:rsid w:val="00175C8D"/>
    <w:rsid w:val="001F78C3"/>
    <w:rsid w:val="001F7FE6"/>
    <w:rsid w:val="002146D8"/>
    <w:rsid w:val="0023158B"/>
    <w:rsid w:val="00235993"/>
    <w:rsid w:val="00280C98"/>
    <w:rsid w:val="002907D5"/>
    <w:rsid w:val="00292F35"/>
    <w:rsid w:val="00315217"/>
    <w:rsid w:val="00331A18"/>
    <w:rsid w:val="00341767"/>
    <w:rsid w:val="00361F2D"/>
    <w:rsid w:val="003A5755"/>
    <w:rsid w:val="003A5E3B"/>
    <w:rsid w:val="003B6C37"/>
    <w:rsid w:val="003C4D1C"/>
    <w:rsid w:val="004107B3"/>
    <w:rsid w:val="00420348"/>
    <w:rsid w:val="00425416"/>
    <w:rsid w:val="004900BD"/>
    <w:rsid w:val="004B38CA"/>
    <w:rsid w:val="004C18A5"/>
    <w:rsid w:val="004D74F3"/>
    <w:rsid w:val="004F3D20"/>
    <w:rsid w:val="0050413C"/>
    <w:rsid w:val="005156C4"/>
    <w:rsid w:val="00533058"/>
    <w:rsid w:val="005824E7"/>
    <w:rsid w:val="005B296D"/>
    <w:rsid w:val="00603ECF"/>
    <w:rsid w:val="006076C6"/>
    <w:rsid w:val="00615E30"/>
    <w:rsid w:val="00640DC1"/>
    <w:rsid w:val="00646163"/>
    <w:rsid w:val="00650B64"/>
    <w:rsid w:val="006618F8"/>
    <w:rsid w:val="00694E01"/>
    <w:rsid w:val="00697638"/>
    <w:rsid w:val="006A20EC"/>
    <w:rsid w:val="0071222A"/>
    <w:rsid w:val="007276B7"/>
    <w:rsid w:val="00730D27"/>
    <w:rsid w:val="007940A3"/>
    <w:rsid w:val="00797B29"/>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A1224C"/>
    <w:rsid w:val="00A30027"/>
    <w:rsid w:val="00A45185"/>
    <w:rsid w:val="00A51F43"/>
    <w:rsid w:val="00A5390D"/>
    <w:rsid w:val="00A63174"/>
    <w:rsid w:val="00A76E43"/>
    <w:rsid w:val="00A802D4"/>
    <w:rsid w:val="00A90FDF"/>
    <w:rsid w:val="00AA08FF"/>
    <w:rsid w:val="00AA235B"/>
    <w:rsid w:val="00AB606A"/>
    <w:rsid w:val="00AE7DCF"/>
    <w:rsid w:val="00B1747C"/>
    <w:rsid w:val="00B260D0"/>
    <w:rsid w:val="00B77BD1"/>
    <w:rsid w:val="00B81748"/>
    <w:rsid w:val="00BD1C22"/>
    <w:rsid w:val="00BD738A"/>
    <w:rsid w:val="00BE09C3"/>
    <w:rsid w:val="00BF3415"/>
    <w:rsid w:val="00C0296F"/>
    <w:rsid w:val="00C81CFC"/>
    <w:rsid w:val="00C9663B"/>
    <w:rsid w:val="00D06E57"/>
    <w:rsid w:val="00D07F28"/>
    <w:rsid w:val="00D23791"/>
    <w:rsid w:val="00D52949"/>
    <w:rsid w:val="00D73990"/>
    <w:rsid w:val="00D90B81"/>
    <w:rsid w:val="00DA41CF"/>
    <w:rsid w:val="00DD31EC"/>
    <w:rsid w:val="00DF284E"/>
    <w:rsid w:val="00E15DCC"/>
    <w:rsid w:val="00E21FEB"/>
    <w:rsid w:val="00E84334"/>
    <w:rsid w:val="00E858EE"/>
    <w:rsid w:val="00EC48BB"/>
    <w:rsid w:val="00EC7072"/>
    <w:rsid w:val="00EE7207"/>
    <w:rsid w:val="00F3051D"/>
    <w:rsid w:val="00F559B8"/>
    <w:rsid w:val="00F82992"/>
    <w:rsid w:val="00FB3AED"/>
    <w:rsid w:val="00FB47BD"/>
    <w:rsid w:val="00FC5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00AE5ED"/>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A57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7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837762211">
      <w:bodyDiv w:val="1"/>
      <w:marLeft w:val="0"/>
      <w:marRight w:val="0"/>
      <w:marTop w:val="0"/>
      <w:marBottom w:val="0"/>
      <w:divBdr>
        <w:top w:val="none" w:sz="0" w:space="0" w:color="auto"/>
        <w:left w:val="none" w:sz="0" w:space="0" w:color="auto"/>
        <w:bottom w:val="none" w:sz="0" w:space="0" w:color="auto"/>
        <w:right w:val="none" w:sz="0" w:space="0" w:color="auto"/>
      </w:divBdr>
    </w:div>
    <w:div w:id="1950354060">
      <w:bodyDiv w:val="1"/>
      <w:marLeft w:val="0"/>
      <w:marRight w:val="0"/>
      <w:marTop w:val="0"/>
      <w:marBottom w:val="0"/>
      <w:divBdr>
        <w:top w:val="none" w:sz="0" w:space="0" w:color="auto"/>
        <w:left w:val="none" w:sz="0" w:space="0" w:color="auto"/>
        <w:bottom w:val="none" w:sz="0" w:space="0" w:color="auto"/>
        <w:right w:val="none" w:sz="0" w:space="0" w:color="auto"/>
      </w:divBdr>
      <w:divsChild>
        <w:div w:id="23779284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985701103">
      <w:bodyDiv w:val="1"/>
      <w:marLeft w:val="0"/>
      <w:marRight w:val="0"/>
      <w:marTop w:val="0"/>
      <w:marBottom w:val="0"/>
      <w:divBdr>
        <w:top w:val="none" w:sz="0" w:space="0" w:color="auto"/>
        <w:left w:val="none" w:sz="0" w:space="0" w:color="auto"/>
        <w:bottom w:val="none" w:sz="0" w:space="0" w:color="auto"/>
        <w:right w:val="none" w:sz="0" w:space="0" w:color="auto"/>
      </w:divBdr>
      <w:divsChild>
        <w:div w:id="94804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9962611">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yperlink" Target="https://docmanager.pnld.co.uk/content/D117.htm" TargetMode="External"/><Relationship Id="rId26" Type="http://schemas.openxmlformats.org/officeDocument/2006/relationships/hyperlink" Target="https://docmanager.pnld.co.uk/content/D1503.htm"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cmanager.pnld.co.uk/content/D2.htm" TargetMode="External"/><Relationship Id="rId34" Type="http://schemas.openxmlformats.org/officeDocument/2006/relationships/hyperlink" Target="https://docmanager.pnld.co.uk/content/C78.htm"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yperlink" Target="https://docmanager.pnld.co.uk/content/D1.htm" TargetMode="External"/><Relationship Id="rId25" Type="http://schemas.openxmlformats.org/officeDocument/2006/relationships/hyperlink" Target="https://docmanager.pnld.co.uk/content/D166.htm" TargetMode="External"/><Relationship Id="rId33" Type="http://schemas.openxmlformats.org/officeDocument/2006/relationships/hyperlink" Target="https://docmanager.pnld.co.uk/content/D901.ht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hyperlink" Target="https://docmanager.pnld.co.uk/content/D118.htm" TargetMode="External"/><Relationship Id="rId29" Type="http://schemas.openxmlformats.org/officeDocument/2006/relationships/hyperlink" Target="https://docmanager.pnld.co.uk/content/D1.htm"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hyperlink" Target="https://docmanager.pnld.co.uk/content/D117.htm" TargetMode="External"/><Relationship Id="rId32" Type="http://schemas.openxmlformats.org/officeDocument/2006/relationships/hyperlink" Target="https://docmanager.pnld.co.uk/content/C462.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hyperlink" Target="https://docmanager.pnld.co.uk/content/C2.htm" TargetMode="External"/><Relationship Id="rId28" Type="http://schemas.openxmlformats.org/officeDocument/2006/relationships/hyperlink" Target="https://docmanager.pnld.co.uk/content/D121.htm" TargetMode="External"/><Relationship Id="rId36" Type="http://schemas.openxmlformats.org/officeDocument/2006/relationships/header" Target="header1.xml"/><Relationship Id="rId10" Type="http://schemas.openxmlformats.org/officeDocument/2006/relationships/hyperlink" Target="https://docmanager.pnld.co.uk/content/D4.htm" TargetMode="External"/><Relationship Id="rId19" Type="http://schemas.openxmlformats.org/officeDocument/2006/relationships/hyperlink" Target="https://docmanager.pnld.co.uk/content/D2.htm" TargetMode="External"/><Relationship Id="rId31" Type="http://schemas.openxmlformats.org/officeDocument/2006/relationships/hyperlink" Target="https://docmanager.pnld.co.uk/content/C75.htm" TargetMode="Externa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hyperlink" Target="https://docmanager.pnld.co.uk/content/C1.htm" TargetMode="External"/><Relationship Id="rId27" Type="http://schemas.openxmlformats.org/officeDocument/2006/relationships/hyperlink" Target="https://docmanager.pnld.co.uk/content/D13053.htm" TargetMode="External"/><Relationship Id="rId30" Type="http://schemas.openxmlformats.org/officeDocument/2006/relationships/hyperlink" Target="https://docmanager.pnld.co.uk/content/D166.htm" TargetMode="External"/><Relationship Id="rId35" Type="http://schemas.openxmlformats.org/officeDocument/2006/relationships/hyperlink" Target="https://docmanager.pnld.co.uk/content/C73.htm"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10</cp:revision>
  <cp:lastPrinted>2020-01-15T15:03:00Z</cp:lastPrinted>
  <dcterms:created xsi:type="dcterms:W3CDTF">2019-01-25T08:44:00Z</dcterms:created>
  <dcterms:modified xsi:type="dcterms:W3CDTF">2020-01-15T15:03:00Z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4ab1b46e-8462-4b64-a5cd-d8110413b45b</vt:lpwstr>
  </property>
  <property fmtid="{D5CDD505-2E9C-101B-9397-08002B2CF9AE}" pid="6" name="Classification">
    <vt:lpwstr>OFFICIAL</vt:lpwstr>
  </property>
  <property fmtid="{D5CDD505-2E9C-101B-9397-08002B2CF9AE}" pid="7" name="Visibility">
    <vt:lpwstr>NOT VISIBLE</vt:lpwstr>
  </property>
</Properties>
</file>