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sz w:val="24"/>
        </w:rPr>
      </w:pPr>
      <w:bookmarkStart w:id="0" w:name="_Toc641912754"/>
      <w:r>
        <w:rPr>
          <w:rFonts w:hint="eastAsia"/>
          <w:sz w:val="36"/>
          <w:szCs w:val="36"/>
        </w:rPr>
        <w:t>Analysing Samsung</w:t>
      </w:r>
      <w:r>
        <w:rPr>
          <w:sz w:val="2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828800" cy="1828800"/>
                <wp:effectExtent l="0" t="0" r="0" b="0"/>
                <wp:wrapSquare wrapText="bothSides"/>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b/>
                                <w:bCs/>
                                <w:caps/>
                                <w:color w:val="4874CB" w:themeColor="accent1"/>
                                <w:sz w:val="72"/>
                                <w:szCs w:val="72"/>
                                <w14:shadow w14:blurRad="38100" w14:dist="25400" w14:dir="5400000" w14:sx="100000" w14:sy="100000" w14:kx="0" w14:ky="0" w14:algn="ctr">
                                  <w14:srgbClr w14:val="6E747A">
                                    <w14:alpha w14:val="57000"/>
                                    <w14:alpha w14:val="57000"/>
                                  </w14:srgbClr>
                                </w14:shadow>
                                <w14:textFill>
                                  <w14:solidFill>
                                    <w14:schemeClr w14:val="accent1"/>
                                  </w14:solidFill>
                                </w14:textFill>
                              </w:rPr>
                            </w:pPr>
                            <w:r>
                              <w:rPr>
                                <w:b/>
                                <w:bCs/>
                                <w:caps/>
                                <w:color w:val="4874CB" w:themeColor="accent1"/>
                                <w:sz w:val="72"/>
                                <w:szCs w:val="72"/>
                                <w14:shadow w14:blurRad="38100" w14:dist="25400" w14:dir="5400000" w14:sx="100000" w14:sy="100000" w14:kx="0" w14:ky="0" w14:algn="ctr">
                                  <w14:srgbClr w14:val="6E747A">
                                    <w14:alpha w14:val="57000"/>
                                    <w14:alpha w14:val="57000"/>
                                  </w14:srgbClr>
                                </w14:shadow>
                                <w14:textFill>
                                  <w14:solidFill>
                                    <w14:schemeClr w14:val="accent1"/>
                                  </w14:solidFill>
                                </w14:textFill>
                              </w:rPr>
                              <w:t xml:space="preserve">Strategic Management Evaluation </w:t>
                            </w: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id="_x0000_s1026" o:spid="_x0000_s1026" o:spt="202" type="#_x0000_t202" style="position:absolute;left:0pt;margin-left:0pt;margin-top:0pt;height:144pt;width:144pt;mso-wrap-distance-bottom:0pt;mso-wrap-distance-left:9pt;mso-wrap-distance-right:9pt;mso-wrap-distance-top:0pt;mso-wrap-style:none;z-index:251659264;mso-width-relative:page;mso-height-relative:page;" filled="f" stroked="f" coordsize="21600,21600" o:gfxdata="UEsFBgAAAAAAAAAAAAAAAAAAAAAAAFBLAwQKAAAAAACHTuJAAAAAAAAAAAAAAAAABAAAAGRycy9Q&#10;SwMEFAAAAAgAh07iQLjnJLnRAAAABQEAAA8AAABkcnMvZG93bnJldi54bWxNj0FLw0AQhe+C/2EZ&#10;wZvdtIKEmE0PBXsRD1bR6yQ7TUKys0t2m0Z/vaMIehnm8YY33yu3ixvVTFPsPRtYrzJQxI23PbcG&#10;Xl8ebnJQMSFbHD2TgQ+KsK0uL0osrD/zM82H1CoJ4ViggS6lUGgdm44cxpUPxOId/eQwiZxabSc8&#10;S7gb9SbL7rTDnuVDh4F2HTXD4eQMPOHbPs3L0OyHcLTvLtS7289HY66v1tk9qERL+juGb3xBh0qY&#10;an9iG9VoQIqknyneJs9F1r+Lrkr9n776AlBLAwQUAAAACACHTuJAEhwiMDYCAABlBAAADgAAAGRy&#10;cy9lMm9Eb2MueG1srVTNjtMwEL4j8Q6W7zRt6S6laroqWxUhrdiVCuLsOk4TyX+y3SblAeANOHHh&#10;znP1OfjstN1q4bAHLs7YM/7G3zczmd60SpKdcL42OqeDXp8Sobkpar3J6edPy1djSnxgumDSaJHT&#10;vfD0ZvbyxbSxEzE0lZGFcAQg2k8am9MqBDvJMs8roZjvGSs0nKVxigVs3SYrHGuArmQ27Pevs8a4&#10;wjrDhfc4XXROekR0zwE0ZVlzsTB8q4QOHaoTkgVQ8lVtPZ2l15al4OG+LL0IROYUTENakQT2Oq7Z&#10;bMomG8dsVfPjE9hznvCEk2K1RtIz1IIFRrau/gtK1dwZb8rQ40ZlHZGkCFgM+k+0WVXMisQFUnt7&#10;Ft3/P1j+cffgSF3kdEiJZgoFP/z4fvj5+/DrGxlGeRrrJ4haWcSF9p1p0TSnc4/DyLotnYpf8CHw&#10;Q9z9WVzRBsLjpfFwPO7DxeE7bYCfPV63zof3wigSjZw6VC+JynZ3PnShp5CYTZtlLWWqoNSkyen1&#10;66t+unD2AFxq5IgkusdGK7Tr9shsbYo9iDnTdYa3fFkj+R3z4YE5tAIejGEJ91hKaZDEHC1KKuO+&#10;/us8xqNC8FLSoLVyqjFJlMgPGpV7OxiNABrSZnT1ZoiNu/SsLz16q24NeneAobQ8mTE+yJNZOqO+&#10;YKLmMSdcTHNkzmk4mbeha3dMJBfzeQpC71kW7vTK8ggdxfR2vg0QNOkcReqUOWqH7kuVOk5KbO/L&#10;fYp6/DvM/g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WAAAAZHJzL1BLAQIUABQAAAAIAIdO4kC45yS50QAAAAUBAAAPAAAAAAAAAAEAIAAA&#10;ADgAAABkcnMvZG93bnJldi54bWxQSwECFAAUAAAACACHTuJAEhwiMDYCAABlBAAADgAAAAAAAAAB&#10;ACAAAAA2AQAAZHJzL2Uyb0RvYy54bWxQSwUGAAAAAAYABgBZAQAA3gUAAAAA&#10;">
                <v:fill on="f" focussize="0,0"/>
                <v:stroke on="f" weight="0.5pt"/>
                <v:imagedata o:title=""/>
                <o:lock v:ext="edit" aspectratio="f"/>
                <v:textbox style="mso-fit-shape-to-text:t;">
                  <w:txbxContent>
                    <w:p>
                      <w:pPr>
                        <w:jc w:val="center"/>
                        <w:rPr>
                          <w:b/>
                          <w:bCs/>
                          <w:caps/>
                          <w:color w:val="4874CB" w:themeColor="accent1"/>
                          <w:sz w:val="72"/>
                          <w:szCs w:val="72"/>
                          <w14:shadow w14:blurRad="38100" w14:dist="25400" w14:dir="5400000" w14:sx="100000" w14:sy="100000" w14:kx="0" w14:ky="0" w14:algn="ctr">
                            <w14:srgbClr w14:val="6E747A">
                              <w14:alpha w14:val="57000"/>
                              <w14:alpha w14:val="57000"/>
                            </w14:srgbClr>
                          </w14:shadow>
                          <w14:textFill>
                            <w14:solidFill>
                              <w14:schemeClr w14:val="accent1"/>
                            </w14:solidFill>
                          </w14:textFill>
                        </w:rPr>
                      </w:pPr>
                      <w:r>
                        <w:rPr>
                          <w:b/>
                          <w:bCs/>
                          <w:caps/>
                          <w:color w:val="4874CB" w:themeColor="accent1"/>
                          <w:sz w:val="72"/>
                          <w:szCs w:val="72"/>
                          <w14:shadow w14:blurRad="38100" w14:dist="25400" w14:dir="5400000" w14:sx="100000" w14:sy="100000" w14:kx="0" w14:ky="0" w14:algn="ctr">
                            <w14:srgbClr w14:val="6E747A">
                              <w14:alpha w14:val="57000"/>
                              <w14:alpha w14:val="57000"/>
                            </w14:srgbClr>
                          </w14:shadow>
                          <w14:textFill>
                            <w14:solidFill>
                              <w14:schemeClr w14:val="accent1"/>
                            </w14:solidFill>
                          </w14:textFill>
                        </w:rPr>
                        <w:t xml:space="preserve">Strategic Management Evaluation </w:t>
                      </w:r>
                    </w:p>
                  </w:txbxContent>
                </v:textbox>
                <w10:wrap type="square"/>
              </v:shape>
            </w:pict>
          </mc:Fallback>
        </mc:AlternateContent>
      </w:r>
    </w:p>
    <w:p>
      <w:pPr>
        <w:jc w:val="center"/>
        <w:rPr>
          <w:rFonts w:ascii="Arial" w:hAnsi="Arial" w:cs="Arial"/>
        </w:rPr>
      </w:pPr>
    </w:p>
    <w:p>
      <w:pPr>
        <w:pStyle w:val="2"/>
        <w:keepNext w:val="0"/>
        <w:keepLines w:val="0"/>
        <w:widowControl/>
        <w:suppressLineNumbers w:val="0"/>
        <w:spacing w:before="0" w:beforeAutospacing="0" w:line="24" w:lineRule="atLeast"/>
        <w:ind w:left="0" w:firstLine="0"/>
        <w:jc w:val="left"/>
        <w:rPr>
          <w:rFonts w:hint="eastAsia"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pPr>
    </w:p>
    <w:p>
      <w:pPr>
        <w:pStyle w:val="2"/>
        <w:keepNext w:val="0"/>
        <w:keepLines w:val="0"/>
        <w:widowControl/>
        <w:suppressLineNumbers w:val="0"/>
        <w:spacing w:before="0" w:beforeAutospacing="0" w:line="24" w:lineRule="atLeast"/>
        <w:ind w:left="0" w:firstLine="0"/>
        <w:jc w:val="left"/>
        <w:rPr>
          <w:rFonts w:hint="eastAsia"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pPr>
      <w:r>
        <w:rPr>
          <w:rFonts w:ascii="Arial" w:hAnsi="Arial" w:cs="Arial"/>
        </w:rPr>
        <w:drawing>
          <wp:inline distT="0" distB="0" distL="114300" distR="114300">
            <wp:extent cx="1821180" cy="676275"/>
            <wp:effectExtent l="0" t="0" r="7620" b="0"/>
            <wp:docPr id="6"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6"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a:xfrm>
                      <a:off x="0" y="0"/>
                      <a:ext cx="1821180" cy="676275"/>
                    </a:xfrm>
                    <a:prstGeom prst="rect">
                      <a:avLst/>
                    </a:prstGeom>
                    <a:noFill/>
                    <a:ln>
                      <a:noFill/>
                    </a:ln>
                  </pic:spPr>
                </pic:pic>
              </a:graphicData>
            </a:graphic>
          </wp:inline>
        </w:drawing>
      </w:r>
      <w:bookmarkStart w:id="29" w:name="_GoBack"/>
      <w:bookmarkEnd w:id="29"/>
    </w:p>
    <w:p>
      <w:pPr>
        <w:pStyle w:val="2"/>
        <w:keepNext w:val="0"/>
        <w:keepLines w:val="0"/>
        <w:widowControl/>
        <w:suppressLineNumbers w:val="0"/>
        <w:spacing w:before="0" w:beforeAutospacing="0" w:line="24" w:lineRule="atLeast"/>
        <w:ind w:left="0" w:firstLine="0"/>
        <w:jc w:val="left"/>
        <w:rPr>
          <w:rFonts w:hint="eastAsia"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pPr>
    </w:p>
    <w:p>
      <w:pPr>
        <w:pStyle w:val="2"/>
        <w:keepNext w:val="0"/>
        <w:keepLines w:val="0"/>
        <w:widowControl/>
        <w:suppressLineNumbers w:val="0"/>
        <w:spacing w:before="0" w:beforeAutospacing="0" w:line="24" w:lineRule="atLeast"/>
        <w:ind w:left="0" w:firstLine="0"/>
        <w:jc w:val="left"/>
        <w:rPr>
          <w:rFonts w:hint="eastAsia"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pPr>
    </w:p>
    <w:p>
      <w:pPr>
        <w:pStyle w:val="2"/>
        <w:keepNext w:val="0"/>
        <w:keepLines w:val="0"/>
        <w:widowControl/>
        <w:suppressLineNumbers w:val="0"/>
        <w:spacing w:before="0" w:beforeAutospacing="0" w:line="24" w:lineRule="atLeast"/>
        <w:ind w:left="0" w:firstLine="0"/>
        <w:jc w:val="left"/>
        <w:rPr>
          <w:rFonts w:hint="eastAsia"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pPr>
    </w:p>
    <w:p>
      <w:pPr>
        <w:pStyle w:val="2"/>
        <w:keepNext w:val="0"/>
        <w:keepLines w:val="0"/>
        <w:widowControl/>
        <w:suppressLineNumbers w:val="0"/>
        <w:spacing w:before="0" w:beforeAutospacing="0" w:line="24" w:lineRule="atLeast"/>
        <w:ind w:left="0" w:firstLine="0"/>
        <w:jc w:val="left"/>
        <w:rPr>
          <w:rFonts w:hint="eastAsia"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pPr>
    </w:p>
    <w:p>
      <w:pPr>
        <w:pStyle w:val="2"/>
        <w:keepNext w:val="0"/>
        <w:keepLines w:val="0"/>
        <w:widowControl/>
        <w:suppressLineNumbers w:val="0"/>
        <w:spacing w:before="0" w:beforeAutospacing="0" w:line="24" w:lineRule="atLeast"/>
        <w:ind w:left="0" w:firstLine="0"/>
        <w:jc w:val="left"/>
        <w:rPr>
          <w:rFonts w:hint="default"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pPr>
      <w:r>
        <w:rPr>
          <w:rFonts w:hint="eastAsia"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t>Unit name:</w:t>
      </w:r>
      <w:r>
        <w:rPr>
          <w:rFonts w:hint="default"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t>Strategic Management and Sustainability </w:t>
      </w:r>
    </w:p>
    <w:p>
      <w:pPr>
        <w:pStyle w:val="2"/>
        <w:keepNext w:val="0"/>
        <w:keepLines w:val="0"/>
        <w:widowControl/>
        <w:suppressLineNumbers w:val="0"/>
        <w:spacing w:before="0" w:beforeAutospacing="0" w:line="24" w:lineRule="atLeast"/>
        <w:ind w:left="0" w:firstLine="0"/>
        <w:jc w:val="left"/>
        <w:rPr>
          <w:rFonts w:hint="default"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pPr>
      <w:r>
        <w:rPr>
          <w:rFonts w:hint="default"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t>M</w:t>
      </w:r>
      <w:r>
        <w:rPr>
          <w:rFonts w:hint="eastAsia"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t>odule code：BMBM60</w:t>
      </w:r>
      <w:r>
        <w:rPr>
          <w:rFonts w:hint="default"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t>15</w:t>
      </w:r>
    </w:p>
    <w:p>
      <w:pPr>
        <w:pStyle w:val="2"/>
        <w:keepNext w:val="0"/>
        <w:keepLines w:val="0"/>
        <w:widowControl/>
        <w:suppressLineNumbers w:val="0"/>
        <w:spacing w:before="0" w:beforeAutospacing="0" w:line="24" w:lineRule="atLeast"/>
        <w:ind w:left="0" w:firstLine="0"/>
        <w:jc w:val="left"/>
        <w:rPr>
          <w:rFonts w:hint="eastAsia"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pPr>
      <w:r>
        <w:rPr>
          <w:rFonts w:hint="eastAsia"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t>Lecturer:Mike Durke</w:t>
      </w:r>
    </w:p>
    <w:p>
      <w:pPr>
        <w:pStyle w:val="2"/>
        <w:keepNext w:val="0"/>
        <w:keepLines w:val="0"/>
        <w:widowControl/>
        <w:suppressLineNumbers w:val="0"/>
        <w:spacing w:before="0" w:beforeAutospacing="0" w:line="24" w:lineRule="atLeast"/>
        <w:ind w:left="0" w:firstLine="0"/>
        <w:jc w:val="left"/>
        <w:rPr>
          <w:rFonts w:hint="eastAsia"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pPr>
      <w:r>
        <w:rPr>
          <w:rFonts w:hint="eastAsia"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t>Student name:Qihan Jia</w:t>
      </w:r>
    </w:p>
    <w:p>
      <w:pPr>
        <w:pStyle w:val="2"/>
        <w:keepNext w:val="0"/>
        <w:keepLines w:val="0"/>
        <w:widowControl/>
        <w:suppressLineNumbers w:val="0"/>
        <w:spacing w:before="0" w:beforeAutospacing="0" w:line="24" w:lineRule="atLeast"/>
        <w:ind w:left="0" w:firstLine="0"/>
        <w:jc w:val="left"/>
        <w:rPr>
          <w:rFonts w:hint="eastAsia"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pPr>
      <w:r>
        <w:rPr>
          <w:rFonts w:hint="eastAsia"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t>Student ID number ：2304172</w:t>
      </w:r>
    </w:p>
    <w:p>
      <w:pPr>
        <w:pStyle w:val="2"/>
        <w:keepNext w:val="0"/>
        <w:keepLines w:val="0"/>
        <w:widowControl/>
        <w:suppressLineNumbers w:val="0"/>
        <w:spacing w:before="0" w:beforeAutospacing="0" w:line="24" w:lineRule="atLeast"/>
        <w:ind w:left="0" w:firstLine="0"/>
        <w:jc w:val="left"/>
        <w:rPr>
          <w:rFonts w:hint="default"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pPr>
      <w:r>
        <w:rPr>
          <w:rFonts w:hint="eastAsia"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t>Date submitted:</w:t>
      </w:r>
      <w:r>
        <w:rPr>
          <w:rFonts w:hint="default"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t>2024.3.15</w:t>
      </w:r>
    </w:p>
    <w:sdt>
      <w:sdtPr>
        <w:rPr>
          <w:rFonts w:hint="default" w:ascii="Arial Bold" w:hAnsi="Arial Bold" w:eastAsia="宋体" w:cs="Arial Bold"/>
          <w:b/>
          <w:bCs w:val="0"/>
          <w:color w:val="4874CB" w:themeColor="accent1"/>
          <w:kern w:val="2"/>
          <w:sz w:val="24"/>
          <w:szCs w:val="24"/>
          <w:shd w:val="clear" w:color="auto" w:fill="auto"/>
          <w:lang w:val="en-US" w:eastAsia="zh-CN" w:bidi="ar-SA"/>
          <w14:textFill>
            <w14:solidFill>
              <w14:schemeClr w14:val="accent1"/>
            </w14:solidFill>
          </w14:textFill>
        </w:rPr>
        <w:id w:val="735273684"/>
        <w15:color w:val="DBDBDB"/>
        <w:docPartObj>
          <w:docPartGallery w:val="Table of Contents"/>
          <w:docPartUnique/>
        </w:docPartObj>
      </w:sdtPr>
      <w:sdtEndPr>
        <w:rPr>
          <w:rFonts w:hint="eastAsia" w:asciiTheme="minorHAnsi" w:hAnsiTheme="minorHAnsi" w:eastAsiaTheme="majorEastAsia" w:cstheme="majorBidi"/>
          <w:b/>
          <w:color w:val="2E54A1" w:themeColor="accent1" w:themeShade="BF"/>
          <w:kern w:val="2"/>
          <w:sz w:val="32"/>
          <w:szCs w:val="32"/>
          <w:lang w:val="en-US" w:eastAsia="zh-CN" w:bidi="ar-SA"/>
        </w:rPr>
      </w:sdtEndPr>
      <w:sdtContent>
        <w:p>
          <w:pPr>
            <w:jc w:val="center"/>
            <w:rPr>
              <w:color w:val="4874CB" w:themeColor="accent1"/>
              <w:sz w:val="64"/>
              <w:szCs w:val="64"/>
              <w14:textFill>
                <w14:solidFill>
                  <w14:schemeClr w14:val="accent1"/>
                </w14:solidFill>
              </w14:textFill>
            </w:rPr>
          </w:pPr>
          <w:sdt>
            <w:sdtPr>
              <w:rPr>
                <w:caps/>
                <w:color w:val="4874CB" w:themeColor="accent1"/>
                <w:sz w:val="64"/>
                <w:szCs w:val="64"/>
                <w14:textFill>
                  <w14:solidFill>
                    <w14:schemeClr w14:val="accent1"/>
                  </w14:solidFill>
                </w14:textFill>
              </w:rPr>
              <w:alias w:val="Title"/>
              <w:id w:val="630141079"/>
              <w:text w:multiLine="1"/>
            </w:sdtPr>
            <w:sdtEndPr>
              <w:rPr>
                <w:caps/>
                <w:color w:val="4874CB" w:themeColor="accent1"/>
                <w:sz w:val="64"/>
                <w:szCs w:val="64"/>
                <w14:textFill>
                  <w14:solidFill>
                    <w14:schemeClr w14:val="accent1"/>
                  </w14:solidFill>
                </w14:textFill>
              </w:rPr>
            </w:sdtEndPr>
            <w:sdtContent/>
          </w:sdt>
        </w:p>
        <w:sdt>
          <w:sdtPr>
            <w:rPr>
              <w:color w:val="404040" w:themeColor="text1" w:themeTint="BF"/>
              <w:sz w:val="36"/>
              <w:szCs w:val="36"/>
              <w14:textFill>
                <w14:solidFill>
                  <w14:schemeClr w14:val="tx1">
                    <w14:lumMod w14:val="75000"/>
                    <w14:lumOff w14:val="25000"/>
                  </w14:schemeClr>
                </w14:solidFill>
              </w14:textFill>
            </w:rPr>
            <w:alias w:val="Subtitle"/>
            <w:id w:val="1759551507"/>
            <w:text/>
          </w:sdtPr>
          <w:sdtEndPr>
            <w:rPr>
              <w:color w:val="404040" w:themeColor="text1" w:themeTint="BF"/>
              <w:sz w:val="36"/>
              <w:szCs w:val="36"/>
              <w14:textFill>
                <w14:solidFill>
                  <w14:schemeClr w14:val="tx1">
                    <w14:lumMod w14:val="75000"/>
                    <w14:lumOff w14:val="25000"/>
                  </w14:schemeClr>
                </w14:solidFill>
              </w14:textFill>
            </w:rPr>
          </w:sdtEndPr>
          <w:sdtContent>
            <w:p>
              <w:pPr>
                <w:spacing w:before="0" w:beforeLines="0" w:after="0" w:afterLines="0" w:line="480" w:lineRule="auto"/>
                <w:ind w:left="0" w:leftChars="0" w:right="0" w:rightChars="0" w:firstLine="0" w:firstLineChars="0"/>
                <w:jc w:val="both"/>
                <w:rPr>
                  <w:rFonts w:hint="default" w:ascii="Arial Bold" w:hAnsi="Arial Bold" w:eastAsia="宋体" w:cs="Arial Bold"/>
                  <w:b/>
                  <w:bCs w:val="0"/>
                  <w:kern w:val="2"/>
                  <w:sz w:val="24"/>
                  <w:szCs w:val="24"/>
                  <w:shd w:val="clear" w:color="auto" w:fill="auto"/>
                  <w:lang w:val="en-US" w:eastAsia="zh-CN" w:bidi="ar-SA"/>
                </w:rPr>
                <w:sectPr>
                  <w:pgSz w:w="11906" w:h="16838"/>
                  <w:pgMar w:top="1440" w:right="1800" w:bottom="1440" w:left="1800" w:header="851" w:footer="992" w:gutter="0"/>
                  <w:cols w:space="425" w:num="1"/>
                  <w:docGrid w:type="lines" w:linePitch="312" w:charSpace="0"/>
                </w:sectPr>
              </w:pPr>
              <w:r>
                <w:rPr>
                  <w:rFonts w:hint="eastAsia"/>
                  <w:color w:val="404040" w:themeColor="text1" w:themeTint="BF"/>
                  <w:sz w:val="36"/>
                  <w:szCs w:val="36"/>
                  <w:lang w:val="en-US" w:eastAsia="zh-CN"/>
                  <w14:textFill>
                    <w14:solidFill>
                      <w14:schemeClr w14:val="tx1">
                        <w14:lumMod w14:val="75000"/>
                        <w14:lumOff w14:val="25000"/>
                      </w14:schemeClr>
                    </w14:solidFill>
                  </w14:textFill>
                </w:rPr>
                <w:t xml:space="preserve">               </w:t>
              </w:r>
              <w:r>
                <w:rPr>
                  <w:rFonts w:hint="default"/>
                  <w:color w:val="404040" w:themeColor="text1" w:themeTint="BF"/>
                  <w:sz w:val="36"/>
                  <w:szCs w:val="36"/>
                  <w:lang w:val="en-US" w:eastAsia="zh-CN"/>
                  <w14:textFill>
                    <w14:solidFill>
                      <w14:schemeClr w14:val="tx1">
                        <w14:lumMod w14:val="75000"/>
                        <w14:lumOff w14:val="25000"/>
                      </w14:schemeClr>
                    </w14:solidFill>
                  </w14:textFill>
                </w:rPr>
                <w:t xml:space="preserve">   </w:t>
              </w:r>
              <w:r>
                <w:rPr>
                  <w:rFonts w:hint="eastAsia"/>
                  <w:color w:val="404040" w:themeColor="text1" w:themeTint="BF"/>
                  <w:sz w:val="36"/>
                  <w:szCs w:val="36"/>
                  <w:lang w:val="en-US" w:eastAsia="zh-CN"/>
                  <w14:textFill>
                    <w14:solidFill>
                      <w14:schemeClr w14:val="tx1">
                        <w14:lumMod w14:val="75000"/>
                        <w14:lumOff w14:val="25000"/>
                      </w14:schemeClr>
                    </w14:solidFill>
                  </w14:textFill>
                </w:rPr>
                <w:t xml:space="preserve"> </w:t>
              </w:r>
            </w:p>
          </w:sdtContent>
        </w:sdt>
        <w:p>
          <w:pPr>
            <w:spacing w:before="0" w:beforeLines="0" w:after="0" w:afterLines="0" w:line="480" w:lineRule="auto"/>
            <w:ind w:left="0" w:leftChars="0" w:right="0" w:rightChars="0" w:firstLine="0" w:firstLineChars="0"/>
            <w:jc w:val="both"/>
            <w:rPr>
              <w:rFonts w:hint="default" w:ascii="Arial Bold" w:hAnsi="Arial Bold" w:eastAsia="宋体" w:cs="Arial Bold"/>
              <w:b/>
              <w:bCs w:val="0"/>
              <w:kern w:val="2"/>
              <w:sz w:val="24"/>
              <w:szCs w:val="24"/>
              <w:shd w:val="clear" w:color="auto" w:fill="auto"/>
              <w:lang w:val="en-US" w:eastAsia="zh-CN" w:bidi="ar-SA"/>
            </w:rPr>
          </w:pPr>
          <w:r>
            <w:rPr>
              <w:rFonts w:hint="default" w:ascii="Arial Bold" w:hAnsi="Arial Bold" w:eastAsia="宋体" w:cs="Arial Bold"/>
              <w:b/>
              <w:bCs w:val="0"/>
              <w:kern w:val="2"/>
              <w:sz w:val="24"/>
              <w:szCs w:val="24"/>
              <w:shd w:val="clear" w:color="auto" w:fill="auto"/>
              <w:lang w:val="en-US" w:eastAsia="zh-CN" w:bidi="ar-SA"/>
            </w:rPr>
            <w:t>summary</w:t>
          </w:r>
        </w:p>
        <w:p>
          <w:pPr>
            <w:spacing w:before="0" w:beforeLines="0" w:after="0" w:afterLines="0" w:line="480" w:lineRule="auto"/>
            <w:ind w:left="0" w:leftChars="0" w:right="0" w:rightChars="0" w:firstLine="0" w:firstLineChars="0"/>
            <w:jc w:val="both"/>
            <w:rPr>
              <w:rFonts w:hint="eastAsia" w:ascii="宋体" w:hAnsi="宋体" w:eastAsia="宋体" w:cstheme="minorBidi"/>
              <w:b/>
              <w:bCs/>
              <w:kern w:val="2"/>
              <w:sz w:val="21"/>
              <w:szCs w:val="24"/>
              <w:shd w:val="clear" w:color="auto" w:fill="auto"/>
              <w:lang w:val="en-US" w:eastAsia="zh-CN" w:bidi="ar-SA"/>
            </w:rPr>
            <w:sectPr>
              <w:pgSz w:w="11906" w:h="16838"/>
              <w:pgMar w:top="1440" w:right="1800" w:bottom="1440" w:left="1800" w:header="851" w:footer="992" w:gutter="0"/>
              <w:cols w:space="425" w:num="1"/>
              <w:docGrid w:type="lines" w:linePitch="312" w:charSpace="0"/>
            </w:sectPr>
          </w:pPr>
          <w:r>
            <w:rPr>
              <w:rFonts w:hint="default" w:ascii="Arial Regular" w:hAnsi="Arial Regular" w:eastAsia="Helvetica Neue" w:cs="Arial Regular"/>
              <w:i w:val="0"/>
              <w:iCs w:val="0"/>
              <w:caps w:val="0"/>
              <w:color w:val="333333"/>
              <w:spacing w:val="0"/>
              <w:kern w:val="0"/>
              <w:sz w:val="24"/>
              <w:szCs w:val="24"/>
              <w:shd w:val="clear" w:color="auto" w:fill="auto"/>
              <w:lang w:val="en-US" w:eastAsia="zh-CN" w:bidi="ar"/>
            </w:rPr>
            <w:t>The aim of this thesis is to analyse Samsung's market position and competitors, Samsung's competitive advantages, adopted Porter's generic strategy, diversification and innovation strategy and globalisation marketing strategy, to evaluate the strategies adopted by Samsung and to assess the effectiveness of its strategy implementation. The comprehensive analysis of Samsung's market positioning, competitive advantages, strategic planning and management reveals the process of strategy formulation and execution and the key factors that have contributed to its success in a competitive market as a global technology leader. The research in this paper can provide a deeper understanding of Samsung's strategic choices and execution in the competitive market, and provide reference and reference for corporate strategic decision-making.</w:t>
          </w:r>
        </w:p>
        <w:p>
          <w:pPr>
            <w:spacing w:before="0" w:beforeLines="0" w:after="0" w:afterLines="0" w:line="240" w:lineRule="auto"/>
            <w:ind w:right="0" w:rightChars="0" w:firstLine="3574" w:firstLineChars="1700"/>
            <w:jc w:val="both"/>
            <w:rPr>
              <w:b/>
              <w:bCs/>
            </w:rPr>
          </w:pPr>
          <w:r>
            <w:rPr>
              <w:rFonts w:hint="eastAsia" w:ascii="宋体" w:hAnsi="宋体" w:eastAsia="宋体" w:cstheme="minorBidi"/>
              <w:b/>
              <w:bCs/>
              <w:kern w:val="2"/>
              <w:sz w:val="21"/>
              <w:szCs w:val="24"/>
              <w:lang w:val="en-US" w:eastAsia="zh-CN" w:bidi="ar-SA"/>
            </w:rPr>
            <w:t>catalogues</w:t>
          </w:r>
        </w:p>
        <w:p>
          <w:pPr>
            <w:pStyle w:val="10"/>
            <w:tabs>
              <w:tab w:val="right" w:leader="dot" w:pos="8306"/>
            </w:tabs>
            <w:rPr>
              <w:b/>
            </w:rPr>
          </w:pPr>
          <w:r>
            <w:rPr>
              <w:rFonts w:hint="eastAsia"/>
              <w:lang w:val="en-US" w:eastAsia="zh-CN"/>
            </w:rPr>
            <w:fldChar w:fldCharType="begin"/>
          </w:r>
          <w:r>
            <w:rPr>
              <w:rFonts w:hint="eastAsia"/>
              <w:lang w:val="en-US" w:eastAsia="zh-CN"/>
            </w:rPr>
            <w:instrText xml:space="preserve">TOC \o "1-2" \h \u </w:instrText>
          </w:r>
          <w:r>
            <w:rPr>
              <w:rFonts w:hint="eastAsia"/>
              <w:lang w:val="en-US" w:eastAsia="zh-CN"/>
            </w:rPr>
            <w:fldChar w:fldCharType="separate"/>
          </w:r>
          <w:r>
            <w:rPr>
              <w:rFonts w:hint="eastAsia"/>
              <w:b/>
              <w:lang w:val="en-US" w:eastAsia="zh-CN"/>
            </w:rPr>
            <w:fldChar w:fldCharType="begin"/>
          </w:r>
          <w:r>
            <w:rPr>
              <w:rFonts w:hint="eastAsia"/>
              <w:b/>
              <w:lang w:val="en-US" w:eastAsia="zh-CN"/>
            </w:rPr>
            <w:instrText xml:space="preserve"> HYPERLINK \l _Toc190035286 </w:instrText>
          </w:r>
          <w:r>
            <w:rPr>
              <w:rFonts w:hint="eastAsia"/>
              <w:b/>
              <w:lang w:val="en-US" w:eastAsia="zh-CN"/>
            </w:rPr>
            <w:fldChar w:fldCharType="separate"/>
          </w:r>
          <w:r>
            <w:rPr>
              <w:rFonts w:hint="default" w:ascii="Arial Regular" w:hAnsi="Arial Regular" w:cs="Arial Regular" w:eastAsiaTheme="minorEastAsia"/>
              <w:b/>
              <w:szCs w:val="24"/>
              <w:lang w:val="en-US" w:eastAsia="zh-CN"/>
            </w:rPr>
            <w:t>1.0</w:t>
          </w:r>
          <w:r>
            <w:rPr>
              <w:rFonts w:hint="default" w:ascii="Arial Regular" w:hAnsi="Arial Regular" w:cs="Arial Regular" w:eastAsiaTheme="minorEastAsia"/>
              <w:b/>
              <w:szCs w:val="24"/>
            </w:rPr>
            <w:t>Introduction</w:t>
          </w:r>
          <w:r>
            <w:rPr>
              <w:b/>
            </w:rPr>
            <w:tab/>
          </w:r>
          <w:r>
            <w:rPr>
              <w:b/>
            </w:rPr>
            <w:fldChar w:fldCharType="begin"/>
          </w:r>
          <w:r>
            <w:rPr>
              <w:b/>
            </w:rPr>
            <w:instrText xml:space="preserve"> PAGEREF _Toc190035286 \h </w:instrText>
          </w:r>
          <w:r>
            <w:rPr>
              <w:b/>
            </w:rPr>
            <w:fldChar w:fldCharType="separate"/>
          </w:r>
          <w:r>
            <w:rPr>
              <w:b/>
            </w:rPr>
            <w:t>1</w:t>
          </w:r>
          <w:r>
            <w:rPr>
              <w:b/>
            </w:rPr>
            <w:fldChar w:fldCharType="end"/>
          </w:r>
          <w:r>
            <w:rPr>
              <w:rFonts w:hint="eastAsia"/>
              <w:b/>
              <w:lang w:val="en-US" w:eastAsia="zh-CN"/>
            </w:rPr>
            <w:fldChar w:fldCharType="end"/>
          </w:r>
        </w:p>
        <w:p>
          <w:pPr>
            <w:pStyle w:val="10"/>
            <w:tabs>
              <w:tab w:val="right" w:leader="dot" w:pos="8306"/>
            </w:tabs>
            <w:rPr>
              <w:b/>
            </w:rPr>
          </w:pPr>
          <w:r>
            <w:rPr>
              <w:rFonts w:hint="eastAsia"/>
              <w:b/>
              <w:lang w:val="en-US" w:eastAsia="zh-CN"/>
            </w:rPr>
            <w:fldChar w:fldCharType="begin"/>
          </w:r>
          <w:r>
            <w:rPr>
              <w:rFonts w:hint="eastAsia"/>
              <w:b/>
              <w:lang w:val="en-US" w:eastAsia="zh-CN"/>
            </w:rPr>
            <w:instrText xml:space="preserve"> HYPERLINK \l _Toc614868713 </w:instrText>
          </w:r>
          <w:r>
            <w:rPr>
              <w:rFonts w:hint="eastAsia"/>
              <w:b/>
              <w:lang w:val="en-US" w:eastAsia="zh-CN"/>
            </w:rPr>
            <w:fldChar w:fldCharType="separate"/>
          </w:r>
          <w:r>
            <w:rPr>
              <w:rFonts w:hint="default" w:ascii="Arial Regular" w:hAnsi="Arial Regular" w:cs="Arial Regular" w:eastAsiaTheme="minorEastAsia"/>
              <w:b/>
              <w:szCs w:val="24"/>
              <w:lang w:val="en-US" w:eastAsia="zh-CN"/>
            </w:rPr>
            <w:t>2.0</w:t>
          </w:r>
          <w:r>
            <w:rPr>
              <w:rFonts w:hint="default" w:ascii="Arial Regular" w:hAnsi="Arial Regular" w:cs="Arial Regular" w:eastAsiaTheme="minorEastAsia"/>
              <w:b/>
              <w:szCs w:val="24"/>
            </w:rPr>
            <w:t>Competitive strategy analysis</w:t>
          </w:r>
          <w:r>
            <w:rPr>
              <w:b/>
            </w:rPr>
            <w:tab/>
          </w:r>
          <w:r>
            <w:rPr>
              <w:b/>
            </w:rPr>
            <w:fldChar w:fldCharType="begin"/>
          </w:r>
          <w:r>
            <w:rPr>
              <w:b/>
            </w:rPr>
            <w:instrText xml:space="preserve"> PAGEREF _Toc614868713 \h </w:instrText>
          </w:r>
          <w:r>
            <w:rPr>
              <w:b/>
            </w:rPr>
            <w:fldChar w:fldCharType="separate"/>
          </w:r>
          <w:r>
            <w:rPr>
              <w:b/>
            </w:rPr>
            <w:t>1</w:t>
          </w:r>
          <w:r>
            <w:rPr>
              <w:b/>
            </w:rPr>
            <w:fldChar w:fldCharType="end"/>
          </w:r>
          <w:r>
            <w:rPr>
              <w:rFonts w:hint="eastAsia"/>
              <w:b/>
              <w:lang w:val="en-US" w:eastAsia="zh-CN"/>
            </w:rPr>
            <w:fldChar w:fldCharType="end"/>
          </w:r>
        </w:p>
        <w:p>
          <w:pPr>
            <w:pStyle w:val="11"/>
            <w:tabs>
              <w:tab w:val="right" w:leader="dot" w:pos="8306"/>
            </w:tabs>
          </w:pPr>
          <w:r>
            <w:rPr>
              <w:rFonts w:hint="eastAsia"/>
              <w:lang w:val="en-US" w:eastAsia="zh-CN"/>
            </w:rPr>
            <w:fldChar w:fldCharType="begin"/>
          </w:r>
          <w:r>
            <w:rPr>
              <w:rFonts w:hint="eastAsia"/>
              <w:lang w:val="en-US" w:eastAsia="zh-CN"/>
            </w:rPr>
            <w:instrText xml:space="preserve"> HYPERLINK \l _Toc407150027 </w:instrText>
          </w:r>
          <w:r>
            <w:rPr>
              <w:rFonts w:hint="eastAsia"/>
              <w:lang w:val="en-US" w:eastAsia="zh-CN"/>
            </w:rPr>
            <w:fldChar w:fldCharType="separate"/>
          </w:r>
          <w:r>
            <w:rPr>
              <w:rFonts w:hint="default" w:ascii="Arial Regular" w:hAnsi="Arial Regular" w:cs="Arial Regular" w:eastAsiaTheme="minorEastAsia"/>
              <w:szCs w:val="24"/>
              <w:lang w:val="en-US" w:eastAsia="zh-CN"/>
            </w:rPr>
            <w:t>2.1</w:t>
          </w:r>
          <w:r>
            <w:rPr>
              <w:rFonts w:hint="default" w:ascii="Arial Regular" w:hAnsi="Arial Regular" w:cs="Arial Regular" w:eastAsiaTheme="minorEastAsia"/>
              <w:szCs w:val="24"/>
            </w:rPr>
            <w:t>Samsung's market position and competitors</w:t>
          </w:r>
          <w:r>
            <w:tab/>
          </w:r>
          <w:r>
            <w:fldChar w:fldCharType="begin"/>
          </w:r>
          <w:r>
            <w:instrText xml:space="preserve"> PAGEREF _Toc407150027 \h </w:instrText>
          </w:r>
          <w:r>
            <w:fldChar w:fldCharType="separate"/>
          </w:r>
          <w:r>
            <w:t>2</w:t>
          </w:r>
          <w:r>
            <w:fldChar w:fldCharType="end"/>
          </w:r>
          <w:r>
            <w:rPr>
              <w:rFonts w:hint="eastAsia"/>
              <w:lang w:val="en-US" w:eastAsia="zh-CN"/>
            </w:rPr>
            <w:fldChar w:fldCharType="end"/>
          </w:r>
        </w:p>
        <w:p>
          <w:pPr>
            <w:pStyle w:val="11"/>
            <w:tabs>
              <w:tab w:val="right" w:leader="dot" w:pos="8306"/>
            </w:tabs>
          </w:pPr>
          <w:r>
            <w:rPr>
              <w:rFonts w:hint="eastAsia"/>
              <w:lang w:val="en-US" w:eastAsia="zh-CN"/>
            </w:rPr>
            <w:fldChar w:fldCharType="begin"/>
          </w:r>
          <w:r>
            <w:rPr>
              <w:rFonts w:hint="eastAsia"/>
              <w:lang w:val="en-US" w:eastAsia="zh-CN"/>
            </w:rPr>
            <w:instrText xml:space="preserve"> HYPERLINK \l _Toc1087604447 </w:instrText>
          </w:r>
          <w:r>
            <w:rPr>
              <w:rFonts w:hint="eastAsia"/>
              <w:lang w:val="en-US" w:eastAsia="zh-CN"/>
            </w:rPr>
            <w:fldChar w:fldCharType="separate"/>
          </w:r>
          <w:r>
            <w:rPr>
              <w:rFonts w:hint="default" w:ascii="Arial Regular" w:hAnsi="Arial Regular" w:cs="Arial Regular" w:eastAsiaTheme="minorEastAsia"/>
              <w:szCs w:val="24"/>
              <w:lang w:val="en-US" w:eastAsia="zh-CN"/>
            </w:rPr>
            <w:t>2.2Analysis of Samsung's Competitive Advantage</w:t>
          </w:r>
          <w:r>
            <w:tab/>
          </w:r>
          <w:r>
            <w:fldChar w:fldCharType="begin"/>
          </w:r>
          <w:r>
            <w:instrText xml:space="preserve"> PAGEREF _Toc1087604447 \h </w:instrText>
          </w:r>
          <w:r>
            <w:fldChar w:fldCharType="separate"/>
          </w:r>
          <w:r>
            <w:t>3</w:t>
          </w:r>
          <w:r>
            <w:fldChar w:fldCharType="end"/>
          </w:r>
          <w:r>
            <w:rPr>
              <w:rFonts w:hint="eastAsia"/>
              <w:lang w:val="en-US" w:eastAsia="zh-CN"/>
            </w:rPr>
            <w:fldChar w:fldCharType="end"/>
          </w:r>
        </w:p>
        <w:p>
          <w:pPr>
            <w:pStyle w:val="11"/>
            <w:tabs>
              <w:tab w:val="right" w:leader="dot" w:pos="8306"/>
            </w:tabs>
          </w:pPr>
          <w:r>
            <w:rPr>
              <w:rFonts w:hint="eastAsia"/>
              <w:lang w:val="en-US" w:eastAsia="zh-CN"/>
            </w:rPr>
            <w:fldChar w:fldCharType="begin"/>
          </w:r>
          <w:r>
            <w:rPr>
              <w:rFonts w:hint="eastAsia"/>
              <w:lang w:val="en-US" w:eastAsia="zh-CN"/>
            </w:rPr>
            <w:instrText xml:space="preserve"> HYPERLINK \l _Toc2134621112 </w:instrText>
          </w:r>
          <w:r>
            <w:rPr>
              <w:rFonts w:hint="eastAsia"/>
              <w:lang w:val="en-US" w:eastAsia="zh-CN"/>
            </w:rPr>
            <w:fldChar w:fldCharType="separate"/>
          </w:r>
          <w:r>
            <w:rPr>
              <w:rFonts w:hint="default" w:ascii="Arial Regular" w:hAnsi="Arial Regular" w:cs="Arial Regular" w:eastAsiaTheme="minorEastAsia"/>
              <w:szCs w:val="24"/>
              <w:lang w:val="en-US" w:eastAsia="zh-CN"/>
            </w:rPr>
            <w:t>2.3Strategic planning and management at Samsung</w:t>
          </w:r>
          <w:r>
            <w:tab/>
          </w:r>
          <w:r>
            <w:fldChar w:fldCharType="begin"/>
          </w:r>
          <w:r>
            <w:instrText xml:space="preserve"> PAGEREF _Toc2134621112 \h </w:instrText>
          </w:r>
          <w:r>
            <w:fldChar w:fldCharType="separate"/>
          </w:r>
          <w:r>
            <w:t>5</w:t>
          </w:r>
          <w:r>
            <w:fldChar w:fldCharType="end"/>
          </w:r>
          <w:r>
            <w:rPr>
              <w:rFonts w:hint="eastAsia"/>
              <w:lang w:val="en-US" w:eastAsia="zh-CN"/>
            </w:rPr>
            <w:fldChar w:fldCharType="end"/>
          </w:r>
        </w:p>
        <w:p>
          <w:pPr>
            <w:pStyle w:val="10"/>
            <w:tabs>
              <w:tab w:val="right" w:leader="dot" w:pos="8306"/>
            </w:tabs>
            <w:rPr>
              <w:b/>
            </w:rPr>
          </w:pPr>
          <w:r>
            <w:rPr>
              <w:rFonts w:hint="eastAsia"/>
              <w:b/>
              <w:lang w:val="en-US" w:eastAsia="zh-CN"/>
            </w:rPr>
            <w:fldChar w:fldCharType="begin"/>
          </w:r>
          <w:r>
            <w:rPr>
              <w:rFonts w:hint="eastAsia"/>
              <w:b/>
              <w:lang w:val="en-US" w:eastAsia="zh-CN"/>
            </w:rPr>
            <w:instrText xml:space="preserve"> HYPERLINK \l _Toc715222602 </w:instrText>
          </w:r>
          <w:r>
            <w:rPr>
              <w:rFonts w:hint="eastAsia"/>
              <w:b/>
              <w:lang w:val="en-US" w:eastAsia="zh-CN"/>
            </w:rPr>
            <w:fldChar w:fldCharType="separate"/>
          </w:r>
          <w:r>
            <w:rPr>
              <w:rFonts w:hint="default" w:ascii="Arial Regular" w:hAnsi="Arial Regular" w:cs="Arial Regular" w:eastAsiaTheme="minorEastAsia"/>
              <w:b/>
              <w:szCs w:val="24"/>
              <w:lang w:val="en-US" w:eastAsia="zh-CN"/>
            </w:rPr>
            <w:t>3.0Competitive strategies adopted by Samsung</w:t>
          </w:r>
          <w:r>
            <w:rPr>
              <w:b/>
            </w:rPr>
            <w:tab/>
          </w:r>
          <w:r>
            <w:rPr>
              <w:b/>
            </w:rPr>
            <w:fldChar w:fldCharType="begin"/>
          </w:r>
          <w:r>
            <w:rPr>
              <w:b/>
            </w:rPr>
            <w:instrText xml:space="preserve"> PAGEREF _Toc715222602 \h </w:instrText>
          </w:r>
          <w:r>
            <w:rPr>
              <w:b/>
            </w:rPr>
            <w:fldChar w:fldCharType="separate"/>
          </w:r>
          <w:r>
            <w:rPr>
              <w:b/>
            </w:rPr>
            <w:t>6</w:t>
          </w:r>
          <w:r>
            <w:rPr>
              <w:b/>
            </w:rPr>
            <w:fldChar w:fldCharType="end"/>
          </w:r>
          <w:r>
            <w:rPr>
              <w:rFonts w:hint="eastAsia"/>
              <w:b/>
              <w:lang w:val="en-US" w:eastAsia="zh-CN"/>
            </w:rPr>
            <w:fldChar w:fldCharType="end"/>
          </w:r>
        </w:p>
        <w:p>
          <w:pPr>
            <w:pStyle w:val="11"/>
            <w:tabs>
              <w:tab w:val="right" w:leader="dot" w:pos="8306"/>
            </w:tabs>
          </w:pPr>
          <w:r>
            <w:rPr>
              <w:rFonts w:hint="eastAsia"/>
              <w:lang w:val="en-US" w:eastAsia="zh-CN"/>
            </w:rPr>
            <w:fldChar w:fldCharType="begin"/>
          </w:r>
          <w:r>
            <w:rPr>
              <w:rFonts w:hint="eastAsia"/>
              <w:lang w:val="en-US" w:eastAsia="zh-CN"/>
            </w:rPr>
            <w:instrText xml:space="preserve"> HYPERLINK \l _Toc1280299555 </w:instrText>
          </w:r>
          <w:r>
            <w:rPr>
              <w:rFonts w:hint="eastAsia"/>
              <w:lang w:val="en-US" w:eastAsia="zh-CN"/>
            </w:rPr>
            <w:fldChar w:fldCharType="separate"/>
          </w:r>
          <w:r>
            <w:rPr>
              <w:rFonts w:hint="default" w:ascii="Arial Regular" w:hAnsi="Arial Regular" w:cs="Arial Regular" w:eastAsiaTheme="minorEastAsia"/>
              <w:szCs w:val="24"/>
              <w:lang w:val="en-US" w:eastAsia="zh-CN"/>
            </w:rPr>
            <w:t>3.1Porter's generic strategy</w:t>
          </w:r>
          <w:r>
            <w:tab/>
          </w:r>
          <w:r>
            <w:fldChar w:fldCharType="begin"/>
          </w:r>
          <w:r>
            <w:instrText xml:space="preserve"> PAGEREF _Toc1280299555 \h </w:instrText>
          </w:r>
          <w:r>
            <w:fldChar w:fldCharType="separate"/>
          </w:r>
          <w:r>
            <w:t>6</w:t>
          </w:r>
          <w:r>
            <w:fldChar w:fldCharType="end"/>
          </w:r>
          <w:r>
            <w:rPr>
              <w:rFonts w:hint="eastAsia"/>
              <w:lang w:val="en-US" w:eastAsia="zh-CN"/>
            </w:rPr>
            <w:fldChar w:fldCharType="end"/>
          </w:r>
        </w:p>
        <w:p>
          <w:pPr>
            <w:pStyle w:val="11"/>
            <w:tabs>
              <w:tab w:val="right" w:leader="dot" w:pos="8306"/>
            </w:tabs>
          </w:pPr>
          <w:r>
            <w:rPr>
              <w:rFonts w:hint="eastAsia"/>
              <w:lang w:val="en-US" w:eastAsia="zh-CN"/>
            </w:rPr>
            <w:fldChar w:fldCharType="begin"/>
          </w:r>
          <w:r>
            <w:rPr>
              <w:rFonts w:hint="eastAsia"/>
              <w:lang w:val="en-US" w:eastAsia="zh-CN"/>
            </w:rPr>
            <w:instrText xml:space="preserve"> HYPERLINK \l _Toc208477945 </w:instrText>
          </w:r>
          <w:r>
            <w:rPr>
              <w:rFonts w:hint="eastAsia"/>
              <w:lang w:val="en-US" w:eastAsia="zh-CN"/>
            </w:rPr>
            <w:fldChar w:fldCharType="separate"/>
          </w:r>
          <w:r>
            <w:rPr>
              <w:rFonts w:hint="default" w:ascii="Arial Regular" w:hAnsi="Arial Regular" w:cs="Arial Regular" w:eastAsiaTheme="minorEastAsia"/>
              <w:szCs w:val="24"/>
              <w:lang w:val="en-US" w:eastAsia="zh-CN"/>
            </w:rPr>
            <w:t>3.2Diversified Innovation Strategy</w:t>
          </w:r>
          <w:r>
            <w:tab/>
          </w:r>
          <w:r>
            <w:fldChar w:fldCharType="begin"/>
          </w:r>
          <w:r>
            <w:instrText xml:space="preserve"> PAGEREF _Toc208477945 \h </w:instrText>
          </w:r>
          <w:r>
            <w:fldChar w:fldCharType="separate"/>
          </w:r>
          <w:r>
            <w:t>8</w:t>
          </w:r>
          <w:r>
            <w:fldChar w:fldCharType="end"/>
          </w:r>
          <w:r>
            <w:rPr>
              <w:rFonts w:hint="eastAsia"/>
              <w:lang w:val="en-US" w:eastAsia="zh-CN"/>
            </w:rPr>
            <w:fldChar w:fldCharType="end"/>
          </w:r>
        </w:p>
        <w:p>
          <w:pPr>
            <w:pStyle w:val="11"/>
            <w:tabs>
              <w:tab w:val="right" w:leader="dot" w:pos="8306"/>
            </w:tabs>
          </w:pPr>
          <w:r>
            <w:rPr>
              <w:rFonts w:hint="eastAsia"/>
              <w:lang w:val="en-US" w:eastAsia="zh-CN"/>
            </w:rPr>
            <w:fldChar w:fldCharType="begin"/>
          </w:r>
          <w:r>
            <w:rPr>
              <w:rFonts w:hint="eastAsia"/>
              <w:lang w:val="en-US" w:eastAsia="zh-CN"/>
            </w:rPr>
            <w:instrText xml:space="preserve"> HYPERLINK \l _Toc1342993358 </w:instrText>
          </w:r>
          <w:r>
            <w:rPr>
              <w:rFonts w:hint="eastAsia"/>
              <w:lang w:val="en-US" w:eastAsia="zh-CN"/>
            </w:rPr>
            <w:fldChar w:fldCharType="separate"/>
          </w:r>
          <w:r>
            <w:rPr>
              <w:rFonts w:hint="default" w:ascii="Arial Regular" w:hAnsi="Arial Regular" w:cs="Arial Regular" w:eastAsiaTheme="minorEastAsia"/>
              <w:szCs w:val="24"/>
              <w:lang w:val="en-US" w:eastAsia="zh-CN"/>
            </w:rPr>
            <w:t>3.3Globalised marketing strategy</w:t>
          </w:r>
          <w:r>
            <w:tab/>
          </w:r>
          <w:r>
            <w:fldChar w:fldCharType="begin"/>
          </w:r>
          <w:r>
            <w:instrText xml:space="preserve"> PAGEREF _Toc1342993358 \h </w:instrText>
          </w:r>
          <w:r>
            <w:fldChar w:fldCharType="separate"/>
          </w:r>
          <w:r>
            <w:t>9</w:t>
          </w:r>
          <w:r>
            <w:fldChar w:fldCharType="end"/>
          </w:r>
          <w:r>
            <w:rPr>
              <w:rFonts w:hint="eastAsia"/>
              <w:lang w:val="en-US" w:eastAsia="zh-CN"/>
            </w:rPr>
            <w:fldChar w:fldCharType="end"/>
          </w:r>
        </w:p>
        <w:p>
          <w:pPr>
            <w:pStyle w:val="10"/>
            <w:tabs>
              <w:tab w:val="right" w:leader="dot" w:pos="8306"/>
            </w:tabs>
            <w:rPr>
              <w:b/>
            </w:rPr>
          </w:pPr>
          <w:r>
            <w:rPr>
              <w:rFonts w:hint="eastAsia"/>
              <w:b/>
              <w:lang w:val="en-US" w:eastAsia="zh-CN"/>
            </w:rPr>
            <w:fldChar w:fldCharType="begin"/>
          </w:r>
          <w:r>
            <w:rPr>
              <w:rFonts w:hint="eastAsia"/>
              <w:b/>
              <w:lang w:val="en-US" w:eastAsia="zh-CN"/>
            </w:rPr>
            <w:instrText xml:space="preserve"> HYPERLINK \l _Toc1636237936 </w:instrText>
          </w:r>
          <w:r>
            <w:rPr>
              <w:rFonts w:hint="eastAsia"/>
              <w:b/>
              <w:lang w:val="en-US" w:eastAsia="zh-CN"/>
            </w:rPr>
            <w:fldChar w:fldCharType="separate"/>
          </w:r>
          <w:r>
            <w:rPr>
              <w:rFonts w:hint="default" w:ascii="Arial Regular" w:hAnsi="Arial Regular" w:cs="Arial Regular" w:eastAsiaTheme="minorEastAsia"/>
              <w:b/>
              <w:szCs w:val="24"/>
              <w:lang w:val="en-US" w:eastAsia="zh-CN"/>
            </w:rPr>
            <w:t>4.0Critical assessment of Samsung</w:t>
          </w:r>
          <w:r>
            <w:rPr>
              <w:b/>
            </w:rPr>
            <w:tab/>
          </w:r>
          <w:r>
            <w:rPr>
              <w:b/>
            </w:rPr>
            <w:fldChar w:fldCharType="begin"/>
          </w:r>
          <w:r>
            <w:rPr>
              <w:b/>
            </w:rPr>
            <w:instrText xml:space="preserve"> PAGEREF _Toc1636237936 \h </w:instrText>
          </w:r>
          <w:r>
            <w:rPr>
              <w:b/>
            </w:rPr>
            <w:fldChar w:fldCharType="separate"/>
          </w:r>
          <w:r>
            <w:rPr>
              <w:b/>
            </w:rPr>
            <w:t>11</w:t>
          </w:r>
          <w:r>
            <w:rPr>
              <w:b/>
            </w:rPr>
            <w:fldChar w:fldCharType="end"/>
          </w:r>
          <w:r>
            <w:rPr>
              <w:rFonts w:hint="eastAsia"/>
              <w:b/>
              <w:lang w:val="en-US" w:eastAsia="zh-CN"/>
            </w:rPr>
            <w:fldChar w:fldCharType="end"/>
          </w:r>
        </w:p>
        <w:p>
          <w:pPr>
            <w:pStyle w:val="11"/>
            <w:tabs>
              <w:tab w:val="right" w:leader="dot" w:pos="8306"/>
            </w:tabs>
          </w:pPr>
          <w:r>
            <w:rPr>
              <w:rFonts w:hint="eastAsia"/>
              <w:lang w:val="en-US" w:eastAsia="zh-CN"/>
            </w:rPr>
            <w:fldChar w:fldCharType="begin"/>
          </w:r>
          <w:r>
            <w:rPr>
              <w:rFonts w:hint="eastAsia"/>
              <w:lang w:val="en-US" w:eastAsia="zh-CN"/>
            </w:rPr>
            <w:instrText xml:space="preserve"> HYPERLINK \l _Toc1722890517 </w:instrText>
          </w:r>
          <w:r>
            <w:rPr>
              <w:rFonts w:hint="eastAsia"/>
              <w:lang w:val="en-US" w:eastAsia="zh-CN"/>
            </w:rPr>
            <w:fldChar w:fldCharType="separate"/>
          </w:r>
          <w:r>
            <w:rPr>
              <w:rFonts w:hint="default" w:ascii="Arial Regular" w:hAnsi="Arial Regular" w:cs="Arial Regular" w:eastAsiaTheme="minorEastAsia"/>
              <w:szCs w:val="24"/>
              <w:lang w:val="en-US" w:eastAsia="zh-CN"/>
            </w:rPr>
            <w:t>4.1Critically evaluate the strategy adopted by Samsung</w:t>
          </w:r>
          <w:r>
            <w:tab/>
          </w:r>
          <w:r>
            <w:fldChar w:fldCharType="begin"/>
          </w:r>
          <w:r>
            <w:instrText xml:space="preserve"> PAGEREF _Toc1722890517 \h </w:instrText>
          </w:r>
          <w:r>
            <w:fldChar w:fldCharType="separate"/>
          </w:r>
          <w:r>
            <w:t>11</w:t>
          </w:r>
          <w:r>
            <w:fldChar w:fldCharType="end"/>
          </w:r>
          <w:r>
            <w:rPr>
              <w:rFonts w:hint="eastAsia"/>
              <w:lang w:val="en-US" w:eastAsia="zh-CN"/>
            </w:rPr>
            <w:fldChar w:fldCharType="end"/>
          </w:r>
        </w:p>
        <w:p>
          <w:pPr>
            <w:pStyle w:val="11"/>
            <w:tabs>
              <w:tab w:val="right" w:leader="dot" w:pos="8306"/>
            </w:tabs>
          </w:pPr>
          <w:r>
            <w:rPr>
              <w:rFonts w:hint="eastAsia"/>
              <w:lang w:val="en-US" w:eastAsia="zh-CN"/>
            </w:rPr>
            <w:fldChar w:fldCharType="begin"/>
          </w:r>
          <w:r>
            <w:rPr>
              <w:rFonts w:hint="eastAsia"/>
              <w:lang w:val="en-US" w:eastAsia="zh-CN"/>
            </w:rPr>
            <w:instrText xml:space="preserve"> HYPERLINK \l _Toc2098906718 </w:instrText>
          </w:r>
          <w:r>
            <w:rPr>
              <w:rFonts w:hint="eastAsia"/>
              <w:lang w:val="en-US" w:eastAsia="zh-CN"/>
            </w:rPr>
            <w:fldChar w:fldCharType="separate"/>
          </w:r>
          <w:r>
            <w:rPr>
              <w:rFonts w:hint="default" w:ascii="Arial Regular" w:hAnsi="Arial Regular" w:cs="Arial Regular" w:eastAsiaTheme="minorEastAsia"/>
              <w:szCs w:val="24"/>
              <w:lang w:val="en-US" w:eastAsia="zh-CN"/>
            </w:rPr>
            <w:t>4.2</w:t>
          </w:r>
          <w:r>
            <w:rPr>
              <w:rFonts w:hint="default" w:ascii="Arial Regular" w:hAnsi="Arial Regular" w:cs="Arial Regular" w:eastAsiaTheme="minorEastAsia"/>
              <w:szCs w:val="24"/>
            </w:rPr>
            <w:t>Effectiveness of strategy implementation</w:t>
          </w:r>
          <w:r>
            <w:tab/>
          </w:r>
          <w:r>
            <w:fldChar w:fldCharType="begin"/>
          </w:r>
          <w:r>
            <w:instrText xml:space="preserve"> PAGEREF _Toc2098906718 \h </w:instrText>
          </w:r>
          <w:r>
            <w:fldChar w:fldCharType="separate"/>
          </w:r>
          <w:r>
            <w:t>14</w:t>
          </w:r>
          <w:r>
            <w:fldChar w:fldCharType="end"/>
          </w:r>
          <w:r>
            <w:rPr>
              <w:rFonts w:hint="eastAsia"/>
              <w:lang w:val="en-US" w:eastAsia="zh-CN"/>
            </w:rPr>
            <w:fldChar w:fldCharType="end"/>
          </w:r>
        </w:p>
        <w:p>
          <w:pPr>
            <w:pStyle w:val="10"/>
            <w:tabs>
              <w:tab w:val="right" w:leader="dot" w:pos="8306"/>
            </w:tabs>
            <w:rPr>
              <w:b/>
            </w:rPr>
          </w:pPr>
          <w:r>
            <w:rPr>
              <w:rFonts w:hint="eastAsia"/>
              <w:b/>
              <w:lang w:val="en-US" w:eastAsia="zh-CN"/>
            </w:rPr>
            <w:fldChar w:fldCharType="begin"/>
          </w:r>
          <w:r>
            <w:rPr>
              <w:rFonts w:hint="eastAsia"/>
              <w:b/>
              <w:lang w:val="en-US" w:eastAsia="zh-CN"/>
            </w:rPr>
            <w:instrText xml:space="preserve"> HYPERLINK \l _Toc1758823804 </w:instrText>
          </w:r>
          <w:r>
            <w:rPr>
              <w:rFonts w:hint="eastAsia"/>
              <w:b/>
              <w:lang w:val="en-US" w:eastAsia="zh-CN"/>
            </w:rPr>
            <w:fldChar w:fldCharType="separate"/>
          </w:r>
          <w:r>
            <w:rPr>
              <w:rFonts w:hint="default" w:ascii="Arial Regular" w:hAnsi="Arial Regular" w:cs="Arial Regular" w:eastAsiaTheme="minorEastAsia"/>
              <w:b/>
              <w:szCs w:val="24"/>
              <w:lang w:val="en-US" w:eastAsia="zh-CN"/>
            </w:rPr>
            <w:t>5.0</w:t>
          </w:r>
          <w:r>
            <w:rPr>
              <w:rFonts w:hint="default" w:ascii="Arial Regular" w:hAnsi="Arial Regular" w:cs="Arial Regular" w:eastAsiaTheme="minorEastAsia"/>
              <w:b/>
              <w:szCs w:val="24"/>
            </w:rPr>
            <w:t>Conclusions and recommendations</w:t>
          </w:r>
          <w:r>
            <w:rPr>
              <w:b/>
            </w:rPr>
            <w:tab/>
          </w:r>
          <w:r>
            <w:rPr>
              <w:b/>
            </w:rPr>
            <w:fldChar w:fldCharType="begin"/>
          </w:r>
          <w:r>
            <w:rPr>
              <w:b/>
            </w:rPr>
            <w:instrText xml:space="preserve"> PAGEREF _Toc1758823804 \h </w:instrText>
          </w:r>
          <w:r>
            <w:rPr>
              <w:b/>
            </w:rPr>
            <w:fldChar w:fldCharType="separate"/>
          </w:r>
          <w:r>
            <w:rPr>
              <w:b/>
            </w:rPr>
            <w:t>15</w:t>
          </w:r>
          <w:r>
            <w:rPr>
              <w:b/>
            </w:rPr>
            <w:fldChar w:fldCharType="end"/>
          </w:r>
          <w:r>
            <w:rPr>
              <w:rFonts w:hint="eastAsia"/>
              <w:b/>
              <w:lang w:val="en-US" w:eastAsia="zh-CN"/>
            </w:rPr>
            <w:fldChar w:fldCharType="end"/>
          </w:r>
        </w:p>
        <w:p>
          <w:pPr>
            <w:pStyle w:val="10"/>
            <w:tabs>
              <w:tab w:val="right" w:leader="dot" w:pos="8306"/>
            </w:tabs>
            <w:rPr>
              <w:b/>
            </w:rPr>
          </w:pPr>
          <w:r>
            <w:rPr>
              <w:rFonts w:hint="eastAsia"/>
              <w:b/>
              <w:lang w:val="en-US" w:eastAsia="zh-CN"/>
            </w:rPr>
            <w:fldChar w:fldCharType="begin"/>
          </w:r>
          <w:r>
            <w:rPr>
              <w:rFonts w:hint="eastAsia"/>
              <w:b/>
              <w:lang w:val="en-US" w:eastAsia="zh-CN"/>
            </w:rPr>
            <w:instrText xml:space="preserve"> HYPERLINK \l _Toc439272873 </w:instrText>
          </w:r>
          <w:r>
            <w:rPr>
              <w:rFonts w:hint="eastAsia"/>
              <w:b/>
              <w:lang w:val="en-US" w:eastAsia="zh-CN"/>
            </w:rPr>
            <w:fldChar w:fldCharType="separate"/>
          </w:r>
          <w:r>
            <w:rPr>
              <w:rFonts w:hint="default" w:ascii="Arial Regular" w:hAnsi="Arial Regular" w:cs="Arial Regular" w:eastAsiaTheme="minorEastAsia"/>
              <w:b/>
              <w:szCs w:val="24"/>
              <w:lang w:val="en-US" w:eastAsia="zh-CN"/>
            </w:rPr>
            <w:t>6.0reference</w:t>
          </w:r>
          <w:r>
            <w:rPr>
              <w:b/>
            </w:rPr>
            <w:tab/>
          </w:r>
          <w:r>
            <w:rPr>
              <w:b/>
            </w:rPr>
            <w:fldChar w:fldCharType="begin"/>
          </w:r>
          <w:r>
            <w:rPr>
              <w:b/>
            </w:rPr>
            <w:instrText xml:space="preserve"> PAGEREF _Toc439272873 \h </w:instrText>
          </w:r>
          <w:r>
            <w:rPr>
              <w:b/>
            </w:rPr>
            <w:fldChar w:fldCharType="separate"/>
          </w:r>
          <w:r>
            <w:rPr>
              <w:b/>
            </w:rPr>
            <w:t>16</w:t>
          </w:r>
          <w:r>
            <w:rPr>
              <w:b/>
            </w:rPr>
            <w:fldChar w:fldCharType="end"/>
          </w:r>
          <w:r>
            <w:rPr>
              <w:rFonts w:hint="eastAsia"/>
              <w:b/>
              <w:lang w:val="en-US" w:eastAsia="zh-CN"/>
            </w:rPr>
            <w:fldChar w:fldCharType="end"/>
          </w:r>
        </w:p>
        <w:p>
          <w:pPr>
            <w:pStyle w:val="2"/>
            <w:bidi w:val="0"/>
            <w:outlineLvl w:val="9"/>
            <w:rPr>
              <w:rFonts w:hint="eastAsia"/>
              <w:lang w:val="en-US" w:eastAsia="zh-CN"/>
            </w:rPr>
          </w:pPr>
          <w:r>
            <w:rPr>
              <w:rFonts w:hint="eastAsia"/>
              <w:b/>
              <w:lang w:val="en-US" w:eastAsia="zh-CN"/>
            </w:rPr>
            <w:fldChar w:fldCharType="end"/>
          </w:r>
        </w:p>
      </w:sdtContent>
    </w:sdt>
    <w:p>
      <w:pPr>
        <w:pStyle w:val="2"/>
        <w:bidi w:val="0"/>
        <w:outlineLvl w:val="9"/>
        <w:rPr>
          <w:rFonts w:hint="eastAsia"/>
          <w:lang w:val="en-US" w:eastAsia="zh-CN"/>
        </w:rPr>
      </w:pPr>
    </w:p>
    <w:p>
      <w:pPr>
        <w:pStyle w:val="2"/>
        <w:bidi w:val="0"/>
        <w:outlineLvl w:val="9"/>
        <w:rPr>
          <w:rFonts w:hint="eastAsia"/>
          <w:lang w:val="en-US" w:eastAsia="zh-CN"/>
        </w:rPr>
      </w:pPr>
    </w:p>
    <w:p>
      <w:pPr>
        <w:pStyle w:val="2"/>
        <w:bidi w:val="0"/>
        <w:outlineLvl w:val="9"/>
        <w:rPr>
          <w:rFonts w:hint="eastAsia"/>
          <w:lang w:val="en-US" w:eastAsia="zh-CN"/>
        </w:rPr>
      </w:pPr>
    </w:p>
    <w:p>
      <w:pPr>
        <w:pStyle w:val="2"/>
        <w:bidi w:val="0"/>
        <w:outlineLvl w:val="9"/>
        <w:rPr>
          <w:rFonts w:hint="eastAsia"/>
          <w:lang w:val="en-US" w:eastAsia="zh-CN"/>
        </w:rPr>
      </w:pPr>
    </w:p>
    <w:p>
      <w:pPr>
        <w:pStyle w:val="2"/>
        <w:bidi w:val="0"/>
        <w:outlineLvl w:val="9"/>
        <w:rPr>
          <w:rFonts w:hint="eastAsia"/>
          <w:lang w:val="en-US" w:eastAsia="zh-CN"/>
        </w:rPr>
      </w:pPr>
    </w:p>
    <w:p>
      <w:pPr>
        <w:pStyle w:val="2"/>
        <w:bidi w:val="0"/>
        <w:outlineLvl w:val="9"/>
        <w:rPr>
          <w:rFonts w:hint="eastAsia"/>
          <w:lang w:val="en-US" w:eastAsia="zh-CN"/>
        </w:rPr>
      </w:pPr>
    </w:p>
    <w:p>
      <w:pPr>
        <w:rPr>
          <w:rFonts w:hint="eastAsia"/>
          <w:lang w:val="en-US" w:eastAsia="zh-CN"/>
        </w:rPr>
      </w:pPr>
    </w:p>
    <w:p>
      <w:pPr>
        <w:pStyle w:val="2"/>
        <w:bidi w:val="0"/>
        <w:spacing w:line="480" w:lineRule="auto"/>
        <w:outlineLvl w:val="9"/>
        <w:rPr>
          <w:rFonts w:hint="default" w:ascii="Arial Regular" w:hAnsi="Arial Regular" w:cs="Arial Regular"/>
          <w:sz w:val="24"/>
          <w:szCs w:val="24"/>
          <w:lang w:val="en-US" w:eastAsia="zh-CN"/>
        </w:rPr>
        <w:sectPr>
          <w:pgSz w:w="11906" w:h="16838"/>
          <w:pgMar w:top="1440" w:right="1800" w:bottom="1440" w:left="1800" w:header="851" w:footer="992" w:gutter="0"/>
          <w:cols w:space="425" w:num="1"/>
          <w:docGrid w:type="lines" w:linePitch="312" w:charSpace="0"/>
        </w:sectPr>
      </w:pPr>
    </w:p>
    <w:p>
      <w:pPr>
        <w:rPr>
          <w:rFonts w:hint="default"/>
          <w:lang w:val="en-US" w:eastAsia="zh-CN"/>
        </w:rPr>
      </w:pPr>
    </w:p>
    <w:p>
      <w:pPr>
        <w:pStyle w:val="2"/>
        <w:bidi w:val="0"/>
        <w:spacing w:line="480" w:lineRule="auto"/>
        <w:rPr>
          <w:rFonts w:hint="default" w:ascii="Arial Regular" w:hAnsi="Arial Regular" w:cs="Arial Regular" w:eastAsiaTheme="minorEastAsia"/>
          <w:sz w:val="24"/>
          <w:szCs w:val="24"/>
        </w:rPr>
      </w:pPr>
      <w:bookmarkStart w:id="1" w:name="_Toc190035286"/>
      <w:r>
        <w:rPr>
          <w:rFonts w:hint="default" w:ascii="Arial Regular" w:hAnsi="Arial Regular" w:cs="Arial Regular" w:eastAsiaTheme="minorEastAsia"/>
          <w:sz w:val="24"/>
          <w:szCs w:val="24"/>
          <w:lang w:val="en-US" w:eastAsia="zh-CN"/>
        </w:rPr>
        <w:t>1.0</w:t>
      </w:r>
      <w:bookmarkStart w:id="2" w:name="_Toc157165357"/>
      <w:r>
        <w:rPr>
          <w:rFonts w:hint="default" w:ascii="Arial Regular" w:hAnsi="Arial Regular" w:cs="Arial Regular" w:eastAsiaTheme="minorEastAsia"/>
          <w:sz w:val="24"/>
          <w:szCs w:val="24"/>
        </w:rPr>
        <w:t>Introduction</w:t>
      </w:r>
      <w:bookmarkEnd w:id="0"/>
      <w:bookmarkEnd w:id="1"/>
      <w:bookmarkEnd w:id="2"/>
    </w:p>
    <w:p>
      <w:p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This thesis analyses and critically evaluates the competitive and growth strategies of Samsung.In today's competitive business environment, strategic decision making is crucial and strategic decision making is vital in the business environment as it guides firms to clearly position themselves, effectively utilise their resources, and capitalise on market opportunities in order to achieve long-term competitive advantage and sustainable growth (Adrian &amp; Bob, 2012).Samsung, as a globally recognised multinational corporation, occupies an important position in the fields of electronic products, semiconductors, and communication technologies. The purpose of this paper is to thoroughly analyse Samsung's strategies in terms of market positioning, competitive advantage, and business diversification through various theoretical and practical case studies, and to explore the effectiveness and challenges of its strategic decisions. Through this study, we aim to provide valuable references for corporate decision makers and academics, as well as provide guidance and suggestions for Samsung's future strategic development.</w:t>
      </w:r>
    </w:p>
    <w:p>
      <w:pPr>
        <w:spacing w:line="480" w:lineRule="auto"/>
        <w:rPr>
          <w:rFonts w:hint="default" w:ascii="Arial Regular" w:hAnsi="Arial Regular" w:cs="Arial Regular" w:eastAsiaTheme="minorEastAsia"/>
          <w:sz w:val="24"/>
          <w:szCs w:val="24"/>
          <w:lang w:val="en-US" w:eastAsia="zh-CN"/>
        </w:rPr>
      </w:pPr>
    </w:p>
    <w:p>
      <w:pPr>
        <w:pStyle w:val="2"/>
        <w:bidi w:val="0"/>
        <w:spacing w:line="480" w:lineRule="auto"/>
        <w:rPr>
          <w:rFonts w:hint="default" w:ascii="Arial Regular" w:hAnsi="Arial Regular" w:cs="Arial Regular" w:eastAsiaTheme="minorEastAsia"/>
          <w:sz w:val="24"/>
          <w:szCs w:val="24"/>
        </w:rPr>
      </w:pPr>
      <w:bookmarkStart w:id="3" w:name="_Toc1817297597"/>
      <w:bookmarkStart w:id="4" w:name="_Toc614868713"/>
      <w:r>
        <w:rPr>
          <w:rFonts w:hint="default" w:ascii="Arial Regular" w:hAnsi="Arial Regular" w:cs="Arial Regular" w:eastAsiaTheme="minorEastAsia"/>
          <w:sz w:val="24"/>
          <w:szCs w:val="24"/>
          <w:lang w:val="en-US" w:eastAsia="zh-CN"/>
        </w:rPr>
        <w:t>2.0</w:t>
      </w:r>
      <w:r>
        <w:rPr>
          <w:rFonts w:hint="default" w:ascii="Arial Regular" w:hAnsi="Arial Regular" w:cs="Arial Regular" w:eastAsiaTheme="minorEastAsia"/>
          <w:sz w:val="24"/>
          <w:szCs w:val="24"/>
        </w:rPr>
        <w:t>Competitive strategy analysis</w:t>
      </w:r>
      <w:bookmarkEnd w:id="3"/>
      <w:bookmarkEnd w:id="4"/>
    </w:p>
    <w:p>
      <w:pPr>
        <w:spacing w:line="480" w:lineRule="auto"/>
        <w:rPr>
          <w:rFonts w:hint="default" w:ascii="Arial Regular" w:hAnsi="Arial Regular" w:cs="Arial Regular" w:eastAsiaTheme="minorEastAsia"/>
          <w:sz w:val="24"/>
          <w:szCs w:val="24"/>
        </w:rPr>
      </w:pPr>
    </w:p>
    <w:p>
      <w:pPr>
        <w:pStyle w:val="3"/>
        <w:bidi w:val="0"/>
        <w:spacing w:line="480" w:lineRule="auto"/>
        <w:rPr>
          <w:rFonts w:hint="default" w:ascii="Arial Regular" w:hAnsi="Arial Regular" w:cs="Arial Regular" w:eastAsiaTheme="minorEastAsia"/>
          <w:sz w:val="20"/>
          <w:szCs w:val="20"/>
        </w:rPr>
      </w:pPr>
      <w:bookmarkStart w:id="5" w:name="_Toc1808285145"/>
      <w:bookmarkStart w:id="6" w:name="_Toc407150027"/>
      <w:r>
        <w:rPr>
          <w:rFonts w:hint="default" w:ascii="Arial Regular" w:hAnsi="Arial Regular" w:cs="Arial Regular" w:eastAsiaTheme="minorEastAsia"/>
          <w:sz w:val="20"/>
          <w:szCs w:val="20"/>
          <w:lang w:val="en-US" w:eastAsia="zh-CN"/>
        </w:rPr>
        <w:t>2.1</w:t>
      </w:r>
      <w:r>
        <w:rPr>
          <w:rFonts w:hint="default" w:ascii="Arial Regular" w:hAnsi="Arial Regular" w:cs="Arial Regular" w:eastAsiaTheme="minorEastAsia"/>
          <w:sz w:val="20"/>
          <w:szCs w:val="20"/>
        </w:rPr>
        <w:t>Samsung's market position and competitors</w:t>
      </w:r>
      <w:bookmarkEnd w:id="5"/>
      <w:bookmarkEnd w:id="6"/>
    </w:p>
    <w:p>
      <w:p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jc w:val="left"/>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Samsung, as a leading global technology company, has positioned itself in the market with a focus on innovation, quality, and diversity. In areas such as smartphones, TVs, home appliances, and semiconductors, Samsung has established its leadership position in the market by continuously introducing cutting-edge technologies and unique designs to meet the growing needs of consumers (Yakovleva, 2022).The extensive coverage of its product line and the consistency of its quality have enabled it to meet the needs of different consumer groups, ranging from the high-end to the mid-market. In addition, Samsung's active promotion of sustainable development and social responsibility, in line with its brand image, further strengthens its position in the global market (John &amp; Sons ,2002).In terms of competitors, Samsung faces competition from a number of sectors, including mobile phone manufacturers such as Apple, Huawei and Xiaomi, as well as electronics manufacturers such as LG and Sony. Each of these competitors has its own strengths in different areas, such as Apple's brand loyalty and influence in the high-end market, Huawei's strong performance in the Chinese market, and Xiaomi's competitive advantage in terms of price/performance ratio. Nonetheless, Samsung has successfully competed with its competitors and maintained its leadership position in the global market by virtue of its continuous innovation, global marketing strategy, and strong R&amp;D capabilities (SIHE, 2004).However, as competition in the industry intensifies and technological advances continue to advance, Samsung will need to continue to maintain its keen market insights and flexible strategic adjustments to maintain its position in the face of stiff competition.</w:t>
      </w:r>
    </w:p>
    <w:p>
      <w:pPr>
        <w:spacing w:line="480" w:lineRule="auto"/>
        <w:rPr>
          <w:rFonts w:hint="default" w:ascii="Arial Regular" w:hAnsi="Arial Regular" w:cs="Arial Regular" w:eastAsiaTheme="minorEastAsia"/>
          <w:sz w:val="24"/>
          <w:szCs w:val="24"/>
          <w:lang w:val="en-US" w:eastAsia="zh-CN"/>
        </w:rPr>
      </w:pPr>
    </w:p>
    <w:p>
      <w:pPr>
        <w:pStyle w:val="3"/>
        <w:bidi w:val="0"/>
        <w:spacing w:line="480" w:lineRule="auto"/>
        <w:rPr>
          <w:rFonts w:hint="default" w:ascii="Arial Regular" w:hAnsi="Arial Regular" w:cs="Arial Regular" w:eastAsiaTheme="minorEastAsia"/>
          <w:sz w:val="20"/>
          <w:szCs w:val="20"/>
          <w:lang w:val="en-US" w:eastAsia="zh-CN"/>
        </w:rPr>
      </w:pPr>
      <w:bookmarkStart w:id="7" w:name="_Toc659859671"/>
      <w:bookmarkStart w:id="8" w:name="_Toc1087604447"/>
      <w:r>
        <w:rPr>
          <w:rFonts w:hint="default" w:ascii="Arial Regular" w:hAnsi="Arial Regular" w:cs="Arial Regular" w:eastAsiaTheme="minorEastAsia"/>
          <w:sz w:val="20"/>
          <w:szCs w:val="20"/>
          <w:lang w:val="en-US" w:eastAsia="zh-CN"/>
        </w:rPr>
        <w:t>2.2Analysis of Samsung's Competitive Advantage</w:t>
      </w:r>
      <w:bookmarkEnd w:id="7"/>
      <w:bookmarkEnd w:id="8"/>
    </w:p>
    <w:p>
      <w:p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jc w:val="left"/>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The Samsung Group has made remarkable achievements in the field of electronic products with its superior competitive advantages. The primary advantage is reflected in its continuous technological innovation and strong R&amp;D capabilities. Innovation is vital for businesses as it is a key driver for maintaining competitive advantage, developing markets, improving efficiency and driving sustainable growth (Sanjay ,2023).Through forward-looking research in the fields of semiconductors, display technology and communications, Samsung has not only achieved a leading position in key technologies, but has also been able to respond quickly to changes in the marketplace and deliver compelling, high-performance products. Secondly, globalised production and supply chain management is another competitive advantage that Samsung is proud of. Enterprise-scale production helps to reduce costs, and economies of scale can be achieved through mass production, reducing the production cost per unit of product (Yu,2015).A globally dispersed manufacturing base gives Samsung the flexibility to quickly scale production to meet local market demands while effectively controlling costs. This globalisation strategy has made the company more adaptable and capable of responding to complex and changing market conditions.</w:t>
      </w:r>
    </w:p>
    <w:p>
      <w:pPr>
        <w:keepNext w:val="0"/>
        <w:keepLines w:val="0"/>
        <w:widowControl/>
        <w:suppressLineNumbers w:val="0"/>
        <w:spacing w:line="480" w:lineRule="auto"/>
        <w:jc w:val="left"/>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jc w:val="left"/>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Samsung's product diversification strategy is also a key component of its competitive advantage. Product diversification strategy can help firms reduce market risks, expand customer base, increase revenue sources, and improve competitiveness (Wang &amp; Yiu, 2019). Product diversification helps companies to reduce risk, meet different customer needs, expand market share, and enhance competitive advantage. Covering a wide range of areas such as smartphones, TVs, home appliances, and semiconductors, this diversification not only reduces dependence on specific products or markets, but also consolidates its market share in different areas. Continuous product innovation and design excellence have earned Samsung a broad user base and made its products more competitive in the market.</w:t>
      </w:r>
    </w:p>
    <w:p>
      <w:pPr>
        <w:keepNext w:val="0"/>
        <w:keepLines w:val="0"/>
        <w:widowControl/>
        <w:suppressLineNumbers w:val="0"/>
        <w:spacing w:line="480" w:lineRule="auto"/>
        <w:jc w:val="left"/>
        <w:rPr>
          <w:rFonts w:hint="default" w:ascii="Arial Regular" w:hAnsi="Arial Regular" w:cs="Arial Regular" w:eastAsiaTheme="minorEastAsia"/>
          <w:sz w:val="24"/>
          <w:szCs w:val="24"/>
          <w:lang w:val="en-US" w:eastAsia="zh-CN"/>
        </w:rPr>
      </w:pPr>
    </w:p>
    <w:p>
      <w:p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Finally, Samsung's global brand awareness provides trust and recognition in the marketplace. Through long-term brand building and marketing, Samsung has become a reliable brand in the minds of consumers. This brand influence provides strong support for the marketing and sales of the company's products and helps to maintain a leading position (Foroudi, 2019).</w:t>
      </w:r>
    </w:p>
    <w:p>
      <w:pPr>
        <w:spacing w:line="480" w:lineRule="auto"/>
        <w:rPr>
          <w:rFonts w:hint="default" w:ascii="Arial Regular" w:hAnsi="Arial Regular" w:cs="Arial Regular" w:eastAsiaTheme="minorEastAsia"/>
          <w:sz w:val="24"/>
          <w:szCs w:val="24"/>
          <w:lang w:val="en-US" w:eastAsia="zh-CN"/>
        </w:rPr>
      </w:pPr>
    </w:p>
    <w:p>
      <w:p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Overall, Samsung's competitive advantages stem from the synergy of technological innovation, globalisation strategy, product diversification and brand awareness. These strengths have not only enabled the company to stand out in a highly competitive market, but have also laid a solid foundation for continued growth in the future.</w:t>
      </w:r>
    </w:p>
    <w:p>
      <w:pPr>
        <w:spacing w:line="480" w:lineRule="auto"/>
        <w:rPr>
          <w:rFonts w:hint="default" w:ascii="Arial Regular" w:hAnsi="Arial Regular" w:cs="Arial Regular" w:eastAsiaTheme="minorEastAsia"/>
          <w:sz w:val="24"/>
          <w:szCs w:val="24"/>
          <w:lang w:val="en-US" w:eastAsia="zh-CN"/>
        </w:rPr>
      </w:pPr>
    </w:p>
    <w:p>
      <w:pPr>
        <w:spacing w:line="480" w:lineRule="auto"/>
        <w:rPr>
          <w:rFonts w:hint="default" w:ascii="Arial Regular" w:hAnsi="Arial Regular" w:cs="Arial Regular" w:eastAsiaTheme="minorEastAsia"/>
          <w:sz w:val="24"/>
          <w:szCs w:val="24"/>
          <w:lang w:val="en-US" w:eastAsia="zh-CN"/>
        </w:rPr>
      </w:pPr>
    </w:p>
    <w:p>
      <w:pPr>
        <w:spacing w:line="480" w:lineRule="auto"/>
        <w:rPr>
          <w:rFonts w:hint="default" w:ascii="Arial Regular" w:hAnsi="Arial Regular" w:cs="Arial Regular" w:eastAsiaTheme="minorEastAsia"/>
          <w:sz w:val="24"/>
          <w:szCs w:val="24"/>
          <w:lang w:val="en-US" w:eastAsia="zh-CN"/>
        </w:rPr>
      </w:pPr>
    </w:p>
    <w:p>
      <w:pPr>
        <w:spacing w:line="480" w:lineRule="auto"/>
        <w:rPr>
          <w:rFonts w:hint="default" w:ascii="Arial Regular" w:hAnsi="Arial Regular" w:cs="Arial Regular" w:eastAsiaTheme="minorEastAsia"/>
          <w:sz w:val="24"/>
          <w:szCs w:val="24"/>
          <w:lang w:val="en-US" w:eastAsia="zh-CN"/>
        </w:rPr>
      </w:pPr>
    </w:p>
    <w:p>
      <w:pPr>
        <w:pStyle w:val="3"/>
        <w:bidi w:val="0"/>
        <w:spacing w:line="480" w:lineRule="auto"/>
        <w:rPr>
          <w:rFonts w:hint="default" w:ascii="Arial Regular" w:hAnsi="Arial Regular" w:cs="Arial Regular" w:eastAsiaTheme="minorEastAsia"/>
          <w:sz w:val="20"/>
          <w:szCs w:val="20"/>
          <w:lang w:val="en-US" w:eastAsia="zh-CN"/>
        </w:rPr>
      </w:pPr>
      <w:bookmarkStart w:id="9" w:name="_Toc655937389"/>
      <w:bookmarkStart w:id="10" w:name="_Toc2134621112"/>
      <w:r>
        <w:rPr>
          <w:rFonts w:hint="default" w:ascii="Arial Regular" w:hAnsi="Arial Regular" w:cs="Arial Regular" w:eastAsiaTheme="minorEastAsia"/>
          <w:sz w:val="20"/>
          <w:szCs w:val="20"/>
          <w:lang w:val="en-US" w:eastAsia="zh-CN"/>
        </w:rPr>
        <w:t>2.3Strategic planning and management at Samsung</w:t>
      </w:r>
      <w:bookmarkEnd w:id="9"/>
      <w:bookmarkEnd w:id="10"/>
    </w:p>
    <w:p>
      <w:p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Samsung's strategic planning and strategic management are centred on technological innovation, diversification, globalisation and brand building. Its strategic planning focuses on continuous investment in research and development and forward-looking technological research to ensure its leading position in the highly competitive market, as well as diversification strategies across multiple fields to reduce business risks and achieve comprehensive development. At the same time, through the establishment of global production bases, sales networks and research and development centres, Samsung is able to better meet global market demand, avoid single-market risks, and continuously strengthen its brand image and recognition in the minds of consumers through brand building and marketing activities. In terms of strategic management, Samsung has demonstrated excellent execution and strategic vision, and through the organic combination of Porter's generic strategy, diversified innovation strategy and globalised marketing strategy, it has realised the unity of its technological leadership, diversified development and globalised market layout, laying a solid foundation for its sustained success in the highly competitive electronics market.</w:t>
      </w:r>
    </w:p>
    <w:p>
      <w:pPr>
        <w:spacing w:line="480" w:lineRule="auto"/>
        <w:rPr>
          <w:rFonts w:hint="default" w:ascii="Arial Regular" w:hAnsi="Arial Regular" w:cs="Arial Regular" w:eastAsiaTheme="minorEastAsia"/>
          <w:sz w:val="24"/>
          <w:szCs w:val="24"/>
          <w:lang w:val="en-US" w:eastAsia="zh-CN"/>
        </w:rPr>
      </w:pPr>
    </w:p>
    <w:p>
      <w:pPr>
        <w:pStyle w:val="2"/>
        <w:bidi w:val="0"/>
        <w:spacing w:line="480" w:lineRule="auto"/>
        <w:rPr>
          <w:rFonts w:hint="default" w:ascii="Arial Regular" w:hAnsi="Arial Regular" w:cs="Arial Regular" w:eastAsiaTheme="minorEastAsia"/>
          <w:sz w:val="24"/>
          <w:szCs w:val="24"/>
          <w:lang w:val="en-US" w:eastAsia="zh-CN"/>
        </w:rPr>
      </w:pPr>
      <w:bookmarkStart w:id="11" w:name="_Toc1306136872"/>
      <w:bookmarkStart w:id="12" w:name="_Toc715222602"/>
      <w:r>
        <w:rPr>
          <w:rFonts w:hint="default" w:ascii="Arial Regular" w:hAnsi="Arial Regular" w:cs="Arial Regular" w:eastAsiaTheme="minorEastAsia"/>
          <w:sz w:val="24"/>
          <w:szCs w:val="24"/>
          <w:lang w:val="en-US" w:eastAsia="zh-CN"/>
        </w:rPr>
        <w:t>3.0Competitive strategies adopted by Samsung</w:t>
      </w:r>
      <w:bookmarkEnd w:id="11"/>
      <w:bookmarkEnd w:id="12"/>
    </w:p>
    <w:p>
      <w:pPr>
        <w:spacing w:line="480" w:lineRule="auto"/>
        <w:rPr>
          <w:rFonts w:hint="default" w:ascii="Arial Regular" w:hAnsi="Arial Regular" w:cs="Arial Regular" w:eastAsiaTheme="minorEastAsia"/>
          <w:sz w:val="24"/>
          <w:szCs w:val="24"/>
          <w:lang w:val="en-US" w:eastAsia="zh-CN"/>
        </w:rPr>
      </w:pPr>
    </w:p>
    <w:p>
      <w:pPr>
        <w:pStyle w:val="3"/>
        <w:bidi w:val="0"/>
        <w:spacing w:line="480" w:lineRule="auto"/>
        <w:outlineLvl w:val="0"/>
        <w:rPr>
          <w:rFonts w:hint="default" w:ascii="Arial Regular" w:hAnsi="Arial Regular" w:cs="Arial Regular" w:eastAsiaTheme="minorEastAsia"/>
          <w:sz w:val="20"/>
          <w:szCs w:val="20"/>
          <w:lang w:val="en-US" w:eastAsia="zh-CN"/>
        </w:rPr>
      </w:pPr>
      <w:bookmarkStart w:id="13" w:name="_Toc664568070"/>
      <w:bookmarkStart w:id="14" w:name="_Toc1280299555"/>
      <w:r>
        <w:rPr>
          <w:rFonts w:hint="default" w:ascii="Arial Regular" w:hAnsi="Arial Regular" w:cs="Arial Regular" w:eastAsiaTheme="minorEastAsia"/>
          <w:sz w:val="20"/>
          <w:szCs w:val="20"/>
          <w:lang w:val="en-US" w:eastAsia="zh-CN"/>
        </w:rPr>
        <w:t>3.1Porter's generic strategy</w:t>
      </w:r>
      <w:bookmarkEnd w:id="13"/>
      <w:bookmarkEnd w:id="14"/>
    </w:p>
    <w:p>
      <w:pPr>
        <w:spacing w:line="480" w:lineRule="auto"/>
        <w:rPr>
          <w:rFonts w:hint="default" w:ascii="Arial Regular" w:hAnsi="Arial Regular" w:cs="Arial Regular" w:eastAsiaTheme="minorEastAsia"/>
          <w:sz w:val="24"/>
          <w:szCs w:val="24"/>
          <w:lang w:val="en-US" w:eastAsia="zh-CN"/>
        </w:rPr>
      </w:pPr>
    </w:p>
    <w:p>
      <w:pPr>
        <w:numPr>
          <w:ilvl w:val="0"/>
          <w:numId w:val="0"/>
        </w:num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Porter's generic strategy refers to firms achieving competitive advantage through cost leadership, differentiation or focus strategies. (Islami, Mustafa&amp; Topuzovska, 2020). In analysing Porter's generic strategy for Samsung, it can be observed that it has adopted multiple strategies to stay ahead in the competitive market. Firstly, Samsung has achieved productivity improvements and utilised economies of scale globally through its cost leadership strategy, which has enabled it to offer competitive products and services. Its continuous investment in production, supply chain management and technological innovation has enabled it to maintain its leadership position in the industry.</w:t>
      </w:r>
    </w:p>
    <w:p>
      <w:pPr>
        <w:numPr>
          <w:ilvl w:val="0"/>
          <w:numId w:val="0"/>
        </w:num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In addition, Samsung has also adopted a differentiation strategy, which helps the company to differentiate its products or services in the market and to attract customers and provide higher value, thus achieving competitive advantage (Tecia ,2011). Samsung provides consumers with distinctive product experiences through continuous product innovation, unique design and high quality services. From flagship smartphones to home appliances, Samsung is committed to building its brand image in the market and winning over consumers by providing high value-added products and services. Finally, Samsung has also adopted a focus strategy on specific market segments and specific product lines. The focus strategy allows the company to concentrate its resources and capabilities on specific market segments or product areas to meet the needs of specific customer groups in order to achieve competitive advantage (Lee, Hoehn &amp; Karim, 2021). For example, in the smartphone market, Samsung has launched several series of products for different consumer segments and has achieved precise positioning and market share by gaining a deeper understanding of the needs and trends of the target market.</w:t>
      </w:r>
    </w:p>
    <w:p>
      <w:pPr>
        <w:numPr>
          <w:ilvl w:val="0"/>
          <w:numId w:val="0"/>
        </w:numPr>
        <w:spacing w:line="480" w:lineRule="auto"/>
        <w:rPr>
          <w:rFonts w:hint="default" w:ascii="Arial Regular" w:hAnsi="Arial Regular" w:cs="Arial Regular" w:eastAsiaTheme="minorEastAsia"/>
          <w:sz w:val="24"/>
          <w:szCs w:val="24"/>
          <w:lang w:val="en-US" w:eastAsia="zh-CN"/>
        </w:rPr>
      </w:pPr>
    </w:p>
    <w:p>
      <w:p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Samsung has maintained its presence in the global electronics market by adopting a variety of strategies in competition and by continuously adapting and optimising its strategic portfolio to the changes and challenges in the market.</w:t>
      </w:r>
    </w:p>
    <w:p>
      <w:pPr>
        <w:spacing w:line="480" w:lineRule="auto"/>
        <w:rPr>
          <w:rFonts w:hint="default" w:ascii="Arial Regular" w:hAnsi="Arial Regular" w:cs="Arial Regular" w:eastAsiaTheme="minorEastAsia"/>
          <w:sz w:val="24"/>
          <w:szCs w:val="24"/>
          <w:lang w:val="en-US" w:eastAsia="zh-CN"/>
        </w:rPr>
      </w:pPr>
    </w:p>
    <w:p>
      <w:p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Porter's generic strategy adopted by Samsung has been successful over the past few years. They have been able to remain competitive in the global market through their cost leadership strategy while winning over consumers through their differentiation strategy in terms of product design and brand image. The focus strategy has allowed them to meet specific market needs with greater precision.</w:t>
      </w:r>
    </w:p>
    <w:p>
      <w:pPr>
        <w:spacing w:line="480" w:lineRule="auto"/>
        <w:rPr>
          <w:rFonts w:hint="default" w:ascii="Arial Regular" w:hAnsi="Arial Regular" w:cs="Arial Regular" w:eastAsiaTheme="minorEastAsia"/>
          <w:sz w:val="24"/>
          <w:szCs w:val="24"/>
          <w:lang w:val="en-US" w:eastAsia="zh-CN"/>
        </w:rPr>
      </w:pPr>
    </w:p>
    <w:p>
      <w:pPr>
        <w:spacing w:line="480" w:lineRule="auto"/>
        <w:rPr>
          <w:rFonts w:hint="default" w:ascii="Arial Regular" w:hAnsi="Arial Regular" w:cs="Arial Regular" w:eastAsiaTheme="minorEastAsia"/>
          <w:sz w:val="24"/>
          <w:szCs w:val="24"/>
          <w:lang w:val="en-US" w:eastAsia="zh-CN"/>
        </w:rPr>
      </w:pPr>
    </w:p>
    <w:p>
      <w:pPr>
        <w:pStyle w:val="3"/>
        <w:bidi w:val="0"/>
        <w:spacing w:line="480" w:lineRule="auto"/>
        <w:outlineLvl w:val="0"/>
        <w:rPr>
          <w:rFonts w:hint="default" w:ascii="Arial Regular" w:hAnsi="Arial Regular" w:cs="Arial Regular" w:eastAsiaTheme="minorEastAsia"/>
          <w:sz w:val="20"/>
          <w:szCs w:val="20"/>
          <w:lang w:val="en-US" w:eastAsia="zh-CN"/>
        </w:rPr>
      </w:pPr>
      <w:bookmarkStart w:id="15" w:name="_Toc333104443"/>
      <w:bookmarkStart w:id="16" w:name="_Toc208477945"/>
      <w:r>
        <w:rPr>
          <w:rFonts w:hint="default" w:ascii="Arial Regular" w:hAnsi="Arial Regular" w:cs="Arial Regular" w:eastAsiaTheme="minorEastAsia"/>
          <w:sz w:val="20"/>
          <w:szCs w:val="20"/>
          <w:lang w:val="en-US" w:eastAsia="zh-CN"/>
        </w:rPr>
        <w:t>3.2Diversified Innovation Strategy</w:t>
      </w:r>
      <w:bookmarkEnd w:id="15"/>
      <w:bookmarkEnd w:id="16"/>
    </w:p>
    <w:p>
      <w:pPr>
        <w:spacing w:line="480" w:lineRule="auto"/>
        <w:rPr>
          <w:rFonts w:hint="default" w:ascii="Arial Regular" w:hAnsi="Arial Regular" w:cs="Arial Regular" w:eastAsiaTheme="minorEastAsia"/>
          <w:sz w:val="24"/>
          <w:szCs w:val="24"/>
          <w:lang w:val="en-US" w:eastAsia="zh-CN"/>
        </w:rPr>
      </w:pPr>
    </w:p>
    <w:p>
      <w:pPr>
        <w:numPr>
          <w:numId w:val="0"/>
        </w:num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Samsung has adopted a diversified innovation strategy in order to maintain competitive advantage in different areas and to expand its product portfolio to achieve wider market coverage and growth. This strategy is centred on the continuous introduction of new products and services across multiple segments and continuous investment in R&amp;D to maintain technological leadership (Hitt, Hoskisson&amp; Kim, 1997). For example, Samsung has implemented a diversified innovation strategy in the smartphone sector by introducing a range of products with innovative features and designs. For example, they introduced foldable screen mobile phones, a new type of mobile phone that offers more screen space, enhances user experience and attracts a large number of consumers. In addition, Samsung has been innovating in camera technology, processor performance, and battery life to push the smartphone industry forward. In the TV sector, Samsung has also been innovating, introducing products with high resolution, smart features and customised experiences. They have been introducing new technologies such as QLED display technology and 8K resolution to meet consumer demand for high-quality visual experiences. In addition to consumer electronics, Samsung is also implementing a diversified innovation strategy in semiconductors, home appliances, and the Internet of Things. They have invested significant resources in research and development of new chips, smart home products, etc. to expand their business scope and meet the needs of different markets.</w:t>
      </w:r>
    </w:p>
    <w:p>
      <w:pPr>
        <w:numPr>
          <w:numId w:val="0"/>
        </w:numPr>
        <w:spacing w:line="480" w:lineRule="auto"/>
        <w:rPr>
          <w:rFonts w:hint="default" w:ascii="Arial Regular" w:hAnsi="Arial Regular" w:cs="Arial Regular" w:eastAsiaTheme="minorEastAsia"/>
          <w:sz w:val="24"/>
          <w:szCs w:val="24"/>
          <w:lang w:val="en-US" w:eastAsia="zh-CN"/>
        </w:rPr>
      </w:pPr>
    </w:p>
    <w:p>
      <w:pPr>
        <w:numPr>
          <w:numId w:val="0"/>
        </w:num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When evaluating this strategy, it can be seen that Samsung has been successful in a number of areas and has maintained a competitive edge in the global market. Through continuous innovation and diversification, Samsung has expanded its market share, increased its brand presence, and maintained its technological leadership.</w:t>
      </w:r>
    </w:p>
    <w:p>
      <w:pPr>
        <w:numPr>
          <w:numId w:val="0"/>
        </w:numPr>
        <w:spacing w:line="480" w:lineRule="auto"/>
        <w:rPr>
          <w:rFonts w:hint="default" w:ascii="Arial Regular" w:hAnsi="Arial Regular" w:cs="Arial Regular" w:eastAsiaTheme="minorEastAsia"/>
          <w:sz w:val="24"/>
          <w:szCs w:val="24"/>
          <w:lang w:val="en-US" w:eastAsia="zh-CN"/>
        </w:rPr>
      </w:pPr>
    </w:p>
    <w:p>
      <w:pPr>
        <w:pStyle w:val="3"/>
        <w:bidi w:val="0"/>
        <w:spacing w:line="480" w:lineRule="auto"/>
        <w:outlineLvl w:val="0"/>
        <w:rPr>
          <w:rFonts w:hint="default" w:ascii="Arial Regular" w:hAnsi="Arial Regular" w:cs="Arial Regular" w:eastAsiaTheme="minorEastAsia"/>
          <w:sz w:val="20"/>
          <w:szCs w:val="20"/>
          <w:lang w:val="en-US" w:eastAsia="zh-CN"/>
        </w:rPr>
      </w:pPr>
      <w:bookmarkStart w:id="17" w:name="_Toc2143989419"/>
      <w:bookmarkStart w:id="18" w:name="_Toc1342993358"/>
      <w:r>
        <w:rPr>
          <w:rFonts w:hint="default" w:ascii="Arial Regular" w:hAnsi="Arial Regular" w:cs="Arial Regular" w:eastAsiaTheme="minorEastAsia"/>
          <w:sz w:val="20"/>
          <w:szCs w:val="20"/>
          <w:lang w:val="en-US" w:eastAsia="zh-CN"/>
        </w:rPr>
        <w:t>3.3Globalised marketing strategy</w:t>
      </w:r>
      <w:bookmarkEnd w:id="17"/>
      <w:bookmarkEnd w:id="18"/>
    </w:p>
    <w:p>
      <w:pPr>
        <w:numPr>
          <w:numId w:val="0"/>
        </w:num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jc w:val="left"/>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The global marketingisation strategy enables a company to coordinate and integrate marketing activities globally to meet the needs of different markets and increase brand awareness and market share (Susan P. Douglas, 1995). Samsung has adopted a globalisation marketing strategy to develop its competitive position, mainly focusing on building a strong brand image worldwide and promoting its products and services to various markets.Below are the actions they have taken to realise this strategy and an assessment of this strategy:</w:t>
      </w:r>
    </w:p>
    <w:p>
      <w:pPr>
        <w:keepNext w:val="0"/>
        <w:keepLines w:val="0"/>
        <w:widowControl/>
        <w:suppressLineNumbers w:val="0"/>
        <w:spacing w:line="480" w:lineRule="auto"/>
        <w:jc w:val="left"/>
        <w:rPr>
          <w:rFonts w:hint="default" w:ascii="Arial Regular" w:hAnsi="Arial Regular" w:cs="Arial Regular" w:eastAsiaTheme="minorEastAsia"/>
          <w:sz w:val="24"/>
          <w:szCs w:val="24"/>
          <w:lang w:val="en-US" w:eastAsia="zh-CN"/>
        </w:rPr>
      </w:pPr>
    </w:p>
    <w:p>
      <w:pPr>
        <w:numPr>
          <w:numId w:val="0"/>
        </w:num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GLOBAL BRAND POSITIONING: Brand image is critical to a company and it directly affects consumer awareness, trust and loyalty to a product or service, which in turn determines market position and business success (Kim, Chun &amp; Ko, 2017). Samsung is committed to a unified brand image globally that emphasises innovation, high quality and reliability. They do this through consistent advertising campaigns, logos, and product designs.</w:t>
      </w:r>
    </w:p>
    <w:p>
      <w:pPr>
        <w:numPr>
          <w:numId w:val="0"/>
        </w:num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jc w:val="left"/>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Regional market customisation: Although Samsung promotes a unified brand image globally, they also focus on market customisation in different regions. Through market customisation, firms can better meet the needs of different consumer groups, increase the degree of product or service personalisation, and enhance competitiveness and market share (Weinstein, 2004). For example, they will adjust their product positioning and marketing strategies according to the culture, consumption habits and competitive environment of different regions.</w:t>
      </w:r>
    </w:p>
    <w:p>
      <w:pPr>
        <w:keepNext w:val="0"/>
        <w:keepLines w:val="0"/>
        <w:widowControl/>
        <w:suppressLineNumbers w:val="0"/>
        <w:spacing w:line="480" w:lineRule="auto"/>
        <w:jc w:val="left"/>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jc w:val="left"/>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Cross-platform marketing: Samsung widely promotes their products and brand by utilising various marketing channels and platforms such as TV advertisements, social media, and offline retail shops. This cross-platform marketing strategy helps to expand their brand reach and market coverage (Soniel, 2018).</w:t>
      </w:r>
    </w:p>
    <w:p>
      <w:pPr>
        <w:numPr>
          <w:numId w:val="0"/>
        </w:numPr>
        <w:spacing w:line="480" w:lineRule="auto"/>
        <w:rPr>
          <w:rFonts w:hint="default" w:ascii="Arial Regular" w:hAnsi="Arial Regular" w:cs="Arial Regular" w:eastAsiaTheme="minorEastAsia"/>
          <w:sz w:val="24"/>
          <w:szCs w:val="24"/>
          <w:lang w:val="en-US" w:eastAsia="zh-CN"/>
        </w:rPr>
      </w:pPr>
    </w:p>
    <w:p>
      <w:pPr>
        <w:numPr>
          <w:numId w:val="0"/>
        </w:num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The globalisation marketing strategy has been successful for Samsung. They have successfully promoted their products and services to various markets around the world and gained consumer recognition and trust by establishing a unified brand image and customised marketing strategies in each regional market. Cross-platform marketing and sponsorships have also helped to increase brand exposure and influence.</w:t>
      </w:r>
    </w:p>
    <w:p>
      <w:pPr>
        <w:numPr>
          <w:numId w:val="0"/>
        </w:numPr>
        <w:spacing w:line="480" w:lineRule="auto"/>
        <w:rPr>
          <w:rFonts w:hint="default" w:ascii="Arial Regular" w:hAnsi="Arial Regular" w:cs="Arial Regular" w:eastAsiaTheme="minorEastAsia"/>
          <w:sz w:val="24"/>
          <w:szCs w:val="24"/>
          <w:lang w:val="en-US" w:eastAsia="zh-CN"/>
        </w:rPr>
      </w:pPr>
    </w:p>
    <w:p>
      <w:pPr>
        <w:pStyle w:val="2"/>
        <w:bidi w:val="0"/>
        <w:spacing w:line="480" w:lineRule="auto"/>
        <w:rPr>
          <w:rFonts w:hint="default" w:ascii="Arial Regular" w:hAnsi="Arial Regular" w:cs="Arial Regular" w:eastAsiaTheme="minorEastAsia"/>
          <w:sz w:val="24"/>
          <w:szCs w:val="24"/>
          <w:lang w:val="en-US" w:eastAsia="zh-CN"/>
        </w:rPr>
      </w:pPr>
      <w:bookmarkStart w:id="19" w:name="_Toc1402052120"/>
      <w:bookmarkStart w:id="20" w:name="_Toc1636237936"/>
      <w:r>
        <w:rPr>
          <w:rFonts w:hint="default" w:ascii="Arial Regular" w:hAnsi="Arial Regular" w:cs="Arial Regular" w:eastAsiaTheme="minorEastAsia"/>
          <w:sz w:val="24"/>
          <w:szCs w:val="24"/>
          <w:lang w:val="en-US" w:eastAsia="zh-CN"/>
        </w:rPr>
        <w:t>4.0Critical assessment of Samsung</w:t>
      </w:r>
      <w:bookmarkEnd w:id="19"/>
      <w:bookmarkEnd w:id="20"/>
    </w:p>
    <w:p>
      <w:pPr>
        <w:numPr>
          <w:numId w:val="0"/>
        </w:numPr>
        <w:spacing w:line="480" w:lineRule="auto"/>
        <w:rPr>
          <w:rFonts w:hint="default" w:ascii="Arial Regular" w:hAnsi="Arial Regular" w:cs="Arial Regular" w:eastAsiaTheme="minorEastAsia"/>
          <w:sz w:val="24"/>
          <w:szCs w:val="24"/>
          <w:lang w:val="en-US" w:eastAsia="zh-CN"/>
        </w:rPr>
      </w:pPr>
    </w:p>
    <w:p>
      <w:pPr>
        <w:pStyle w:val="3"/>
        <w:bidi w:val="0"/>
        <w:spacing w:line="480" w:lineRule="auto"/>
        <w:rPr>
          <w:rFonts w:hint="default" w:ascii="Arial Regular" w:hAnsi="Arial Regular" w:cs="Arial Regular" w:eastAsiaTheme="minorEastAsia"/>
          <w:sz w:val="20"/>
          <w:szCs w:val="20"/>
          <w:lang w:val="en-US" w:eastAsia="zh-CN"/>
        </w:rPr>
      </w:pPr>
      <w:bookmarkStart w:id="21" w:name="_Toc2099405956"/>
      <w:bookmarkStart w:id="22" w:name="_Toc1722890517"/>
      <w:r>
        <w:rPr>
          <w:rFonts w:hint="default" w:ascii="Arial Regular" w:hAnsi="Arial Regular" w:cs="Arial Regular" w:eastAsiaTheme="minorEastAsia"/>
          <w:sz w:val="20"/>
          <w:szCs w:val="20"/>
          <w:lang w:val="en-US" w:eastAsia="zh-CN"/>
        </w:rPr>
        <w:t>4.1Critically evaluate the strategy adopted by Samsung</w:t>
      </w:r>
      <w:bookmarkEnd w:id="21"/>
      <w:bookmarkEnd w:id="22"/>
    </w:p>
    <w:p>
      <w:pPr>
        <w:numPr>
          <w:numId w:val="0"/>
        </w:numPr>
        <w:spacing w:line="480" w:lineRule="auto"/>
        <w:rPr>
          <w:rFonts w:hint="default" w:ascii="Arial Regular" w:hAnsi="Arial Regular" w:cs="Arial Regular" w:eastAsiaTheme="minorEastAsia"/>
          <w:sz w:val="24"/>
          <w:szCs w:val="24"/>
          <w:lang w:val="en-US" w:eastAsia="zh-CN"/>
        </w:rPr>
      </w:pPr>
    </w:p>
    <w:p>
      <w:pPr>
        <w:numPr>
          <w:ilvl w:val="0"/>
          <w:numId w:val="0"/>
        </w:num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The Samsung Group has used a globalised marketing strategy, a diversified innovation strategy and a Porter's generic strategy in developing its competitive position. These strategies have certain advantages in the current environment, but they also have some limitations.</w:t>
      </w:r>
    </w:p>
    <w:p>
      <w:pPr>
        <w:numPr>
          <w:ilvl w:val="0"/>
          <w:numId w:val="0"/>
        </w:num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Firstly, Samsung's global marketing strategy is one of the keys to maintaining its dominance in the industry. By establishing strong sales channels and brand image worldwide, Samsung is able to promote its products to different markets and adapt to the needs of local consumers. This strategy has enabled Samsung to expand its market share globally, increase brand awareness, and strengthen its bond with consumers. However, in the current environment, the global market is becoming increasingly competitive, and the market demand and competitive landscape in different regions are constantly changing. As a result, Samsung needs to continuously adjust its globalised marketing strategy to adapt to changes in different markets and maintain its competitive advantage.</w:t>
      </w:r>
    </w:p>
    <w:p>
      <w:pPr>
        <w:numPr>
          <w:numId w:val="0"/>
        </w:num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Secondly, Samsung's diversified innovation strategy has enabled it to maintain its competitive advantage in multiple areas. By pursuing product innovation and R&amp;D in a variety of areas, including smartphones, TVs, home appliances, and semiconductors, Samsung has not only been able to satisfy diversified consumer needs, but also to reduce its dependence on a single product or market and reduce economic risk. However, diversification also brings challenges of management complexity and resource allocation. Product development and marketing in different fields require substantial investment in resources and manpower, which may lead to excessive resource fragmentation and difficulties in strategy execution (Henry ,2022).</w:t>
      </w:r>
    </w:p>
    <w:p>
      <w:pPr>
        <w:numPr>
          <w:numId w:val="0"/>
        </w:num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Finally, Samsung adopted Porter's generic strategy of gaining competitive advantage through cost leadership, differentiation and focus strategy. Through cost leadership, Samsung is able to offer competitively priced products in a highly competitive market; through differentiation, Samsung is able to differentiate itself from its competitors in terms of product design, quality and service; and through the focus strategy, Samsung is able to concentrate its resources and efforts on specific areas or products to improve specialisation. However, with the changes in the market and the development of technology, Porter's generic strategy also needs to be constantly adjusted and improved. At the same time, Samsung faces challenges from low-cost competitors in some emerging markets, and its cost leadership may be threatened.</w:t>
      </w:r>
    </w:p>
    <w:p>
      <w:pPr>
        <w:numPr>
          <w:numId w:val="0"/>
        </w:numPr>
        <w:spacing w:line="480" w:lineRule="auto"/>
        <w:rPr>
          <w:rFonts w:hint="default" w:ascii="Arial Regular" w:hAnsi="Arial Regular" w:cs="Arial Regular" w:eastAsiaTheme="minorEastAsia"/>
          <w:sz w:val="24"/>
          <w:szCs w:val="24"/>
          <w:lang w:val="en-US" w:eastAsia="zh-CN"/>
        </w:rPr>
      </w:pPr>
    </w:p>
    <w:p>
      <w:pPr>
        <w:numPr>
          <w:numId w:val="0"/>
        </w:num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In summary, the globalised marketing strategy, diversified innovation strategy and Porter's generic strategy used by the Samsung Group in developing its competitive position have certain advantages and limitations. In the current environment, Samsung needs to continuously optimise and adjust these strategies to adapt to market changes and maintain its competitive advantage. It also needs to seek new growth opportunities globally and continue to drive innovation and development.</w:t>
      </w:r>
    </w:p>
    <w:p>
      <w:pPr>
        <w:numPr>
          <w:numId w:val="0"/>
        </w:numPr>
        <w:spacing w:line="480" w:lineRule="auto"/>
        <w:rPr>
          <w:rFonts w:hint="default" w:ascii="Arial Regular" w:hAnsi="Arial Regular" w:cs="Arial Regular" w:eastAsiaTheme="minorEastAsia"/>
          <w:sz w:val="24"/>
          <w:szCs w:val="24"/>
          <w:lang w:val="en-US" w:eastAsia="zh-CN"/>
        </w:rPr>
      </w:pPr>
    </w:p>
    <w:p>
      <w:pPr>
        <w:pStyle w:val="3"/>
        <w:bidi w:val="0"/>
        <w:spacing w:line="480" w:lineRule="auto"/>
        <w:rPr>
          <w:rFonts w:hint="default" w:ascii="Arial Regular" w:hAnsi="Arial Regular" w:cs="Arial Regular" w:eastAsiaTheme="minorEastAsia"/>
          <w:sz w:val="20"/>
          <w:szCs w:val="20"/>
        </w:rPr>
      </w:pPr>
      <w:bookmarkStart w:id="23" w:name="_Toc1559582282"/>
      <w:bookmarkStart w:id="24" w:name="_Toc2098906718"/>
      <w:r>
        <w:rPr>
          <w:rFonts w:hint="default" w:ascii="Arial Regular" w:hAnsi="Arial Regular" w:cs="Arial Regular" w:eastAsiaTheme="minorEastAsia"/>
          <w:sz w:val="20"/>
          <w:szCs w:val="20"/>
          <w:lang w:val="en-US" w:eastAsia="zh-CN"/>
        </w:rPr>
        <w:t>4.2</w:t>
      </w:r>
      <w:r>
        <w:rPr>
          <w:rFonts w:hint="default" w:ascii="Arial Regular" w:hAnsi="Arial Regular" w:cs="Arial Regular" w:eastAsiaTheme="minorEastAsia"/>
          <w:sz w:val="20"/>
          <w:szCs w:val="20"/>
        </w:rPr>
        <w:t>Effectiveness of strategy implementation</w:t>
      </w:r>
      <w:bookmarkEnd w:id="23"/>
      <w:bookmarkEnd w:id="24"/>
    </w:p>
    <w:p>
      <w:pPr>
        <w:numPr>
          <w:numId w:val="0"/>
        </w:numPr>
        <w:spacing w:line="480" w:lineRule="auto"/>
        <w:rPr>
          <w:rFonts w:hint="default" w:ascii="Arial Regular" w:hAnsi="Arial Regular" w:cs="Arial Regular" w:eastAsiaTheme="minorEastAsia"/>
          <w:sz w:val="24"/>
          <w:szCs w:val="24"/>
        </w:rPr>
      </w:pPr>
    </w:p>
    <w:p>
      <w:pPr>
        <w:keepNext w:val="0"/>
        <w:keepLines w:val="0"/>
        <w:widowControl/>
        <w:suppressLineNumbers w:val="0"/>
        <w:spacing w:line="480" w:lineRule="auto"/>
        <w:jc w:val="left"/>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The globalisation marketing strategy adopted by Samsung has succeeded in promoting its products to the global market by building a strong brand image and an extensive sales network, increasing market share and brand recognition. However, there is still room for improvement in terms of personalisation in response to local cultures and market needs (Daniel W, 2019).</w:t>
      </w:r>
    </w:p>
    <w:p>
      <w:pPr>
        <w:keepNext w:val="0"/>
        <w:keepLines w:val="0"/>
        <w:widowControl/>
        <w:suppressLineNumbers w:val="0"/>
        <w:spacing w:line="480" w:lineRule="auto"/>
        <w:jc w:val="left"/>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jc w:val="left"/>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The diversified innovation strategy has enabled Samsung to maintain its leading position in the field of science and technology, and to satisfy consumer demand for various types of high-tech products through continuous product innovation and technological research and development. However, there is a need to strengthen in-depth insights into market trends and consumer needs to ensure that innovations can truly meet market demands (Valentina ,2020).</w:t>
      </w:r>
    </w:p>
    <w:p>
      <w:pPr>
        <w:keepNext w:val="0"/>
        <w:keepLines w:val="0"/>
        <w:widowControl/>
        <w:suppressLineNumbers w:val="0"/>
        <w:spacing w:line="480" w:lineRule="auto"/>
        <w:jc w:val="left"/>
        <w:rPr>
          <w:rFonts w:hint="default" w:ascii="Arial Regular" w:hAnsi="Arial Regular" w:cs="Arial Regular" w:eastAsiaTheme="minorEastAsia"/>
          <w:sz w:val="24"/>
          <w:szCs w:val="24"/>
          <w:lang w:val="en-US" w:eastAsia="zh-CN"/>
        </w:rPr>
      </w:pPr>
    </w:p>
    <w:p>
      <w:pPr>
        <w:numPr>
          <w:numId w:val="0"/>
        </w:num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And the combination of two of Porter's generic strategies, cost leadership and differentiation strategy, can allow Samsung to be able to maintain better competitiveness in the market. However, as the market becomes more competitive, Samsung needs to adjust these strategies to ensure that the company is flexible and innovative across regions and product lines to maintain Samsung's global leadership. As competition intensifies, Samsung will also need to continue to improve product differentiation and quality, and strengthen cost control to maintain its edge.</w:t>
      </w:r>
    </w:p>
    <w:p>
      <w:pPr>
        <w:numPr>
          <w:numId w:val="0"/>
        </w:numPr>
        <w:spacing w:line="480" w:lineRule="auto"/>
        <w:rPr>
          <w:rFonts w:hint="default" w:ascii="Arial Regular" w:hAnsi="Arial Regular" w:cs="Arial Regular" w:eastAsiaTheme="minorEastAsia"/>
          <w:sz w:val="24"/>
          <w:szCs w:val="24"/>
          <w:lang w:val="en-US" w:eastAsia="zh-CN"/>
        </w:rPr>
      </w:pPr>
    </w:p>
    <w:p>
      <w:pPr>
        <w:numPr>
          <w:numId w:val="0"/>
        </w:numPr>
        <w:spacing w:line="480" w:lineRule="auto"/>
        <w:rPr>
          <w:rFonts w:hint="default" w:ascii="Arial Regular" w:hAnsi="Arial Regular" w:cs="Arial Regular" w:eastAsiaTheme="minorEastAsia"/>
          <w:sz w:val="24"/>
          <w:szCs w:val="24"/>
          <w:lang w:val="en-US" w:eastAsia="zh-CN"/>
        </w:rPr>
      </w:pPr>
    </w:p>
    <w:p>
      <w:pPr>
        <w:pStyle w:val="2"/>
        <w:bidi w:val="0"/>
        <w:spacing w:line="480" w:lineRule="auto"/>
        <w:outlineLvl w:val="9"/>
        <w:rPr>
          <w:rFonts w:hint="default" w:ascii="Arial Regular" w:hAnsi="Arial Regular" w:cs="Arial Regular" w:eastAsiaTheme="minorEastAsia"/>
          <w:sz w:val="24"/>
          <w:szCs w:val="24"/>
        </w:rPr>
      </w:pPr>
    </w:p>
    <w:p>
      <w:pPr>
        <w:pStyle w:val="2"/>
        <w:bidi w:val="0"/>
        <w:spacing w:line="480" w:lineRule="auto"/>
        <w:rPr>
          <w:rFonts w:hint="default" w:ascii="Arial Regular" w:hAnsi="Arial Regular" w:cs="Arial Regular" w:eastAsiaTheme="minorEastAsia"/>
          <w:sz w:val="24"/>
          <w:szCs w:val="24"/>
        </w:rPr>
      </w:pPr>
      <w:bookmarkStart w:id="25" w:name="_Toc1861501939"/>
      <w:bookmarkStart w:id="26" w:name="_Toc1758823804"/>
      <w:r>
        <w:rPr>
          <w:rFonts w:hint="default" w:ascii="Arial Regular" w:hAnsi="Arial Regular" w:cs="Arial Regular" w:eastAsiaTheme="minorEastAsia"/>
          <w:sz w:val="24"/>
          <w:szCs w:val="24"/>
          <w:lang w:val="en-US" w:eastAsia="zh-CN"/>
        </w:rPr>
        <w:t>5.0</w:t>
      </w:r>
      <w:r>
        <w:rPr>
          <w:rFonts w:hint="default" w:ascii="Arial Regular" w:hAnsi="Arial Regular" w:cs="Arial Regular" w:eastAsiaTheme="minorEastAsia"/>
          <w:sz w:val="24"/>
          <w:szCs w:val="24"/>
        </w:rPr>
        <w:t>Conclusions and recommendations</w:t>
      </w:r>
      <w:bookmarkEnd w:id="25"/>
      <w:bookmarkEnd w:id="26"/>
    </w:p>
    <w:p>
      <w:pPr>
        <w:spacing w:line="480" w:lineRule="auto"/>
        <w:rPr>
          <w:rFonts w:hint="default" w:ascii="Arial Regular" w:hAnsi="Arial Regular" w:cs="Arial Regular" w:eastAsiaTheme="minorEastAsia"/>
          <w:sz w:val="24"/>
          <w:szCs w:val="24"/>
          <w:highlight w:val="none"/>
          <w:shd w:val="clear" w:color="auto" w:fill="auto"/>
        </w:rPr>
      </w:pPr>
      <w:r>
        <w:rPr>
          <w:rFonts w:hint="default" w:ascii="Arial Regular" w:hAnsi="Arial Regular" w:cs="Arial Regular" w:eastAsiaTheme="minorEastAsia"/>
          <w:sz w:val="24"/>
          <w:szCs w:val="24"/>
          <w:highlight w:val="none"/>
          <w:shd w:val="clear" w:color="auto" w:fill="auto"/>
        </w:rPr>
        <w:t>This paper focuses on the strengths and weaknesses of Samsung's competitive rivals and itself and discusses the strategic planning and management of the Samsung Group, it also analyses Samsung's adoption of the Porter's generic strategy, the diversification and innovation strategy, and the globalisation and marketing strategy in order to develop its current competitive position, giving examples of the actions that it has taken in order to achieve this strategy. And critically evaluate these three competitive strategies adopted by Samsung in developing its competitive position. Samsung, as a leading global technology company, has achieved a significant market position in the highly competitive electronics market. Through continuous technological innovation, diversification and globalisation strategies, Samsung has managed to consolidate its competitive advantage and continue to increase its brand value and market share. Porter's generic strategy provided Samsung with the strategic framework that enabled it to succeed in cost leadership, differentiation and focus. Meanwhile, the diversification and innovation strategy enabled Samsung to grow in multiple business areas and reduce single business risks. The global marketing strategy has expanded the global market for Samsung and enhanced its international competitiveness. However, although Samsung's strategy has shown some success, it still faces some challenges, such as increased competition in the market, technological changes, and uncertainty in regional market demand.</w:t>
      </w:r>
    </w:p>
    <w:p>
      <w:pPr>
        <w:spacing w:line="480" w:lineRule="auto"/>
        <w:rPr>
          <w:rFonts w:hint="default" w:ascii="Arial Regular" w:hAnsi="Arial Regular" w:cs="Arial Regular" w:eastAsiaTheme="minorEastAsia"/>
          <w:sz w:val="24"/>
          <w:szCs w:val="24"/>
          <w:highlight w:val="none"/>
          <w:shd w:val="clear" w:color="auto" w:fill="auto"/>
        </w:rPr>
      </w:pPr>
    </w:p>
    <w:p>
      <w:pPr>
        <w:spacing w:line="480" w:lineRule="auto"/>
        <w:rPr>
          <w:rFonts w:hint="default" w:ascii="Arial Regular" w:hAnsi="Arial Regular" w:cs="Arial Regular" w:eastAsiaTheme="minorEastAsia"/>
          <w:sz w:val="24"/>
          <w:szCs w:val="24"/>
          <w:highlight w:val="none"/>
        </w:rPr>
      </w:pPr>
      <w:r>
        <w:rPr>
          <w:rFonts w:hint="default" w:ascii="Arial Regular" w:hAnsi="Arial Regular" w:cs="Arial Regular" w:eastAsiaTheme="minorEastAsia"/>
          <w:sz w:val="24"/>
          <w:szCs w:val="24"/>
          <w:highlight w:val="none"/>
          <w:shd w:val="clear" w:color="auto" w:fill="auto"/>
        </w:rPr>
        <w:t>In the future, Samsung can strengthen its communication and interaction with consumers in each region, deepen its localised marketing strategy, enhance its investment in market research and innovation, continue to improve product quality and technology, and flexibly adjust its strategy to adapt to the changing market environment, so as to ensure long-term sustainable development.</w:t>
      </w:r>
    </w:p>
    <w:p>
      <w:pPr>
        <w:spacing w:line="480" w:lineRule="auto"/>
        <w:rPr>
          <w:rFonts w:hint="default" w:ascii="Arial Regular" w:hAnsi="Arial Regular" w:cs="Arial Regular" w:eastAsiaTheme="minorEastAsia"/>
          <w:sz w:val="24"/>
          <w:szCs w:val="24"/>
          <w:highlight w:val="yellow"/>
        </w:rPr>
      </w:pPr>
    </w:p>
    <w:p>
      <w:pPr>
        <w:spacing w:line="480" w:lineRule="auto"/>
        <w:rPr>
          <w:rFonts w:hint="default" w:ascii="Arial Regular" w:hAnsi="Arial Regular" w:cs="Arial Regular" w:eastAsiaTheme="minorEastAsia"/>
          <w:sz w:val="24"/>
          <w:szCs w:val="24"/>
          <w:highlight w:val="yellow"/>
        </w:rPr>
      </w:pPr>
    </w:p>
    <w:p>
      <w:pPr>
        <w:spacing w:line="480" w:lineRule="auto"/>
        <w:rPr>
          <w:rFonts w:hint="default" w:ascii="Arial Regular" w:hAnsi="Arial Regular" w:cs="Arial Regular" w:eastAsiaTheme="minorEastAsia"/>
          <w:sz w:val="24"/>
          <w:szCs w:val="24"/>
          <w:highlight w:val="yellow"/>
        </w:rPr>
      </w:pPr>
    </w:p>
    <w:p>
      <w:pPr>
        <w:spacing w:line="480" w:lineRule="auto"/>
        <w:rPr>
          <w:rFonts w:hint="default" w:ascii="Arial Regular" w:hAnsi="Arial Regular" w:cs="Arial Regular" w:eastAsiaTheme="minorEastAsia"/>
          <w:sz w:val="24"/>
          <w:szCs w:val="24"/>
          <w:highlight w:val="yellow"/>
        </w:rPr>
      </w:pPr>
    </w:p>
    <w:p>
      <w:pPr>
        <w:spacing w:line="480" w:lineRule="auto"/>
        <w:rPr>
          <w:rFonts w:hint="default" w:ascii="Arial Regular" w:hAnsi="Arial Regular" w:cs="Arial Regular" w:eastAsiaTheme="minorEastAsia"/>
          <w:sz w:val="24"/>
          <w:szCs w:val="24"/>
          <w:highlight w:val="yellow"/>
        </w:rPr>
      </w:pPr>
    </w:p>
    <w:p>
      <w:pPr>
        <w:spacing w:line="480" w:lineRule="auto"/>
        <w:rPr>
          <w:rFonts w:hint="default" w:ascii="Arial Regular" w:hAnsi="Arial Regular" w:cs="Arial Regular" w:eastAsiaTheme="minorEastAsia"/>
          <w:sz w:val="24"/>
          <w:szCs w:val="24"/>
          <w:highlight w:val="yellow"/>
        </w:rPr>
      </w:pPr>
    </w:p>
    <w:p>
      <w:pPr>
        <w:pStyle w:val="2"/>
        <w:bidi w:val="0"/>
        <w:spacing w:line="480" w:lineRule="auto"/>
        <w:rPr>
          <w:rFonts w:hint="default" w:ascii="Arial Regular" w:hAnsi="Arial Regular" w:cs="Arial Regular" w:eastAsiaTheme="minorEastAsia"/>
          <w:sz w:val="24"/>
          <w:szCs w:val="24"/>
          <w:lang w:val="en-US" w:eastAsia="zh-CN"/>
        </w:rPr>
      </w:pPr>
      <w:bookmarkStart w:id="27" w:name="_Toc1721319277"/>
      <w:bookmarkStart w:id="28" w:name="_Toc439272873"/>
    </w:p>
    <w:p>
      <w:pPr>
        <w:pStyle w:val="2"/>
        <w:bidi w:val="0"/>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6.0reference</w:t>
      </w:r>
      <w:bookmarkEnd w:id="27"/>
      <w:bookmarkEnd w:id="28"/>
    </w:p>
    <w:p>
      <w:pPr>
        <w:keepNext w:val="0"/>
        <w:keepLines w:val="0"/>
        <w:widowControl/>
        <w:suppressLineNumbers w:val="0"/>
        <w:spacing w:line="480" w:lineRule="auto"/>
        <w:jc w:val="left"/>
        <w:rPr>
          <w:rFonts w:hint="default" w:ascii="Arial Regular" w:hAnsi="Arial Regular" w:cs="Arial Regular" w:eastAsiaTheme="minorEastAsia"/>
          <w:sz w:val="24"/>
          <w:szCs w:val="24"/>
        </w:rPr>
      </w:pPr>
      <w:r>
        <w:rPr>
          <w:rFonts w:hint="eastAsia" w:ascii="Arial Regular" w:hAnsi="Arial Regular" w:cs="Arial Regular"/>
          <w:i w:val="0"/>
          <w:iCs w:val="0"/>
          <w:caps w:val="0"/>
          <w:color w:val="3A3A3A"/>
          <w:spacing w:val="0"/>
          <w:kern w:val="0"/>
          <w:sz w:val="24"/>
          <w:szCs w:val="24"/>
          <w:u w:val="none"/>
          <w:shd w:val="clear" w:fill="FFFFFF"/>
          <w:lang w:val="en-US" w:eastAsia="zh-CN" w:bidi="ar"/>
        </w:rPr>
        <w:t>（1）</w:t>
      </w:r>
      <w:r>
        <w:rPr>
          <w:rFonts w:hint="default" w:ascii="Arial Regular" w:hAnsi="Arial Regular" w:cs="Arial Regular" w:eastAsiaTheme="minorEastAsia"/>
          <w:i w:val="0"/>
          <w:iCs w:val="0"/>
          <w:caps w:val="0"/>
          <w:color w:val="3A3A3A"/>
          <w:spacing w:val="0"/>
          <w:kern w:val="0"/>
          <w:sz w:val="24"/>
          <w:szCs w:val="24"/>
          <w:u w:val="none"/>
          <w:shd w:val="clear" w:fill="FFFFFF"/>
          <w:lang w:val="en-US" w:eastAsia="zh-CN" w:bidi="ar"/>
        </w:rPr>
        <w:t>Palmer, Adrian., &amp; Hartley, Bob. (2012). </w:t>
      </w:r>
      <w:r>
        <w:rPr>
          <w:rFonts w:hint="default" w:ascii="Arial Regular" w:hAnsi="Arial Regular" w:cs="Arial Regular" w:eastAsiaTheme="minorEastAsia"/>
          <w:i/>
          <w:iCs/>
          <w:caps w:val="0"/>
          <w:color w:val="3A3A3A"/>
          <w:spacing w:val="0"/>
          <w:kern w:val="0"/>
          <w:sz w:val="24"/>
          <w:szCs w:val="24"/>
          <w:u w:val="none"/>
          <w:lang w:val="en-US" w:eastAsia="zh-CN" w:bidi="ar"/>
        </w:rPr>
        <w:t>The business environment</w:t>
      </w:r>
      <w:r>
        <w:rPr>
          <w:rFonts w:hint="default" w:ascii="Arial Regular" w:hAnsi="Arial Regular" w:cs="Arial Regular" w:eastAsiaTheme="minorEastAsia"/>
          <w:i w:val="0"/>
          <w:iCs w:val="0"/>
          <w:caps w:val="0"/>
          <w:color w:val="3A3A3A"/>
          <w:spacing w:val="0"/>
          <w:kern w:val="0"/>
          <w:sz w:val="24"/>
          <w:szCs w:val="24"/>
          <w:u w:val="none"/>
          <w:shd w:val="clear" w:fill="FFFFFF"/>
          <w:lang w:val="en-US" w:eastAsia="zh-CN" w:bidi="ar"/>
        </w:rPr>
        <w:t> (7th ed.). McGraw-Hill Higher Education</w:t>
      </w: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kern w:val="0"/>
          <w:sz w:val="24"/>
          <w:szCs w:val="24"/>
          <w:u w:val="none"/>
          <w:lang w:val="en-US" w:eastAsia="zh-CN" w:bidi="ar"/>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sz w:val="24"/>
          <w:szCs w:val="24"/>
          <w:u w:val="none"/>
        </w:rPr>
      </w:pPr>
      <w:r>
        <w:rPr>
          <w:rFonts w:hint="eastAsia" w:ascii="Arial Regular" w:hAnsi="Arial Regular" w:cs="Arial Regular"/>
          <w:i w:val="0"/>
          <w:iCs w:val="0"/>
          <w:caps w:val="0"/>
          <w:color w:val="000000"/>
          <w:spacing w:val="0"/>
          <w:kern w:val="0"/>
          <w:sz w:val="24"/>
          <w:szCs w:val="24"/>
          <w:u w:val="none"/>
          <w:lang w:val="en-US" w:eastAsia="zh-CN" w:bidi="ar"/>
        </w:rPr>
        <w:t>（2）</w:t>
      </w:r>
      <w:r>
        <w:rPr>
          <w:rFonts w:hint="default" w:ascii="Arial Regular" w:hAnsi="Arial Regular" w:cs="Arial Regular" w:eastAsiaTheme="minorEastAsia"/>
          <w:i w:val="0"/>
          <w:iCs w:val="0"/>
          <w:caps w:val="0"/>
          <w:color w:val="000000"/>
          <w:spacing w:val="0"/>
          <w:kern w:val="0"/>
          <w:sz w:val="24"/>
          <w:szCs w:val="24"/>
          <w:u w:val="none"/>
          <w:lang w:val="en-US" w:eastAsia="zh-CN" w:bidi="ar"/>
        </w:rPr>
        <w:t>Michell, T. (2010). </w:t>
      </w:r>
      <w:r>
        <w:rPr>
          <w:rFonts w:hint="default" w:ascii="Arial Regular" w:hAnsi="Arial Regular" w:cs="Arial Regular" w:eastAsiaTheme="minorEastAsia"/>
          <w:i/>
          <w:iCs/>
          <w:caps w:val="0"/>
          <w:color w:val="000000"/>
          <w:spacing w:val="0"/>
          <w:kern w:val="0"/>
          <w:sz w:val="24"/>
          <w:szCs w:val="24"/>
          <w:u w:val="none"/>
          <w:lang w:val="en-US" w:eastAsia="zh-CN" w:bidi="ar"/>
        </w:rPr>
        <w:t>Samsung Electronics and the struggle for leadership of the electronics industry</w:t>
      </w:r>
      <w:r>
        <w:rPr>
          <w:rFonts w:hint="default" w:ascii="Arial Regular" w:hAnsi="Arial Regular" w:cs="Arial Regular" w:eastAsiaTheme="minorEastAsia"/>
          <w:i w:val="0"/>
          <w:iCs w:val="0"/>
          <w:caps w:val="0"/>
          <w:color w:val="000000"/>
          <w:spacing w:val="0"/>
          <w:kern w:val="0"/>
          <w:sz w:val="24"/>
          <w:szCs w:val="24"/>
          <w:u w:val="none"/>
          <w:lang w:val="en-US" w:eastAsia="zh-CN" w:bidi="ar"/>
        </w:rPr>
        <w:t> (1st ed.). John Wiley &amp; Sons Aisa.</w:t>
      </w:r>
    </w:p>
    <w:p>
      <w:pPr>
        <w:spacing w:line="480" w:lineRule="auto"/>
        <w:rPr>
          <w:rFonts w:hint="default" w:ascii="Arial Regular" w:hAnsi="Arial Regular" w:cs="Arial Regular" w:eastAsiaTheme="minorEastAsia"/>
          <w:sz w:val="24"/>
          <w:szCs w:val="24"/>
        </w:rPr>
      </w:pPr>
    </w:p>
    <w:p>
      <w:pPr>
        <w:keepNext w:val="0"/>
        <w:keepLines w:val="0"/>
        <w:widowControl/>
        <w:suppressLineNumbers w:val="0"/>
        <w:spacing w:line="480" w:lineRule="auto"/>
        <w:jc w:val="left"/>
        <w:rPr>
          <w:rFonts w:hint="default" w:ascii="Arial Regular" w:hAnsi="Arial Regular" w:cs="Arial Regular" w:eastAsiaTheme="minorEastAsia"/>
          <w:sz w:val="24"/>
          <w:szCs w:val="24"/>
        </w:rPr>
      </w:pPr>
      <w:r>
        <w:rPr>
          <w:rFonts w:hint="eastAsia" w:ascii="Arial Regular" w:hAnsi="Arial Regular" w:cs="Arial Regular"/>
          <w:i/>
          <w:iCs/>
          <w:caps w:val="0"/>
          <w:color w:val="3A3A3A"/>
          <w:spacing w:val="0"/>
          <w:kern w:val="0"/>
          <w:sz w:val="24"/>
          <w:szCs w:val="24"/>
          <w:u w:val="none"/>
          <w:lang w:val="en-US" w:eastAsia="zh-CN" w:bidi="ar"/>
        </w:rPr>
        <w:t>（3）</w:t>
      </w:r>
      <w:r>
        <w:rPr>
          <w:rFonts w:hint="default" w:ascii="Arial Regular" w:hAnsi="Arial Regular" w:cs="Arial Regular" w:eastAsiaTheme="minorEastAsia"/>
          <w:i/>
          <w:iCs/>
          <w:caps w:val="0"/>
          <w:color w:val="3A3A3A"/>
          <w:spacing w:val="0"/>
          <w:kern w:val="0"/>
          <w:sz w:val="24"/>
          <w:szCs w:val="24"/>
          <w:u w:val="none"/>
          <w:lang w:val="en-US" w:eastAsia="zh-CN" w:bidi="ar"/>
        </w:rPr>
        <w:t>Corporate social responsibility and environmental management.</w:t>
      </w:r>
      <w:r>
        <w:rPr>
          <w:rFonts w:hint="default" w:ascii="Arial Regular" w:hAnsi="Arial Regular" w:cs="Arial Regular" w:eastAsiaTheme="minorEastAsia"/>
          <w:i w:val="0"/>
          <w:iCs w:val="0"/>
          <w:caps w:val="0"/>
          <w:color w:val="3A3A3A"/>
          <w:spacing w:val="0"/>
          <w:kern w:val="0"/>
          <w:sz w:val="24"/>
          <w:szCs w:val="24"/>
          <w:u w:val="none"/>
          <w:shd w:val="clear" w:fill="FFFFFF"/>
          <w:lang w:val="en-US" w:eastAsia="zh-CN" w:bidi="ar"/>
        </w:rPr>
        <w:t> (2002). John Wiley &amp; Sons.</w:t>
      </w:r>
    </w:p>
    <w:p>
      <w:pPr>
        <w:numPr>
          <w:numId w:val="0"/>
        </w:num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jc w:val="left"/>
        <w:rPr>
          <w:rFonts w:hint="default" w:ascii="Arial Regular" w:hAnsi="Arial Regular" w:cs="Arial Regular" w:eastAsiaTheme="minorEastAsia"/>
          <w:sz w:val="24"/>
          <w:szCs w:val="24"/>
        </w:rPr>
      </w:pPr>
      <w:r>
        <w:rPr>
          <w:rFonts w:hint="eastAsia" w:ascii="Arial Regular" w:hAnsi="Arial Regular" w:cs="Arial Regular"/>
          <w:i w:val="0"/>
          <w:iCs w:val="0"/>
          <w:caps w:val="0"/>
          <w:color w:val="3A3A3A"/>
          <w:spacing w:val="0"/>
          <w:kern w:val="0"/>
          <w:sz w:val="24"/>
          <w:szCs w:val="24"/>
          <w:u w:val="none"/>
          <w:shd w:val="clear" w:fill="FFFFFF"/>
          <w:lang w:val="en-US" w:eastAsia="zh-CN" w:bidi="ar"/>
        </w:rPr>
        <w:t>（4）</w:t>
      </w:r>
      <w:r>
        <w:rPr>
          <w:rFonts w:hint="default" w:ascii="Arial Regular" w:hAnsi="Arial Regular" w:cs="Arial Regular" w:eastAsiaTheme="minorEastAsia"/>
          <w:i w:val="0"/>
          <w:iCs w:val="0"/>
          <w:caps w:val="0"/>
          <w:color w:val="3A3A3A"/>
          <w:spacing w:val="0"/>
          <w:kern w:val="0"/>
          <w:sz w:val="24"/>
          <w:szCs w:val="24"/>
          <w:u w:val="none"/>
          <w:shd w:val="clear" w:fill="FFFFFF"/>
          <w:lang w:val="en-US" w:eastAsia="zh-CN" w:bidi="ar"/>
        </w:rPr>
        <w:t>Lin, X. Jiao. (2004). </w:t>
      </w:r>
      <w:r>
        <w:rPr>
          <w:rFonts w:hint="default" w:ascii="Arial Regular" w:hAnsi="Arial Regular" w:cs="Arial Regular" w:eastAsiaTheme="minorEastAsia"/>
          <w:i/>
          <w:iCs/>
          <w:caps w:val="0"/>
          <w:color w:val="3A3A3A"/>
          <w:spacing w:val="0"/>
          <w:kern w:val="0"/>
          <w:sz w:val="24"/>
          <w:szCs w:val="24"/>
          <w:u w:val="none"/>
          <w:lang w:val="en-US" w:eastAsia="zh-CN" w:bidi="ar"/>
        </w:rPr>
        <w:t>An analysis of marketing strategies for mobile phone industry in south China.</w:t>
      </w:r>
      <w:r>
        <w:rPr>
          <w:rFonts w:hint="default" w:ascii="Arial Regular" w:hAnsi="Arial Regular" w:cs="Arial Regular" w:eastAsiaTheme="minorEastAsia"/>
          <w:i w:val="0"/>
          <w:iCs w:val="0"/>
          <w:caps w:val="0"/>
          <w:color w:val="3A3A3A"/>
          <w:spacing w:val="0"/>
          <w:kern w:val="0"/>
          <w:sz w:val="24"/>
          <w:szCs w:val="24"/>
          <w:u w:val="none"/>
          <w:shd w:val="clear" w:fill="FFFFFF"/>
          <w:lang w:val="en-US" w:eastAsia="zh-CN" w:bidi="ar"/>
        </w:rPr>
        <w:t> SIHE.</w:t>
      </w:r>
    </w:p>
    <w:p>
      <w:pPr>
        <w:numPr>
          <w:numId w:val="0"/>
        </w:num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sz w:val="24"/>
          <w:szCs w:val="24"/>
          <w:u w:val="none"/>
        </w:rPr>
      </w:pPr>
      <w:r>
        <w:rPr>
          <w:rFonts w:hint="eastAsia" w:ascii="Arial Regular" w:hAnsi="Arial Regular" w:cs="Arial Regular"/>
          <w:i w:val="0"/>
          <w:iCs w:val="0"/>
          <w:caps w:val="0"/>
          <w:color w:val="000000"/>
          <w:spacing w:val="0"/>
          <w:kern w:val="0"/>
          <w:sz w:val="24"/>
          <w:szCs w:val="24"/>
          <w:u w:val="none"/>
          <w:lang w:val="en-US" w:eastAsia="zh-CN" w:bidi="ar"/>
        </w:rPr>
        <w:t>（5）</w:t>
      </w:r>
      <w:r>
        <w:rPr>
          <w:rFonts w:hint="default" w:ascii="Arial Regular" w:hAnsi="Arial Regular" w:cs="Arial Regular" w:eastAsiaTheme="minorEastAsia"/>
          <w:i w:val="0"/>
          <w:iCs w:val="0"/>
          <w:caps w:val="0"/>
          <w:color w:val="000000"/>
          <w:spacing w:val="0"/>
          <w:kern w:val="0"/>
          <w:sz w:val="24"/>
          <w:szCs w:val="24"/>
          <w:u w:val="none"/>
          <w:lang w:val="en-US" w:eastAsia="zh-CN" w:bidi="ar"/>
        </w:rPr>
        <w:t>Misra, S. (Ed.). (2023). </w:t>
      </w:r>
      <w:r>
        <w:rPr>
          <w:rFonts w:hint="default" w:ascii="Arial Regular" w:hAnsi="Arial Regular" w:cs="Arial Regular" w:eastAsiaTheme="minorEastAsia"/>
          <w:i/>
          <w:iCs/>
          <w:caps w:val="0"/>
          <w:color w:val="000000"/>
          <w:spacing w:val="0"/>
          <w:kern w:val="0"/>
          <w:sz w:val="24"/>
          <w:szCs w:val="24"/>
          <w:u w:val="none"/>
          <w:lang w:val="en-US" w:eastAsia="zh-CN" w:bidi="ar"/>
        </w:rPr>
        <w:t>Futuristic technology perspectives on entrepreneurship and sustainable innovation</w:t>
      </w:r>
      <w:r>
        <w:rPr>
          <w:rFonts w:hint="default" w:ascii="Arial Regular" w:hAnsi="Arial Regular" w:cs="Arial Regular" w:eastAsiaTheme="minorEastAsia"/>
          <w:i w:val="0"/>
          <w:iCs w:val="0"/>
          <w:caps w:val="0"/>
          <w:color w:val="000000"/>
          <w:spacing w:val="0"/>
          <w:kern w:val="0"/>
          <w:sz w:val="24"/>
          <w:szCs w:val="24"/>
          <w:u w:val="none"/>
          <w:lang w:val="en-US" w:eastAsia="zh-CN" w:bidi="ar"/>
        </w:rPr>
        <w:t> (1st ed.). Business Science Reference.</w:t>
      </w:r>
    </w:p>
    <w:p>
      <w:pPr>
        <w:numPr>
          <w:numId w:val="0"/>
        </w:num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sz w:val="24"/>
          <w:szCs w:val="24"/>
          <w:u w:val="none"/>
        </w:rPr>
      </w:pPr>
      <w:r>
        <w:rPr>
          <w:rFonts w:hint="eastAsia" w:ascii="Arial Regular" w:hAnsi="Arial Regular" w:cs="Arial Regular"/>
          <w:i w:val="0"/>
          <w:iCs w:val="0"/>
          <w:caps w:val="0"/>
          <w:color w:val="000000"/>
          <w:spacing w:val="0"/>
          <w:kern w:val="0"/>
          <w:sz w:val="24"/>
          <w:szCs w:val="24"/>
          <w:u w:val="none"/>
          <w:lang w:val="en-US" w:eastAsia="zh-CN" w:bidi="ar"/>
        </w:rPr>
        <w:t>（6）</w:t>
      </w:r>
      <w:r>
        <w:rPr>
          <w:rFonts w:hint="default" w:ascii="Arial Regular" w:hAnsi="Arial Regular" w:cs="Arial Regular" w:eastAsiaTheme="minorEastAsia"/>
          <w:i w:val="0"/>
          <w:iCs w:val="0"/>
          <w:caps w:val="0"/>
          <w:color w:val="000000"/>
          <w:spacing w:val="0"/>
          <w:kern w:val="0"/>
          <w:sz w:val="24"/>
          <w:szCs w:val="24"/>
          <w:u w:val="none"/>
          <w:lang w:val="en-US" w:eastAsia="zh-CN" w:bidi="ar"/>
        </w:rPr>
        <w:t>Yu, S. (2015). Applied Research of Enterprise Cost Control Based on Linear Programming. </w:t>
      </w:r>
      <w:r>
        <w:rPr>
          <w:rFonts w:hint="default" w:ascii="Arial Regular" w:hAnsi="Arial Regular" w:cs="Arial Regular" w:eastAsiaTheme="minorEastAsia"/>
          <w:i/>
          <w:iCs/>
          <w:caps w:val="0"/>
          <w:color w:val="000000"/>
          <w:spacing w:val="0"/>
          <w:kern w:val="0"/>
          <w:sz w:val="24"/>
          <w:szCs w:val="24"/>
          <w:u w:val="none"/>
          <w:lang w:val="en-US" w:eastAsia="zh-CN" w:bidi="ar"/>
        </w:rPr>
        <w:t>MATEC Web of Conferences</w:t>
      </w:r>
      <w:r>
        <w:rPr>
          <w:rFonts w:hint="default" w:ascii="Arial Regular" w:hAnsi="Arial Regular" w:cs="Arial Regular" w:eastAsiaTheme="minorEastAsia"/>
          <w:i w:val="0"/>
          <w:iCs w:val="0"/>
          <w:caps w:val="0"/>
          <w:color w:val="000000"/>
          <w:spacing w:val="0"/>
          <w:kern w:val="0"/>
          <w:sz w:val="24"/>
          <w:szCs w:val="24"/>
          <w:u w:val="none"/>
          <w:lang w:val="en-US" w:eastAsia="zh-CN" w:bidi="ar"/>
        </w:rPr>
        <w:t>, </w:t>
      </w:r>
      <w:r>
        <w:rPr>
          <w:rFonts w:hint="default" w:ascii="Arial Regular" w:hAnsi="Arial Regular" w:cs="Arial Regular" w:eastAsiaTheme="minorEastAsia"/>
          <w:i/>
          <w:iCs/>
          <w:caps w:val="0"/>
          <w:color w:val="000000"/>
          <w:spacing w:val="0"/>
          <w:kern w:val="0"/>
          <w:sz w:val="24"/>
          <w:szCs w:val="24"/>
          <w:u w:val="none"/>
          <w:lang w:val="en-US" w:eastAsia="zh-CN" w:bidi="ar"/>
        </w:rPr>
        <w:t>25</w:t>
      </w:r>
      <w:r>
        <w:rPr>
          <w:rFonts w:hint="default" w:ascii="Arial Regular" w:hAnsi="Arial Regular" w:cs="Arial Regular" w:eastAsiaTheme="minorEastAsia"/>
          <w:i w:val="0"/>
          <w:iCs w:val="0"/>
          <w:caps w:val="0"/>
          <w:color w:val="000000"/>
          <w:spacing w:val="0"/>
          <w:kern w:val="0"/>
          <w:sz w:val="24"/>
          <w:szCs w:val="24"/>
          <w:u w:val="none"/>
          <w:lang w:val="en-US" w:eastAsia="zh-CN" w:bidi="ar"/>
        </w:rPr>
        <w:t>, 3012-. https://doi.org/10.1051/matecconf/20152503012</w:t>
      </w: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kern w:val="0"/>
          <w:sz w:val="24"/>
          <w:szCs w:val="24"/>
          <w:u w:val="none"/>
          <w:lang w:val="en-US" w:eastAsia="zh-CN" w:bidi="ar"/>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sz w:val="24"/>
          <w:szCs w:val="24"/>
          <w:u w:val="none"/>
        </w:rPr>
      </w:pPr>
      <w:r>
        <w:rPr>
          <w:rFonts w:hint="eastAsia" w:ascii="Arial Regular" w:hAnsi="Arial Regular" w:cs="Arial Regular"/>
          <w:i w:val="0"/>
          <w:iCs w:val="0"/>
          <w:caps w:val="0"/>
          <w:color w:val="000000"/>
          <w:spacing w:val="0"/>
          <w:kern w:val="0"/>
          <w:sz w:val="24"/>
          <w:szCs w:val="24"/>
          <w:u w:val="none"/>
          <w:lang w:val="en-US" w:eastAsia="zh-CN" w:bidi="ar"/>
        </w:rPr>
        <w:t>（7）</w:t>
      </w:r>
      <w:r>
        <w:rPr>
          <w:rFonts w:hint="default" w:ascii="Arial Regular" w:hAnsi="Arial Regular" w:cs="Arial Regular" w:eastAsiaTheme="minorEastAsia"/>
          <w:i w:val="0"/>
          <w:iCs w:val="0"/>
          <w:caps w:val="0"/>
          <w:color w:val="000000"/>
          <w:spacing w:val="0"/>
          <w:kern w:val="0"/>
          <w:sz w:val="24"/>
          <w:szCs w:val="24"/>
          <w:u w:val="none"/>
          <w:lang w:val="en-US" w:eastAsia="zh-CN" w:bidi="ar"/>
        </w:rPr>
        <w:t>Wang, X. A., Wan, W. P., &amp; Yiu, D. W. (2019). Product diversification strategy, business group affiliation, and IPO underpricing: A study of Chinese firms. </w:t>
      </w:r>
      <w:r>
        <w:rPr>
          <w:rFonts w:hint="default" w:ascii="Arial Regular" w:hAnsi="Arial Regular" w:cs="Arial Regular" w:eastAsiaTheme="minorEastAsia"/>
          <w:i/>
          <w:iCs/>
          <w:caps w:val="0"/>
          <w:color w:val="000000"/>
          <w:spacing w:val="0"/>
          <w:kern w:val="0"/>
          <w:sz w:val="24"/>
          <w:szCs w:val="24"/>
          <w:u w:val="none"/>
          <w:lang w:val="en-US" w:eastAsia="zh-CN" w:bidi="ar"/>
        </w:rPr>
        <w:t>Strategic Entrepreneurship Journal</w:t>
      </w:r>
      <w:r>
        <w:rPr>
          <w:rFonts w:hint="default" w:ascii="Arial Regular" w:hAnsi="Arial Regular" w:cs="Arial Regular" w:eastAsiaTheme="minorEastAsia"/>
          <w:i w:val="0"/>
          <w:iCs w:val="0"/>
          <w:caps w:val="0"/>
          <w:color w:val="000000"/>
          <w:spacing w:val="0"/>
          <w:kern w:val="0"/>
          <w:sz w:val="24"/>
          <w:szCs w:val="24"/>
          <w:u w:val="none"/>
          <w:lang w:val="en-US" w:eastAsia="zh-CN" w:bidi="ar"/>
        </w:rPr>
        <w:t>, </w:t>
      </w:r>
      <w:r>
        <w:rPr>
          <w:rFonts w:hint="default" w:ascii="Arial Regular" w:hAnsi="Arial Regular" w:cs="Arial Regular" w:eastAsiaTheme="minorEastAsia"/>
          <w:i/>
          <w:iCs/>
          <w:caps w:val="0"/>
          <w:color w:val="000000"/>
          <w:spacing w:val="0"/>
          <w:kern w:val="0"/>
          <w:sz w:val="24"/>
          <w:szCs w:val="24"/>
          <w:u w:val="none"/>
          <w:lang w:val="en-US" w:eastAsia="zh-CN" w:bidi="ar"/>
        </w:rPr>
        <w:t>13</w:t>
      </w:r>
      <w:r>
        <w:rPr>
          <w:rFonts w:hint="default" w:ascii="Arial Regular" w:hAnsi="Arial Regular" w:cs="Arial Regular" w:eastAsiaTheme="minorEastAsia"/>
          <w:i w:val="0"/>
          <w:iCs w:val="0"/>
          <w:caps w:val="0"/>
          <w:color w:val="000000"/>
          <w:spacing w:val="0"/>
          <w:kern w:val="0"/>
          <w:sz w:val="24"/>
          <w:szCs w:val="24"/>
          <w:u w:val="none"/>
          <w:lang w:val="en-US" w:eastAsia="zh-CN" w:bidi="ar"/>
        </w:rPr>
        <w:t>(2), 179–198. https://doi.org/10.1002/sej.1297</w:t>
      </w:r>
    </w:p>
    <w:p>
      <w:pPr>
        <w:numPr>
          <w:numId w:val="0"/>
        </w:num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sz w:val="24"/>
          <w:szCs w:val="24"/>
          <w:u w:val="none"/>
        </w:rPr>
      </w:pPr>
      <w:r>
        <w:rPr>
          <w:rFonts w:hint="eastAsia" w:ascii="Arial Regular" w:hAnsi="Arial Regular" w:cs="Arial Regular"/>
          <w:i w:val="0"/>
          <w:iCs w:val="0"/>
          <w:caps w:val="0"/>
          <w:color w:val="000000"/>
          <w:spacing w:val="0"/>
          <w:kern w:val="0"/>
          <w:sz w:val="24"/>
          <w:szCs w:val="24"/>
          <w:u w:val="none"/>
          <w:lang w:val="en-US" w:eastAsia="zh-CN" w:bidi="ar"/>
        </w:rPr>
        <w:t>（8）</w:t>
      </w:r>
      <w:r>
        <w:rPr>
          <w:rFonts w:hint="default" w:ascii="Arial Regular" w:hAnsi="Arial Regular" w:cs="Arial Regular" w:eastAsiaTheme="minorEastAsia"/>
          <w:i w:val="0"/>
          <w:iCs w:val="0"/>
          <w:caps w:val="0"/>
          <w:color w:val="000000"/>
          <w:spacing w:val="0"/>
          <w:kern w:val="0"/>
          <w:sz w:val="24"/>
          <w:szCs w:val="24"/>
          <w:u w:val="none"/>
          <w:lang w:val="en-US" w:eastAsia="zh-CN" w:bidi="ar"/>
        </w:rPr>
        <w:t>Foroudi, P. (2019). Influence of brand signature, brand awareness, brand attitude, brand reputation on hotel industrys brand performance. </w:t>
      </w:r>
      <w:r>
        <w:rPr>
          <w:rFonts w:hint="default" w:ascii="Arial Regular" w:hAnsi="Arial Regular" w:cs="Arial Regular" w:eastAsiaTheme="minorEastAsia"/>
          <w:i/>
          <w:iCs/>
          <w:caps w:val="0"/>
          <w:color w:val="000000"/>
          <w:spacing w:val="0"/>
          <w:kern w:val="0"/>
          <w:sz w:val="24"/>
          <w:szCs w:val="24"/>
          <w:u w:val="none"/>
          <w:lang w:val="en-US" w:eastAsia="zh-CN" w:bidi="ar"/>
        </w:rPr>
        <w:t>International Journal of Hospitality Management</w:t>
      </w:r>
      <w:r>
        <w:rPr>
          <w:rFonts w:hint="default" w:ascii="Arial Regular" w:hAnsi="Arial Regular" w:cs="Arial Regular" w:eastAsiaTheme="minorEastAsia"/>
          <w:i w:val="0"/>
          <w:iCs w:val="0"/>
          <w:caps w:val="0"/>
          <w:color w:val="000000"/>
          <w:spacing w:val="0"/>
          <w:kern w:val="0"/>
          <w:sz w:val="24"/>
          <w:szCs w:val="24"/>
          <w:u w:val="none"/>
          <w:lang w:val="en-US" w:eastAsia="zh-CN" w:bidi="ar"/>
        </w:rPr>
        <w:t>, </w:t>
      </w:r>
      <w:r>
        <w:rPr>
          <w:rFonts w:hint="default" w:ascii="Arial Regular" w:hAnsi="Arial Regular" w:cs="Arial Regular" w:eastAsiaTheme="minorEastAsia"/>
          <w:i/>
          <w:iCs/>
          <w:caps w:val="0"/>
          <w:color w:val="000000"/>
          <w:spacing w:val="0"/>
          <w:kern w:val="0"/>
          <w:sz w:val="24"/>
          <w:szCs w:val="24"/>
          <w:u w:val="none"/>
          <w:lang w:val="en-US" w:eastAsia="zh-CN" w:bidi="ar"/>
        </w:rPr>
        <w:t>76</w:t>
      </w:r>
      <w:r>
        <w:rPr>
          <w:rFonts w:hint="default" w:ascii="Arial Regular" w:hAnsi="Arial Regular" w:cs="Arial Regular" w:eastAsiaTheme="minorEastAsia"/>
          <w:i w:val="0"/>
          <w:iCs w:val="0"/>
          <w:caps w:val="0"/>
          <w:color w:val="000000"/>
          <w:spacing w:val="0"/>
          <w:kern w:val="0"/>
          <w:sz w:val="24"/>
          <w:szCs w:val="24"/>
          <w:u w:val="none"/>
          <w:lang w:val="en-US" w:eastAsia="zh-CN" w:bidi="ar"/>
        </w:rPr>
        <w:t>, 271–285. https://doi.org/10.1016/j.ijhm.2018.05.016</w:t>
      </w:r>
    </w:p>
    <w:p>
      <w:pPr>
        <w:numPr>
          <w:numId w:val="0"/>
        </w:num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sz w:val="24"/>
          <w:szCs w:val="24"/>
          <w:u w:val="none"/>
        </w:rPr>
      </w:pPr>
      <w:r>
        <w:rPr>
          <w:rFonts w:hint="eastAsia" w:ascii="Arial Regular" w:hAnsi="Arial Regular" w:cs="Arial Regular"/>
          <w:i w:val="0"/>
          <w:iCs w:val="0"/>
          <w:caps w:val="0"/>
          <w:color w:val="000000"/>
          <w:spacing w:val="0"/>
          <w:kern w:val="0"/>
          <w:sz w:val="24"/>
          <w:szCs w:val="24"/>
          <w:u w:val="none"/>
          <w:lang w:val="en-US" w:eastAsia="zh-CN" w:bidi="ar"/>
        </w:rPr>
        <w:t>（9）</w:t>
      </w:r>
      <w:r>
        <w:rPr>
          <w:rFonts w:hint="default" w:ascii="Arial Regular" w:hAnsi="Arial Regular" w:cs="Arial Regular" w:eastAsiaTheme="minorEastAsia"/>
          <w:i w:val="0"/>
          <w:iCs w:val="0"/>
          <w:caps w:val="0"/>
          <w:color w:val="000000"/>
          <w:spacing w:val="0"/>
          <w:kern w:val="0"/>
          <w:sz w:val="24"/>
          <w:szCs w:val="24"/>
          <w:u w:val="none"/>
          <w:lang w:val="en-US" w:eastAsia="zh-CN" w:bidi="ar"/>
        </w:rPr>
        <w:t>Islami, X., Mustafa, N., &amp; Topuzovska Latkovikj, M. (2020). Linking Porters generic strategies to firm performance. </w:t>
      </w:r>
      <w:r>
        <w:rPr>
          <w:rFonts w:hint="default" w:ascii="Arial Regular" w:hAnsi="Arial Regular" w:cs="Arial Regular" w:eastAsiaTheme="minorEastAsia"/>
          <w:i/>
          <w:iCs/>
          <w:caps w:val="0"/>
          <w:color w:val="000000"/>
          <w:spacing w:val="0"/>
          <w:kern w:val="0"/>
          <w:sz w:val="24"/>
          <w:szCs w:val="24"/>
          <w:u w:val="none"/>
          <w:lang w:val="en-US" w:eastAsia="zh-CN" w:bidi="ar"/>
        </w:rPr>
        <w:t>Future Business Journal</w:t>
      </w:r>
      <w:r>
        <w:rPr>
          <w:rFonts w:hint="default" w:ascii="Arial Regular" w:hAnsi="Arial Regular" w:cs="Arial Regular" w:eastAsiaTheme="minorEastAsia"/>
          <w:i w:val="0"/>
          <w:iCs w:val="0"/>
          <w:caps w:val="0"/>
          <w:color w:val="000000"/>
          <w:spacing w:val="0"/>
          <w:kern w:val="0"/>
          <w:sz w:val="24"/>
          <w:szCs w:val="24"/>
          <w:u w:val="none"/>
          <w:lang w:val="en-US" w:eastAsia="zh-CN" w:bidi="ar"/>
        </w:rPr>
        <w:t>, </w:t>
      </w:r>
      <w:r>
        <w:rPr>
          <w:rFonts w:hint="default" w:ascii="Arial Regular" w:hAnsi="Arial Regular" w:cs="Arial Regular" w:eastAsiaTheme="minorEastAsia"/>
          <w:i/>
          <w:iCs/>
          <w:caps w:val="0"/>
          <w:color w:val="000000"/>
          <w:spacing w:val="0"/>
          <w:kern w:val="0"/>
          <w:sz w:val="24"/>
          <w:szCs w:val="24"/>
          <w:u w:val="none"/>
          <w:lang w:val="en-US" w:eastAsia="zh-CN" w:bidi="ar"/>
        </w:rPr>
        <w:t>6</w:t>
      </w:r>
      <w:r>
        <w:rPr>
          <w:rFonts w:hint="default" w:ascii="Arial Regular" w:hAnsi="Arial Regular" w:cs="Arial Regular" w:eastAsiaTheme="minorEastAsia"/>
          <w:i w:val="0"/>
          <w:iCs w:val="0"/>
          <w:caps w:val="0"/>
          <w:color w:val="000000"/>
          <w:spacing w:val="0"/>
          <w:kern w:val="0"/>
          <w:sz w:val="24"/>
          <w:szCs w:val="24"/>
          <w:u w:val="none"/>
          <w:lang w:val="en-US" w:eastAsia="zh-CN" w:bidi="ar"/>
        </w:rPr>
        <w:t>(1), 1–15. https://doi.org/10.1186/s43093-020-0009-1</w:t>
      </w:r>
    </w:p>
    <w:p>
      <w:pPr>
        <w:numPr>
          <w:numId w:val="0"/>
        </w:num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sz w:val="24"/>
          <w:szCs w:val="24"/>
          <w:u w:val="none"/>
        </w:rPr>
      </w:pPr>
      <w:r>
        <w:rPr>
          <w:rFonts w:hint="eastAsia" w:ascii="Arial Regular" w:hAnsi="Arial Regular" w:cs="Arial Regular"/>
          <w:i w:val="0"/>
          <w:iCs w:val="0"/>
          <w:caps w:val="0"/>
          <w:color w:val="000000"/>
          <w:spacing w:val="0"/>
          <w:kern w:val="0"/>
          <w:sz w:val="24"/>
          <w:szCs w:val="24"/>
          <w:u w:val="none"/>
          <w:lang w:val="en-US" w:eastAsia="zh-CN" w:bidi="ar"/>
        </w:rPr>
        <w:t>（10）</w:t>
      </w:r>
      <w:r>
        <w:rPr>
          <w:rFonts w:hint="default" w:ascii="Arial Regular" w:hAnsi="Arial Regular" w:cs="Arial Regular" w:eastAsiaTheme="minorEastAsia"/>
          <w:i w:val="0"/>
          <w:iCs w:val="0"/>
          <w:caps w:val="0"/>
          <w:color w:val="000000"/>
          <w:spacing w:val="0"/>
          <w:kern w:val="0"/>
          <w:sz w:val="24"/>
          <w:szCs w:val="24"/>
          <w:u w:val="none"/>
          <w:lang w:val="en-US" w:eastAsia="zh-CN" w:bidi="ar"/>
        </w:rPr>
        <w:t>Marques Da Costa, T. C. (2011). </w:t>
      </w:r>
      <w:r>
        <w:rPr>
          <w:rFonts w:hint="default" w:ascii="Arial Regular" w:hAnsi="Arial Regular" w:cs="Arial Regular" w:eastAsiaTheme="minorEastAsia"/>
          <w:i/>
          <w:iCs/>
          <w:caps w:val="0"/>
          <w:color w:val="000000"/>
          <w:spacing w:val="0"/>
          <w:kern w:val="0"/>
          <w:sz w:val="24"/>
          <w:szCs w:val="24"/>
          <w:u w:val="none"/>
          <w:lang w:val="en-US" w:eastAsia="zh-CN" w:bidi="ar"/>
        </w:rPr>
        <w:t>Investigating the Use of Differentiation Strategy by Small Businesses to Gain Competitive Advantage in the UK Restaurant Industry: Case Study: Patisserie Valerie Victoria Ltd [thesis]</w:t>
      </w:r>
      <w:r>
        <w:rPr>
          <w:rFonts w:hint="default" w:ascii="Arial Regular" w:hAnsi="Arial Regular" w:cs="Arial Regular" w:eastAsiaTheme="minorEastAsia"/>
          <w:i w:val="0"/>
          <w:iCs w:val="0"/>
          <w:caps w:val="0"/>
          <w:color w:val="000000"/>
          <w:spacing w:val="0"/>
          <w:kern w:val="0"/>
          <w:sz w:val="24"/>
          <w:szCs w:val="24"/>
          <w:u w:val="none"/>
          <w:lang w:val="en-US" w:eastAsia="zh-CN" w:bidi="ar"/>
        </w:rPr>
        <w:t>. University of Wales Trinity Saint David / CTL.</w:t>
      </w:r>
    </w:p>
    <w:p>
      <w:pPr>
        <w:numPr>
          <w:numId w:val="0"/>
        </w:num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ind w:left="0" w:firstLine="0"/>
        <w:jc w:val="left"/>
        <w:rPr>
          <w:rFonts w:hint="eastAsia" w:ascii="Arial Regular" w:hAnsi="Arial Regular" w:cs="Arial Regular"/>
          <w:i w:val="0"/>
          <w:iCs w:val="0"/>
          <w:caps w:val="0"/>
          <w:color w:val="000000"/>
          <w:spacing w:val="0"/>
          <w:kern w:val="0"/>
          <w:sz w:val="24"/>
          <w:szCs w:val="24"/>
          <w:u w:val="none"/>
          <w:lang w:val="en-US" w:eastAsia="zh-CN" w:bidi="ar"/>
        </w:rPr>
      </w:pPr>
    </w:p>
    <w:p>
      <w:pPr>
        <w:keepNext w:val="0"/>
        <w:keepLines w:val="0"/>
        <w:widowControl/>
        <w:suppressLineNumbers w:val="0"/>
        <w:spacing w:line="480" w:lineRule="auto"/>
        <w:ind w:left="0" w:firstLine="0"/>
        <w:jc w:val="left"/>
        <w:rPr>
          <w:rFonts w:hint="eastAsia" w:ascii="Arial Regular" w:hAnsi="Arial Regular" w:cs="Arial Regular"/>
          <w:i w:val="0"/>
          <w:iCs w:val="0"/>
          <w:caps w:val="0"/>
          <w:color w:val="000000"/>
          <w:spacing w:val="0"/>
          <w:kern w:val="0"/>
          <w:sz w:val="24"/>
          <w:szCs w:val="24"/>
          <w:u w:val="none"/>
          <w:lang w:val="en-US" w:eastAsia="zh-CN" w:bidi="ar"/>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sz w:val="24"/>
          <w:szCs w:val="24"/>
          <w:u w:val="none"/>
        </w:rPr>
      </w:pPr>
      <w:r>
        <w:rPr>
          <w:rFonts w:hint="eastAsia" w:ascii="Arial Regular" w:hAnsi="Arial Regular" w:cs="Arial Regular"/>
          <w:i w:val="0"/>
          <w:iCs w:val="0"/>
          <w:caps w:val="0"/>
          <w:color w:val="000000"/>
          <w:spacing w:val="0"/>
          <w:kern w:val="0"/>
          <w:sz w:val="24"/>
          <w:szCs w:val="24"/>
          <w:u w:val="none"/>
          <w:lang w:val="en-US" w:eastAsia="zh-CN" w:bidi="ar"/>
        </w:rPr>
        <w:t>（11）</w:t>
      </w:r>
      <w:r>
        <w:rPr>
          <w:rFonts w:hint="default" w:ascii="Arial Regular" w:hAnsi="Arial Regular" w:cs="Arial Regular" w:eastAsiaTheme="minorEastAsia"/>
          <w:i w:val="0"/>
          <w:iCs w:val="0"/>
          <w:caps w:val="0"/>
          <w:color w:val="000000"/>
          <w:spacing w:val="0"/>
          <w:kern w:val="0"/>
          <w:sz w:val="24"/>
          <w:szCs w:val="24"/>
          <w:u w:val="none"/>
          <w:lang w:val="en-US" w:eastAsia="zh-CN" w:bidi="ar"/>
        </w:rPr>
        <w:t>Lee, C., Hoehn‐Weiss, M. N., &amp; Karim, S. (2021). Competing both ways: How combining Porters low‐cost and focus strategies hurts firm performance. </w:t>
      </w:r>
      <w:r>
        <w:rPr>
          <w:rFonts w:hint="default" w:ascii="Arial Regular" w:hAnsi="Arial Regular" w:cs="Arial Regular" w:eastAsiaTheme="minorEastAsia"/>
          <w:i/>
          <w:iCs/>
          <w:caps w:val="0"/>
          <w:color w:val="000000"/>
          <w:spacing w:val="0"/>
          <w:kern w:val="0"/>
          <w:sz w:val="24"/>
          <w:szCs w:val="24"/>
          <w:u w:val="none"/>
          <w:lang w:val="en-US" w:eastAsia="zh-CN" w:bidi="ar"/>
        </w:rPr>
        <w:t>Strategic Management Journal</w:t>
      </w:r>
      <w:r>
        <w:rPr>
          <w:rFonts w:hint="default" w:ascii="Arial Regular" w:hAnsi="Arial Regular" w:cs="Arial Regular" w:eastAsiaTheme="minorEastAsia"/>
          <w:i w:val="0"/>
          <w:iCs w:val="0"/>
          <w:caps w:val="0"/>
          <w:color w:val="000000"/>
          <w:spacing w:val="0"/>
          <w:kern w:val="0"/>
          <w:sz w:val="24"/>
          <w:szCs w:val="24"/>
          <w:u w:val="none"/>
          <w:lang w:val="en-US" w:eastAsia="zh-CN" w:bidi="ar"/>
        </w:rPr>
        <w:t>, </w:t>
      </w:r>
      <w:r>
        <w:rPr>
          <w:rFonts w:hint="default" w:ascii="Arial Regular" w:hAnsi="Arial Regular" w:cs="Arial Regular" w:eastAsiaTheme="minorEastAsia"/>
          <w:i/>
          <w:iCs/>
          <w:caps w:val="0"/>
          <w:color w:val="000000"/>
          <w:spacing w:val="0"/>
          <w:kern w:val="0"/>
          <w:sz w:val="24"/>
          <w:szCs w:val="24"/>
          <w:u w:val="none"/>
          <w:lang w:val="en-US" w:eastAsia="zh-CN" w:bidi="ar"/>
        </w:rPr>
        <w:t>42</w:t>
      </w:r>
      <w:r>
        <w:rPr>
          <w:rFonts w:hint="default" w:ascii="Arial Regular" w:hAnsi="Arial Regular" w:cs="Arial Regular" w:eastAsiaTheme="minorEastAsia"/>
          <w:i w:val="0"/>
          <w:iCs w:val="0"/>
          <w:caps w:val="0"/>
          <w:color w:val="000000"/>
          <w:spacing w:val="0"/>
          <w:kern w:val="0"/>
          <w:sz w:val="24"/>
          <w:szCs w:val="24"/>
          <w:u w:val="none"/>
          <w:lang w:val="en-US" w:eastAsia="zh-CN" w:bidi="ar"/>
        </w:rPr>
        <w:t>(12), 2218–2244. https://doi.org/10.1002/smj.3279</w:t>
      </w:r>
    </w:p>
    <w:p>
      <w:pPr>
        <w:numPr>
          <w:numId w:val="0"/>
        </w:num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kern w:val="0"/>
          <w:sz w:val="24"/>
          <w:szCs w:val="24"/>
          <w:u w:val="none"/>
          <w:lang w:val="en-US" w:eastAsia="zh-CN" w:bidi="ar"/>
        </w:rPr>
      </w:pPr>
      <w:r>
        <w:rPr>
          <w:rFonts w:hint="eastAsia" w:ascii="Arial Regular" w:hAnsi="Arial Regular" w:cs="Arial Regular"/>
          <w:i w:val="0"/>
          <w:iCs w:val="0"/>
          <w:caps w:val="0"/>
          <w:color w:val="000000"/>
          <w:spacing w:val="0"/>
          <w:kern w:val="0"/>
          <w:sz w:val="24"/>
          <w:szCs w:val="24"/>
          <w:u w:val="none"/>
          <w:lang w:val="en-US" w:eastAsia="zh-CN" w:bidi="ar"/>
        </w:rPr>
        <w:t>（12）</w:t>
      </w:r>
      <w:r>
        <w:rPr>
          <w:rFonts w:hint="default" w:ascii="Arial Regular" w:hAnsi="Arial Regular" w:cs="Arial Regular" w:eastAsiaTheme="minorEastAsia"/>
          <w:i w:val="0"/>
          <w:iCs w:val="0"/>
          <w:caps w:val="0"/>
          <w:color w:val="000000"/>
          <w:spacing w:val="0"/>
          <w:kern w:val="0"/>
          <w:sz w:val="24"/>
          <w:szCs w:val="24"/>
          <w:u w:val="none"/>
          <w:lang w:val="en-US" w:eastAsia="zh-CN" w:bidi="ar"/>
        </w:rPr>
        <w:t>Hitt, M. A., Hoskisson, R. E., &amp; Kim, H. (1997). International Diversification: Effects on Innovation and Firm Performance in Product-Diversified Firms. </w:t>
      </w:r>
      <w:r>
        <w:rPr>
          <w:rFonts w:hint="default" w:ascii="Arial Regular" w:hAnsi="Arial Regular" w:cs="Arial Regular" w:eastAsiaTheme="minorEastAsia"/>
          <w:i/>
          <w:iCs/>
          <w:caps w:val="0"/>
          <w:color w:val="000000"/>
          <w:spacing w:val="0"/>
          <w:kern w:val="0"/>
          <w:sz w:val="24"/>
          <w:szCs w:val="24"/>
          <w:u w:val="none"/>
          <w:lang w:val="en-US" w:eastAsia="zh-CN" w:bidi="ar"/>
        </w:rPr>
        <w:t>Academy of Management Journal</w:t>
      </w:r>
      <w:r>
        <w:rPr>
          <w:rFonts w:hint="default" w:ascii="Arial Regular" w:hAnsi="Arial Regular" w:cs="Arial Regular" w:eastAsiaTheme="minorEastAsia"/>
          <w:i w:val="0"/>
          <w:iCs w:val="0"/>
          <w:caps w:val="0"/>
          <w:color w:val="000000"/>
          <w:spacing w:val="0"/>
          <w:kern w:val="0"/>
          <w:sz w:val="24"/>
          <w:szCs w:val="24"/>
          <w:u w:val="none"/>
          <w:lang w:val="en-US" w:eastAsia="zh-CN" w:bidi="ar"/>
        </w:rPr>
        <w:t>, </w:t>
      </w:r>
      <w:r>
        <w:rPr>
          <w:rFonts w:hint="default" w:ascii="Arial Regular" w:hAnsi="Arial Regular" w:cs="Arial Regular" w:eastAsiaTheme="minorEastAsia"/>
          <w:i/>
          <w:iCs/>
          <w:caps w:val="0"/>
          <w:color w:val="000000"/>
          <w:spacing w:val="0"/>
          <w:kern w:val="0"/>
          <w:sz w:val="24"/>
          <w:szCs w:val="24"/>
          <w:u w:val="none"/>
          <w:lang w:val="en-US" w:eastAsia="zh-CN" w:bidi="ar"/>
        </w:rPr>
        <w:t>40</w:t>
      </w:r>
      <w:r>
        <w:rPr>
          <w:rFonts w:hint="default" w:ascii="Arial Regular" w:hAnsi="Arial Regular" w:cs="Arial Regular" w:eastAsiaTheme="minorEastAsia"/>
          <w:i w:val="0"/>
          <w:iCs w:val="0"/>
          <w:caps w:val="0"/>
          <w:color w:val="000000"/>
          <w:spacing w:val="0"/>
          <w:kern w:val="0"/>
          <w:sz w:val="24"/>
          <w:szCs w:val="24"/>
          <w:u w:val="none"/>
          <w:lang w:val="en-US" w:eastAsia="zh-CN" w:bidi="ar"/>
        </w:rPr>
        <w:t xml:space="preserve">(4), 767–798. </w:t>
      </w:r>
      <w:r>
        <w:rPr>
          <w:rFonts w:hint="default" w:ascii="Arial Regular" w:hAnsi="Arial Regular" w:cs="Arial Regular" w:eastAsiaTheme="minorEastAsia"/>
          <w:i w:val="0"/>
          <w:iCs w:val="0"/>
          <w:caps w:val="0"/>
          <w:color w:val="000000"/>
          <w:spacing w:val="0"/>
          <w:kern w:val="0"/>
          <w:sz w:val="24"/>
          <w:szCs w:val="24"/>
          <w:u w:val="none"/>
          <w:lang w:val="en-US" w:eastAsia="zh-CN" w:bidi="ar"/>
        </w:rPr>
        <w:fldChar w:fldCharType="begin"/>
      </w:r>
      <w:r>
        <w:rPr>
          <w:rFonts w:hint="default" w:ascii="Arial Regular" w:hAnsi="Arial Regular" w:cs="Arial Regular" w:eastAsiaTheme="minorEastAsia"/>
          <w:i w:val="0"/>
          <w:iCs w:val="0"/>
          <w:caps w:val="0"/>
          <w:color w:val="000000"/>
          <w:spacing w:val="0"/>
          <w:kern w:val="0"/>
          <w:sz w:val="24"/>
          <w:szCs w:val="24"/>
          <w:u w:val="none"/>
          <w:lang w:val="en-US" w:eastAsia="zh-CN" w:bidi="ar"/>
        </w:rPr>
        <w:instrText xml:space="preserve"> HYPERLINK "https://doi.org/10.5465/256948" </w:instrText>
      </w:r>
      <w:r>
        <w:rPr>
          <w:rFonts w:hint="default" w:ascii="Arial Regular" w:hAnsi="Arial Regular" w:cs="Arial Regular" w:eastAsiaTheme="minorEastAsia"/>
          <w:i w:val="0"/>
          <w:iCs w:val="0"/>
          <w:caps w:val="0"/>
          <w:color w:val="000000"/>
          <w:spacing w:val="0"/>
          <w:kern w:val="0"/>
          <w:sz w:val="24"/>
          <w:szCs w:val="24"/>
          <w:u w:val="none"/>
          <w:lang w:val="en-US" w:eastAsia="zh-CN" w:bidi="ar"/>
        </w:rPr>
        <w:fldChar w:fldCharType="separate"/>
      </w:r>
      <w:r>
        <w:rPr>
          <w:rStyle w:val="9"/>
          <w:rFonts w:hint="default" w:ascii="Arial Regular" w:hAnsi="Arial Regular" w:cs="Arial Regular" w:eastAsiaTheme="minorEastAsia"/>
          <w:i w:val="0"/>
          <w:iCs w:val="0"/>
          <w:caps w:val="0"/>
          <w:spacing w:val="0"/>
          <w:kern w:val="0"/>
          <w:sz w:val="24"/>
          <w:szCs w:val="24"/>
          <w:lang w:val="en-US" w:eastAsia="zh-CN" w:bidi="ar"/>
        </w:rPr>
        <w:t>https://doi.org/10.5465/256948</w:t>
      </w:r>
      <w:r>
        <w:rPr>
          <w:rFonts w:hint="default" w:ascii="Arial Regular" w:hAnsi="Arial Regular" w:cs="Arial Regular" w:eastAsiaTheme="minorEastAsia"/>
          <w:i w:val="0"/>
          <w:iCs w:val="0"/>
          <w:caps w:val="0"/>
          <w:color w:val="000000"/>
          <w:spacing w:val="0"/>
          <w:kern w:val="0"/>
          <w:sz w:val="24"/>
          <w:szCs w:val="24"/>
          <w:u w:val="none"/>
          <w:lang w:val="en-US" w:eastAsia="zh-CN" w:bidi="ar"/>
        </w:rPr>
        <w:fldChar w:fldCharType="end"/>
      </w: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kern w:val="0"/>
          <w:sz w:val="24"/>
          <w:szCs w:val="24"/>
          <w:u w:val="none"/>
          <w:lang w:val="en-US" w:eastAsia="zh-CN" w:bidi="ar"/>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kern w:val="0"/>
          <w:sz w:val="24"/>
          <w:szCs w:val="24"/>
          <w:u w:val="none"/>
          <w:lang w:val="en-US" w:eastAsia="zh-CN" w:bidi="ar"/>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sz w:val="24"/>
          <w:szCs w:val="24"/>
          <w:u w:val="none"/>
        </w:rPr>
      </w:pPr>
      <w:r>
        <w:rPr>
          <w:rFonts w:hint="eastAsia" w:ascii="Arial Regular" w:hAnsi="Arial Regular" w:cs="Arial Regular"/>
          <w:i w:val="0"/>
          <w:iCs w:val="0"/>
          <w:caps w:val="0"/>
          <w:color w:val="000000"/>
          <w:spacing w:val="0"/>
          <w:kern w:val="0"/>
          <w:sz w:val="24"/>
          <w:szCs w:val="24"/>
          <w:u w:val="none"/>
          <w:lang w:val="en-US" w:eastAsia="zh-CN" w:bidi="ar"/>
        </w:rPr>
        <w:t>（13）</w:t>
      </w:r>
      <w:r>
        <w:rPr>
          <w:rFonts w:hint="default" w:ascii="Arial Regular" w:hAnsi="Arial Regular" w:cs="Arial Regular" w:eastAsiaTheme="minorEastAsia"/>
          <w:i w:val="0"/>
          <w:iCs w:val="0"/>
          <w:caps w:val="0"/>
          <w:color w:val="000000"/>
          <w:spacing w:val="0"/>
          <w:kern w:val="0"/>
          <w:sz w:val="24"/>
          <w:szCs w:val="24"/>
          <w:u w:val="none"/>
          <w:lang w:val="en-US" w:eastAsia="zh-CN" w:bidi="ar"/>
        </w:rPr>
        <w:t>Douglas, S. P., &amp; Craig, C. Samuel. (1995). </w:t>
      </w:r>
      <w:r>
        <w:rPr>
          <w:rFonts w:hint="default" w:ascii="Arial Regular" w:hAnsi="Arial Regular" w:cs="Arial Regular" w:eastAsiaTheme="minorEastAsia"/>
          <w:i/>
          <w:iCs/>
          <w:caps w:val="0"/>
          <w:color w:val="000000"/>
          <w:spacing w:val="0"/>
          <w:kern w:val="0"/>
          <w:sz w:val="24"/>
          <w:szCs w:val="24"/>
          <w:u w:val="none"/>
          <w:lang w:val="en-US" w:eastAsia="zh-CN" w:bidi="ar"/>
        </w:rPr>
        <w:t>Global marketing strategy</w:t>
      </w:r>
      <w:r>
        <w:rPr>
          <w:rFonts w:hint="default" w:ascii="Arial Regular" w:hAnsi="Arial Regular" w:cs="Arial Regular" w:eastAsiaTheme="minorEastAsia"/>
          <w:i w:val="0"/>
          <w:iCs w:val="0"/>
          <w:caps w:val="0"/>
          <w:color w:val="000000"/>
          <w:spacing w:val="0"/>
          <w:kern w:val="0"/>
          <w:sz w:val="24"/>
          <w:szCs w:val="24"/>
          <w:u w:val="none"/>
          <w:lang w:val="en-US" w:eastAsia="zh-CN" w:bidi="ar"/>
        </w:rPr>
        <w:t>. McGraw-Hill.</w:t>
      </w: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kern w:val="0"/>
          <w:sz w:val="24"/>
          <w:szCs w:val="24"/>
          <w:u w:val="none"/>
          <w:lang w:val="en-US" w:eastAsia="zh-CN" w:bidi="ar"/>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sz w:val="24"/>
          <w:szCs w:val="24"/>
          <w:u w:val="none"/>
        </w:rPr>
      </w:pPr>
      <w:r>
        <w:rPr>
          <w:rFonts w:hint="eastAsia" w:ascii="Arial Regular" w:hAnsi="Arial Regular" w:cs="Arial Regular"/>
          <w:i w:val="0"/>
          <w:iCs w:val="0"/>
          <w:caps w:val="0"/>
          <w:color w:val="000000"/>
          <w:spacing w:val="0"/>
          <w:kern w:val="0"/>
          <w:sz w:val="24"/>
          <w:szCs w:val="24"/>
          <w:u w:val="none"/>
          <w:lang w:val="en-US" w:eastAsia="zh-CN" w:bidi="ar"/>
        </w:rPr>
        <w:t>（14）</w:t>
      </w:r>
      <w:r>
        <w:rPr>
          <w:rFonts w:hint="default" w:ascii="Arial Regular" w:hAnsi="Arial Regular" w:cs="Arial Regular" w:eastAsiaTheme="minorEastAsia"/>
          <w:i w:val="0"/>
          <w:iCs w:val="0"/>
          <w:caps w:val="0"/>
          <w:color w:val="000000"/>
          <w:spacing w:val="0"/>
          <w:kern w:val="0"/>
          <w:sz w:val="24"/>
          <w:szCs w:val="24"/>
          <w:u w:val="none"/>
          <w:lang w:val="en-US" w:eastAsia="zh-CN" w:bidi="ar"/>
        </w:rPr>
        <w:t>Kim, N., Chun, E., &amp; Ko, E. (2017). Country of origin effects on brand image, brand evaluation, and purchase intention: A closer look at Seoul, New York, and Paris fashion collection. </w:t>
      </w:r>
      <w:r>
        <w:rPr>
          <w:rFonts w:hint="default" w:ascii="Arial Regular" w:hAnsi="Arial Regular" w:cs="Arial Regular" w:eastAsiaTheme="minorEastAsia"/>
          <w:i/>
          <w:iCs/>
          <w:caps w:val="0"/>
          <w:color w:val="000000"/>
          <w:spacing w:val="0"/>
          <w:kern w:val="0"/>
          <w:sz w:val="24"/>
          <w:szCs w:val="24"/>
          <w:u w:val="none"/>
          <w:lang w:val="en-US" w:eastAsia="zh-CN" w:bidi="ar"/>
        </w:rPr>
        <w:t>International Marketing Review</w:t>
      </w:r>
      <w:r>
        <w:rPr>
          <w:rFonts w:hint="default" w:ascii="Arial Regular" w:hAnsi="Arial Regular" w:cs="Arial Regular" w:eastAsiaTheme="minorEastAsia"/>
          <w:i w:val="0"/>
          <w:iCs w:val="0"/>
          <w:caps w:val="0"/>
          <w:color w:val="000000"/>
          <w:spacing w:val="0"/>
          <w:kern w:val="0"/>
          <w:sz w:val="24"/>
          <w:szCs w:val="24"/>
          <w:u w:val="none"/>
          <w:lang w:val="en-US" w:eastAsia="zh-CN" w:bidi="ar"/>
        </w:rPr>
        <w:t>, </w:t>
      </w:r>
      <w:r>
        <w:rPr>
          <w:rFonts w:hint="default" w:ascii="Arial Regular" w:hAnsi="Arial Regular" w:cs="Arial Regular" w:eastAsiaTheme="minorEastAsia"/>
          <w:i/>
          <w:iCs/>
          <w:caps w:val="0"/>
          <w:color w:val="000000"/>
          <w:spacing w:val="0"/>
          <w:kern w:val="0"/>
          <w:sz w:val="24"/>
          <w:szCs w:val="24"/>
          <w:u w:val="none"/>
          <w:lang w:val="en-US" w:eastAsia="zh-CN" w:bidi="ar"/>
        </w:rPr>
        <w:t>34</w:t>
      </w:r>
      <w:r>
        <w:rPr>
          <w:rFonts w:hint="default" w:ascii="Arial Regular" w:hAnsi="Arial Regular" w:cs="Arial Regular" w:eastAsiaTheme="minorEastAsia"/>
          <w:i w:val="0"/>
          <w:iCs w:val="0"/>
          <w:caps w:val="0"/>
          <w:color w:val="000000"/>
          <w:spacing w:val="0"/>
          <w:kern w:val="0"/>
          <w:sz w:val="24"/>
          <w:szCs w:val="24"/>
          <w:u w:val="none"/>
          <w:lang w:val="en-US" w:eastAsia="zh-CN" w:bidi="ar"/>
        </w:rPr>
        <w:t>(2), 254–271. https://doi.org/10.1108/IMR-03-2015-0071</w:t>
      </w: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kern w:val="0"/>
          <w:sz w:val="24"/>
          <w:szCs w:val="24"/>
          <w:u w:val="none"/>
          <w:lang w:val="en-US" w:eastAsia="zh-CN" w:bidi="ar"/>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sz w:val="24"/>
          <w:szCs w:val="24"/>
          <w:u w:val="none"/>
        </w:rPr>
      </w:pPr>
      <w:r>
        <w:rPr>
          <w:rFonts w:hint="eastAsia" w:ascii="Arial Regular" w:hAnsi="Arial Regular" w:cs="Arial Regular"/>
          <w:i w:val="0"/>
          <w:iCs w:val="0"/>
          <w:caps w:val="0"/>
          <w:color w:val="000000"/>
          <w:spacing w:val="0"/>
          <w:kern w:val="0"/>
          <w:sz w:val="24"/>
          <w:szCs w:val="24"/>
          <w:u w:val="none"/>
          <w:lang w:val="en-US" w:eastAsia="zh-CN" w:bidi="ar"/>
        </w:rPr>
        <w:t>（15）</w:t>
      </w:r>
      <w:r>
        <w:rPr>
          <w:rFonts w:hint="default" w:ascii="Arial Regular" w:hAnsi="Arial Regular" w:cs="Arial Regular" w:eastAsiaTheme="minorEastAsia"/>
          <w:i w:val="0"/>
          <w:iCs w:val="0"/>
          <w:caps w:val="0"/>
          <w:color w:val="000000"/>
          <w:spacing w:val="0"/>
          <w:kern w:val="0"/>
          <w:sz w:val="24"/>
          <w:szCs w:val="24"/>
          <w:u w:val="none"/>
          <w:lang w:val="en-US" w:eastAsia="zh-CN" w:bidi="ar"/>
        </w:rPr>
        <w:t>Sonyel Oflazoglu. (2018). </w:t>
      </w:r>
      <w:r>
        <w:rPr>
          <w:rFonts w:hint="default" w:ascii="Arial Regular" w:hAnsi="Arial Regular" w:cs="Arial Regular" w:eastAsiaTheme="minorEastAsia"/>
          <w:i/>
          <w:iCs/>
          <w:caps w:val="0"/>
          <w:color w:val="000000"/>
          <w:spacing w:val="0"/>
          <w:kern w:val="0"/>
          <w:sz w:val="24"/>
          <w:szCs w:val="24"/>
          <w:u w:val="none"/>
          <w:lang w:val="en-US" w:eastAsia="zh-CN" w:bidi="ar"/>
        </w:rPr>
        <w:t>Marketing</w:t>
      </w:r>
      <w:r>
        <w:rPr>
          <w:rFonts w:hint="default" w:ascii="Arial Regular" w:hAnsi="Arial Regular" w:cs="Arial Regular" w:eastAsiaTheme="minorEastAsia"/>
          <w:i w:val="0"/>
          <w:iCs w:val="0"/>
          <w:caps w:val="0"/>
          <w:color w:val="000000"/>
          <w:spacing w:val="0"/>
          <w:kern w:val="0"/>
          <w:sz w:val="24"/>
          <w:szCs w:val="24"/>
          <w:u w:val="none"/>
          <w:lang w:val="en-US" w:eastAsia="zh-CN" w:bidi="ar"/>
        </w:rPr>
        <w:t> (S. Oflazoglu, Ed.). IntechOpen.</w:t>
      </w:r>
    </w:p>
    <w:p>
      <w:pPr>
        <w:numPr>
          <w:numId w:val="0"/>
        </w:num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sz w:val="24"/>
          <w:szCs w:val="24"/>
          <w:u w:val="none"/>
        </w:rPr>
      </w:pPr>
      <w:r>
        <w:rPr>
          <w:rFonts w:hint="eastAsia" w:ascii="Arial Regular" w:hAnsi="Arial Regular" w:cs="Arial Regular"/>
          <w:i w:val="0"/>
          <w:iCs w:val="0"/>
          <w:caps w:val="0"/>
          <w:color w:val="000000"/>
          <w:spacing w:val="0"/>
          <w:kern w:val="0"/>
          <w:sz w:val="24"/>
          <w:szCs w:val="24"/>
          <w:u w:val="none"/>
          <w:lang w:val="en-US" w:eastAsia="zh-CN" w:bidi="ar"/>
        </w:rPr>
        <w:t>（16）</w:t>
      </w:r>
      <w:r>
        <w:rPr>
          <w:rFonts w:hint="default" w:ascii="Arial Regular" w:hAnsi="Arial Regular" w:cs="Arial Regular" w:eastAsiaTheme="minorEastAsia"/>
          <w:i w:val="0"/>
          <w:iCs w:val="0"/>
          <w:caps w:val="0"/>
          <w:color w:val="000000"/>
          <w:spacing w:val="0"/>
          <w:kern w:val="0"/>
          <w:sz w:val="24"/>
          <w:szCs w:val="24"/>
          <w:u w:val="none"/>
          <w:lang w:val="en-US" w:eastAsia="zh-CN" w:bidi="ar"/>
        </w:rPr>
        <w:t>Weinstein, Art., &amp; Weinstein, Art. (2004). </w:t>
      </w:r>
      <w:r>
        <w:rPr>
          <w:rFonts w:hint="default" w:ascii="Arial Regular" w:hAnsi="Arial Regular" w:cs="Arial Regular" w:eastAsiaTheme="minorEastAsia"/>
          <w:i/>
          <w:iCs/>
          <w:caps w:val="0"/>
          <w:color w:val="000000"/>
          <w:spacing w:val="0"/>
          <w:kern w:val="0"/>
          <w:sz w:val="24"/>
          <w:szCs w:val="24"/>
          <w:u w:val="none"/>
          <w:lang w:val="en-US" w:eastAsia="zh-CN" w:bidi="ar"/>
        </w:rPr>
        <w:t>Handbook of market segmentation : strategic targeting for business and technology firms</w:t>
      </w:r>
      <w:r>
        <w:rPr>
          <w:rFonts w:hint="default" w:ascii="Arial Regular" w:hAnsi="Arial Regular" w:cs="Arial Regular" w:eastAsiaTheme="minorEastAsia"/>
          <w:i w:val="0"/>
          <w:iCs w:val="0"/>
          <w:caps w:val="0"/>
          <w:color w:val="000000"/>
          <w:spacing w:val="0"/>
          <w:kern w:val="0"/>
          <w:sz w:val="24"/>
          <w:szCs w:val="24"/>
          <w:u w:val="none"/>
          <w:lang w:val="en-US" w:eastAsia="zh-CN" w:bidi="ar"/>
        </w:rPr>
        <w:t> (Third edition.). Routledge.</w:t>
      </w:r>
    </w:p>
    <w:p>
      <w:pPr>
        <w:numPr>
          <w:numId w:val="0"/>
        </w:num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sz w:val="24"/>
          <w:szCs w:val="24"/>
          <w:u w:val="none"/>
        </w:rPr>
      </w:pPr>
      <w:r>
        <w:rPr>
          <w:rFonts w:hint="eastAsia" w:ascii="Arial Regular" w:hAnsi="Arial Regular" w:cs="Arial Regular"/>
          <w:i/>
          <w:iCs/>
          <w:caps w:val="0"/>
          <w:color w:val="000000"/>
          <w:spacing w:val="0"/>
          <w:kern w:val="0"/>
          <w:sz w:val="24"/>
          <w:szCs w:val="24"/>
          <w:u w:val="none"/>
          <w:lang w:val="en-US" w:eastAsia="zh-CN" w:bidi="ar"/>
        </w:rPr>
        <w:t>（17）</w:t>
      </w:r>
      <w:r>
        <w:rPr>
          <w:rFonts w:hint="default" w:ascii="Arial Regular" w:hAnsi="Arial Regular" w:cs="Arial Regular" w:eastAsiaTheme="minorEastAsia"/>
          <w:i/>
          <w:iCs/>
          <w:caps w:val="0"/>
          <w:color w:val="000000"/>
          <w:spacing w:val="0"/>
          <w:kern w:val="0"/>
          <w:sz w:val="24"/>
          <w:szCs w:val="24"/>
          <w:u w:val="none"/>
          <w:lang w:val="en-US" w:eastAsia="zh-CN" w:bidi="ar"/>
        </w:rPr>
        <w:t>Corporate strategy: diversification</w:t>
      </w:r>
      <w:r>
        <w:rPr>
          <w:rFonts w:hint="default" w:ascii="Arial Regular" w:hAnsi="Arial Regular" w:cs="Arial Regular" w:eastAsiaTheme="minorEastAsia"/>
          <w:i w:val="0"/>
          <w:iCs w:val="0"/>
          <w:caps w:val="0"/>
          <w:color w:val="000000"/>
          <w:spacing w:val="0"/>
          <w:kern w:val="0"/>
          <w:sz w:val="24"/>
          <w:szCs w:val="24"/>
          <w:u w:val="none"/>
          <w:lang w:val="en-US" w:eastAsia="zh-CN" w:bidi="ar"/>
        </w:rPr>
        <w:t>. (2022). Henry Stewart Talks Ltd.</w:t>
      </w:r>
    </w:p>
    <w:p>
      <w:pPr>
        <w:numPr>
          <w:numId w:val="0"/>
        </w:num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sz w:val="24"/>
          <w:szCs w:val="24"/>
          <w:u w:val="none"/>
        </w:rPr>
      </w:pPr>
      <w:r>
        <w:rPr>
          <w:rFonts w:hint="eastAsia" w:ascii="Arial Regular" w:hAnsi="Arial Regular" w:cs="Arial Regular"/>
          <w:i w:val="0"/>
          <w:iCs w:val="0"/>
          <w:caps w:val="0"/>
          <w:color w:val="000000"/>
          <w:spacing w:val="0"/>
          <w:kern w:val="0"/>
          <w:sz w:val="24"/>
          <w:szCs w:val="24"/>
          <w:u w:val="none"/>
          <w:lang w:val="en-US" w:eastAsia="zh-CN" w:bidi="ar"/>
        </w:rPr>
        <w:t>（18）</w:t>
      </w:r>
      <w:r>
        <w:rPr>
          <w:rFonts w:hint="default" w:ascii="Arial Regular" w:hAnsi="Arial Regular" w:cs="Arial Regular" w:eastAsiaTheme="minorEastAsia"/>
          <w:i w:val="0"/>
          <w:iCs w:val="0"/>
          <w:caps w:val="0"/>
          <w:color w:val="000000"/>
          <w:spacing w:val="0"/>
          <w:kern w:val="0"/>
          <w:sz w:val="24"/>
          <w:szCs w:val="24"/>
          <w:u w:val="none"/>
          <w:lang w:val="en-US" w:eastAsia="zh-CN" w:bidi="ar"/>
        </w:rPr>
        <w:t>Baack, D. W., &amp; Czarnecka, B. (2019). </w:t>
      </w:r>
      <w:r>
        <w:rPr>
          <w:rFonts w:hint="default" w:ascii="Arial Regular" w:hAnsi="Arial Regular" w:cs="Arial Regular" w:eastAsiaTheme="minorEastAsia"/>
          <w:i/>
          <w:iCs/>
          <w:caps w:val="0"/>
          <w:color w:val="000000"/>
          <w:spacing w:val="0"/>
          <w:kern w:val="0"/>
          <w:sz w:val="24"/>
          <w:szCs w:val="24"/>
          <w:u w:val="none"/>
          <w:lang w:val="en-US" w:eastAsia="zh-CN" w:bidi="ar"/>
        </w:rPr>
        <w:t>International marketing</w:t>
      </w:r>
      <w:r>
        <w:rPr>
          <w:rFonts w:hint="default" w:ascii="Arial Regular" w:hAnsi="Arial Regular" w:cs="Arial Regular" w:eastAsiaTheme="minorEastAsia"/>
          <w:i w:val="0"/>
          <w:iCs w:val="0"/>
          <w:caps w:val="0"/>
          <w:color w:val="000000"/>
          <w:spacing w:val="0"/>
          <w:kern w:val="0"/>
          <w:sz w:val="24"/>
          <w:szCs w:val="24"/>
          <w:u w:val="none"/>
          <w:lang w:val="en-US" w:eastAsia="zh-CN" w:bidi="ar"/>
        </w:rPr>
        <w:t> (2nd edition). SAGE.</w:t>
      </w:r>
    </w:p>
    <w:p>
      <w:pPr>
        <w:numPr>
          <w:numId w:val="0"/>
        </w:num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sz w:val="24"/>
          <w:szCs w:val="24"/>
          <w:u w:val="none"/>
        </w:rPr>
      </w:pPr>
      <w:r>
        <w:rPr>
          <w:rFonts w:hint="eastAsia" w:ascii="Arial Regular" w:hAnsi="Arial Regular" w:cs="Arial Regular"/>
          <w:i w:val="0"/>
          <w:iCs w:val="0"/>
          <w:caps w:val="0"/>
          <w:color w:val="000000"/>
          <w:spacing w:val="0"/>
          <w:kern w:val="0"/>
          <w:sz w:val="24"/>
          <w:szCs w:val="24"/>
          <w:u w:val="none"/>
          <w:lang w:val="en-US" w:eastAsia="zh-CN" w:bidi="ar"/>
        </w:rPr>
        <w:t>（19）</w:t>
      </w:r>
      <w:r>
        <w:rPr>
          <w:rFonts w:hint="default" w:ascii="Arial Regular" w:hAnsi="Arial Regular" w:cs="Arial Regular" w:eastAsiaTheme="minorEastAsia"/>
          <w:i w:val="0"/>
          <w:iCs w:val="0"/>
          <w:caps w:val="0"/>
          <w:color w:val="000000"/>
          <w:spacing w:val="0"/>
          <w:kern w:val="0"/>
          <w:sz w:val="24"/>
          <w:szCs w:val="24"/>
          <w:u w:val="none"/>
          <w:lang w:val="en-US" w:eastAsia="zh-CN" w:bidi="ar"/>
        </w:rPr>
        <w:t>Chkoniya, V. (2020). </w:t>
      </w:r>
      <w:r>
        <w:rPr>
          <w:rFonts w:hint="default" w:ascii="Arial Regular" w:hAnsi="Arial Regular" w:cs="Arial Regular" w:eastAsiaTheme="minorEastAsia"/>
          <w:i/>
          <w:iCs/>
          <w:caps w:val="0"/>
          <w:color w:val="000000"/>
          <w:spacing w:val="0"/>
          <w:kern w:val="0"/>
          <w:sz w:val="24"/>
          <w:szCs w:val="24"/>
          <w:u w:val="none"/>
          <w:lang w:val="en-US" w:eastAsia="zh-CN" w:bidi="ar"/>
        </w:rPr>
        <w:t>Anthropological approaches to understanding consumption patterns and consumer behavior</w:t>
      </w:r>
      <w:r>
        <w:rPr>
          <w:rFonts w:hint="default" w:ascii="Arial Regular" w:hAnsi="Arial Regular" w:cs="Arial Regular" w:eastAsiaTheme="minorEastAsia"/>
          <w:i w:val="0"/>
          <w:iCs w:val="0"/>
          <w:caps w:val="0"/>
          <w:color w:val="000000"/>
          <w:spacing w:val="0"/>
          <w:kern w:val="0"/>
          <w:sz w:val="24"/>
          <w:szCs w:val="24"/>
          <w:u w:val="none"/>
          <w:lang w:val="en-US" w:eastAsia="zh-CN" w:bidi="ar"/>
        </w:rPr>
        <w:t> (V. Chkoniya, A. Madsen, &amp; P. Buxrašvili, Eds.). Information Science Reference. https://doi.org/10.4018/978-1-7998-3115-0</w:t>
      </w:r>
    </w:p>
    <w:p>
      <w:pPr>
        <w:numPr>
          <w:numId w:val="0"/>
        </w:numPr>
        <w:rPr>
          <w:rFonts w:hint="eastAsia" w:asciiTheme="minorEastAsia" w:hAnsiTheme="minorEastAsia" w:eastAsiaTheme="minorEastAsia" w:cstheme="minorEastAsia"/>
          <w:sz w:val="24"/>
          <w:szCs w:val="24"/>
          <w:lang w:val="en-US" w:eastAsia="zh-CN"/>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Calibri">
    <w:altName w:val="Helvetica Neue"/>
    <w:panose1 w:val="020F0502020204030204"/>
    <w:charset w:val="86"/>
    <w:family w:val="swiss"/>
    <w:pitch w:val="default"/>
    <w:sig w:usb0="00000000" w:usb1="00000000" w:usb2="00000001" w:usb3="00000000" w:csb0="0000019F" w:csb1="00000000"/>
  </w:font>
  <w:font w:name="宋体-简">
    <w:panose1 w:val="02010800040101010101"/>
    <w:charset w:val="86"/>
    <w:family w:val="auto"/>
    <w:pitch w:val="default"/>
    <w:sig w:usb0="00000001" w:usb1="080F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冬青黑体简体中文">
    <w:panose1 w:val="020B0300000000000000"/>
    <w:charset w:val="86"/>
    <w:family w:val="auto"/>
    <w:pitch w:val="default"/>
    <w:sig w:usb0="A00002BF" w:usb1="1ACF7CFA" w:usb2="00000016" w:usb3="00000000" w:csb0="00060007"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 w:name="汉仪君黑">
    <w:panose1 w:val="020B0604020202020204"/>
    <w:charset w:val="86"/>
    <w:family w:val="auto"/>
    <w:pitch w:val="default"/>
    <w:sig w:usb0="A00002BF" w:usb1="0ACF7CFA" w:usb2="00000016" w:usb3="00000000" w:csb0="2004000F" w:csb1="00000000"/>
  </w:font>
  <w:font w:name="汉仪楷体KW">
    <w:panose1 w:val="00020600040101010101"/>
    <w:charset w:val="86"/>
    <w:family w:val="auto"/>
    <w:pitch w:val="default"/>
    <w:sig w:usb0="A00002BF" w:usb1="18EF7CFA" w:usb2="00000016" w:usb3="00000000" w:csb0="00040000" w:csb1="00000000"/>
  </w:font>
  <w:font w:name="Arial Regular">
    <w:panose1 w:val="020B0604020202090204"/>
    <w:charset w:val="00"/>
    <w:family w:val="auto"/>
    <w:pitch w:val="default"/>
    <w:sig w:usb0="E0000AFF" w:usb1="00007843" w:usb2="00000001" w:usb3="00000000" w:csb0="400001BF" w:csb1="DFF70000"/>
  </w:font>
  <w:font w:name="Gujarati MT Regular">
    <w:panose1 w:val="00000500070000000000"/>
    <w:charset w:val="00"/>
    <w:family w:val="auto"/>
    <w:pitch w:val="default"/>
    <w:sig w:usb0="80048003" w:usb1="1000C0C1" w:usb2="00000000" w:usb3="00000000" w:csb0="00000001" w:csb1="00000000"/>
  </w:font>
  <w:font w:name="DecoType Naskh">
    <w:panose1 w:val="00000400000000000000"/>
    <w:charset w:val="00"/>
    <w:family w:val="auto"/>
    <w:pitch w:val="default"/>
    <w:sig w:usb0="80002000" w:usb1="80000000" w:usb2="00000008" w:usb3="00000000" w:csb0="00000040" w:csb1="00000000"/>
  </w:font>
  <w:font w:name="STHeiti Light">
    <w:panose1 w:val="02010600040101010101"/>
    <w:charset w:val="86"/>
    <w:family w:val="auto"/>
    <w:pitch w:val="default"/>
    <w:sig w:usb0="00000287" w:usb1="080F0000" w:usb2="00000000" w:usb3="00000000" w:csb0="0004009F" w:csb1="DFD70000"/>
  </w:font>
  <w:font w:name="汉仪粗仿宋简">
    <w:panose1 w:val="02010600000101010101"/>
    <w:charset w:val="86"/>
    <w:family w:val="auto"/>
    <w:pitch w:val="default"/>
    <w:sig w:usb0="00000001" w:usb1="080E0800" w:usb2="00000002" w:usb3="00000000" w:csb0="00040000" w:csb1="00000000"/>
  </w:font>
  <w:font w:name="HanziPen TC Regular">
    <w:panose1 w:val="03000300000000000000"/>
    <w:charset w:val="86"/>
    <w:family w:val="auto"/>
    <w:pitch w:val="default"/>
    <w:sig w:usb0="A00002FF" w:usb1="7ACF7CFB" w:usb2="00000016" w:usb3="00000000" w:csb0="00040001" w:csb1="00000000"/>
  </w:font>
  <w:font w:name="Arial Bold">
    <w:panose1 w:val="020B0604020202090204"/>
    <w:charset w:val="00"/>
    <w:family w:val="auto"/>
    <w:pitch w:val="default"/>
    <w:sig w:usb0="E0000AFF" w:usb1="00007843" w:usb2="00000001" w:usb3="00000000" w:csb0="4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ItvYn3AIAACQGAAAOAAAAZHJz&#10;L2Uyb0RvYy54bWytVM1u1DAQviPxDpbvaZJtus1GzVbbTYOQKlqpIM5ex9lYOLZle38K4gpvwIkL&#10;d56rz8E42ey2BaFKsIfs2DOeme+bn7PzbSvQmhnLlcxxfBRhxCRVFZfLHL97WwYpRtYRWRGhJMvx&#10;HbP4fPryxdlGZ2ykGiUqZhA4kTbb6Bw3zuksDC1tWEvskdJMgrJWpiUOjmYZVoZswHsrwlEUjcON&#10;MpU2ijJr4bbolXjn0TzHoaprTlmh6Kpl0vVeDRPEASTbcG3xtMu2rhl113VtmUMix4DUdV8IAvLC&#10;f8PpGcmWhuiG010K5DkpPMHUEi4h6N5VQRxBK8N/c9VyapRVtTuiqg17IB0jgCKOnnBz2xDNOixA&#10;tdV70u3/c0vfrG8M4hV0AkaStFDw+29f77//vP/xBcWeno22GVjdarBz2wu19aa7ewuXHvW2Nq3/&#10;BzwI9EDu3Z5ctnWI+kfpKE0jUFHQDQfwEx6ea2PdK6Za5IUcG6heRypZX1nXmw4mPppUJRcC7kkm&#10;JNrkeHx8EnUP9hpwLqQ3gCzAx07qK/NpEk0u08s0CZLR+DJIoqIIZuU8CcZlfHpSHBfzeRF/9v7i&#10;JGt4VTHp4w1dEifPq8KuU/r67vvEKsEr786nZM1yMRcGrQl0adn9PMOQ/AOz8HEanRpQPYEUj5Lo&#10;YjQJynF6GiRlchJMTqM0iOLJxWQcJZOkKB9DuuKS/TukR+w/SJpkvmB7bAtB6Ie/QvPpHKABA0Ph&#10;Qt+Hfb95yW0XW6DIiwtV3UFvGtUPt9W05BD0ilh3QwxMM/Qc7Dt3DZ9aKOgTtZMwapT5+Kd7bw/l&#10;BS1GG9gOOZawDDESryUMHzh0g2AGYTEIctXOFRQSBgpy6UR4YJwYxNqo9j0swZmPASoiKUTKsRvE&#10;ues3FCxRymazzmilDV82/QNYHZq4K3mrqQ/TtZCerRzMQzcmB1aASn+A5dGRult0fjs9PHdWh+U+&#10;/Q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b&#10;BQAAW0NvbnRlbnRfVHlwZXNdLnhtbFBLAQIUAAoAAAAAAIdO4kAAAAAAAAAAAAAAAAAGAAAAAAAA&#10;AAAAEAAAAD0EAABfcmVscy9QSwECFAAUAAAACACHTuJAihRmPNEAAACUAQAACwAAAAAAAAABACAA&#10;AABhBAAAX3JlbHMvLnJlbHNQSwECFAAKAAAAAACHTuJAAAAAAAAAAAAAAAAABAAAAAAAAAAAABAA&#10;AAAWAAAAZHJzL1BLAQIUABQAAAAIAIdO4kCzSVju0AAAAAUBAAAPAAAAAAAAAAEAIAAAADgAAABk&#10;cnMvZG93bnJldi54bWxQSwECFAAUAAAACACHTuJASLb2J9wCAAAkBgAADgAAAAAAAAABACAAAAA1&#10;AQAAZHJzL2Uyb0RvYy54bWxQSwUGAAAAAAYABgBZAQAAgwY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2</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4"/>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3B7FE09"/>
    <w:rsid w:val="1FDB3990"/>
    <w:rsid w:val="2FC6AA0C"/>
    <w:rsid w:val="33EF9517"/>
    <w:rsid w:val="3B7D3E12"/>
    <w:rsid w:val="3BEF6B8D"/>
    <w:rsid w:val="3BFF8CBA"/>
    <w:rsid w:val="3F570928"/>
    <w:rsid w:val="3FDC984A"/>
    <w:rsid w:val="5DEB521D"/>
    <w:rsid w:val="5FF49403"/>
    <w:rsid w:val="5FFFBB85"/>
    <w:rsid w:val="6EFF0611"/>
    <w:rsid w:val="6EFF3763"/>
    <w:rsid w:val="6FEFACBF"/>
    <w:rsid w:val="77FF1409"/>
    <w:rsid w:val="7BF7435C"/>
    <w:rsid w:val="7DB7AECD"/>
    <w:rsid w:val="7EEE3D85"/>
    <w:rsid w:val="7F1D721E"/>
    <w:rsid w:val="9F95C67A"/>
    <w:rsid w:val="B75F5CBD"/>
    <w:rsid w:val="B7ED0876"/>
    <w:rsid w:val="B7FA38E6"/>
    <w:rsid w:val="BB585D2F"/>
    <w:rsid w:val="C4E0DB9B"/>
    <w:rsid w:val="D72D3FF3"/>
    <w:rsid w:val="D7DFD37D"/>
    <w:rsid w:val="DEBDC84E"/>
    <w:rsid w:val="DEFAFD68"/>
    <w:rsid w:val="E53A0841"/>
    <w:rsid w:val="EDFF0639"/>
    <w:rsid w:val="EEEF9132"/>
    <w:rsid w:val="F3FFCDCF"/>
    <w:rsid w:val="F67F1905"/>
    <w:rsid w:val="FADFD29F"/>
    <w:rsid w:val="FBFBA281"/>
    <w:rsid w:val="FE7D6E94"/>
    <w:rsid w:val="FF6BE40C"/>
    <w:rsid w:val="FF6FA7DD"/>
    <w:rsid w:val="FFBF9352"/>
    <w:rsid w:val="FFEF9700"/>
    <w:rsid w:val="FFFB90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240" w:after="0"/>
      <w:outlineLvl w:val="0"/>
    </w:pPr>
    <w:rPr>
      <w:rFonts w:eastAsiaTheme="majorEastAsia" w:cstheme="majorBidi"/>
      <w:color w:val="2E54A1" w:themeColor="accent1" w:themeShade="BF"/>
      <w:sz w:val="32"/>
      <w:szCs w:val="32"/>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uiPriority w:val="0"/>
    <w:pPr>
      <w:spacing w:before="0" w:beforeAutospacing="1" w:after="0" w:afterAutospacing="1"/>
      <w:ind w:left="0" w:right="0"/>
      <w:jc w:val="left"/>
    </w:pPr>
    <w:rPr>
      <w:kern w:val="0"/>
      <w:sz w:val="24"/>
      <w:lang w:val="en-US" w:eastAsia="zh-CN" w:bidi="ar"/>
    </w:rPr>
  </w:style>
  <w:style w:type="character" w:styleId="9">
    <w:name w:val="Hyperlink"/>
    <w:basedOn w:val="8"/>
    <w:uiPriority w:val="0"/>
    <w:rPr>
      <w:color w:val="0000FF"/>
      <w:u w:val="single"/>
    </w:rPr>
  </w:style>
  <w:style w:type="paragraph" w:customStyle="1" w:styleId="10">
    <w:name w:val="WPSOffice手动目录 1"/>
    <w:uiPriority w:val="0"/>
    <w:pPr>
      <w:ind w:leftChars="0"/>
    </w:pPr>
    <w:rPr>
      <w:sz w:val="20"/>
      <w:szCs w:val="20"/>
    </w:rPr>
  </w:style>
  <w:style w:type="paragraph" w:customStyle="1" w:styleId="11">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Users/qihanjia/Library/Containers/com.kingsoft.wpsoffice.mac/Data/Normal.wpt" TargetMode="Externa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Office_6.2.2.8394_F1E327BC-269C-435d-A152-05C5408002CA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2024-02-25T20:25:00Z</dcterms:created>
  <dc:creator>贾棋涵</dc:creator>
  <cp:lastModifiedBy>贾棋涵</cp:lastModifiedBy>
  <dcterms:modified xsi:type="dcterms:W3CDTF">2024-03-15T17:56:37Z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2052-6.2.2.8394</vt:lpwstr>
  </property>
  <property fmtid="{D5CDD505-2E9C-101B-9397-08002B2CF9AE}" pid="3" name="ICV">
    <vt:lpwstr>E1DAF10C77B4F157F0E4EB65EE38F1F6_43</vt:lpwstr>
  </property>
</Properties>
</file>