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93300106"/>
        <w:docPartObj>
          <w:docPartGallery w:val="Cover Pages"/>
          <w:docPartUnique/>
        </w:docPartObj>
      </w:sdtPr>
      <w:sdtEndPr>
        <w:rPr>
          <w:rFonts w:ascii="Times New Roman" w:hAnsi="Times New Roman"/>
          <w:sz w:val="28"/>
          <w:szCs w:val="28"/>
        </w:rPr>
      </w:sdtEndPr>
      <w:sdtContent>
        <w:p w14:paraId="54D0F3B2" w14:textId="77777777" w:rsidR="00E2659D" w:rsidRDefault="004F0757">
          <w:r>
            <w:rPr>
              <w:noProof/>
            </w:rPr>
            <mc:AlternateContent>
              <mc:Choice Requires="wpg">
                <w:drawing>
                  <wp:anchor distT="0" distB="0" distL="114300" distR="114300" simplePos="0" relativeHeight="251659264" behindDoc="1" locked="0" layoutInCell="1" allowOverlap="1" wp14:anchorId="6F21C6D5" wp14:editId="0AA607DF">
                    <wp:simplePos x="0" y="0"/>
                    <wp:positionH relativeFrom="page">
                      <wp:posOffset>-66675</wp:posOffset>
                    </wp:positionH>
                    <wp:positionV relativeFrom="page">
                      <wp:posOffset>257175</wp:posOffset>
                    </wp:positionV>
                    <wp:extent cx="7553325" cy="9719310"/>
                    <wp:effectExtent l="0" t="0" r="0" b="0"/>
                    <wp:wrapNone/>
                    <wp:docPr id="119" name="Group 119"/>
                    <wp:cNvGraphicFramePr/>
                    <a:graphic xmlns:a="http://schemas.openxmlformats.org/drawingml/2006/main">
                      <a:graphicData uri="http://schemas.microsoft.com/office/word/2010/wordprocessingGroup">
                        <wpg:wgp>
                          <wpg:cNvGrpSpPr/>
                          <wpg:grpSpPr>
                            <a:xfrm>
                              <a:off x="0" y="0"/>
                              <a:ext cx="7553325" cy="9719310"/>
                              <a:chOff x="-419100" y="-447671"/>
                              <a:chExt cx="7553325" cy="9719421"/>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35A87283" w14:textId="1F0AF636" w:rsidR="00E2659D" w:rsidRDefault="00E2659D">
                                      <w:pPr>
                                        <w:pStyle w:val="NoSpacing"/>
                                        <w:rPr>
                                          <w:color w:val="FFFFFF" w:themeColor="background1"/>
                                          <w:sz w:val="32"/>
                                          <w:szCs w:val="32"/>
                                        </w:rPr>
                                      </w:pPr>
                                      <w:r>
                                        <w:rPr>
                                          <w:color w:val="FFFFFF" w:themeColor="background1"/>
                                          <w:sz w:val="32"/>
                                          <w:szCs w:val="32"/>
                                        </w:rPr>
                                        <w:t>MD R Ahmed</w:t>
                                      </w:r>
                                    </w:p>
                                  </w:sdtContent>
                                </w:sdt>
                                <w:p w14:paraId="1A3DE309" w14:textId="6CE82B74" w:rsidR="00E2659D" w:rsidRDefault="00DE4A19">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EndPr/>
                                    <w:sdtContent>
                                      <w:r w:rsidR="00E2659D">
                                        <w:rPr>
                                          <w:caps/>
                                          <w:color w:val="FFFFFF" w:themeColor="background1"/>
                                        </w:rPr>
                                        <w:t xml:space="preserve">     </w:t>
                                      </w:r>
                                    </w:sdtContent>
                                  </w:sdt>
                                  <w:r w:rsidR="00E2659D">
                                    <w:rPr>
                                      <w:caps/>
                                      <w:color w:val="FFFFFF" w:themeColor="background1"/>
                                    </w:rPr>
                                    <w:t xml:space="preserve"> </w:t>
                                  </w:r>
                                  <w:r w:rsidR="00357783">
                                    <w:rPr>
                                      <w:caps/>
                                      <w:color w:val="FFFFFF" w:themeColor="background1"/>
                                    </w:rPr>
                                    <w:t>202</w:t>
                                  </w:r>
                                  <w:r w:rsidR="00875D11">
                                    <w:rPr>
                                      <w:caps/>
                                      <w:color w:val="FFFFFF" w:themeColor="background1"/>
                                    </w:rPr>
                                    <w:t>2</w:t>
                                  </w:r>
                                  <w:r w:rsidR="00E2659D">
                                    <w:rPr>
                                      <w:caps/>
                                      <w:color w:val="FFFFFF" w:themeColor="background1"/>
                                    </w:rPr>
                                    <w:t xml:space="preserve">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E2659D">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419100" y="-447671"/>
                                <a:ext cx="7553325" cy="38767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3B82C5" w14:textId="34E9EA68" w:rsidR="00E2659D" w:rsidRPr="00E2659D" w:rsidRDefault="007B7AE7" w:rsidP="007B7AE7">
                                  <w:pPr>
                                    <w:pStyle w:val="NoSpacing"/>
                                    <w:pBdr>
                                      <w:bottom w:val="single" w:sz="6" w:space="4" w:color="7F7F7F" w:themeColor="text1" w:themeTint="80"/>
                                    </w:pBdr>
                                    <w:jc w:val="center"/>
                                    <w:rPr>
                                      <w:rFonts w:ascii="Times New Roman" w:eastAsiaTheme="majorEastAsia" w:hAnsi="Times New Roman" w:cs="Times New Roman"/>
                                      <w:color w:val="70AD47" w:themeColor="accent6"/>
                                      <w:sz w:val="72"/>
                                      <w:szCs w:val="72"/>
                                    </w:rPr>
                                  </w:pPr>
                                  <w:r>
                                    <w:rPr>
                                      <w:rFonts w:ascii="Times New Roman" w:eastAsiaTheme="majorEastAsia" w:hAnsi="Times New Roman" w:cs="Times New Roman"/>
                                      <w:color w:val="70AD47" w:themeColor="accent6"/>
                                      <w:sz w:val="72"/>
                                      <w:szCs w:val="72"/>
                                    </w:rPr>
                                    <w:t>LLB</w:t>
                                  </w:r>
                                  <w:r w:rsidR="003D20D9">
                                    <w:rPr>
                                      <w:rFonts w:ascii="Times New Roman" w:eastAsiaTheme="majorEastAsia" w:hAnsi="Times New Roman" w:cs="Times New Roman"/>
                                      <w:color w:val="70AD47" w:themeColor="accent6"/>
                                      <w:sz w:val="72"/>
                                      <w:szCs w:val="72"/>
                                    </w:rPr>
                                    <w:t xml:space="preserve"> Law and Legal Practice</w:t>
                                  </w:r>
                                </w:p>
                                <w:sdt>
                                  <w:sdtPr>
                                    <w:rPr>
                                      <w:rFonts w:ascii="Times New Roman" w:hAnsi="Times New Roman"/>
                                      <w:b/>
                                      <w:color w:val="7030A0"/>
                                      <w:sz w:val="28"/>
                                      <w:szCs w:val="28"/>
                                      <w:lang w:val="en-GB"/>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2D14A9BE" w14:textId="542FAFE5" w:rsidR="00E2659D" w:rsidRPr="00A426D8" w:rsidRDefault="00DD3F16" w:rsidP="00E2659D">
                                      <w:pPr>
                                        <w:pStyle w:val="NoSpacing"/>
                                        <w:spacing w:before="240"/>
                                        <w:jc w:val="center"/>
                                        <w:rPr>
                                          <w:rFonts w:ascii="Times New Roman" w:hAnsi="Times New Roman" w:cs="Times New Roman"/>
                                          <w:caps/>
                                          <w:color w:val="7030A0"/>
                                          <w:sz w:val="28"/>
                                          <w:szCs w:val="28"/>
                                        </w:rPr>
                                      </w:pPr>
                                      <w:r w:rsidRPr="00A426D8">
                                        <w:rPr>
                                          <w:rFonts w:ascii="Times New Roman" w:hAnsi="Times New Roman"/>
                                          <w:b/>
                                          <w:color w:val="7030A0"/>
                                          <w:sz w:val="28"/>
                                          <w:szCs w:val="28"/>
                                          <w:lang w:val="en-GB"/>
                                        </w:rPr>
                                        <w:t>Assignment – 2: Case Study; Occupiers Liability and Psychiatric Harm</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F21C6D5" id="Group 119" o:spid="_x0000_s1026" style="position:absolute;margin-left:-5.25pt;margin-top:20.25pt;width:594.75pt;height:765.3pt;z-index:-251657216;mso-position-horizontal-relative:page;mso-position-vertical-relative:page" coordorigin="-4191,-4476" coordsize="75533,971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35A87283" w14:textId="1F0AF636" w:rsidR="00E2659D" w:rsidRDefault="00E2659D">
                                <w:pPr>
                                  <w:pStyle w:val="NoSpacing"/>
                                  <w:rPr>
                                    <w:color w:val="FFFFFF" w:themeColor="background1"/>
                                    <w:sz w:val="32"/>
                                    <w:szCs w:val="32"/>
                                  </w:rPr>
                                </w:pPr>
                                <w:r>
                                  <w:rPr>
                                    <w:color w:val="FFFFFF" w:themeColor="background1"/>
                                    <w:sz w:val="32"/>
                                    <w:szCs w:val="32"/>
                                  </w:rPr>
                                  <w:t>MD R Ahmed</w:t>
                                </w:r>
                              </w:p>
                            </w:sdtContent>
                          </w:sdt>
                          <w:p w14:paraId="1A3DE309" w14:textId="6CE82B74" w:rsidR="00E2659D" w:rsidRDefault="00DE4A19">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EndPr/>
                              <w:sdtContent>
                                <w:r w:rsidR="00E2659D">
                                  <w:rPr>
                                    <w:caps/>
                                    <w:color w:val="FFFFFF" w:themeColor="background1"/>
                                  </w:rPr>
                                  <w:t xml:space="preserve">     </w:t>
                                </w:r>
                              </w:sdtContent>
                            </w:sdt>
                            <w:r w:rsidR="00E2659D">
                              <w:rPr>
                                <w:caps/>
                                <w:color w:val="FFFFFF" w:themeColor="background1"/>
                              </w:rPr>
                              <w:t xml:space="preserve"> </w:t>
                            </w:r>
                            <w:r w:rsidR="00357783">
                              <w:rPr>
                                <w:caps/>
                                <w:color w:val="FFFFFF" w:themeColor="background1"/>
                              </w:rPr>
                              <w:t>202</w:t>
                            </w:r>
                            <w:r w:rsidR="00875D11">
                              <w:rPr>
                                <w:caps/>
                                <w:color w:val="FFFFFF" w:themeColor="background1"/>
                              </w:rPr>
                              <w:t>2</w:t>
                            </w:r>
                            <w:r w:rsidR="00E2659D">
                              <w:rPr>
                                <w:caps/>
                                <w:color w:val="FFFFFF" w:themeColor="background1"/>
                              </w:rPr>
                              <w:t xml:space="preserve">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E2659D">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left:-4191;top:-4476;width:75533;height:3876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533B82C5" w14:textId="34E9EA68" w:rsidR="00E2659D" w:rsidRPr="00E2659D" w:rsidRDefault="007B7AE7" w:rsidP="007B7AE7">
                            <w:pPr>
                              <w:pStyle w:val="NoSpacing"/>
                              <w:pBdr>
                                <w:bottom w:val="single" w:sz="6" w:space="4" w:color="7F7F7F" w:themeColor="text1" w:themeTint="80"/>
                              </w:pBdr>
                              <w:jc w:val="center"/>
                              <w:rPr>
                                <w:rFonts w:ascii="Times New Roman" w:eastAsiaTheme="majorEastAsia" w:hAnsi="Times New Roman" w:cs="Times New Roman"/>
                                <w:color w:val="70AD47" w:themeColor="accent6"/>
                                <w:sz w:val="72"/>
                                <w:szCs w:val="72"/>
                              </w:rPr>
                            </w:pPr>
                            <w:r>
                              <w:rPr>
                                <w:rFonts w:ascii="Times New Roman" w:eastAsiaTheme="majorEastAsia" w:hAnsi="Times New Roman" w:cs="Times New Roman"/>
                                <w:color w:val="70AD47" w:themeColor="accent6"/>
                                <w:sz w:val="72"/>
                                <w:szCs w:val="72"/>
                              </w:rPr>
                              <w:t>LLB</w:t>
                            </w:r>
                            <w:r w:rsidR="003D20D9">
                              <w:rPr>
                                <w:rFonts w:ascii="Times New Roman" w:eastAsiaTheme="majorEastAsia" w:hAnsi="Times New Roman" w:cs="Times New Roman"/>
                                <w:color w:val="70AD47" w:themeColor="accent6"/>
                                <w:sz w:val="72"/>
                                <w:szCs w:val="72"/>
                              </w:rPr>
                              <w:t xml:space="preserve"> Law and Legal Practice</w:t>
                            </w:r>
                          </w:p>
                          <w:sdt>
                            <w:sdtPr>
                              <w:rPr>
                                <w:rFonts w:ascii="Times New Roman" w:hAnsi="Times New Roman"/>
                                <w:b/>
                                <w:color w:val="7030A0"/>
                                <w:sz w:val="28"/>
                                <w:szCs w:val="28"/>
                                <w:lang w:val="en-GB"/>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2D14A9BE" w14:textId="542FAFE5" w:rsidR="00E2659D" w:rsidRPr="00A426D8" w:rsidRDefault="00DD3F16" w:rsidP="00E2659D">
                                <w:pPr>
                                  <w:pStyle w:val="NoSpacing"/>
                                  <w:spacing w:before="240"/>
                                  <w:jc w:val="center"/>
                                  <w:rPr>
                                    <w:rFonts w:ascii="Times New Roman" w:hAnsi="Times New Roman" w:cs="Times New Roman"/>
                                    <w:caps/>
                                    <w:color w:val="7030A0"/>
                                    <w:sz w:val="28"/>
                                    <w:szCs w:val="28"/>
                                  </w:rPr>
                                </w:pPr>
                                <w:r w:rsidRPr="00A426D8">
                                  <w:rPr>
                                    <w:rFonts w:ascii="Times New Roman" w:hAnsi="Times New Roman"/>
                                    <w:b/>
                                    <w:color w:val="7030A0"/>
                                    <w:sz w:val="28"/>
                                    <w:szCs w:val="28"/>
                                    <w:lang w:val="en-GB"/>
                                  </w:rPr>
                                  <w:t>Assignment – 2: Case Study; Occupiers Liability and Psychiatric Harm</w:t>
                                </w:r>
                              </w:p>
                            </w:sdtContent>
                          </w:sdt>
                        </w:txbxContent>
                      </v:textbox>
                    </v:shape>
                    <w10:wrap anchorx="page" anchory="page"/>
                  </v:group>
                </w:pict>
              </mc:Fallback>
            </mc:AlternateContent>
          </w:r>
          <w:r w:rsidRPr="00A406E5">
            <w:rPr>
              <w:rFonts w:ascii="Arial" w:hAnsi="Arial" w:cs="Arial"/>
              <w:noProof/>
            </w:rPr>
            <w:drawing>
              <wp:anchor distT="0" distB="0" distL="114300" distR="114300" simplePos="0" relativeHeight="251661312" behindDoc="0" locked="0" layoutInCell="1" allowOverlap="1" wp14:anchorId="7BB1E4E5" wp14:editId="22DD5A1A">
                <wp:simplePos x="0" y="0"/>
                <wp:positionH relativeFrom="margin">
                  <wp:align>left</wp:align>
                </wp:positionH>
                <wp:positionV relativeFrom="paragraph">
                  <wp:posOffset>9525</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FE44480" w14:textId="7BD41431" w:rsidR="00DD3F16" w:rsidRPr="00AF795D" w:rsidRDefault="00357783" w:rsidP="00AF795D">
          <w:pPr>
            <w:spacing w:line="480" w:lineRule="auto"/>
            <w:jc w:val="both"/>
            <w:rPr>
              <w:rFonts w:ascii="Times New Roman" w:hAnsi="Times New Roman"/>
            </w:rPr>
          </w:pPr>
          <w:r w:rsidRPr="00357783">
            <w:rPr>
              <w:rFonts w:asciiTheme="minorHAnsi" w:hAnsiTheme="minorHAnsi" w:cstheme="minorBidi"/>
              <w:noProof/>
              <w:sz w:val="22"/>
              <w:szCs w:val="22"/>
              <w:lang w:val="en-GB"/>
            </w:rPr>
            <mc:AlternateContent>
              <mc:Choice Requires="wps">
                <w:drawing>
                  <wp:anchor distT="0" distB="0" distL="114300" distR="114300" simplePos="0" relativeHeight="251663360" behindDoc="0" locked="0" layoutInCell="1" allowOverlap="1" wp14:anchorId="4A2F6A95" wp14:editId="5461CF1B">
                    <wp:simplePos x="0" y="0"/>
                    <wp:positionH relativeFrom="margin">
                      <wp:align>right</wp:align>
                    </wp:positionH>
                    <wp:positionV relativeFrom="paragraph">
                      <wp:posOffset>2183130</wp:posOffset>
                    </wp:positionV>
                    <wp:extent cx="5467350" cy="3133725"/>
                    <wp:effectExtent l="76200" t="57150" r="76200" b="123825"/>
                    <wp:wrapNone/>
                    <wp:docPr id="3" name="Rectangle 3"/>
                    <wp:cNvGraphicFramePr/>
                    <a:graphic xmlns:a="http://schemas.openxmlformats.org/drawingml/2006/main">
                      <a:graphicData uri="http://schemas.microsoft.com/office/word/2010/wordprocessingShape">
                        <wps:wsp>
                          <wps:cNvSpPr/>
                          <wps:spPr>
                            <a:xfrm>
                              <a:off x="0" y="0"/>
                              <a:ext cx="5467350" cy="3133725"/>
                            </a:xfrm>
                            <a:prstGeom prst="rect">
                              <a:avLst/>
                            </a:prstGeom>
                            <a:solidFill>
                              <a:srgbClr val="FFC000">
                                <a:lumMod val="60000"/>
                                <a:lumOff val="40000"/>
                              </a:srgbClr>
                            </a:solidFill>
                            <a:ln w="6350" cap="flat" cmpd="sng" algn="ctr">
                              <a:noFill/>
                              <a:prstDash val="solid"/>
                              <a:miter lim="800000"/>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txbx>
                            <w:txbxContent>
                              <w:p w14:paraId="35D99AA2" w14:textId="77777777"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Student Name: MD ROSHID AHMED</w:t>
                                </w:r>
                              </w:p>
                              <w:p w14:paraId="780E129D" w14:textId="77777777"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Student ID: 1922561</w:t>
                                </w:r>
                              </w:p>
                              <w:p w14:paraId="4EED0D91" w14:textId="2A4FCD07"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Course Lecturer: </w:t>
                                </w:r>
                                <w:r w:rsidR="00A426D8">
                                  <w:rPr>
                                    <w:rFonts w:ascii="Times New Roman" w:hAnsi="Times New Roman"/>
                                    <w:b/>
                                    <w:sz w:val="32"/>
                                    <w:szCs w:val="32"/>
                                  </w:rPr>
                                  <w:t>Louise</w:t>
                                </w:r>
                                <w:r w:rsidR="00AF795D">
                                  <w:rPr>
                                    <w:rFonts w:ascii="Times New Roman" w:hAnsi="Times New Roman"/>
                                    <w:b/>
                                    <w:sz w:val="32"/>
                                    <w:szCs w:val="32"/>
                                  </w:rPr>
                                  <w:t xml:space="preserve"> Holmes</w:t>
                                </w:r>
                                <w:r w:rsidR="00A426D8">
                                  <w:rPr>
                                    <w:rFonts w:ascii="Times New Roman" w:hAnsi="Times New Roman"/>
                                    <w:b/>
                                    <w:sz w:val="32"/>
                                    <w:szCs w:val="32"/>
                                  </w:rPr>
                                  <w:t xml:space="preserve"> </w:t>
                                </w:r>
                              </w:p>
                              <w:p w14:paraId="772E4951" w14:textId="306AC722"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Course Module:</w:t>
                                </w:r>
                                <w:r w:rsidR="00A426D8">
                                  <w:rPr>
                                    <w:rFonts w:ascii="Times New Roman" w:hAnsi="Times New Roman"/>
                                    <w:b/>
                                    <w:sz w:val="32"/>
                                    <w:szCs w:val="32"/>
                                  </w:rPr>
                                  <w:t xml:space="preserve"> Tort Law</w:t>
                                </w:r>
                                <w:r w:rsidR="00FB340A">
                                  <w:rPr>
                                    <w:rFonts w:ascii="Times New Roman" w:hAnsi="Times New Roman"/>
                                    <w:b/>
                                    <w:sz w:val="32"/>
                                    <w:szCs w:val="32"/>
                                  </w:rPr>
                                  <w:t xml:space="preserve"> </w:t>
                                </w:r>
                              </w:p>
                              <w:p w14:paraId="45BF99DE" w14:textId="1524C616"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Course Code: </w:t>
                                </w:r>
                                <w:r w:rsidR="000778BB">
                                  <w:rPr>
                                    <w:rFonts w:ascii="Times New Roman" w:hAnsi="Times New Roman"/>
                                    <w:b/>
                                    <w:sz w:val="32"/>
                                    <w:szCs w:val="32"/>
                                  </w:rPr>
                                  <w:t>BMLW500</w:t>
                                </w:r>
                                <w:r w:rsidR="00AF795D">
                                  <w:rPr>
                                    <w:rFonts w:ascii="Times New Roman" w:hAnsi="Times New Roman"/>
                                    <w:b/>
                                    <w:sz w:val="32"/>
                                    <w:szCs w:val="32"/>
                                  </w:rPr>
                                  <w:t>8</w:t>
                                </w:r>
                              </w:p>
                              <w:p w14:paraId="627EB3C9" w14:textId="16725649"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Submission Deadline: </w:t>
                                </w:r>
                                <w:r w:rsidR="00A426D8">
                                  <w:rPr>
                                    <w:rFonts w:ascii="Times New Roman" w:hAnsi="Times New Roman"/>
                                    <w:b/>
                                    <w:sz w:val="32"/>
                                    <w:szCs w:val="32"/>
                                  </w:rPr>
                                  <w:t>7</w:t>
                                </w:r>
                                <w:r w:rsidR="00A426D8" w:rsidRPr="00357783">
                                  <w:rPr>
                                    <w:rFonts w:ascii="Times New Roman" w:hAnsi="Times New Roman"/>
                                    <w:b/>
                                    <w:sz w:val="32"/>
                                    <w:szCs w:val="32"/>
                                    <w:vertAlign w:val="superscript"/>
                                  </w:rPr>
                                  <w:t>th</w:t>
                                </w:r>
                                <w:r w:rsidR="00A426D8">
                                  <w:rPr>
                                    <w:rFonts w:ascii="Times New Roman" w:hAnsi="Times New Roman"/>
                                    <w:b/>
                                    <w:sz w:val="32"/>
                                    <w:szCs w:val="32"/>
                                    <w:vertAlign w:val="superscript"/>
                                  </w:rPr>
                                  <w:t xml:space="preserve"> </w:t>
                                </w:r>
                                <w:r w:rsidR="00E42CF1">
                                  <w:rPr>
                                    <w:rFonts w:ascii="Times New Roman" w:hAnsi="Times New Roman"/>
                                    <w:b/>
                                    <w:sz w:val="32"/>
                                    <w:szCs w:val="32"/>
                                  </w:rPr>
                                  <w:t>January</w:t>
                                </w:r>
                                <w:r w:rsidR="00A426D8">
                                  <w:rPr>
                                    <w:rFonts w:ascii="Times New Roman" w:hAnsi="Times New Roman"/>
                                    <w:b/>
                                    <w:sz w:val="32"/>
                                    <w:szCs w:val="32"/>
                                  </w:rPr>
                                  <w:t xml:space="preserve"> </w:t>
                                </w:r>
                                <w:r w:rsidRPr="00357783">
                                  <w:rPr>
                                    <w:rFonts w:ascii="Times New Roman" w:hAnsi="Times New Roman"/>
                                    <w:b/>
                                    <w:sz w:val="32"/>
                                    <w:szCs w:val="32"/>
                                  </w:rPr>
                                  <w:t>202</w:t>
                                </w:r>
                                <w:r w:rsidR="00E42CF1">
                                  <w:rPr>
                                    <w:rFonts w:ascii="Times New Roman" w:hAnsi="Times New Roman"/>
                                    <w:b/>
                                    <w:sz w:val="32"/>
                                    <w:szCs w:val="32"/>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2F6A95" id="Rectangle 3" o:spid="_x0000_s1030" style="position:absolute;left:0;text-align:left;margin-left:379.3pt;margin-top:171.9pt;width:430.5pt;height:246.75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" fillcolor="#ffd966" stroked="f" strokeweight=".5pt">
                    <v:shadow on="t" color="black" opacity="20971f" offset="0,2.2pt"/>
                    <v:textbox>
                      <w:txbxContent>
                        <w:p w14:paraId="35D99AA2" w14:textId="77777777"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Student Name: MD ROSHID AHMED</w:t>
                          </w:r>
                        </w:p>
                        <w:p w14:paraId="780E129D" w14:textId="77777777"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Student ID: 1922561</w:t>
                          </w:r>
                        </w:p>
                        <w:p w14:paraId="4EED0D91" w14:textId="2A4FCD07"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Course Lecturer: </w:t>
                          </w:r>
                          <w:r w:rsidR="00A426D8">
                            <w:rPr>
                              <w:rFonts w:ascii="Times New Roman" w:hAnsi="Times New Roman"/>
                              <w:b/>
                              <w:sz w:val="32"/>
                              <w:szCs w:val="32"/>
                            </w:rPr>
                            <w:t>Louise</w:t>
                          </w:r>
                          <w:r w:rsidR="00AF795D">
                            <w:rPr>
                              <w:rFonts w:ascii="Times New Roman" w:hAnsi="Times New Roman"/>
                              <w:b/>
                              <w:sz w:val="32"/>
                              <w:szCs w:val="32"/>
                            </w:rPr>
                            <w:t xml:space="preserve"> Holmes</w:t>
                          </w:r>
                          <w:r w:rsidR="00A426D8">
                            <w:rPr>
                              <w:rFonts w:ascii="Times New Roman" w:hAnsi="Times New Roman"/>
                              <w:b/>
                              <w:sz w:val="32"/>
                              <w:szCs w:val="32"/>
                            </w:rPr>
                            <w:t xml:space="preserve"> </w:t>
                          </w:r>
                        </w:p>
                        <w:p w14:paraId="772E4951" w14:textId="306AC722"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Course Module:</w:t>
                          </w:r>
                          <w:r w:rsidR="00A426D8">
                            <w:rPr>
                              <w:rFonts w:ascii="Times New Roman" w:hAnsi="Times New Roman"/>
                              <w:b/>
                              <w:sz w:val="32"/>
                              <w:szCs w:val="32"/>
                            </w:rPr>
                            <w:t xml:space="preserve"> Tort Law</w:t>
                          </w:r>
                          <w:r w:rsidR="00FB340A">
                            <w:rPr>
                              <w:rFonts w:ascii="Times New Roman" w:hAnsi="Times New Roman"/>
                              <w:b/>
                              <w:sz w:val="32"/>
                              <w:szCs w:val="32"/>
                            </w:rPr>
                            <w:t xml:space="preserve"> </w:t>
                          </w:r>
                        </w:p>
                        <w:p w14:paraId="45BF99DE" w14:textId="1524C616"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Course Code: </w:t>
                          </w:r>
                          <w:r w:rsidR="000778BB">
                            <w:rPr>
                              <w:rFonts w:ascii="Times New Roman" w:hAnsi="Times New Roman"/>
                              <w:b/>
                              <w:sz w:val="32"/>
                              <w:szCs w:val="32"/>
                            </w:rPr>
                            <w:t>BMLW500</w:t>
                          </w:r>
                          <w:r w:rsidR="00AF795D">
                            <w:rPr>
                              <w:rFonts w:ascii="Times New Roman" w:hAnsi="Times New Roman"/>
                              <w:b/>
                              <w:sz w:val="32"/>
                              <w:szCs w:val="32"/>
                            </w:rPr>
                            <w:t>8</w:t>
                          </w:r>
                        </w:p>
                        <w:p w14:paraId="627EB3C9" w14:textId="16725649"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Submission Deadline: </w:t>
                          </w:r>
                          <w:r w:rsidR="00A426D8">
                            <w:rPr>
                              <w:rFonts w:ascii="Times New Roman" w:hAnsi="Times New Roman"/>
                              <w:b/>
                              <w:sz w:val="32"/>
                              <w:szCs w:val="32"/>
                            </w:rPr>
                            <w:t>7</w:t>
                          </w:r>
                          <w:r w:rsidR="00A426D8" w:rsidRPr="00357783">
                            <w:rPr>
                              <w:rFonts w:ascii="Times New Roman" w:hAnsi="Times New Roman"/>
                              <w:b/>
                              <w:sz w:val="32"/>
                              <w:szCs w:val="32"/>
                              <w:vertAlign w:val="superscript"/>
                            </w:rPr>
                            <w:t>th</w:t>
                          </w:r>
                          <w:r w:rsidR="00A426D8">
                            <w:rPr>
                              <w:rFonts w:ascii="Times New Roman" w:hAnsi="Times New Roman"/>
                              <w:b/>
                              <w:sz w:val="32"/>
                              <w:szCs w:val="32"/>
                              <w:vertAlign w:val="superscript"/>
                            </w:rPr>
                            <w:t xml:space="preserve"> </w:t>
                          </w:r>
                          <w:r w:rsidR="00E42CF1">
                            <w:rPr>
                              <w:rFonts w:ascii="Times New Roman" w:hAnsi="Times New Roman"/>
                              <w:b/>
                              <w:sz w:val="32"/>
                              <w:szCs w:val="32"/>
                            </w:rPr>
                            <w:t>January</w:t>
                          </w:r>
                          <w:r w:rsidR="00A426D8">
                            <w:rPr>
                              <w:rFonts w:ascii="Times New Roman" w:hAnsi="Times New Roman"/>
                              <w:b/>
                              <w:sz w:val="32"/>
                              <w:szCs w:val="32"/>
                            </w:rPr>
                            <w:t xml:space="preserve"> </w:t>
                          </w:r>
                          <w:r w:rsidRPr="00357783">
                            <w:rPr>
                              <w:rFonts w:ascii="Times New Roman" w:hAnsi="Times New Roman"/>
                              <w:b/>
                              <w:sz w:val="32"/>
                              <w:szCs w:val="32"/>
                            </w:rPr>
                            <w:t>202</w:t>
                          </w:r>
                          <w:r w:rsidR="00E42CF1">
                            <w:rPr>
                              <w:rFonts w:ascii="Times New Roman" w:hAnsi="Times New Roman"/>
                              <w:b/>
                              <w:sz w:val="32"/>
                              <w:szCs w:val="32"/>
                            </w:rPr>
                            <w:t>2</w:t>
                          </w:r>
                        </w:p>
                      </w:txbxContent>
                    </v:textbox>
                    <w10:wrap anchorx="margin"/>
                  </v:rect>
                </w:pict>
              </mc:Fallback>
            </mc:AlternateContent>
          </w:r>
          <w:r w:rsidR="00E2659D">
            <w:rPr>
              <w:rFonts w:ascii="Times New Roman" w:hAnsi="Times New Roman"/>
              <w:sz w:val="28"/>
              <w:szCs w:val="28"/>
            </w:rPr>
            <w:br w:type="page"/>
          </w:r>
        </w:p>
      </w:sdtContent>
    </w:sdt>
    <w:p w14:paraId="10257173" w14:textId="1354A789" w:rsidR="00DD3F16" w:rsidRPr="007E44F6" w:rsidRDefault="00DD3F16" w:rsidP="00AD7F83">
      <w:pPr>
        <w:pStyle w:val="Heading1"/>
        <w:spacing w:before="0" w:line="480" w:lineRule="auto"/>
        <w:jc w:val="center"/>
        <w:rPr>
          <w:rFonts w:ascii="Times New Roman" w:hAnsi="Times New Roman" w:cs="Times New Roman"/>
          <w:color w:val="auto"/>
        </w:rPr>
      </w:pPr>
      <w:bookmarkStart w:id="0" w:name="_Toc89515343"/>
      <w:r w:rsidRPr="007E44F6">
        <w:rPr>
          <w:rFonts w:ascii="Times New Roman" w:hAnsi="Times New Roman" w:cs="Times New Roman"/>
          <w:color w:val="auto"/>
        </w:rPr>
        <w:lastRenderedPageBreak/>
        <w:t>1. CPL’S liability in relation to Leo and Mille</w:t>
      </w:r>
      <w:bookmarkEnd w:id="0"/>
    </w:p>
    <w:p w14:paraId="077E0BFE" w14:textId="77777777" w:rsidR="00DD3F16" w:rsidRPr="007E44F6" w:rsidRDefault="00DD3F16" w:rsidP="00DD3F16">
      <w:pPr>
        <w:pStyle w:val="Heading2"/>
        <w:spacing w:before="0" w:line="480" w:lineRule="auto"/>
        <w:jc w:val="both"/>
        <w:rPr>
          <w:rFonts w:ascii="Times New Roman" w:hAnsi="Times New Roman" w:cs="Times New Roman"/>
          <w:color w:val="auto"/>
          <w:sz w:val="28"/>
          <w:szCs w:val="28"/>
        </w:rPr>
      </w:pPr>
      <w:bookmarkStart w:id="1" w:name="_Toc89515344"/>
      <w:r w:rsidRPr="007E44F6">
        <w:rPr>
          <w:rFonts w:ascii="Times New Roman" w:hAnsi="Times New Roman" w:cs="Times New Roman"/>
          <w:color w:val="auto"/>
          <w:sz w:val="28"/>
          <w:szCs w:val="28"/>
        </w:rPr>
        <w:t>Issue</w:t>
      </w:r>
      <w:bookmarkEnd w:id="1"/>
    </w:p>
    <w:p w14:paraId="099EC021" w14:textId="6DA19D2F" w:rsidR="00DD3F16" w:rsidRDefault="00DD3F16" w:rsidP="00DD3F16">
      <w:pPr>
        <w:spacing w:after="0" w:line="480" w:lineRule="auto"/>
        <w:ind w:firstLine="720"/>
        <w:jc w:val="both"/>
        <w:rPr>
          <w:rFonts w:ascii="Times New Roman" w:hAnsi="Times New Roman"/>
          <w:sz w:val="28"/>
          <w:szCs w:val="28"/>
          <w:lang w:val="en-GB"/>
        </w:rPr>
      </w:pPr>
      <w:r w:rsidRPr="007E44F6">
        <w:rPr>
          <w:rFonts w:ascii="Times New Roman" w:hAnsi="Times New Roman"/>
          <w:sz w:val="28"/>
          <w:szCs w:val="28"/>
          <w:lang w:val="en-GB"/>
        </w:rPr>
        <w:t>Carlton Parks Limited (CPL) runs a theme-based park on Chestermouth's outskirts. Herein, the customers just like other parks pay a single entrance fee to experience different rides and attractions. However, a range of critical incidents occurred in the park wherein an 8-year-old boy, Leo got his wrist and collarbone fractured due to falling off the wooden fence on which he was leaning. During the investigation, it was found that Leo's accident was because of a fence rotted by constant water dripping on it from the roof side. After a few days of this accident, Millie a 20-year-old girl without paying the entrance fee entered part by climbing a high perimeter fence and jumped on waltzers; a fairground ride where some disco lights and electric wires were disturbed as the ride was in progress and lose electrics and lights fell on the head of Mille's fracturing her skull. In the light of these two observed issues, the liability of CPL is detailed in the light of the Occupiers Liability Act</w:t>
      </w:r>
      <w:r w:rsidR="00853F19">
        <w:rPr>
          <w:rFonts w:ascii="Times New Roman" w:hAnsi="Times New Roman"/>
          <w:sz w:val="28"/>
          <w:szCs w:val="28"/>
          <w:lang w:val="en-GB"/>
        </w:rPr>
        <w:t xml:space="preserve"> </w:t>
      </w:r>
      <w:r w:rsidR="00D55CCF" w:rsidRPr="00D55CCF">
        <w:rPr>
          <w:rFonts w:ascii="Times New Roman" w:hAnsi="Times New Roman"/>
          <w:i/>
          <w:iCs/>
          <w:sz w:val="28"/>
          <w:szCs w:val="28"/>
          <w:lang w:val="en-GB"/>
        </w:rPr>
        <w:t>(Case</w:t>
      </w:r>
      <w:r w:rsidR="00853F19" w:rsidRPr="00D55CCF">
        <w:rPr>
          <w:rFonts w:ascii="Times New Roman" w:hAnsi="Times New Roman"/>
          <w:i/>
          <w:iCs/>
          <w:sz w:val="28"/>
          <w:szCs w:val="28"/>
          <w:lang w:val="en-GB"/>
        </w:rPr>
        <w:t xml:space="preserve"> Study)</w:t>
      </w:r>
      <w:r w:rsidR="00D55CCF">
        <w:rPr>
          <w:rFonts w:ascii="Times New Roman" w:hAnsi="Times New Roman"/>
          <w:i/>
          <w:iCs/>
          <w:sz w:val="28"/>
          <w:szCs w:val="28"/>
          <w:lang w:val="en-GB"/>
        </w:rPr>
        <w:t>.</w:t>
      </w:r>
      <w:r w:rsidRPr="007E44F6">
        <w:rPr>
          <w:rFonts w:ascii="Times New Roman" w:hAnsi="Times New Roman"/>
          <w:sz w:val="28"/>
          <w:szCs w:val="28"/>
          <w:lang w:val="en-GB"/>
        </w:rPr>
        <w:t xml:space="preserve"> </w:t>
      </w:r>
    </w:p>
    <w:p w14:paraId="1212C477" w14:textId="77777777" w:rsidR="00BA5A40" w:rsidRPr="00BA5A40" w:rsidRDefault="00BA5A40" w:rsidP="00BA5A40">
      <w:pPr>
        <w:pStyle w:val="Heading2"/>
        <w:spacing w:before="0" w:line="480" w:lineRule="auto"/>
        <w:jc w:val="both"/>
        <w:rPr>
          <w:rFonts w:ascii="Times New Roman" w:hAnsi="Times New Roman" w:cs="Times New Roman"/>
          <w:color w:val="auto"/>
          <w:sz w:val="28"/>
          <w:szCs w:val="28"/>
        </w:rPr>
      </w:pPr>
      <w:bookmarkStart w:id="2" w:name="_Toc89515345"/>
      <w:r w:rsidRPr="00BA5A40">
        <w:rPr>
          <w:rFonts w:ascii="Times New Roman" w:hAnsi="Times New Roman" w:cs="Times New Roman"/>
          <w:color w:val="auto"/>
          <w:sz w:val="28"/>
          <w:szCs w:val="28"/>
        </w:rPr>
        <w:t>Rule/Legislation</w:t>
      </w:r>
      <w:bookmarkEnd w:id="2"/>
    </w:p>
    <w:p w14:paraId="12E2BB74" w14:textId="7B4548BA" w:rsidR="00DD3F16" w:rsidRDefault="00BA5A40" w:rsidP="00BA5A40">
      <w:pPr>
        <w:spacing w:after="0" w:line="480" w:lineRule="auto"/>
        <w:jc w:val="both"/>
        <w:rPr>
          <w:rFonts w:ascii="Times New Roman" w:hAnsi="Times New Roman"/>
          <w:sz w:val="28"/>
          <w:szCs w:val="28"/>
          <w:lang w:val="en-GB"/>
        </w:rPr>
      </w:pPr>
      <w:r>
        <w:rPr>
          <w:rFonts w:ascii="Times New Roman" w:hAnsi="Times New Roman"/>
          <w:sz w:val="28"/>
          <w:szCs w:val="28"/>
          <w:lang w:val="en-GB"/>
        </w:rPr>
        <w:t xml:space="preserve">         </w:t>
      </w:r>
      <w:r w:rsidR="00DD3F16" w:rsidRPr="007E44F6">
        <w:rPr>
          <w:rFonts w:ascii="Times New Roman" w:hAnsi="Times New Roman"/>
          <w:sz w:val="28"/>
          <w:szCs w:val="28"/>
          <w:lang w:val="en-GB"/>
        </w:rPr>
        <w:t xml:space="preserve">The Occupiers' Liability Act 1957 presses a statutory liability on a premise's occupier or owner of the premise or an individual having considerable control over land to owe a particular degree of the obligation of care towards its lawful visitors as stated under Section 1(1) of the Act. This statute entails personal injury, along with any damage to property and is applicable in the case of Leo </w:t>
      </w:r>
      <w:r w:rsidR="00DD3F16" w:rsidRPr="00BD25D2">
        <w:rPr>
          <w:rFonts w:ascii="Times New Roman" w:hAnsi="Times New Roman"/>
          <w:i/>
          <w:iCs/>
          <w:sz w:val="28"/>
          <w:szCs w:val="28"/>
          <w:lang w:val="en-GB"/>
        </w:rPr>
        <w:t>(Baker, 2019).</w:t>
      </w:r>
      <w:r w:rsidR="00DD3F16" w:rsidRPr="007E44F6">
        <w:rPr>
          <w:rFonts w:ascii="Times New Roman" w:hAnsi="Times New Roman"/>
          <w:sz w:val="28"/>
          <w:szCs w:val="28"/>
          <w:lang w:val="en-GB"/>
        </w:rPr>
        <w:t xml:space="preserve"> On the other side, Mille was a trespasser at the park which means a person entering the occupier's </w:t>
      </w:r>
      <w:r w:rsidR="00DD3F16" w:rsidRPr="007E44F6">
        <w:rPr>
          <w:rFonts w:ascii="Times New Roman" w:hAnsi="Times New Roman"/>
          <w:sz w:val="28"/>
          <w:szCs w:val="28"/>
          <w:lang w:val="en-GB"/>
        </w:rPr>
        <w:lastRenderedPageBreak/>
        <w:t xml:space="preserve">space without his consent. Even for such a person, the occupier’s duty of care is embraced by the common law, as well as the Occupiers Liability Act 1984, but not as per the Occupiers’ Liability Act 1957. However, if such an entry was not opposed to by the </w:t>
      </w:r>
      <w:r w:rsidR="00B613FA" w:rsidRPr="007E44F6">
        <w:rPr>
          <w:rFonts w:ascii="Times New Roman" w:hAnsi="Times New Roman"/>
          <w:sz w:val="28"/>
          <w:szCs w:val="28"/>
          <w:lang w:val="en-GB"/>
        </w:rPr>
        <w:t>occupier,</w:t>
      </w:r>
      <w:r w:rsidR="00DD3F16" w:rsidRPr="007E44F6">
        <w:rPr>
          <w:rFonts w:ascii="Times New Roman" w:hAnsi="Times New Roman"/>
          <w:sz w:val="28"/>
          <w:szCs w:val="28"/>
          <w:lang w:val="en-GB"/>
        </w:rPr>
        <w:t xml:space="preserve"> then this signifies implied consent awarding the licensee’s right to such visitors </w:t>
      </w:r>
      <w:r w:rsidR="00DD3F16" w:rsidRPr="00BD25D2">
        <w:rPr>
          <w:rFonts w:ascii="Times New Roman" w:hAnsi="Times New Roman"/>
          <w:i/>
          <w:iCs/>
          <w:sz w:val="28"/>
          <w:szCs w:val="28"/>
          <w:lang w:val="en-GB"/>
        </w:rPr>
        <w:t>(</w:t>
      </w:r>
      <w:r w:rsidR="00EB4696" w:rsidRPr="00BD25D2">
        <w:rPr>
          <w:rFonts w:ascii="Times New Roman" w:hAnsi="Times New Roman"/>
          <w:i/>
          <w:iCs/>
          <w:sz w:val="28"/>
          <w:szCs w:val="28"/>
          <w:lang w:val="en-GB"/>
        </w:rPr>
        <w:t>Ernst, 2014</w:t>
      </w:r>
      <w:r w:rsidR="00DD3F16" w:rsidRPr="00BD25D2">
        <w:rPr>
          <w:rFonts w:ascii="Times New Roman" w:hAnsi="Times New Roman"/>
          <w:i/>
          <w:iCs/>
          <w:sz w:val="28"/>
          <w:szCs w:val="28"/>
          <w:lang w:val="en-GB"/>
        </w:rPr>
        <w:t xml:space="preserve">). </w:t>
      </w:r>
    </w:p>
    <w:p w14:paraId="0AD2E07D" w14:textId="2605190C" w:rsidR="00AC0CA2" w:rsidRPr="002F23A5" w:rsidRDefault="002F23A5" w:rsidP="002F23A5">
      <w:pPr>
        <w:pStyle w:val="Heading2"/>
        <w:spacing w:before="0" w:line="480" w:lineRule="auto"/>
        <w:jc w:val="both"/>
        <w:rPr>
          <w:rFonts w:ascii="Times New Roman" w:hAnsi="Times New Roman" w:cs="Times New Roman"/>
          <w:color w:val="auto"/>
          <w:sz w:val="28"/>
          <w:szCs w:val="28"/>
        </w:rPr>
      </w:pPr>
      <w:bookmarkStart w:id="3" w:name="_Toc89515346"/>
      <w:r w:rsidRPr="002F23A5">
        <w:rPr>
          <w:rFonts w:ascii="Times New Roman" w:hAnsi="Times New Roman" w:cs="Times New Roman"/>
          <w:color w:val="auto"/>
          <w:sz w:val="28"/>
          <w:szCs w:val="28"/>
        </w:rPr>
        <w:t>Application</w:t>
      </w:r>
      <w:bookmarkEnd w:id="3"/>
    </w:p>
    <w:p w14:paraId="2B4F1B89" w14:textId="46C9ECF1" w:rsidR="00DD3F16" w:rsidRPr="007E44F6" w:rsidRDefault="00DD3F16" w:rsidP="00DD3F16">
      <w:pPr>
        <w:spacing w:after="0" w:line="480" w:lineRule="auto"/>
        <w:ind w:firstLine="720"/>
        <w:jc w:val="both"/>
        <w:rPr>
          <w:rFonts w:ascii="Times New Roman" w:hAnsi="Times New Roman"/>
          <w:sz w:val="28"/>
          <w:szCs w:val="28"/>
          <w:lang w:val="en-GB"/>
        </w:rPr>
      </w:pPr>
      <w:r w:rsidRPr="007E44F6">
        <w:rPr>
          <w:rFonts w:ascii="Times New Roman" w:hAnsi="Times New Roman"/>
          <w:sz w:val="28"/>
          <w:szCs w:val="28"/>
          <w:lang w:val="en-GB"/>
        </w:rPr>
        <w:t xml:space="preserve">In the case of Leo, the injury he suffered, broken collarbone and wrist was solely due to perished fence on which he was leaning at the park. This clearly indicates that the occupier of CPL was not looking after proper repair and maintenance work of rides and infrastructure within the park. This suggests that being an occupier CPL failed to abide by the duty of care towards legal visitors in the park. Occupiers Liability Act is applicable in this case as Section 1(1) of this Act posits that any occupier of a premise, landowner or person having sufficient control over that premise owe a specific level of duty of care towards lawful visitors </w:t>
      </w:r>
      <w:r w:rsidRPr="00E02D0C">
        <w:rPr>
          <w:rFonts w:ascii="Times New Roman" w:hAnsi="Times New Roman"/>
          <w:i/>
          <w:iCs/>
          <w:sz w:val="28"/>
          <w:szCs w:val="28"/>
          <w:lang w:val="en-GB"/>
        </w:rPr>
        <w:t>(Horsey and Rackley, 2019).</w:t>
      </w:r>
      <w:r w:rsidRPr="007E44F6">
        <w:rPr>
          <w:rFonts w:ascii="Times New Roman" w:hAnsi="Times New Roman"/>
          <w:sz w:val="28"/>
          <w:szCs w:val="28"/>
          <w:lang w:val="en-GB"/>
        </w:rPr>
        <w:t xml:space="preserve"> In this case, Leo was a genuine visitor who entered the theme park by paying the entrance fee to enjoy rides and natural beauty therein. After legally paying the applicable entrance fee he entered the park and this implies occupier, CPL was liable to take his care for the time being he was at the park. However, it was observed that lack of maintenance of fences caused major injury to </w:t>
      </w:r>
      <w:r w:rsidR="00867B96" w:rsidRPr="007E44F6">
        <w:rPr>
          <w:rFonts w:ascii="Times New Roman" w:hAnsi="Times New Roman"/>
          <w:sz w:val="28"/>
          <w:szCs w:val="28"/>
          <w:lang w:val="en-GB"/>
        </w:rPr>
        <w:t>Leo,</w:t>
      </w:r>
      <w:r w:rsidRPr="007E44F6">
        <w:rPr>
          <w:rFonts w:ascii="Times New Roman" w:hAnsi="Times New Roman"/>
          <w:sz w:val="28"/>
          <w:szCs w:val="28"/>
          <w:lang w:val="en-GB"/>
        </w:rPr>
        <w:t xml:space="preserve"> and this clearly affirms the breach of duty of care by CPL making it accountable for personal injury Leo as a visitor suffered.</w:t>
      </w:r>
    </w:p>
    <w:p w14:paraId="14E01B08" w14:textId="49EC2174" w:rsidR="00DD3F16" w:rsidRPr="007E44F6" w:rsidRDefault="00DD3F16" w:rsidP="00DD3F16">
      <w:pPr>
        <w:spacing w:after="0" w:line="480" w:lineRule="auto"/>
        <w:ind w:firstLine="720"/>
        <w:jc w:val="both"/>
        <w:rPr>
          <w:rFonts w:ascii="Times New Roman" w:hAnsi="Times New Roman"/>
          <w:sz w:val="28"/>
          <w:szCs w:val="28"/>
          <w:lang w:val="en-GB"/>
        </w:rPr>
      </w:pPr>
      <w:r w:rsidRPr="007E44F6">
        <w:rPr>
          <w:rFonts w:ascii="Times New Roman" w:hAnsi="Times New Roman"/>
          <w:sz w:val="28"/>
          <w:szCs w:val="28"/>
          <w:lang w:val="en-GB"/>
        </w:rPr>
        <w:lastRenderedPageBreak/>
        <w:t xml:space="preserve">In order to justify CPL's liability to make up for Leo's personal injury, it is important to justify the position of CPL as the occupier in this case as per Occupiers' Liability Act 1957. This can be understood with the case of </w:t>
      </w:r>
      <w:bookmarkStart w:id="4" w:name="_Hlk93392645"/>
      <w:r w:rsidRPr="007E44F6">
        <w:rPr>
          <w:rFonts w:ascii="Times New Roman" w:hAnsi="Times New Roman"/>
          <w:i/>
          <w:sz w:val="28"/>
          <w:szCs w:val="28"/>
          <w:lang w:val="en-GB"/>
        </w:rPr>
        <w:t>Wheat v. E Lacon &amp; Co. Ltd</w:t>
      </w:r>
      <w:r w:rsidRPr="007E44F6">
        <w:rPr>
          <w:rFonts w:ascii="Times New Roman" w:hAnsi="Times New Roman"/>
          <w:sz w:val="28"/>
          <w:szCs w:val="28"/>
          <w:lang w:val="en-GB"/>
        </w:rPr>
        <w:t xml:space="preserve"> (1966)</w:t>
      </w:r>
      <w:bookmarkEnd w:id="4"/>
      <w:r w:rsidRPr="007E44F6">
        <w:rPr>
          <w:rFonts w:ascii="Times New Roman" w:hAnsi="Times New Roman"/>
          <w:sz w:val="28"/>
          <w:szCs w:val="28"/>
          <w:lang w:val="en-GB"/>
        </w:rPr>
        <w:t xml:space="preserve"> wherein a pub manager had lent room on a premise that was not owned by </w:t>
      </w:r>
      <w:r w:rsidR="00867B96" w:rsidRPr="007E44F6">
        <w:rPr>
          <w:rFonts w:ascii="Times New Roman" w:hAnsi="Times New Roman"/>
          <w:sz w:val="28"/>
          <w:szCs w:val="28"/>
          <w:lang w:val="en-GB"/>
        </w:rPr>
        <w:t>him;</w:t>
      </w:r>
      <w:r w:rsidRPr="007E44F6">
        <w:rPr>
          <w:rFonts w:ascii="Times New Roman" w:hAnsi="Times New Roman"/>
          <w:sz w:val="28"/>
          <w:szCs w:val="28"/>
          <w:lang w:val="en-GB"/>
        </w:rPr>
        <w:t xml:space="preserve"> however, the pub manager was allowed to live in one of the flats just above the public house and accordingly assign paying guests. Due to faulty damaged staircase Wheat fell down the fairs and got a fatal injury. In this case, the question about who </w:t>
      </w:r>
      <w:r w:rsidR="003D4A7A" w:rsidRPr="007E44F6">
        <w:rPr>
          <w:rFonts w:ascii="Times New Roman" w:hAnsi="Times New Roman"/>
          <w:sz w:val="28"/>
          <w:szCs w:val="28"/>
          <w:lang w:val="en-GB"/>
        </w:rPr>
        <w:t>occupier was</w:t>
      </w:r>
      <w:r w:rsidRPr="007E44F6">
        <w:rPr>
          <w:rFonts w:ascii="Times New Roman" w:hAnsi="Times New Roman"/>
          <w:sz w:val="28"/>
          <w:szCs w:val="28"/>
          <w:lang w:val="en-GB"/>
        </w:rPr>
        <w:t xml:space="preserve"> significantly crucial and it was identified that the occupier during the incident was one who exercise substantial control over the premises and thus owed a duty of care towards lawful entrants </w:t>
      </w:r>
      <w:r w:rsidRPr="00E02D0C">
        <w:rPr>
          <w:rFonts w:ascii="Times New Roman" w:hAnsi="Times New Roman"/>
          <w:i/>
          <w:iCs/>
          <w:sz w:val="28"/>
          <w:szCs w:val="28"/>
          <w:lang w:val="en-GB"/>
        </w:rPr>
        <w:t>(Greene, 2013)</w:t>
      </w:r>
      <w:r w:rsidRPr="007E44F6">
        <w:rPr>
          <w:rFonts w:ascii="Times New Roman" w:hAnsi="Times New Roman"/>
          <w:sz w:val="28"/>
          <w:szCs w:val="28"/>
          <w:lang w:val="en-GB"/>
        </w:rPr>
        <w:t xml:space="preserve">. Thus, in Leo's case, as CPL was running the park at the time of accidence, it owes a duty of care towards Leo because of being the principal occupier of the park at that point.  Leo was a lawful visitor who entered the park with express permission granted by way of issuing an entrance ticket which affirmed express permission or invitation by the occupier; CPL to enter the premises. </w:t>
      </w:r>
    </w:p>
    <w:p w14:paraId="7479C796" w14:textId="77777777" w:rsidR="00DD3F16" w:rsidRPr="007E44F6" w:rsidRDefault="00DD3F16" w:rsidP="00DD3F16">
      <w:pPr>
        <w:spacing w:after="0" w:line="480" w:lineRule="auto"/>
        <w:ind w:firstLine="720"/>
        <w:jc w:val="both"/>
        <w:rPr>
          <w:rFonts w:ascii="Times New Roman" w:hAnsi="Times New Roman"/>
          <w:sz w:val="28"/>
          <w:szCs w:val="28"/>
          <w:lang w:val="en-GB"/>
        </w:rPr>
      </w:pPr>
      <w:r w:rsidRPr="007E44F6">
        <w:rPr>
          <w:rFonts w:ascii="Times New Roman" w:hAnsi="Times New Roman"/>
          <w:sz w:val="28"/>
          <w:szCs w:val="28"/>
          <w:lang w:val="en-GB"/>
        </w:rPr>
        <w:t xml:space="preserve">CPL as an occupier in accordance with Section 2(2) of the Act upholds the common duty of care of the occupier towards all visitors at premises and in the given case it confirms duty of care towards all visitors at the park including Leo </w:t>
      </w:r>
      <w:r w:rsidRPr="00E02D0C">
        <w:rPr>
          <w:rFonts w:ascii="Times New Roman" w:hAnsi="Times New Roman"/>
          <w:i/>
          <w:iCs/>
          <w:sz w:val="28"/>
          <w:szCs w:val="28"/>
          <w:lang w:val="en-GB"/>
        </w:rPr>
        <w:t>(Stephenson, 2012).</w:t>
      </w:r>
      <w:r w:rsidRPr="007E44F6">
        <w:rPr>
          <w:rFonts w:ascii="Times New Roman" w:hAnsi="Times New Roman"/>
          <w:sz w:val="28"/>
          <w:szCs w:val="28"/>
          <w:lang w:val="en-GB"/>
        </w:rPr>
        <w:t xml:space="preserve"> CPL was responsible to ensure the safety of every visitor while using premises and rides therein and CPL failed to accomplish its duty as evident from the impaired fence due to which Leo got his wrist and collarbone fractured making it liable to cover </w:t>
      </w:r>
      <w:r w:rsidRPr="007E44F6">
        <w:rPr>
          <w:rFonts w:ascii="Times New Roman" w:hAnsi="Times New Roman"/>
          <w:sz w:val="28"/>
          <w:szCs w:val="28"/>
          <w:lang w:val="en-GB"/>
        </w:rPr>
        <w:lastRenderedPageBreak/>
        <w:t xml:space="preserve">up for Leo's personal injury. In this case, </w:t>
      </w:r>
      <w:bookmarkStart w:id="5" w:name="_Hlk93392813"/>
      <w:r w:rsidRPr="007E44F6">
        <w:rPr>
          <w:rFonts w:ascii="Times New Roman" w:hAnsi="Times New Roman"/>
          <w:i/>
          <w:sz w:val="28"/>
          <w:szCs w:val="28"/>
          <w:lang w:val="en-GB"/>
        </w:rPr>
        <w:t xml:space="preserve">Tomlinson v Congleton Borough Council </w:t>
      </w:r>
      <w:r w:rsidRPr="007E44F6">
        <w:rPr>
          <w:rFonts w:ascii="Times New Roman" w:hAnsi="Times New Roman"/>
          <w:sz w:val="28"/>
          <w:szCs w:val="28"/>
          <w:lang w:val="en-GB"/>
        </w:rPr>
        <w:t>[2003]</w:t>
      </w:r>
      <w:bookmarkEnd w:id="5"/>
      <w:r w:rsidRPr="007E44F6">
        <w:rPr>
          <w:rFonts w:ascii="Times New Roman" w:hAnsi="Times New Roman"/>
          <w:sz w:val="28"/>
          <w:szCs w:val="28"/>
          <w:lang w:val="en-GB"/>
        </w:rPr>
        <w:t xml:space="preserve"> is relevant as it explains the torts of negligence, as well as occupier’s liability. The defendants owned and administered a lake that was developed from an unused quarry, as swimming was forbidden in the lake where the claimant got injured and the defendant placed proper signs for warning any visitor from potential dangers </w:t>
      </w:r>
      <w:r w:rsidRPr="00BA4064">
        <w:rPr>
          <w:rFonts w:ascii="Times New Roman" w:hAnsi="Times New Roman"/>
          <w:i/>
          <w:iCs/>
          <w:sz w:val="28"/>
          <w:szCs w:val="28"/>
          <w:lang w:val="en-GB"/>
        </w:rPr>
        <w:t>(Bates, 2012).</w:t>
      </w:r>
      <w:r w:rsidRPr="007E44F6">
        <w:rPr>
          <w:rFonts w:ascii="Times New Roman" w:hAnsi="Times New Roman"/>
          <w:sz w:val="28"/>
          <w:szCs w:val="28"/>
          <w:lang w:val="en-GB"/>
        </w:rPr>
        <w:t xml:space="preserve"> Thus, the claimant argued that the defendants were liable to him concerning duty towards a trespasser in line with Section 1 of the Occupiers Liability Act 1984 however it was dismissed </w:t>
      </w:r>
      <w:r w:rsidRPr="00BA4064">
        <w:rPr>
          <w:rFonts w:ascii="Times New Roman" w:hAnsi="Times New Roman"/>
          <w:i/>
          <w:iCs/>
          <w:sz w:val="28"/>
          <w:szCs w:val="28"/>
          <w:lang w:val="en-GB"/>
        </w:rPr>
        <w:t>(Patten, 2020).</w:t>
      </w:r>
      <w:r w:rsidRPr="007E44F6">
        <w:rPr>
          <w:rFonts w:ascii="Times New Roman" w:hAnsi="Times New Roman"/>
          <w:sz w:val="28"/>
          <w:szCs w:val="28"/>
          <w:lang w:val="en-GB"/>
        </w:rPr>
        <w:t xml:space="preserve"> In this regard, CPL was responsible to place proper danger signs at places where infrastructure like roofs, fences and others were impaired, but the organisation did not take such initiatives making it wholly liable in relation to Leo. CPL for avoiding this risk could have placed danger signs and issued oral warnings to visitors about damaged fences and this could have enabled the organisation to avoid breach of duty of care.</w:t>
      </w:r>
    </w:p>
    <w:p w14:paraId="7EEAC2D8" w14:textId="1E346A7E" w:rsidR="00DD3F16" w:rsidRPr="007E44F6" w:rsidRDefault="00DD3F16" w:rsidP="00DD3F16">
      <w:pPr>
        <w:spacing w:after="0" w:line="480" w:lineRule="auto"/>
        <w:ind w:firstLine="720"/>
        <w:jc w:val="both"/>
        <w:rPr>
          <w:rFonts w:ascii="Times New Roman" w:hAnsi="Times New Roman"/>
          <w:sz w:val="28"/>
          <w:szCs w:val="28"/>
          <w:lang w:val="en-GB"/>
        </w:rPr>
      </w:pPr>
      <w:r w:rsidRPr="007E44F6">
        <w:rPr>
          <w:rFonts w:ascii="Times New Roman" w:hAnsi="Times New Roman"/>
          <w:sz w:val="28"/>
          <w:szCs w:val="28"/>
          <w:lang w:val="en-GB"/>
        </w:rPr>
        <w:t xml:space="preserve">In the case of Mille, the Occupiers Liability Act 1984 is relevant as Millie without paying the entrance fee unlawfully entered the theme park by climbing a high perimeter fence which denotes that she was a trespasser. She was an authorised visitor in the park as she climbed the fence for the sake of avoiding the entrance fee. The Act states that although an occupier is not liable to make his premises safe, </w:t>
      </w:r>
      <w:r w:rsidR="000F0379" w:rsidRPr="007E44F6">
        <w:rPr>
          <w:rFonts w:ascii="Times New Roman" w:hAnsi="Times New Roman"/>
          <w:sz w:val="28"/>
          <w:szCs w:val="28"/>
          <w:lang w:val="en-GB"/>
        </w:rPr>
        <w:t>secure,</w:t>
      </w:r>
      <w:r w:rsidRPr="007E44F6">
        <w:rPr>
          <w:rFonts w:ascii="Times New Roman" w:hAnsi="Times New Roman"/>
          <w:sz w:val="28"/>
          <w:szCs w:val="28"/>
          <w:lang w:val="en-GB"/>
        </w:rPr>
        <w:t xml:space="preserve"> and open for the trespassers, he still is not likely to do anything intentionally for causing any injury to such a visitor </w:t>
      </w:r>
      <w:r w:rsidRPr="00BA4064">
        <w:rPr>
          <w:rFonts w:ascii="Times New Roman" w:hAnsi="Times New Roman"/>
          <w:i/>
          <w:iCs/>
          <w:sz w:val="28"/>
          <w:szCs w:val="28"/>
          <w:lang w:val="en-GB"/>
        </w:rPr>
        <w:t>(Pawlowski, 2019).</w:t>
      </w:r>
      <w:r w:rsidRPr="007E44F6">
        <w:rPr>
          <w:rFonts w:ascii="Times New Roman" w:hAnsi="Times New Roman"/>
          <w:sz w:val="28"/>
          <w:szCs w:val="28"/>
          <w:lang w:val="en-GB"/>
        </w:rPr>
        <w:t xml:space="preserve"> The occupier is expected to instil reasonable tactics for hindering the entry of trespassers but does not hold the right to </w:t>
      </w:r>
      <w:r w:rsidRPr="007E44F6">
        <w:rPr>
          <w:rFonts w:ascii="Times New Roman" w:hAnsi="Times New Roman"/>
          <w:sz w:val="28"/>
          <w:szCs w:val="28"/>
          <w:lang w:val="en-GB"/>
        </w:rPr>
        <w:lastRenderedPageBreak/>
        <w:t xml:space="preserve">cause any intentional harm. The harm of the trespasser entering the area of the occupier's premises would anticipate the occupier facilitating some safety and protection. However, the damage of any property by the trespasser within the occupier's premises does not permit him or her to claim for the damage </w:t>
      </w:r>
      <w:r w:rsidRPr="00BA4064">
        <w:rPr>
          <w:rFonts w:ascii="Times New Roman" w:hAnsi="Times New Roman"/>
          <w:i/>
          <w:iCs/>
          <w:sz w:val="28"/>
          <w:szCs w:val="28"/>
          <w:lang w:val="en-GB"/>
        </w:rPr>
        <w:t>(Pearce, 2019).</w:t>
      </w:r>
      <w:r w:rsidRPr="007E44F6">
        <w:rPr>
          <w:rFonts w:ascii="Times New Roman" w:hAnsi="Times New Roman"/>
          <w:sz w:val="28"/>
          <w:szCs w:val="28"/>
          <w:lang w:val="en-GB"/>
        </w:rPr>
        <w:t xml:space="preserve"> </w:t>
      </w:r>
    </w:p>
    <w:p w14:paraId="0F41D454" w14:textId="021BFCD4" w:rsidR="00DD3F16" w:rsidRPr="007E44F6" w:rsidRDefault="00DD3F16" w:rsidP="00DD3F16">
      <w:pPr>
        <w:spacing w:after="0" w:line="480" w:lineRule="auto"/>
        <w:ind w:firstLine="720"/>
        <w:jc w:val="both"/>
        <w:rPr>
          <w:rFonts w:ascii="Times New Roman" w:hAnsi="Times New Roman"/>
          <w:sz w:val="28"/>
          <w:szCs w:val="28"/>
          <w:lang w:val="en-GB"/>
        </w:rPr>
      </w:pPr>
      <w:r w:rsidRPr="007E44F6">
        <w:rPr>
          <w:rFonts w:ascii="Times New Roman" w:hAnsi="Times New Roman"/>
          <w:sz w:val="28"/>
          <w:szCs w:val="28"/>
          <w:lang w:val="en-GB"/>
        </w:rPr>
        <w:t xml:space="preserve">Section 1(3) of the Occupiers Liability Act 1984 validates whether a duty of care is owed by the occupier to a trespasser by asking three questions. Firstly, he is aware of risk or hazard or has reasonable grounds for believing that it prevails and secondly knows he knows or has a reasonable basis for believing that the other is the area of danger concerned or that he might come into the danger area. Lastly, the risk is of a kind in all the case situations, he might reasonably be anticipated to offer the other kind of protection. The first two conditions are subjective and the last one is much more objective </w:t>
      </w:r>
      <w:r w:rsidRPr="00BA4064">
        <w:rPr>
          <w:rFonts w:ascii="Times New Roman" w:hAnsi="Times New Roman"/>
          <w:i/>
          <w:iCs/>
          <w:sz w:val="28"/>
          <w:szCs w:val="28"/>
          <w:lang w:val="en-GB"/>
        </w:rPr>
        <w:t>(Brennan, 2019).</w:t>
      </w:r>
      <w:r w:rsidRPr="007E44F6">
        <w:rPr>
          <w:rFonts w:ascii="Times New Roman" w:hAnsi="Times New Roman"/>
          <w:sz w:val="28"/>
          <w:szCs w:val="28"/>
          <w:lang w:val="en-GB"/>
        </w:rPr>
        <w:t xml:space="preserve"> In line with the case of </w:t>
      </w:r>
      <w:r w:rsidRPr="007E44F6">
        <w:rPr>
          <w:rFonts w:ascii="Times New Roman" w:hAnsi="Times New Roman"/>
          <w:i/>
          <w:sz w:val="28"/>
          <w:szCs w:val="28"/>
          <w:lang w:val="en-GB"/>
        </w:rPr>
        <w:t>Harris v Birkenhead Corporation</w:t>
      </w:r>
      <w:r w:rsidRPr="007E44F6">
        <w:rPr>
          <w:rFonts w:ascii="Times New Roman" w:hAnsi="Times New Roman"/>
          <w:sz w:val="28"/>
          <w:szCs w:val="28"/>
          <w:lang w:val="en-GB"/>
        </w:rPr>
        <w:t xml:space="preserve">, it was decided that where an occupier is aware of any risk or danger or even should be aware of potential danger does not stamp out any duty as stated in this case </w:t>
      </w:r>
      <w:r w:rsidRPr="00BA4064">
        <w:rPr>
          <w:rFonts w:ascii="Times New Roman" w:hAnsi="Times New Roman"/>
          <w:i/>
          <w:iCs/>
          <w:sz w:val="28"/>
          <w:szCs w:val="28"/>
          <w:lang w:val="en-GB"/>
        </w:rPr>
        <w:t xml:space="preserve">(Montague, 2013). </w:t>
      </w:r>
      <w:r w:rsidRPr="007E44F6">
        <w:rPr>
          <w:rFonts w:ascii="Times New Roman" w:hAnsi="Times New Roman"/>
          <w:sz w:val="28"/>
          <w:szCs w:val="28"/>
          <w:lang w:val="en-GB"/>
        </w:rPr>
        <w:t xml:space="preserve">Thus, it is analysed that CPL in Mille's case is liable for compensating for the personal injury she suffered due to losing disco lights and electrics in the ride as it was something dangerous that had to be warned by CPL. CPL as an occupier is not expected to make the theme park secure for the trespassers. However, it cannot deliberately act in a way to injure the trespasser. The occupier holds the right to take important measures for prohibiting trespassers from entering the </w:t>
      </w:r>
      <w:r w:rsidR="00AC0CA2" w:rsidRPr="007E44F6">
        <w:rPr>
          <w:rFonts w:ascii="Times New Roman" w:hAnsi="Times New Roman"/>
          <w:sz w:val="28"/>
          <w:szCs w:val="28"/>
          <w:lang w:val="en-GB"/>
        </w:rPr>
        <w:t>premises,</w:t>
      </w:r>
      <w:r w:rsidRPr="007E44F6">
        <w:rPr>
          <w:rFonts w:ascii="Times New Roman" w:hAnsi="Times New Roman"/>
          <w:sz w:val="28"/>
          <w:szCs w:val="28"/>
          <w:lang w:val="en-GB"/>
        </w:rPr>
        <w:t xml:space="preserve"> but he is not allowed to do anything to injure them </w:t>
      </w:r>
      <w:r w:rsidRPr="00BA4064">
        <w:rPr>
          <w:rFonts w:ascii="Times New Roman" w:hAnsi="Times New Roman"/>
          <w:i/>
          <w:iCs/>
          <w:sz w:val="28"/>
          <w:szCs w:val="28"/>
          <w:lang w:val="en-GB"/>
        </w:rPr>
        <w:t xml:space="preserve">(Mulheron, 2016). </w:t>
      </w:r>
    </w:p>
    <w:p w14:paraId="6B7B57BB" w14:textId="77777777" w:rsidR="00DD3F16" w:rsidRPr="007E44F6" w:rsidRDefault="00DD3F16" w:rsidP="00DD3F16">
      <w:pPr>
        <w:spacing w:after="0" w:line="480" w:lineRule="auto"/>
        <w:ind w:firstLine="720"/>
        <w:jc w:val="both"/>
        <w:rPr>
          <w:rFonts w:ascii="Times New Roman" w:hAnsi="Times New Roman"/>
          <w:sz w:val="28"/>
          <w:szCs w:val="28"/>
          <w:lang w:val="en-GB"/>
        </w:rPr>
      </w:pPr>
      <w:r w:rsidRPr="007E44F6">
        <w:rPr>
          <w:rFonts w:ascii="Times New Roman" w:hAnsi="Times New Roman"/>
          <w:sz w:val="28"/>
          <w:szCs w:val="28"/>
          <w:lang w:val="en-GB"/>
        </w:rPr>
        <w:lastRenderedPageBreak/>
        <w:t xml:space="preserve">In Mille's case, the moving electrics and disco lights were loose which fell into her head fracturing her skull and the sparks eventually turned into a fire that swiftly engulfed the entire waltzers ride perishing a number of customers around. Thus, CPL is accountable for meeting the tort liability of duty of care to Millie who was a trespasser. However, the occupier is not accountable to set off the; cost of her broken sunglasses as any property damage of trespasser is not covered by the Occupiers Liability Act 1984 </w:t>
      </w:r>
      <w:r w:rsidRPr="00BA4064">
        <w:rPr>
          <w:rFonts w:ascii="Times New Roman" w:hAnsi="Times New Roman"/>
          <w:i/>
          <w:iCs/>
          <w:sz w:val="28"/>
          <w:szCs w:val="28"/>
          <w:lang w:val="en-GB"/>
        </w:rPr>
        <w:t>(Howarth et al., 2016).</w:t>
      </w:r>
    </w:p>
    <w:p w14:paraId="75E18A21" w14:textId="77777777" w:rsidR="00DD3F16" w:rsidRPr="007E44F6" w:rsidRDefault="00DD3F16" w:rsidP="00DD3F16">
      <w:pPr>
        <w:pStyle w:val="Heading2"/>
        <w:spacing w:before="0" w:line="480" w:lineRule="auto"/>
        <w:jc w:val="both"/>
        <w:rPr>
          <w:rFonts w:ascii="Times New Roman" w:hAnsi="Times New Roman" w:cs="Times New Roman"/>
          <w:color w:val="auto"/>
          <w:sz w:val="28"/>
          <w:szCs w:val="28"/>
        </w:rPr>
      </w:pPr>
      <w:bookmarkStart w:id="6" w:name="_Toc89515347"/>
      <w:r w:rsidRPr="007E44F6">
        <w:rPr>
          <w:rFonts w:ascii="Times New Roman" w:hAnsi="Times New Roman" w:cs="Times New Roman"/>
          <w:color w:val="auto"/>
          <w:sz w:val="28"/>
          <w:szCs w:val="28"/>
        </w:rPr>
        <w:t>Conclusion</w:t>
      </w:r>
      <w:bookmarkEnd w:id="6"/>
    </w:p>
    <w:p w14:paraId="687D1516" w14:textId="28BCF9E5" w:rsidR="00DD3F16" w:rsidRPr="007E44F6" w:rsidRDefault="00DD3F16" w:rsidP="00DD3F16">
      <w:pPr>
        <w:spacing w:after="0" w:line="480" w:lineRule="auto"/>
        <w:ind w:firstLine="720"/>
        <w:jc w:val="both"/>
        <w:rPr>
          <w:rFonts w:ascii="Times New Roman" w:hAnsi="Times New Roman"/>
          <w:sz w:val="28"/>
          <w:szCs w:val="28"/>
          <w:lang w:val="en-GB"/>
        </w:rPr>
      </w:pPr>
      <w:r w:rsidRPr="007E44F6">
        <w:rPr>
          <w:rFonts w:ascii="Times New Roman" w:hAnsi="Times New Roman"/>
          <w:sz w:val="28"/>
          <w:szCs w:val="28"/>
          <w:lang w:val="en-GB"/>
        </w:rPr>
        <w:t xml:space="preserve">It is identified that in Leo's case, his broken collarbone and wrist while being at the theme park was mainly due to a corroded fence on which he was leaning. This reflects that </w:t>
      </w:r>
      <w:r w:rsidR="000F0379" w:rsidRPr="007E44F6">
        <w:rPr>
          <w:rFonts w:ascii="Times New Roman" w:hAnsi="Times New Roman"/>
          <w:sz w:val="28"/>
          <w:szCs w:val="28"/>
          <w:lang w:val="en-GB"/>
        </w:rPr>
        <w:t>CPL;</w:t>
      </w:r>
      <w:r w:rsidRPr="007E44F6">
        <w:rPr>
          <w:rFonts w:ascii="Times New Roman" w:hAnsi="Times New Roman"/>
          <w:sz w:val="28"/>
          <w:szCs w:val="28"/>
          <w:lang w:val="en-GB"/>
        </w:rPr>
        <w:t xml:space="preserve"> the legal occupier of the theme part was not seriously taking the role of repairing and maintenance work of infrastructure and rides posing threat to lawful visitors like Leo. Therefore, CPL as a legal occupier failed to fulfil the duty of care towards legal entrants such as Leo who entered premises after taking the entrance ticket. In line with Section 1(1) of the Occupiers Liability Act is any occupier of a premise, having reasonable control over that premise owes a particular degree of duty of care towards lawful visitor holding CPL an accountable authority to make up for Leo’s personal injury. Similarly, in case of Mille, who was a trespasser who entered the park by jumping from a heightened fence also makes CPL liable for duty of care in the light of the provisions of Occupiers Liability Act 1984 as CPL failed to embrace </w:t>
      </w:r>
      <w:r w:rsidRPr="007E44F6">
        <w:rPr>
          <w:rFonts w:ascii="Times New Roman" w:hAnsi="Times New Roman"/>
          <w:sz w:val="28"/>
          <w:szCs w:val="28"/>
          <w:lang w:val="en-GB"/>
        </w:rPr>
        <w:lastRenderedPageBreak/>
        <w:t xml:space="preserve">needful measures like placing danger signs and issuing warnings for indicating trespassers and visitors about work in progress of rides and loose electric wires. </w:t>
      </w:r>
    </w:p>
    <w:p w14:paraId="456881AA" w14:textId="55432A9A" w:rsidR="00A02A47" w:rsidRPr="007E44F6" w:rsidRDefault="00A02A47" w:rsidP="00DD3F16">
      <w:pPr>
        <w:spacing w:after="0" w:line="480" w:lineRule="auto"/>
        <w:ind w:firstLine="720"/>
        <w:jc w:val="both"/>
        <w:rPr>
          <w:rFonts w:ascii="Times New Roman" w:hAnsi="Times New Roman"/>
          <w:sz w:val="28"/>
          <w:szCs w:val="28"/>
          <w:lang w:val="en-GB"/>
        </w:rPr>
      </w:pPr>
    </w:p>
    <w:p w14:paraId="0CC6399A" w14:textId="6A193D16" w:rsidR="00A02A47" w:rsidRPr="007E44F6" w:rsidRDefault="00A02A47" w:rsidP="00DD3F16">
      <w:pPr>
        <w:spacing w:after="0" w:line="480" w:lineRule="auto"/>
        <w:ind w:firstLine="720"/>
        <w:jc w:val="both"/>
        <w:rPr>
          <w:rFonts w:ascii="Times New Roman" w:hAnsi="Times New Roman"/>
          <w:sz w:val="28"/>
          <w:szCs w:val="28"/>
          <w:lang w:val="en-GB"/>
        </w:rPr>
      </w:pPr>
    </w:p>
    <w:p w14:paraId="65496622" w14:textId="0D769CD3" w:rsidR="00A02A47" w:rsidRPr="007E44F6" w:rsidRDefault="00A02A47" w:rsidP="00DD3F16">
      <w:pPr>
        <w:spacing w:after="0" w:line="480" w:lineRule="auto"/>
        <w:ind w:firstLine="720"/>
        <w:jc w:val="both"/>
        <w:rPr>
          <w:rFonts w:ascii="Times New Roman" w:hAnsi="Times New Roman"/>
          <w:sz w:val="28"/>
          <w:szCs w:val="28"/>
          <w:lang w:val="en-GB"/>
        </w:rPr>
      </w:pPr>
    </w:p>
    <w:p w14:paraId="1A6B016D" w14:textId="031EC32C" w:rsidR="00A02A47" w:rsidRPr="007E44F6" w:rsidRDefault="00A02A47" w:rsidP="00DD3F16">
      <w:pPr>
        <w:spacing w:after="0" w:line="480" w:lineRule="auto"/>
        <w:ind w:firstLine="720"/>
        <w:jc w:val="both"/>
        <w:rPr>
          <w:rFonts w:ascii="Times New Roman" w:hAnsi="Times New Roman"/>
          <w:sz w:val="28"/>
          <w:szCs w:val="28"/>
          <w:lang w:val="en-GB"/>
        </w:rPr>
      </w:pPr>
    </w:p>
    <w:p w14:paraId="4E3212E0" w14:textId="4CC76607" w:rsidR="00A02A47" w:rsidRPr="007E44F6" w:rsidRDefault="00A02A47" w:rsidP="00DD3F16">
      <w:pPr>
        <w:spacing w:after="0" w:line="480" w:lineRule="auto"/>
        <w:ind w:firstLine="720"/>
        <w:jc w:val="both"/>
        <w:rPr>
          <w:rFonts w:ascii="Times New Roman" w:hAnsi="Times New Roman"/>
          <w:sz w:val="28"/>
          <w:szCs w:val="28"/>
          <w:lang w:val="en-GB"/>
        </w:rPr>
      </w:pPr>
    </w:p>
    <w:p w14:paraId="18A1EAB8" w14:textId="3395275C" w:rsidR="00A02A47" w:rsidRPr="007E44F6" w:rsidRDefault="00A02A47" w:rsidP="00DD3F16">
      <w:pPr>
        <w:spacing w:after="0" w:line="480" w:lineRule="auto"/>
        <w:ind w:firstLine="720"/>
        <w:jc w:val="both"/>
        <w:rPr>
          <w:rFonts w:ascii="Times New Roman" w:hAnsi="Times New Roman"/>
          <w:sz w:val="28"/>
          <w:szCs w:val="28"/>
          <w:lang w:val="en-GB"/>
        </w:rPr>
      </w:pPr>
    </w:p>
    <w:p w14:paraId="7C13BA2D" w14:textId="78B8EB6F" w:rsidR="00A02A47" w:rsidRDefault="00A02A47" w:rsidP="00DD3F16">
      <w:pPr>
        <w:spacing w:after="0" w:line="480" w:lineRule="auto"/>
        <w:ind w:firstLine="720"/>
        <w:jc w:val="both"/>
        <w:rPr>
          <w:rFonts w:ascii="Times New Roman" w:hAnsi="Times New Roman"/>
          <w:sz w:val="28"/>
          <w:szCs w:val="28"/>
          <w:lang w:val="en-GB"/>
        </w:rPr>
      </w:pPr>
    </w:p>
    <w:p w14:paraId="692CF131" w14:textId="7C2DC5FB" w:rsidR="003D4A7A" w:rsidRDefault="003D4A7A" w:rsidP="00DD3F16">
      <w:pPr>
        <w:spacing w:after="0" w:line="480" w:lineRule="auto"/>
        <w:ind w:firstLine="720"/>
        <w:jc w:val="both"/>
        <w:rPr>
          <w:rFonts w:ascii="Times New Roman" w:hAnsi="Times New Roman"/>
          <w:sz w:val="28"/>
          <w:szCs w:val="28"/>
          <w:lang w:val="en-GB"/>
        </w:rPr>
      </w:pPr>
    </w:p>
    <w:p w14:paraId="03111E94" w14:textId="42CED8ED" w:rsidR="003D4A7A" w:rsidRDefault="003D4A7A" w:rsidP="00DD3F16">
      <w:pPr>
        <w:spacing w:after="0" w:line="480" w:lineRule="auto"/>
        <w:ind w:firstLine="720"/>
        <w:jc w:val="both"/>
        <w:rPr>
          <w:rFonts w:ascii="Times New Roman" w:hAnsi="Times New Roman"/>
          <w:sz w:val="28"/>
          <w:szCs w:val="28"/>
          <w:lang w:val="en-GB"/>
        </w:rPr>
      </w:pPr>
    </w:p>
    <w:p w14:paraId="1464C8AE" w14:textId="797377C0" w:rsidR="003D4A7A" w:rsidRDefault="003D4A7A" w:rsidP="00DD3F16">
      <w:pPr>
        <w:spacing w:after="0" w:line="480" w:lineRule="auto"/>
        <w:ind w:firstLine="720"/>
        <w:jc w:val="both"/>
        <w:rPr>
          <w:rFonts w:ascii="Times New Roman" w:hAnsi="Times New Roman"/>
          <w:sz w:val="28"/>
          <w:szCs w:val="28"/>
          <w:lang w:val="en-GB"/>
        </w:rPr>
      </w:pPr>
    </w:p>
    <w:p w14:paraId="5DC5F7F6" w14:textId="0EC671E9" w:rsidR="003D4A7A" w:rsidRDefault="003D4A7A" w:rsidP="00DD3F16">
      <w:pPr>
        <w:spacing w:after="0" w:line="480" w:lineRule="auto"/>
        <w:ind w:firstLine="720"/>
        <w:jc w:val="both"/>
        <w:rPr>
          <w:rFonts w:ascii="Times New Roman" w:hAnsi="Times New Roman"/>
          <w:sz w:val="28"/>
          <w:szCs w:val="28"/>
          <w:lang w:val="en-GB"/>
        </w:rPr>
      </w:pPr>
    </w:p>
    <w:p w14:paraId="6E0CAD71" w14:textId="7766B1EC" w:rsidR="003D4A7A" w:rsidRDefault="003D4A7A" w:rsidP="00DD3F16">
      <w:pPr>
        <w:spacing w:after="0" w:line="480" w:lineRule="auto"/>
        <w:ind w:firstLine="720"/>
        <w:jc w:val="both"/>
        <w:rPr>
          <w:rFonts w:ascii="Times New Roman" w:hAnsi="Times New Roman"/>
          <w:sz w:val="28"/>
          <w:szCs w:val="28"/>
          <w:lang w:val="en-GB"/>
        </w:rPr>
      </w:pPr>
    </w:p>
    <w:p w14:paraId="39C49DE6" w14:textId="46EA6170" w:rsidR="003D4A7A" w:rsidRDefault="003D4A7A" w:rsidP="00DD3F16">
      <w:pPr>
        <w:spacing w:after="0" w:line="480" w:lineRule="auto"/>
        <w:ind w:firstLine="720"/>
        <w:jc w:val="both"/>
        <w:rPr>
          <w:rFonts w:ascii="Times New Roman" w:hAnsi="Times New Roman"/>
          <w:sz w:val="28"/>
          <w:szCs w:val="28"/>
          <w:lang w:val="en-GB"/>
        </w:rPr>
      </w:pPr>
    </w:p>
    <w:p w14:paraId="28A8DA35" w14:textId="77777777" w:rsidR="003D4A7A" w:rsidRPr="007E44F6" w:rsidRDefault="003D4A7A" w:rsidP="00DD3F16">
      <w:pPr>
        <w:spacing w:after="0" w:line="480" w:lineRule="auto"/>
        <w:ind w:firstLine="720"/>
        <w:jc w:val="both"/>
        <w:rPr>
          <w:rFonts w:ascii="Times New Roman" w:hAnsi="Times New Roman"/>
          <w:sz w:val="28"/>
          <w:szCs w:val="28"/>
          <w:lang w:val="en-GB"/>
        </w:rPr>
      </w:pPr>
    </w:p>
    <w:p w14:paraId="0288054B" w14:textId="6B60C537" w:rsidR="00A02A47" w:rsidRPr="007E44F6" w:rsidRDefault="00A02A47" w:rsidP="00DD3F16">
      <w:pPr>
        <w:spacing w:after="0" w:line="480" w:lineRule="auto"/>
        <w:ind w:firstLine="720"/>
        <w:jc w:val="both"/>
        <w:rPr>
          <w:rFonts w:ascii="Times New Roman" w:hAnsi="Times New Roman"/>
          <w:sz w:val="28"/>
          <w:szCs w:val="28"/>
          <w:lang w:val="en-GB"/>
        </w:rPr>
      </w:pPr>
    </w:p>
    <w:p w14:paraId="7A7ABB8C" w14:textId="77777777" w:rsidR="00A02A47" w:rsidRPr="007E44F6" w:rsidRDefault="00A02A47" w:rsidP="00DD3F16">
      <w:pPr>
        <w:spacing w:after="0" w:line="480" w:lineRule="auto"/>
        <w:ind w:firstLine="720"/>
        <w:jc w:val="both"/>
        <w:rPr>
          <w:rFonts w:ascii="Times New Roman" w:hAnsi="Times New Roman"/>
          <w:sz w:val="28"/>
          <w:szCs w:val="28"/>
          <w:lang w:val="en-GB"/>
        </w:rPr>
      </w:pPr>
    </w:p>
    <w:p w14:paraId="219EEBFF" w14:textId="325C3428" w:rsidR="00DD3F16" w:rsidRPr="007E44F6" w:rsidRDefault="00DD3F16" w:rsidP="00A02A47">
      <w:pPr>
        <w:pStyle w:val="Heading1"/>
        <w:spacing w:before="0" w:line="480" w:lineRule="auto"/>
        <w:jc w:val="center"/>
        <w:rPr>
          <w:rFonts w:ascii="Times New Roman" w:hAnsi="Times New Roman" w:cs="Times New Roman"/>
          <w:color w:val="auto"/>
        </w:rPr>
      </w:pPr>
      <w:bookmarkStart w:id="7" w:name="_Toc89515348"/>
      <w:r w:rsidRPr="007E44F6">
        <w:rPr>
          <w:rFonts w:ascii="Times New Roman" w:hAnsi="Times New Roman" w:cs="Times New Roman"/>
          <w:color w:val="auto"/>
        </w:rPr>
        <w:lastRenderedPageBreak/>
        <w:t>2. CPL’s liability in relation to Nia and Owen</w:t>
      </w:r>
      <w:bookmarkEnd w:id="7"/>
    </w:p>
    <w:p w14:paraId="68D06AE7" w14:textId="77777777" w:rsidR="00DD3F16" w:rsidRPr="007E44F6" w:rsidRDefault="00DD3F16" w:rsidP="00DD3F16">
      <w:pPr>
        <w:pStyle w:val="Heading2"/>
        <w:spacing w:before="0" w:line="480" w:lineRule="auto"/>
        <w:jc w:val="both"/>
        <w:rPr>
          <w:rFonts w:ascii="Times New Roman" w:hAnsi="Times New Roman" w:cs="Times New Roman"/>
          <w:color w:val="auto"/>
          <w:sz w:val="28"/>
          <w:szCs w:val="28"/>
        </w:rPr>
      </w:pPr>
      <w:bookmarkStart w:id="8" w:name="_Toc89515349"/>
      <w:r w:rsidRPr="007E44F6">
        <w:rPr>
          <w:rFonts w:ascii="Times New Roman" w:hAnsi="Times New Roman" w:cs="Times New Roman"/>
          <w:color w:val="auto"/>
          <w:sz w:val="28"/>
          <w:szCs w:val="28"/>
        </w:rPr>
        <w:t>Issue</w:t>
      </w:r>
      <w:bookmarkEnd w:id="8"/>
    </w:p>
    <w:p w14:paraId="4B07EA55" w14:textId="181A5118" w:rsidR="00DD3F16" w:rsidRPr="007E44F6" w:rsidRDefault="00DD3F16" w:rsidP="00A263DC">
      <w:pPr>
        <w:spacing w:after="0" w:line="480" w:lineRule="auto"/>
        <w:ind w:firstLine="720"/>
        <w:jc w:val="both"/>
        <w:rPr>
          <w:rFonts w:ascii="Times New Roman" w:hAnsi="Times New Roman"/>
          <w:sz w:val="28"/>
          <w:szCs w:val="28"/>
          <w:lang w:val="en-GB"/>
        </w:rPr>
      </w:pPr>
      <w:r w:rsidRPr="007E44F6">
        <w:rPr>
          <w:rFonts w:ascii="Times New Roman" w:hAnsi="Times New Roman"/>
          <w:sz w:val="28"/>
          <w:szCs w:val="28"/>
          <w:lang w:val="en-GB"/>
        </w:rPr>
        <w:t>When Millie suffered a skull fracture due to falling of loose electric wires which subsequently turned into a fire deluging the waltzers ride completely, harmed many customers around who although managed to escape from the fire without getting any physical injury but experienced posttraumatic stress disorder. Nia was one such customer who because of witnessing a critical fire incident at the theme park developed posttraumatic stress disorder. Owen, Nia's brother was on the park's other side but viewed the events unfold and failed to lead a normal life as he was very much concerned about his sister’s safety while viewing the incident. He had no choice but to start taking medication for depression</w:t>
      </w:r>
      <w:r w:rsidR="00A75668">
        <w:rPr>
          <w:rFonts w:ascii="Times New Roman" w:hAnsi="Times New Roman"/>
          <w:sz w:val="28"/>
          <w:szCs w:val="28"/>
          <w:lang w:val="en-GB"/>
        </w:rPr>
        <w:t xml:space="preserve"> </w:t>
      </w:r>
      <w:r w:rsidR="00A75668" w:rsidRPr="00A75668">
        <w:rPr>
          <w:rFonts w:ascii="Times New Roman" w:hAnsi="Times New Roman"/>
          <w:i/>
          <w:iCs/>
          <w:sz w:val="28"/>
          <w:szCs w:val="28"/>
          <w:lang w:val="en-GB"/>
        </w:rPr>
        <w:t>(Case study).</w:t>
      </w:r>
    </w:p>
    <w:p w14:paraId="588C3966" w14:textId="77777777" w:rsidR="009B6BB9" w:rsidRPr="007E44F6" w:rsidRDefault="009B6BB9" w:rsidP="009B6BB9">
      <w:pPr>
        <w:pStyle w:val="Heading2"/>
        <w:spacing w:before="0" w:line="480" w:lineRule="auto"/>
        <w:jc w:val="both"/>
        <w:rPr>
          <w:rFonts w:ascii="Times New Roman" w:hAnsi="Times New Roman" w:cs="Times New Roman"/>
          <w:color w:val="auto"/>
          <w:sz w:val="28"/>
          <w:szCs w:val="28"/>
        </w:rPr>
      </w:pPr>
      <w:bookmarkStart w:id="9" w:name="_Toc89515350"/>
      <w:r w:rsidRPr="007E44F6">
        <w:rPr>
          <w:rFonts w:ascii="Times New Roman" w:hAnsi="Times New Roman" w:cs="Times New Roman"/>
          <w:color w:val="auto"/>
          <w:sz w:val="28"/>
          <w:szCs w:val="28"/>
        </w:rPr>
        <w:t>Rule/Legislation</w:t>
      </w:r>
      <w:bookmarkEnd w:id="9"/>
      <w:r w:rsidRPr="007E44F6">
        <w:rPr>
          <w:rFonts w:ascii="Times New Roman" w:hAnsi="Times New Roman" w:cs="Times New Roman"/>
          <w:color w:val="auto"/>
          <w:sz w:val="28"/>
          <w:szCs w:val="28"/>
        </w:rPr>
        <w:t xml:space="preserve"> </w:t>
      </w:r>
    </w:p>
    <w:p w14:paraId="1682E6A8" w14:textId="77777777" w:rsidR="009B6BB9" w:rsidRPr="007E44F6" w:rsidRDefault="009B6BB9" w:rsidP="009B6BB9">
      <w:pPr>
        <w:spacing w:after="0" w:line="480" w:lineRule="auto"/>
        <w:ind w:firstLine="720"/>
        <w:jc w:val="both"/>
        <w:rPr>
          <w:rFonts w:ascii="Times New Roman" w:hAnsi="Times New Roman"/>
          <w:sz w:val="28"/>
          <w:szCs w:val="28"/>
          <w:lang w:val="en-GB"/>
        </w:rPr>
      </w:pPr>
      <w:r w:rsidRPr="007E44F6">
        <w:rPr>
          <w:rFonts w:ascii="Times New Roman" w:hAnsi="Times New Roman"/>
          <w:sz w:val="28"/>
          <w:szCs w:val="28"/>
          <w:lang w:val="en-GB"/>
        </w:rPr>
        <w:t xml:space="preserve">Since the imposition of the Occupiers Liability Act 1957 the factors lawfully considered for establishing a breach of duty have doubled. In order to establish a breach of duty now, it is important to answer was the injury predictable or was the danger very much obvious that a reasonable individual would have been anticipated to avoid it </w:t>
      </w:r>
      <w:r w:rsidRPr="002164C8">
        <w:rPr>
          <w:rFonts w:ascii="Times New Roman" w:hAnsi="Times New Roman"/>
          <w:i/>
          <w:iCs/>
          <w:sz w:val="28"/>
          <w:szCs w:val="28"/>
          <w:lang w:val="en-GB"/>
        </w:rPr>
        <w:t>(Dembour, Turner and Barrow, 2020).</w:t>
      </w:r>
      <w:r w:rsidRPr="007E44F6">
        <w:rPr>
          <w:rFonts w:ascii="Times New Roman" w:hAnsi="Times New Roman"/>
          <w:sz w:val="28"/>
          <w:szCs w:val="28"/>
          <w:lang w:val="en-GB"/>
        </w:rPr>
        <w:t xml:space="preserve"> It is also important to see whether it was likely to issue a warning notice for informing visitors about the danger one or some other preventive technique. Liability under the Act certainly requires the Act to be applicable </w:t>
      </w:r>
      <w:r w:rsidRPr="002164C8">
        <w:rPr>
          <w:rFonts w:ascii="Times New Roman" w:hAnsi="Times New Roman"/>
          <w:i/>
          <w:iCs/>
          <w:sz w:val="28"/>
          <w:szCs w:val="28"/>
          <w:lang w:val="en-GB"/>
        </w:rPr>
        <w:t>(Ernst, 2014).</w:t>
      </w:r>
      <w:r w:rsidRPr="007E44F6">
        <w:rPr>
          <w:rFonts w:ascii="Times New Roman" w:hAnsi="Times New Roman"/>
          <w:sz w:val="28"/>
          <w:szCs w:val="28"/>
          <w:lang w:val="en-GB"/>
        </w:rPr>
        <w:t xml:space="preserve"> For this essential condition to be met, the injury must have taken place because of danger arising from the premises' state as stated under Section 1(1) of the </w:t>
      </w:r>
      <w:r w:rsidRPr="007E44F6">
        <w:rPr>
          <w:rFonts w:ascii="Times New Roman" w:hAnsi="Times New Roman"/>
          <w:sz w:val="28"/>
          <w:szCs w:val="28"/>
          <w:lang w:val="en-GB"/>
        </w:rPr>
        <w:lastRenderedPageBreak/>
        <w:t xml:space="preserve">1957 Act. In case an injury physical or psychological has been an outcome of danger or any fault on the premises, then this suggests a breach of the occupier's duty. Occupier owes a duty of care in regard to incidents occurring in the zone of danger within the premises wherein dangers are prominent because of the state of premises or works to be done or avoided to be done </w:t>
      </w:r>
      <w:r w:rsidRPr="002164C8">
        <w:rPr>
          <w:rFonts w:ascii="Times New Roman" w:hAnsi="Times New Roman"/>
          <w:i/>
          <w:iCs/>
          <w:sz w:val="28"/>
          <w:szCs w:val="28"/>
          <w:lang w:val="en-GB"/>
        </w:rPr>
        <w:t>(Bermingham and Brennan, 2012; Kidner, 2012).</w:t>
      </w:r>
      <w:r w:rsidRPr="007E44F6">
        <w:rPr>
          <w:rFonts w:ascii="Times New Roman" w:hAnsi="Times New Roman"/>
          <w:sz w:val="28"/>
          <w:szCs w:val="28"/>
          <w:lang w:val="en-GB"/>
        </w:rPr>
        <w:t xml:space="preserve"> These facts are largely applicable in Nia and Owen’s traumatic experiences which were mainly attributed to the work in progress of the waltzers' ride, loose lights, and electrical parts therein which resulted in a massive fire. </w:t>
      </w:r>
    </w:p>
    <w:p w14:paraId="36D78463" w14:textId="77777777" w:rsidR="009B6BB9" w:rsidRPr="007E44F6" w:rsidRDefault="009B6BB9" w:rsidP="009B6BB9">
      <w:pPr>
        <w:pStyle w:val="Heading2"/>
        <w:spacing w:before="0" w:line="480" w:lineRule="auto"/>
        <w:jc w:val="both"/>
        <w:rPr>
          <w:rFonts w:ascii="Times New Roman" w:hAnsi="Times New Roman" w:cs="Times New Roman"/>
          <w:color w:val="auto"/>
          <w:sz w:val="28"/>
          <w:szCs w:val="28"/>
        </w:rPr>
      </w:pPr>
      <w:bookmarkStart w:id="10" w:name="_Toc89515351"/>
      <w:r w:rsidRPr="007E44F6">
        <w:rPr>
          <w:rFonts w:ascii="Times New Roman" w:hAnsi="Times New Roman" w:cs="Times New Roman"/>
          <w:color w:val="auto"/>
          <w:sz w:val="28"/>
          <w:szCs w:val="28"/>
        </w:rPr>
        <w:t>Application</w:t>
      </w:r>
      <w:bookmarkEnd w:id="10"/>
    </w:p>
    <w:p w14:paraId="04FE9D24" w14:textId="77777777" w:rsidR="009B6BB9" w:rsidRPr="007E44F6" w:rsidRDefault="009B6BB9" w:rsidP="009B6BB9">
      <w:pPr>
        <w:spacing w:after="0" w:line="480" w:lineRule="auto"/>
        <w:ind w:firstLine="720"/>
        <w:jc w:val="both"/>
        <w:rPr>
          <w:rFonts w:ascii="Times New Roman" w:hAnsi="Times New Roman"/>
          <w:sz w:val="28"/>
          <w:szCs w:val="28"/>
          <w:lang w:val="en-GB"/>
        </w:rPr>
      </w:pPr>
      <w:r w:rsidRPr="007E44F6">
        <w:rPr>
          <w:rFonts w:ascii="Times New Roman" w:hAnsi="Times New Roman"/>
          <w:sz w:val="28"/>
          <w:szCs w:val="28"/>
          <w:lang w:val="en-GB"/>
        </w:rPr>
        <w:t xml:space="preserve">In the case of </w:t>
      </w:r>
      <w:bookmarkStart w:id="11" w:name="_Hlk93392982"/>
      <w:r w:rsidRPr="007E44F6">
        <w:rPr>
          <w:rFonts w:ascii="Times New Roman" w:hAnsi="Times New Roman"/>
          <w:i/>
          <w:sz w:val="28"/>
          <w:szCs w:val="28"/>
          <w:lang w:val="en-GB"/>
        </w:rPr>
        <w:t>Ward v Tesco Stores</w:t>
      </w:r>
      <w:r w:rsidRPr="007E44F6">
        <w:rPr>
          <w:rFonts w:ascii="Times New Roman" w:hAnsi="Times New Roman"/>
          <w:sz w:val="28"/>
          <w:szCs w:val="28"/>
          <w:lang w:val="en-GB"/>
        </w:rPr>
        <w:t xml:space="preserve"> (1976), </w:t>
      </w:r>
      <w:bookmarkEnd w:id="11"/>
      <w:r w:rsidRPr="007E44F6">
        <w:rPr>
          <w:rFonts w:ascii="Times New Roman" w:hAnsi="Times New Roman"/>
          <w:sz w:val="28"/>
          <w:szCs w:val="28"/>
          <w:lang w:val="en-GB"/>
        </w:rPr>
        <w:t xml:space="preserve">the claimant was injured because of slipping on slipped yoghurt in Tesco's outlet, which was a defendant in the case. The defendant claimed that they consistent inspected and cleaned store floors and had policy measures mandating staff to deal with any kind of spillage immediately after detection. However, the defendant failed to give evidence regarding when that specific floor was wiped or cleaned last. Thus, the claimant sued the defendant on the grounds of the tort of negligence </w:t>
      </w:r>
      <w:r w:rsidRPr="00A26BAE">
        <w:rPr>
          <w:rFonts w:ascii="Times New Roman" w:hAnsi="Times New Roman"/>
          <w:i/>
          <w:iCs/>
          <w:sz w:val="28"/>
          <w:szCs w:val="28"/>
          <w:lang w:val="en-GB"/>
        </w:rPr>
        <w:t>(Stephenson, 2012).</w:t>
      </w:r>
      <w:r w:rsidRPr="007E44F6">
        <w:rPr>
          <w:rFonts w:ascii="Times New Roman" w:hAnsi="Times New Roman"/>
          <w:sz w:val="28"/>
          <w:szCs w:val="28"/>
          <w:lang w:val="en-GB"/>
        </w:rPr>
        <w:t xml:space="preserve"> The court decided that the case was adequate for </w:t>
      </w:r>
      <w:r w:rsidRPr="007E44F6">
        <w:rPr>
          <w:rFonts w:ascii="Times New Roman" w:hAnsi="Times New Roman"/>
          <w:i/>
          <w:sz w:val="28"/>
          <w:szCs w:val="28"/>
          <w:lang w:val="en-GB"/>
        </w:rPr>
        <w:t>res ipsa loquitur</w:t>
      </w:r>
      <w:r w:rsidRPr="007E44F6">
        <w:rPr>
          <w:rFonts w:ascii="Times New Roman" w:hAnsi="Times New Roman"/>
          <w:sz w:val="28"/>
          <w:szCs w:val="28"/>
          <w:lang w:val="en-GB"/>
        </w:rPr>
        <w:t xml:space="preserve"> suggesting that for the claimant it is vital to prove the cause of the accident and the court will assume breach in case the defendant was controlling the situation at the time of the incident. Further, the court is likely to presume that the accident was one that usually takes place without carelessness </w:t>
      </w:r>
      <w:r w:rsidRPr="00A26BAE">
        <w:rPr>
          <w:rFonts w:ascii="Times New Roman" w:hAnsi="Times New Roman"/>
          <w:i/>
          <w:iCs/>
          <w:sz w:val="28"/>
          <w:szCs w:val="28"/>
          <w:lang w:val="en-GB"/>
        </w:rPr>
        <w:t xml:space="preserve">(Finch and Fafinski, 2018). </w:t>
      </w:r>
    </w:p>
    <w:p w14:paraId="36DF1305" w14:textId="5F9E4A72" w:rsidR="009B6BB9" w:rsidRPr="007E44F6" w:rsidRDefault="00A26BAE" w:rsidP="009B6BB9">
      <w:pPr>
        <w:spacing w:after="0" w:line="480" w:lineRule="auto"/>
        <w:ind w:firstLine="720"/>
        <w:jc w:val="both"/>
        <w:rPr>
          <w:rFonts w:ascii="Times New Roman" w:hAnsi="Times New Roman"/>
          <w:sz w:val="28"/>
          <w:szCs w:val="28"/>
          <w:lang w:val="en-GB"/>
        </w:rPr>
      </w:pPr>
      <w:r w:rsidRPr="007E44F6">
        <w:rPr>
          <w:rFonts w:ascii="Times New Roman" w:hAnsi="Times New Roman"/>
          <w:sz w:val="28"/>
          <w:szCs w:val="28"/>
          <w:lang w:val="en-GB"/>
        </w:rPr>
        <w:lastRenderedPageBreak/>
        <w:t>So,</w:t>
      </w:r>
      <w:r w:rsidR="009B6BB9" w:rsidRPr="007E44F6">
        <w:rPr>
          <w:rFonts w:ascii="Times New Roman" w:hAnsi="Times New Roman"/>
          <w:sz w:val="28"/>
          <w:szCs w:val="28"/>
          <w:lang w:val="en-GB"/>
        </w:rPr>
        <w:t xml:space="preserve"> in accordance with these facts of the doctrine of </w:t>
      </w:r>
      <w:r w:rsidR="009B6BB9" w:rsidRPr="00A26BAE">
        <w:rPr>
          <w:rFonts w:ascii="Times New Roman" w:hAnsi="Times New Roman"/>
          <w:i/>
          <w:iCs/>
          <w:sz w:val="28"/>
          <w:szCs w:val="28"/>
          <w:lang w:val="en-GB"/>
        </w:rPr>
        <w:t>res ispa</w:t>
      </w:r>
      <w:r w:rsidR="009B6BB9" w:rsidRPr="007E44F6">
        <w:rPr>
          <w:rFonts w:ascii="Times New Roman" w:hAnsi="Times New Roman"/>
          <w:sz w:val="28"/>
          <w:szCs w:val="28"/>
          <w:lang w:val="en-GB"/>
        </w:rPr>
        <w:t xml:space="preserve"> loquitur within the Occupiers Liability Act, Nia's case was suited for </w:t>
      </w:r>
      <w:r w:rsidR="009B6BB9" w:rsidRPr="007E44F6">
        <w:rPr>
          <w:rFonts w:ascii="Times New Roman" w:hAnsi="Times New Roman"/>
          <w:i/>
          <w:sz w:val="28"/>
          <w:szCs w:val="28"/>
          <w:lang w:val="en-GB"/>
        </w:rPr>
        <w:t>res ipsa loquitur</w:t>
      </w:r>
      <w:r w:rsidR="009B6BB9" w:rsidRPr="007E44F6">
        <w:rPr>
          <w:rFonts w:ascii="Times New Roman" w:hAnsi="Times New Roman"/>
          <w:sz w:val="28"/>
          <w:szCs w:val="28"/>
          <w:lang w:val="en-GB"/>
        </w:rPr>
        <w:t xml:space="preserve"> as during the fire incident which had long term implications on the mental health of Nia leading to the development of post-traumatic stress disorder, CPL is liable. It is because of the fact that the theme park was under the defendant's that is CPL's control and as it could not be verified for how long loose electrics and lights on the ride existed makes it an incident that would not normally take place without negligence.  Nia was a primary victim in this case while her brother Owen also got depressed after viewing that incident from the other side and seeing her sister in danger. </w:t>
      </w:r>
    </w:p>
    <w:p w14:paraId="26E96F59" w14:textId="77777777" w:rsidR="009B6BB9" w:rsidRPr="007E44F6" w:rsidRDefault="009B6BB9" w:rsidP="009B6BB9">
      <w:pPr>
        <w:spacing w:after="0" w:line="480" w:lineRule="auto"/>
        <w:ind w:firstLine="720"/>
        <w:jc w:val="both"/>
        <w:rPr>
          <w:rFonts w:ascii="Times New Roman" w:hAnsi="Times New Roman"/>
          <w:sz w:val="28"/>
          <w:szCs w:val="28"/>
          <w:lang w:val="en-GB"/>
        </w:rPr>
      </w:pPr>
      <w:r w:rsidRPr="007E44F6">
        <w:rPr>
          <w:rFonts w:ascii="Times New Roman" w:hAnsi="Times New Roman"/>
          <w:sz w:val="28"/>
          <w:szCs w:val="28"/>
          <w:lang w:val="en-GB"/>
        </w:rPr>
        <w:t xml:space="preserve">The tort of negligence for the depression problem of Owen can be understood through the case of </w:t>
      </w:r>
      <w:bookmarkStart w:id="12" w:name="_Hlk93393076"/>
      <w:r w:rsidRPr="007E44F6">
        <w:rPr>
          <w:rFonts w:ascii="Times New Roman" w:hAnsi="Times New Roman"/>
          <w:i/>
          <w:sz w:val="28"/>
          <w:szCs w:val="28"/>
          <w:lang w:val="en-GB"/>
        </w:rPr>
        <w:t>Page v Smith (1996)</w:t>
      </w:r>
      <w:r w:rsidRPr="007E44F6">
        <w:rPr>
          <w:rFonts w:ascii="Times New Roman" w:hAnsi="Times New Roman"/>
          <w:sz w:val="28"/>
          <w:szCs w:val="28"/>
          <w:lang w:val="en-GB"/>
        </w:rPr>
        <w:t xml:space="preserve"> </w:t>
      </w:r>
      <w:bookmarkEnd w:id="12"/>
      <w:r w:rsidRPr="007E44F6">
        <w:rPr>
          <w:rFonts w:ascii="Times New Roman" w:hAnsi="Times New Roman"/>
          <w:sz w:val="28"/>
          <w:szCs w:val="28"/>
          <w:lang w:val="en-GB"/>
        </w:rPr>
        <w:t xml:space="preserve">which was important in the breach of Law of Torts as it improvised the distinction between primary victims and secondary victims. In this particular case, the House of Lords held there was no distinction between psychiatric and physical harms for the determination of the duty of care within the tort of negligence </w:t>
      </w:r>
      <w:r w:rsidRPr="006442D2">
        <w:rPr>
          <w:rFonts w:ascii="Times New Roman" w:hAnsi="Times New Roman"/>
          <w:i/>
          <w:iCs/>
          <w:sz w:val="28"/>
          <w:szCs w:val="28"/>
          <w:lang w:val="en-GB"/>
        </w:rPr>
        <w:t>(Van Dam, 2013).</w:t>
      </w:r>
      <w:r w:rsidRPr="007E44F6">
        <w:rPr>
          <w:rFonts w:ascii="Times New Roman" w:hAnsi="Times New Roman"/>
          <w:sz w:val="28"/>
          <w:szCs w:val="28"/>
          <w:lang w:val="en-GB"/>
        </w:rPr>
        <w:t xml:space="preserve"> After this case, it was presumed that reasonable predictability of psychiatric illness was the main requirement in every case of the tort of negligence where any kind of psychiatric illness was a part. Further, it is important that every plaintiff must be an individual of normal disposition </w:t>
      </w:r>
      <w:r w:rsidRPr="006442D2">
        <w:rPr>
          <w:rFonts w:ascii="Times New Roman" w:hAnsi="Times New Roman"/>
          <w:i/>
          <w:iCs/>
          <w:sz w:val="28"/>
          <w:szCs w:val="28"/>
          <w:lang w:val="en-GB"/>
        </w:rPr>
        <w:t>(Oliphant et al., 2013).</w:t>
      </w:r>
      <w:r w:rsidRPr="007E44F6">
        <w:rPr>
          <w:rFonts w:ascii="Times New Roman" w:hAnsi="Times New Roman"/>
          <w:sz w:val="28"/>
          <w:szCs w:val="28"/>
          <w:lang w:val="en-GB"/>
        </w:rPr>
        <w:t xml:space="preserve"> These all requirements are accomplished in Nia's and Owen's case thus the psychiatric illness; that is stress disorder makes CPL liable for the tort of negligence as a primary victim while Owen is a secondary victim. The claim of damages for Owen is largely </w:t>
      </w:r>
      <w:r w:rsidRPr="007E44F6">
        <w:rPr>
          <w:rFonts w:ascii="Times New Roman" w:hAnsi="Times New Roman"/>
          <w:sz w:val="28"/>
          <w:szCs w:val="28"/>
          <w:lang w:val="en-GB"/>
        </w:rPr>
        <w:lastRenderedPageBreak/>
        <w:t xml:space="preserve">restricted in comparison to that of Nia who was the primary victim meaning that Owen cannot claim more than or equal to Nia due to his position as a secondary victim. In, </w:t>
      </w:r>
      <w:bookmarkStart w:id="13" w:name="_Hlk93393158"/>
      <w:r w:rsidRPr="007E44F6">
        <w:rPr>
          <w:rFonts w:ascii="Times New Roman" w:hAnsi="Times New Roman"/>
          <w:i/>
          <w:sz w:val="28"/>
          <w:szCs w:val="28"/>
          <w:lang w:val="en-GB"/>
        </w:rPr>
        <w:t>McCloughlin v O’Brian</w:t>
      </w:r>
      <w:r w:rsidRPr="007E44F6">
        <w:rPr>
          <w:rFonts w:ascii="Times New Roman" w:hAnsi="Times New Roman"/>
          <w:sz w:val="28"/>
          <w:szCs w:val="28"/>
          <w:lang w:val="en-GB"/>
        </w:rPr>
        <w:t xml:space="preserve"> (1983) </w:t>
      </w:r>
      <w:bookmarkEnd w:id="13"/>
      <w:r w:rsidRPr="007E44F6">
        <w:rPr>
          <w:rFonts w:ascii="Times New Roman" w:hAnsi="Times New Roman"/>
          <w:sz w:val="28"/>
          <w:szCs w:val="28"/>
          <w:lang w:val="en-GB"/>
        </w:rPr>
        <w:t xml:space="preserve">the House of Lords decided that recovery of the claimant in such cases was not restricted to ones who have witnessed the event and who feared that they or a close person would suffer some kind of personal injuries </w:t>
      </w:r>
      <w:r w:rsidRPr="006442D2">
        <w:rPr>
          <w:rFonts w:ascii="Times New Roman" w:hAnsi="Times New Roman"/>
          <w:i/>
          <w:iCs/>
          <w:sz w:val="28"/>
          <w:szCs w:val="28"/>
          <w:lang w:val="en-GB"/>
        </w:rPr>
        <w:t>(Baker, 2019)</w:t>
      </w:r>
      <w:r w:rsidRPr="007E44F6">
        <w:rPr>
          <w:rFonts w:ascii="Times New Roman" w:hAnsi="Times New Roman"/>
          <w:sz w:val="28"/>
          <w:szCs w:val="28"/>
          <w:lang w:val="en-GB"/>
        </w:rPr>
        <w:t xml:space="preserve">. In </w:t>
      </w:r>
      <w:bookmarkStart w:id="14" w:name="_Hlk93393232"/>
      <w:r w:rsidRPr="007E44F6">
        <w:rPr>
          <w:rFonts w:ascii="Times New Roman" w:hAnsi="Times New Roman"/>
          <w:i/>
          <w:sz w:val="28"/>
          <w:szCs w:val="28"/>
          <w:lang w:val="en-GB"/>
        </w:rPr>
        <w:t xml:space="preserve">Chadwick v British Railways Board </w:t>
      </w:r>
      <w:r w:rsidRPr="007E44F6">
        <w:rPr>
          <w:rFonts w:ascii="Times New Roman" w:hAnsi="Times New Roman"/>
          <w:sz w:val="28"/>
          <w:szCs w:val="28"/>
          <w:lang w:val="en-GB"/>
        </w:rPr>
        <w:t xml:space="preserve">([1967] 1 WLR 912), </w:t>
      </w:r>
      <w:bookmarkEnd w:id="14"/>
      <w:r w:rsidRPr="007E44F6">
        <w:rPr>
          <w:rFonts w:ascii="Times New Roman" w:hAnsi="Times New Roman"/>
          <w:sz w:val="28"/>
          <w:szCs w:val="28"/>
          <w:lang w:val="en-GB"/>
        </w:rPr>
        <w:t xml:space="preserve">the duty of D was affirmed to the extent to ones who came upon the after-effects of an event, even if they do not directly view or hear the event through their unaided senses </w:t>
      </w:r>
      <w:r w:rsidRPr="006442D2">
        <w:rPr>
          <w:rFonts w:ascii="Times New Roman" w:hAnsi="Times New Roman"/>
          <w:i/>
          <w:iCs/>
          <w:sz w:val="28"/>
          <w:szCs w:val="28"/>
          <w:lang w:val="en-GB"/>
        </w:rPr>
        <w:t>(Steele, 2010).</w:t>
      </w:r>
      <w:r w:rsidRPr="007E44F6">
        <w:rPr>
          <w:rFonts w:ascii="Times New Roman" w:hAnsi="Times New Roman"/>
          <w:sz w:val="28"/>
          <w:szCs w:val="28"/>
          <w:lang w:val="en-GB"/>
        </w:rPr>
        <w:t xml:space="preserve"> This case confirms that Owen due suffered from depression issue because seeing his sister in the danger zone can claim damages in the light of the breach of duty of negligence from CPL. </w:t>
      </w:r>
    </w:p>
    <w:p w14:paraId="64617C93" w14:textId="77777777" w:rsidR="009B6BB9" w:rsidRPr="007E44F6" w:rsidRDefault="009B6BB9" w:rsidP="009B6BB9">
      <w:pPr>
        <w:pStyle w:val="Heading2"/>
        <w:spacing w:before="0" w:line="480" w:lineRule="auto"/>
        <w:jc w:val="both"/>
        <w:rPr>
          <w:rFonts w:ascii="Times New Roman" w:hAnsi="Times New Roman" w:cs="Times New Roman"/>
          <w:color w:val="auto"/>
          <w:sz w:val="28"/>
          <w:szCs w:val="28"/>
        </w:rPr>
      </w:pPr>
      <w:bookmarkStart w:id="15" w:name="_Toc89515352"/>
      <w:r w:rsidRPr="007E44F6">
        <w:rPr>
          <w:rFonts w:ascii="Times New Roman" w:hAnsi="Times New Roman" w:cs="Times New Roman"/>
          <w:color w:val="auto"/>
          <w:sz w:val="28"/>
          <w:szCs w:val="28"/>
        </w:rPr>
        <w:t>Conclusion</w:t>
      </w:r>
      <w:bookmarkEnd w:id="15"/>
    </w:p>
    <w:p w14:paraId="0AF50C0A" w14:textId="77777777" w:rsidR="009B6BB9" w:rsidRPr="007E44F6" w:rsidRDefault="009B6BB9" w:rsidP="009B6BB9">
      <w:pPr>
        <w:spacing w:after="0" w:line="480" w:lineRule="auto"/>
        <w:ind w:firstLine="720"/>
        <w:jc w:val="both"/>
        <w:rPr>
          <w:rFonts w:ascii="Times New Roman" w:hAnsi="Times New Roman"/>
          <w:sz w:val="28"/>
          <w:szCs w:val="28"/>
          <w:lang w:val="en-GB"/>
        </w:rPr>
      </w:pPr>
      <w:r w:rsidRPr="007E44F6">
        <w:rPr>
          <w:rFonts w:ascii="Times New Roman" w:hAnsi="Times New Roman"/>
          <w:sz w:val="28"/>
          <w:szCs w:val="28"/>
          <w:lang w:val="en-GB"/>
        </w:rPr>
        <w:t xml:space="preserve">It is discovered that Nia and Owen both can claim damage for negligence due to which they developed stress and depression problems as post-traumatic effects. CPL is liable for settling damages suffered by Nia as well as Owen as per the evaluated case laws and doctrine of </w:t>
      </w:r>
      <w:r w:rsidRPr="007E44F6">
        <w:rPr>
          <w:rFonts w:ascii="Times New Roman" w:hAnsi="Times New Roman"/>
          <w:i/>
          <w:sz w:val="28"/>
          <w:szCs w:val="28"/>
          <w:lang w:val="en-GB"/>
        </w:rPr>
        <w:t>res ipsa loquitur</w:t>
      </w:r>
      <w:r w:rsidRPr="007E44F6">
        <w:rPr>
          <w:rFonts w:ascii="Times New Roman" w:hAnsi="Times New Roman"/>
          <w:sz w:val="28"/>
          <w:szCs w:val="28"/>
          <w:lang w:val="en-GB"/>
        </w:rPr>
        <w:t xml:space="preserve"> whereby the occupier neglected the duty of addressing dangers occurring because of the premises current state. Nia can claim for damages as a primary victim while the position of Owen as the defendant is the second victim who dealt with the fear of losing his close person and consequently got depressed. </w:t>
      </w:r>
    </w:p>
    <w:p w14:paraId="618876F5" w14:textId="77777777" w:rsidR="00DC19C3" w:rsidRPr="007E44F6" w:rsidRDefault="00DC19C3" w:rsidP="009B6BB9">
      <w:pPr>
        <w:spacing w:after="0" w:line="480" w:lineRule="auto"/>
        <w:jc w:val="both"/>
        <w:rPr>
          <w:rFonts w:ascii="Times New Roman" w:hAnsi="Times New Roman"/>
          <w:sz w:val="28"/>
          <w:szCs w:val="28"/>
          <w:lang w:val="en-GB"/>
        </w:rPr>
      </w:pPr>
    </w:p>
    <w:p w14:paraId="43259C93" w14:textId="77777777" w:rsidR="00DD3F16" w:rsidRPr="007E44F6" w:rsidRDefault="00DD3F16" w:rsidP="00DD3F16">
      <w:pPr>
        <w:pStyle w:val="Heading1"/>
        <w:spacing w:before="0" w:line="480" w:lineRule="auto"/>
        <w:jc w:val="both"/>
        <w:rPr>
          <w:rFonts w:ascii="Times New Roman" w:hAnsi="Times New Roman" w:cs="Times New Roman"/>
          <w:color w:val="auto"/>
        </w:rPr>
      </w:pPr>
      <w:bookmarkStart w:id="16" w:name="_Toc89515353"/>
      <w:r w:rsidRPr="007E44F6">
        <w:rPr>
          <w:rFonts w:ascii="Times New Roman" w:hAnsi="Times New Roman" w:cs="Times New Roman"/>
          <w:color w:val="auto"/>
        </w:rPr>
        <w:lastRenderedPageBreak/>
        <w:t>References</w:t>
      </w:r>
      <w:bookmarkEnd w:id="16"/>
    </w:p>
    <w:p w14:paraId="14F49D81" w14:textId="77777777" w:rsidR="00DD3F16" w:rsidRPr="00332AA8" w:rsidRDefault="00DD3F16" w:rsidP="00DD3F16">
      <w:pPr>
        <w:spacing w:after="0" w:line="480" w:lineRule="auto"/>
        <w:ind w:left="720" w:hanging="720"/>
        <w:rPr>
          <w:rFonts w:ascii="Times New Roman" w:hAnsi="Times New Roman"/>
          <w:lang w:val="en-GB"/>
        </w:rPr>
      </w:pPr>
      <w:r w:rsidRPr="00332AA8">
        <w:rPr>
          <w:rFonts w:ascii="Times New Roman" w:hAnsi="Times New Roman"/>
          <w:lang w:val="en-GB"/>
        </w:rPr>
        <w:t xml:space="preserve">Baker, J.H. 2019. </w:t>
      </w:r>
      <w:r w:rsidRPr="00332AA8">
        <w:rPr>
          <w:rFonts w:ascii="Times New Roman" w:hAnsi="Times New Roman"/>
          <w:i/>
          <w:lang w:val="en-GB"/>
        </w:rPr>
        <w:t>An introduction to English legal history</w:t>
      </w:r>
      <w:r w:rsidRPr="00332AA8">
        <w:rPr>
          <w:rFonts w:ascii="Times New Roman" w:hAnsi="Times New Roman"/>
          <w:lang w:val="en-GB"/>
        </w:rPr>
        <w:t>. Oxford University Press.</w:t>
      </w:r>
    </w:p>
    <w:p w14:paraId="074B1923" w14:textId="77777777" w:rsidR="00DD3F16" w:rsidRPr="00332AA8" w:rsidRDefault="00DD3F16" w:rsidP="00DD3F16">
      <w:pPr>
        <w:spacing w:after="0" w:line="480" w:lineRule="auto"/>
        <w:ind w:left="720" w:hanging="720"/>
        <w:rPr>
          <w:rFonts w:ascii="Times New Roman" w:hAnsi="Times New Roman"/>
          <w:lang w:val="en-GB"/>
        </w:rPr>
      </w:pPr>
      <w:r w:rsidRPr="00332AA8">
        <w:rPr>
          <w:rFonts w:ascii="Times New Roman" w:hAnsi="Times New Roman"/>
          <w:lang w:val="en-GB"/>
        </w:rPr>
        <w:t xml:space="preserve">Bates, J. 2012. Pitch Perfect? The duty of organisers to provide safe playing surfaces. </w:t>
      </w:r>
      <w:r w:rsidRPr="00332AA8">
        <w:rPr>
          <w:rFonts w:ascii="Times New Roman" w:hAnsi="Times New Roman"/>
          <w:i/>
          <w:lang w:val="en-GB"/>
        </w:rPr>
        <w:t>Travel Law Quarterly</w:t>
      </w:r>
      <w:r w:rsidRPr="00332AA8">
        <w:rPr>
          <w:rFonts w:ascii="Times New Roman" w:hAnsi="Times New Roman"/>
          <w:lang w:val="en-GB"/>
        </w:rPr>
        <w:t xml:space="preserve"> 4(3).</w:t>
      </w:r>
    </w:p>
    <w:p w14:paraId="6B1669CF" w14:textId="77777777" w:rsidR="00DD3F16" w:rsidRPr="00332AA8" w:rsidRDefault="00DD3F16" w:rsidP="00DD3F16">
      <w:pPr>
        <w:spacing w:after="0" w:line="480" w:lineRule="auto"/>
        <w:ind w:left="720" w:hanging="720"/>
        <w:rPr>
          <w:rFonts w:ascii="Times New Roman" w:hAnsi="Times New Roman"/>
          <w:lang w:val="en-GB"/>
        </w:rPr>
      </w:pPr>
      <w:r w:rsidRPr="00332AA8">
        <w:rPr>
          <w:rFonts w:ascii="Times New Roman" w:hAnsi="Times New Roman"/>
          <w:lang w:val="en-GB"/>
        </w:rPr>
        <w:t xml:space="preserve">Brennan, C. 2019. </w:t>
      </w:r>
      <w:r w:rsidRPr="00332AA8">
        <w:rPr>
          <w:rFonts w:ascii="Times New Roman" w:hAnsi="Times New Roman"/>
          <w:i/>
          <w:lang w:val="en-GB"/>
        </w:rPr>
        <w:t>Law Revision and Study Guide</w:t>
      </w:r>
      <w:r w:rsidRPr="00332AA8">
        <w:rPr>
          <w:rFonts w:ascii="Times New Roman" w:hAnsi="Times New Roman"/>
          <w:lang w:val="en-GB"/>
        </w:rPr>
        <w:t xml:space="preserve">. Oxford University Press. </w:t>
      </w:r>
    </w:p>
    <w:p w14:paraId="55E61F63" w14:textId="77777777" w:rsidR="00DD3F16" w:rsidRPr="00332AA8" w:rsidRDefault="00DD3F16" w:rsidP="00DD3F16">
      <w:pPr>
        <w:spacing w:after="0" w:line="480" w:lineRule="auto"/>
        <w:ind w:left="720" w:hanging="720"/>
        <w:rPr>
          <w:rFonts w:ascii="Times New Roman" w:hAnsi="Times New Roman"/>
          <w:lang w:val="en-GB"/>
        </w:rPr>
      </w:pPr>
      <w:r w:rsidRPr="00332AA8">
        <w:rPr>
          <w:rFonts w:ascii="Times New Roman" w:hAnsi="Times New Roman"/>
          <w:lang w:val="en-GB"/>
        </w:rPr>
        <w:t xml:space="preserve">Dembour, M.B., Turner, J. and Barrow, C. 2020. When are occupiers in breach of their duty of care? The advantages of a systematic test. </w:t>
      </w:r>
      <w:r w:rsidRPr="00332AA8">
        <w:rPr>
          <w:rFonts w:ascii="Times New Roman" w:hAnsi="Times New Roman"/>
          <w:i/>
          <w:lang w:val="en-GB"/>
        </w:rPr>
        <w:t>Legal Studies</w:t>
      </w:r>
      <w:r w:rsidRPr="00332AA8">
        <w:rPr>
          <w:rFonts w:ascii="Times New Roman" w:hAnsi="Times New Roman"/>
          <w:lang w:val="en-GB"/>
        </w:rPr>
        <w:t xml:space="preserve"> 40(1), pp.95-112. </w:t>
      </w:r>
    </w:p>
    <w:p w14:paraId="784EF619" w14:textId="77777777" w:rsidR="00DD3F16" w:rsidRPr="00332AA8" w:rsidRDefault="00DD3F16" w:rsidP="00DD3F16">
      <w:pPr>
        <w:spacing w:after="0" w:line="480" w:lineRule="auto"/>
        <w:ind w:left="720" w:hanging="720"/>
        <w:rPr>
          <w:rFonts w:ascii="Times New Roman" w:hAnsi="Times New Roman"/>
          <w:lang w:val="en-GB"/>
        </w:rPr>
      </w:pPr>
      <w:r w:rsidRPr="00332AA8">
        <w:rPr>
          <w:rFonts w:ascii="Times New Roman" w:hAnsi="Times New Roman"/>
          <w:lang w:val="en-GB"/>
        </w:rPr>
        <w:t xml:space="preserve">Ernst, W. 2014. </w:t>
      </w:r>
      <w:r w:rsidRPr="00332AA8">
        <w:rPr>
          <w:rFonts w:ascii="Times New Roman" w:hAnsi="Times New Roman"/>
          <w:i/>
          <w:lang w:val="en-GB"/>
        </w:rPr>
        <w:t>The development of traffic liability</w:t>
      </w:r>
      <w:r w:rsidRPr="00332AA8">
        <w:rPr>
          <w:rFonts w:ascii="Times New Roman" w:hAnsi="Times New Roman"/>
          <w:lang w:val="en-GB"/>
        </w:rPr>
        <w:t xml:space="preserve">. Cambridge University Press. </w:t>
      </w:r>
    </w:p>
    <w:p w14:paraId="36DF79F5" w14:textId="77777777" w:rsidR="00DD3F16" w:rsidRPr="00332AA8" w:rsidRDefault="00DD3F16" w:rsidP="00DD3F16">
      <w:pPr>
        <w:spacing w:after="0" w:line="480" w:lineRule="auto"/>
        <w:ind w:left="720" w:hanging="720"/>
        <w:rPr>
          <w:rFonts w:ascii="Times New Roman" w:hAnsi="Times New Roman"/>
          <w:lang w:val="en-GB"/>
        </w:rPr>
      </w:pPr>
      <w:r w:rsidRPr="00332AA8">
        <w:rPr>
          <w:rFonts w:ascii="Times New Roman" w:hAnsi="Times New Roman"/>
          <w:lang w:val="en-GB"/>
        </w:rPr>
        <w:t xml:space="preserve">Greene, B. 2013. </w:t>
      </w:r>
      <w:r w:rsidRPr="00332AA8">
        <w:rPr>
          <w:rFonts w:ascii="Times New Roman" w:hAnsi="Times New Roman"/>
          <w:i/>
          <w:lang w:val="en-GB"/>
        </w:rPr>
        <w:t>Course Notes: Tort Law</w:t>
      </w:r>
      <w:r w:rsidRPr="00332AA8">
        <w:rPr>
          <w:rFonts w:ascii="Times New Roman" w:hAnsi="Times New Roman"/>
          <w:lang w:val="en-GB"/>
        </w:rPr>
        <w:t>. London: Routledge.</w:t>
      </w:r>
    </w:p>
    <w:p w14:paraId="2D6B42E5" w14:textId="77777777" w:rsidR="00DD3F16" w:rsidRPr="00332AA8" w:rsidRDefault="00DD3F16" w:rsidP="00DD3F16">
      <w:pPr>
        <w:spacing w:after="0" w:line="480" w:lineRule="auto"/>
        <w:ind w:left="720" w:hanging="720"/>
        <w:rPr>
          <w:rFonts w:ascii="Times New Roman" w:hAnsi="Times New Roman"/>
          <w:lang w:val="en-GB"/>
        </w:rPr>
      </w:pPr>
      <w:r w:rsidRPr="00332AA8">
        <w:rPr>
          <w:rFonts w:ascii="Times New Roman" w:hAnsi="Times New Roman"/>
          <w:lang w:val="en-GB"/>
        </w:rPr>
        <w:t xml:space="preserve">Horsey, K. and Rackley, E. 2019. </w:t>
      </w:r>
      <w:r w:rsidRPr="00332AA8">
        <w:rPr>
          <w:rFonts w:ascii="Times New Roman" w:hAnsi="Times New Roman"/>
          <w:i/>
          <w:lang w:val="en-GB"/>
        </w:rPr>
        <w:t>Kidner's Casebook on Torts.</w:t>
      </w:r>
      <w:r w:rsidRPr="00332AA8">
        <w:rPr>
          <w:rFonts w:ascii="Times New Roman" w:hAnsi="Times New Roman"/>
          <w:lang w:val="en-GB"/>
        </w:rPr>
        <w:t xml:space="preserve"> Oxford University Press.</w:t>
      </w:r>
    </w:p>
    <w:p w14:paraId="06F22602" w14:textId="77777777" w:rsidR="00DD3F16" w:rsidRDefault="00DD3F16" w:rsidP="00DD3F16">
      <w:pPr>
        <w:spacing w:after="0" w:line="480" w:lineRule="auto"/>
        <w:ind w:left="720" w:hanging="720"/>
        <w:rPr>
          <w:rFonts w:ascii="Times New Roman" w:hAnsi="Times New Roman"/>
          <w:lang w:val="en-GB"/>
        </w:rPr>
      </w:pPr>
      <w:r w:rsidRPr="00332AA8">
        <w:rPr>
          <w:rFonts w:ascii="Times New Roman" w:hAnsi="Times New Roman"/>
          <w:lang w:val="en-GB"/>
        </w:rPr>
        <w:t xml:space="preserve">Howarth, D., Matthews, M., Morgan, J., O'Sullivan, J. and Tofaris, S. 2016. </w:t>
      </w:r>
      <w:r w:rsidRPr="00332AA8">
        <w:rPr>
          <w:rFonts w:ascii="Times New Roman" w:hAnsi="Times New Roman"/>
          <w:i/>
          <w:lang w:val="en-GB"/>
        </w:rPr>
        <w:t>Hepple and Matthews' Tort Law: Cases and Materials.</w:t>
      </w:r>
      <w:r w:rsidRPr="00332AA8">
        <w:rPr>
          <w:rFonts w:ascii="Times New Roman" w:hAnsi="Times New Roman"/>
          <w:lang w:val="en-GB"/>
        </w:rPr>
        <w:t xml:space="preserve"> Bloomsbury Publishing. </w:t>
      </w:r>
    </w:p>
    <w:p w14:paraId="71D5E8BB" w14:textId="77777777" w:rsidR="00DD3F16" w:rsidRPr="00332AA8" w:rsidRDefault="00DD3F16" w:rsidP="00DD3F16">
      <w:pPr>
        <w:spacing w:after="0" w:line="480" w:lineRule="auto"/>
        <w:ind w:left="720" w:hanging="720"/>
        <w:rPr>
          <w:rFonts w:ascii="Times New Roman" w:hAnsi="Times New Roman"/>
          <w:lang w:val="en-GB"/>
        </w:rPr>
      </w:pPr>
      <w:r w:rsidRPr="00332AA8">
        <w:rPr>
          <w:rFonts w:ascii="Times New Roman" w:hAnsi="Times New Roman"/>
          <w:lang w:val="en-GB"/>
        </w:rPr>
        <w:t xml:space="preserve">Montague, J. 2013. </w:t>
      </w:r>
      <w:r w:rsidRPr="00332AA8">
        <w:rPr>
          <w:rFonts w:ascii="Times New Roman" w:hAnsi="Times New Roman"/>
          <w:i/>
          <w:lang w:val="en-GB"/>
        </w:rPr>
        <w:t>Q&amp;A Torts 2013-2014</w:t>
      </w:r>
      <w:r w:rsidRPr="00332AA8">
        <w:rPr>
          <w:rFonts w:ascii="Times New Roman" w:hAnsi="Times New Roman"/>
          <w:lang w:val="en-GB"/>
        </w:rPr>
        <w:t xml:space="preserve">. London: Routledge. </w:t>
      </w:r>
    </w:p>
    <w:p w14:paraId="364E4765" w14:textId="77777777" w:rsidR="00DD3F16" w:rsidRPr="00332AA8" w:rsidRDefault="00DD3F16" w:rsidP="00DD3F16">
      <w:pPr>
        <w:spacing w:after="0" w:line="480" w:lineRule="auto"/>
        <w:ind w:left="720" w:hanging="720"/>
        <w:rPr>
          <w:rFonts w:ascii="Times New Roman" w:hAnsi="Times New Roman"/>
          <w:lang w:val="en-GB"/>
        </w:rPr>
      </w:pPr>
      <w:r w:rsidRPr="00332AA8">
        <w:rPr>
          <w:rFonts w:ascii="Times New Roman" w:hAnsi="Times New Roman"/>
          <w:lang w:val="en-GB"/>
        </w:rPr>
        <w:t xml:space="preserve">Mulheron, R. 2016. </w:t>
      </w:r>
      <w:r w:rsidRPr="00332AA8">
        <w:rPr>
          <w:rFonts w:ascii="Times New Roman" w:hAnsi="Times New Roman"/>
          <w:i/>
          <w:lang w:val="en-GB"/>
        </w:rPr>
        <w:t xml:space="preserve">Principles of tort law. </w:t>
      </w:r>
      <w:r w:rsidRPr="00332AA8">
        <w:rPr>
          <w:rFonts w:ascii="Times New Roman" w:hAnsi="Times New Roman"/>
          <w:lang w:val="en-GB"/>
        </w:rPr>
        <w:t xml:space="preserve">Cambridge University Press. </w:t>
      </w:r>
    </w:p>
    <w:p w14:paraId="7415B219" w14:textId="77777777" w:rsidR="00DD3F16" w:rsidRPr="00332AA8" w:rsidRDefault="00DD3F16" w:rsidP="00DD3F16">
      <w:pPr>
        <w:spacing w:after="0" w:line="480" w:lineRule="auto"/>
        <w:ind w:left="720" w:hanging="720"/>
        <w:rPr>
          <w:rFonts w:ascii="Times New Roman" w:hAnsi="Times New Roman"/>
          <w:lang w:val="en-GB"/>
        </w:rPr>
      </w:pPr>
      <w:r w:rsidRPr="00332AA8">
        <w:rPr>
          <w:rFonts w:ascii="Times New Roman" w:hAnsi="Times New Roman"/>
          <w:lang w:val="en-GB"/>
        </w:rPr>
        <w:t xml:space="preserve">Oliphant, K., Pitel, S.G.A., Neyers, J.W. and Chamberlain, E. 2013. Against Certainty in Tort Law. </w:t>
      </w:r>
      <w:r w:rsidRPr="00332AA8">
        <w:rPr>
          <w:rFonts w:ascii="Times New Roman" w:hAnsi="Times New Roman"/>
          <w:i/>
          <w:lang w:val="en-GB"/>
        </w:rPr>
        <w:t>Tort Law: Challenging Orthodoxy Hart Publishing, Oxford</w:t>
      </w:r>
      <w:r w:rsidRPr="00332AA8">
        <w:rPr>
          <w:rFonts w:ascii="Times New Roman" w:hAnsi="Times New Roman"/>
          <w:lang w:val="en-GB"/>
        </w:rPr>
        <w:t>, pp.1-18.</w:t>
      </w:r>
    </w:p>
    <w:p w14:paraId="7F5E6310" w14:textId="77777777" w:rsidR="00DD3F16" w:rsidRPr="00332AA8" w:rsidRDefault="00DD3F16" w:rsidP="00DD3F16">
      <w:pPr>
        <w:spacing w:after="0" w:line="480" w:lineRule="auto"/>
        <w:ind w:left="720" w:hanging="720"/>
        <w:rPr>
          <w:rFonts w:ascii="Times New Roman" w:hAnsi="Times New Roman"/>
          <w:lang w:val="en-GB"/>
        </w:rPr>
      </w:pPr>
      <w:r w:rsidRPr="00332AA8">
        <w:rPr>
          <w:rFonts w:ascii="Times New Roman" w:hAnsi="Times New Roman"/>
          <w:lang w:val="en-GB"/>
        </w:rPr>
        <w:t xml:space="preserve">Patten, K. 2020. Negligence liability and the taking of obvious risks [Case commentary on Wells v Full Moon Events]. </w:t>
      </w:r>
      <w:r w:rsidRPr="00332AA8">
        <w:rPr>
          <w:rFonts w:ascii="Times New Roman" w:hAnsi="Times New Roman"/>
          <w:i/>
          <w:lang w:val="en-GB"/>
        </w:rPr>
        <w:t>Journal of Professional Negligence</w:t>
      </w:r>
      <w:r w:rsidRPr="00332AA8">
        <w:rPr>
          <w:rFonts w:ascii="Times New Roman" w:hAnsi="Times New Roman"/>
          <w:lang w:val="en-GB"/>
        </w:rPr>
        <w:t>, pp.1-6.</w:t>
      </w:r>
    </w:p>
    <w:p w14:paraId="630B51EC" w14:textId="77777777" w:rsidR="00DD3F16" w:rsidRPr="00332AA8" w:rsidRDefault="00DD3F16" w:rsidP="00DD3F16">
      <w:pPr>
        <w:spacing w:after="0" w:line="480" w:lineRule="auto"/>
        <w:ind w:left="720" w:hanging="720"/>
        <w:rPr>
          <w:rFonts w:ascii="Times New Roman" w:hAnsi="Times New Roman"/>
          <w:lang w:val="en-GB"/>
        </w:rPr>
      </w:pPr>
      <w:r w:rsidRPr="00332AA8">
        <w:rPr>
          <w:rFonts w:ascii="Times New Roman" w:hAnsi="Times New Roman"/>
          <w:lang w:val="en-GB"/>
        </w:rPr>
        <w:t>Pawlowski, M. 2019. Landlord's liability as occupier to trespassers</w:t>
      </w:r>
      <w:r w:rsidRPr="00332AA8">
        <w:rPr>
          <w:rFonts w:ascii="Times New Roman" w:hAnsi="Times New Roman"/>
          <w:i/>
          <w:lang w:val="en-GB"/>
        </w:rPr>
        <w:t>. Landlord and Tenant Review</w:t>
      </w:r>
      <w:r w:rsidRPr="00332AA8">
        <w:rPr>
          <w:rFonts w:ascii="Times New Roman" w:hAnsi="Times New Roman"/>
          <w:lang w:val="en-GB"/>
        </w:rPr>
        <w:t xml:space="preserve"> 23(5), pp.174-178.</w:t>
      </w:r>
    </w:p>
    <w:p w14:paraId="4452C757" w14:textId="77777777" w:rsidR="00DD3F16" w:rsidRPr="00332AA8" w:rsidRDefault="00DD3F16" w:rsidP="00DD3F16">
      <w:pPr>
        <w:spacing w:after="0" w:line="480" w:lineRule="auto"/>
        <w:ind w:left="720" w:hanging="720"/>
        <w:rPr>
          <w:rFonts w:ascii="Times New Roman" w:hAnsi="Times New Roman"/>
          <w:lang w:val="en-GB"/>
        </w:rPr>
      </w:pPr>
      <w:r w:rsidRPr="00332AA8">
        <w:rPr>
          <w:rFonts w:ascii="Times New Roman" w:hAnsi="Times New Roman"/>
          <w:lang w:val="en-GB"/>
        </w:rPr>
        <w:t xml:space="preserve">Pearce, D. 2019. Mental Impairment and the Objective Approach in Negligence: Spearman v Royal United Bath Hospitals. </w:t>
      </w:r>
      <w:r w:rsidRPr="00332AA8">
        <w:rPr>
          <w:rFonts w:ascii="Times New Roman" w:hAnsi="Times New Roman"/>
          <w:i/>
          <w:lang w:val="en-GB"/>
        </w:rPr>
        <w:t>Tort Law Review</w:t>
      </w:r>
      <w:r w:rsidRPr="00332AA8">
        <w:rPr>
          <w:rFonts w:ascii="Times New Roman" w:hAnsi="Times New Roman"/>
          <w:lang w:val="en-GB"/>
        </w:rPr>
        <w:t xml:space="preserve"> 26(2), pp.57-59.</w:t>
      </w:r>
    </w:p>
    <w:p w14:paraId="06853890" w14:textId="77777777" w:rsidR="00DD3F16" w:rsidRDefault="00DD3F16" w:rsidP="00DD3F16">
      <w:pPr>
        <w:spacing w:after="0" w:line="480" w:lineRule="auto"/>
        <w:ind w:left="720" w:hanging="720"/>
        <w:rPr>
          <w:rFonts w:ascii="Times New Roman" w:hAnsi="Times New Roman"/>
          <w:lang w:val="en-GB"/>
        </w:rPr>
      </w:pPr>
      <w:r w:rsidRPr="00332AA8">
        <w:rPr>
          <w:rFonts w:ascii="Times New Roman" w:hAnsi="Times New Roman"/>
          <w:lang w:val="en-GB"/>
        </w:rPr>
        <w:t xml:space="preserve">Stephenson, G. 2012. </w:t>
      </w:r>
      <w:r w:rsidRPr="00332AA8">
        <w:rPr>
          <w:rFonts w:ascii="Times New Roman" w:hAnsi="Times New Roman"/>
          <w:i/>
          <w:lang w:val="en-GB"/>
        </w:rPr>
        <w:t>Sourcebook on Tort Law</w:t>
      </w:r>
      <w:r w:rsidRPr="00332AA8">
        <w:rPr>
          <w:rFonts w:ascii="Times New Roman" w:hAnsi="Times New Roman"/>
          <w:lang w:val="en-GB"/>
        </w:rPr>
        <w:t>. Routledge.</w:t>
      </w:r>
    </w:p>
    <w:p w14:paraId="3FD7A88E" w14:textId="64877A2E" w:rsidR="00DD3F16" w:rsidRDefault="00DD3F16" w:rsidP="00DD3F16">
      <w:pPr>
        <w:spacing w:after="0" w:line="480" w:lineRule="auto"/>
        <w:ind w:left="720" w:hanging="720"/>
        <w:rPr>
          <w:rFonts w:ascii="Times New Roman" w:hAnsi="Times New Roman"/>
          <w:lang w:val="en-GB"/>
        </w:rPr>
      </w:pPr>
      <w:r>
        <w:rPr>
          <w:rFonts w:ascii="Times New Roman" w:hAnsi="Times New Roman"/>
          <w:lang w:val="en-GB"/>
        </w:rPr>
        <w:t xml:space="preserve">Van Dam, C. </w:t>
      </w:r>
      <w:r w:rsidRPr="00007696">
        <w:rPr>
          <w:rFonts w:ascii="Times New Roman" w:hAnsi="Times New Roman"/>
          <w:lang w:val="en-GB"/>
        </w:rPr>
        <w:t>2013</w:t>
      </w:r>
      <w:r w:rsidRPr="00007696">
        <w:rPr>
          <w:rFonts w:ascii="Times New Roman" w:hAnsi="Times New Roman"/>
          <w:i/>
          <w:lang w:val="en-GB"/>
        </w:rPr>
        <w:t>. European tort law</w:t>
      </w:r>
      <w:r w:rsidRPr="00007696">
        <w:rPr>
          <w:rFonts w:ascii="Times New Roman" w:hAnsi="Times New Roman"/>
          <w:lang w:val="en-GB"/>
        </w:rPr>
        <w:t>. Oxford</w:t>
      </w:r>
      <w:r>
        <w:rPr>
          <w:rFonts w:ascii="Times New Roman" w:hAnsi="Times New Roman"/>
          <w:lang w:val="en-GB"/>
        </w:rPr>
        <w:t>:</w:t>
      </w:r>
      <w:r w:rsidRPr="00007696">
        <w:rPr>
          <w:rFonts w:ascii="Times New Roman" w:hAnsi="Times New Roman"/>
          <w:lang w:val="en-GB"/>
        </w:rPr>
        <w:t xml:space="preserve"> OUP.</w:t>
      </w:r>
    </w:p>
    <w:p w14:paraId="3CD9C3FA" w14:textId="0B8A45C6" w:rsidR="00C903A3" w:rsidRDefault="00C903A3" w:rsidP="00C903A3">
      <w:pPr>
        <w:spacing w:after="0" w:line="480" w:lineRule="auto"/>
        <w:rPr>
          <w:rFonts w:ascii="Times New Roman" w:hAnsi="Times New Roman"/>
          <w:lang w:val="en-GB"/>
        </w:rPr>
      </w:pPr>
    </w:p>
    <w:p w14:paraId="42D775A5" w14:textId="77777777" w:rsidR="00C903A3" w:rsidRDefault="00C903A3" w:rsidP="00C903A3">
      <w:pPr>
        <w:spacing w:after="0" w:line="480" w:lineRule="auto"/>
        <w:ind w:left="720" w:hanging="720"/>
        <w:rPr>
          <w:rFonts w:ascii="Times New Roman" w:eastAsia="Calibri" w:hAnsi="Times New Roman"/>
          <w:b/>
          <w:i/>
          <w:lang w:val="en-GB" w:bidi="hi-IN"/>
        </w:rPr>
      </w:pPr>
      <w:r>
        <w:rPr>
          <w:rFonts w:ascii="Times New Roman" w:eastAsia="Calibri" w:hAnsi="Times New Roman"/>
          <w:b/>
          <w:i/>
          <w:lang w:val="en-GB" w:bidi="hi-IN"/>
        </w:rPr>
        <w:lastRenderedPageBreak/>
        <w:t xml:space="preserve">List of Case Laws </w:t>
      </w:r>
    </w:p>
    <w:p w14:paraId="0A489BBA" w14:textId="45B4F983" w:rsidR="00C903A3" w:rsidRPr="00592996" w:rsidRDefault="00C903A3" w:rsidP="00C903A3">
      <w:pPr>
        <w:spacing w:after="0" w:line="480" w:lineRule="auto"/>
        <w:rPr>
          <w:rFonts w:ascii="Times New Roman" w:hAnsi="Times New Roman"/>
          <w:bCs/>
          <w:i/>
          <w:iCs/>
        </w:rPr>
      </w:pPr>
      <w:r w:rsidRPr="00592996">
        <w:rPr>
          <w:rFonts w:ascii="Times New Roman" w:hAnsi="Times New Roman"/>
          <w:i/>
          <w:lang w:val="en-GB"/>
        </w:rPr>
        <w:t>Wheat v. E Lacon &amp; Co. Ltd</w:t>
      </w:r>
      <w:r w:rsidRPr="00592996">
        <w:rPr>
          <w:rFonts w:ascii="Times New Roman" w:hAnsi="Times New Roman"/>
          <w:lang w:val="en-GB"/>
        </w:rPr>
        <w:t xml:space="preserve"> (1966)</w:t>
      </w:r>
      <w:r w:rsidRPr="00592996">
        <w:rPr>
          <w:rFonts w:ascii="Times New Roman" w:hAnsi="Times New Roman"/>
          <w:bCs/>
          <w:i/>
          <w:iCs/>
        </w:rPr>
        <w:t xml:space="preserve"> </w:t>
      </w:r>
    </w:p>
    <w:p w14:paraId="52A37640" w14:textId="536422E1" w:rsidR="00C903A3" w:rsidRDefault="00592996" w:rsidP="00C903A3">
      <w:pPr>
        <w:spacing w:after="0" w:line="480" w:lineRule="auto"/>
        <w:rPr>
          <w:rFonts w:ascii="Times New Roman" w:hAnsi="Times New Roman"/>
          <w:bCs/>
          <w:i/>
        </w:rPr>
      </w:pPr>
      <w:r w:rsidRPr="00592996">
        <w:rPr>
          <w:rFonts w:ascii="Times New Roman" w:hAnsi="Times New Roman"/>
          <w:i/>
          <w:lang w:val="en-GB"/>
        </w:rPr>
        <w:t>Tomlinson v Congleton Borough Council [2003]</w:t>
      </w:r>
      <w:r w:rsidR="00C903A3" w:rsidRPr="00592996">
        <w:rPr>
          <w:rFonts w:ascii="Times New Roman" w:hAnsi="Times New Roman"/>
          <w:bCs/>
          <w:i/>
        </w:rPr>
        <w:t>.</w:t>
      </w:r>
    </w:p>
    <w:p w14:paraId="439AF325" w14:textId="5AD14CD0" w:rsidR="007F7AA3" w:rsidRDefault="007F7AA3" w:rsidP="00C903A3">
      <w:pPr>
        <w:spacing w:after="0" w:line="480" w:lineRule="auto"/>
        <w:rPr>
          <w:rFonts w:ascii="Times New Roman" w:hAnsi="Times New Roman"/>
          <w:lang w:val="en-GB"/>
        </w:rPr>
      </w:pPr>
      <w:r w:rsidRPr="007F7AA3">
        <w:rPr>
          <w:rFonts w:ascii="Times New Roman" w:hAnsi="Times New Roman"/>
          <w:i/>
          <w:lang w:val="en-GB"/>
        </w:rPr>
        <w:t>Ward v Tesco Stores</w:t>
      </w:r>
      <w:r w:rsidRPr="007F7AA3">
        <w:rPr>
          <w:rFonts w:ascii="Times New Roman" w:hAnsi="Times New Roman"/>
          <w:lang w:val="en-GB"/>
        </w:rPr>
        <w:t xml:space="preserve"> (1976)</w:t>
      </w:r>
    </w:p>
    <w:p w14:paraId="2A7CA6F3" w14:textId="61AAC60A" w:rsidR="007F7AA3" w:rsidRDefault="007F7AA3" w:rsidP="00C903A3">
      <w:pPr>
        <w:spacing w:after="0" w:line="480" w:lineRule="auto"/>
        <w:rPr>
          <w:rFonts w:ascii="Times New Roman" w:hAnsi="Times New Roman"/>
          <w:i/>
          <w:lang w:val="en-GB"/>
        </w:rPr>
      </w:pPr>
      <w:r w:rsidRPr="007F7AA3">
        <w:rPr>
          <w:rFonts w:ascii="Times New Roman" w:hAnsi="Times New Roman"/>
          <w:i/>
          <w:lang w:val="en-GB"/>
        </w:rPr>
        <w:t>Page v Smith (1996)</w:t>
      </w:r>
    </w:p>
    <w:p w14:paraId="6F7C62E5" w14:textId="0185B93B" w:rsidR="007F7AA3" w:rsidRDefault="007F7AA3" w:rsidP="00C903A3">
      <w:pPr>
        <w:spacing w:after="0" w:line="480" w:lineRule="auto"/>
        <w:rPr>
          <w:rFonts w:ascii="Times New Roman" w:hAnsi="Times New Roman"/>
          <w:lang w:val="en-GB"/>
        </w:rPr>
      </w:pPr>
      <w:r w:rsidRPr="007F7AA3">
        <w:rPr>
          <w:rFonts w:ascii="Times New Roman" w:hAnsi="Times New Roman"/>
          <w:i/>
          <w:lang w:val="en-GB"/>
        </w:rPr>
        <w:t>McCloughlin v O’Brian</w:t>
      </w:r>
      <w:r w:rsidRPr="007F7AA3">
        <w:rPr>
          <w:rFonts w:ascii="Times New Roman" w:hAnsi="Times New Roman"/>
          <w:lang w:val="en-GB"/>
        </w:rPr>
        <w:t xml:space="preserve"> (1983)</w:t>
      </w:r>
    </w:p>
    <w:p w14:paraId="3084B5C5" w14:textId="39D4C35A" w:rsidR="00273072" w:rsidRPr="00B90362" w:rsidRDefault="008774A0" w:rsidP="00B90362">
      <w:pPr>
        <w:spacing w:after="0" w:line="480" w:lineRule="auto"/>
        <w:rPr>
          <w:rFonts w:ascii="Times New Roman" w:hAnsi="Times New Roman"/>
          <w:bCs/>
          <w:i/>
        </w:rPr>
      </w:pPr>
      <w:r w:rsidRPr="008774A0">
        <w:rPr>
          <w:rFonts w:ascii="Times New Roman" w:hAnsi="Times New Roman"/>
          <w:i/>
          <w:lang w:val="en-GB"/>
        </w:rPr>
        <w:t xml:space="preserve">Chadwick v British Railways Board </w:t>
      </w:r>
      <w:r w:rsidRPr="008774A0">
        <w:rPr>
          <w:rFonts w:ascii="Times New Roman" w:hAnsi="Times New Roman"/>
          <w:lang w:val="en-GB"/>
        </w:rPr>
        <w:t>([1967] 1 WLR 912),</w:t>
      </w:r>
    </w:p>
    <w:p w14:paraId="3C2F7641" w14:textId="42595CEE" w:rsidR="00FF0460" w:rsidRPr="00B90362" w:rsidRDefault="00FF0460" w:rsidP="00FF0460">
      <w:pPr>
        <w:rPr>
          <w:rFonts w:ascii="Times New Roman" w:hAnsi="Times New Roman"/>
          <w:bCs/>
          <w:i/>
          <w:iCs/>
        </w:rPr>
      </w:pPr>
      <w:r w:rsidRPr="00B90362">
        <w:rPr>
          <w:rFonts w:ascii="Times New Roman" w:hAnsi="Times New Roman"/>
          <w:bCs/>
          <w:i/>
          <w:iCs/>
        </w:rPr>
        <w:t xml:space="preserve">Alcock v CC South Yorkshire (1992) </w:t>
      </w:r>
    </w:p>
    <w:p w14:paraId="507F107D" w14:textId="6E3E16E4" w:rsidR="00E2659D" w:rsidRPr="007417C5" w:rsidRDefault="00E2659D">
      <w:pPr>
        <w:spacing w:after="160" w:line="259" w:lineRule="auto"/>
        <w:rPr>
          <w:rFonts w:ascii="Times New Roman" w:eastAsiaTheme="majorEastAsia" w:hAnsi="Times New Roman"/>
          <w:b/>
          <w:bCs/>
          <w:color w:val="4472C4" w:themeColor="accent1"/>
          <w:lang w:val="en-GB"/>
        </w:rPr>
      </w:pPr>
    </w:p>
    <w:sectPr w:rsidR="00E2659D" w:rsidRPr="007417C5" w:rsidSect="00C42F45">
      <w:headerReference w:type="default" r:id="rId10"/>
      <w:footerReference w:type="default" r:id="rId11"/>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9C29F5" w14:textId="77777777" w:rsidR="00DE4A19" w:rsidRDefault="00DE4A19" w:rsidP="00DB01DD">
      <w:pPr>
        <w:spacing w:after="0" w:line="240" w:lineRule="auto"/>
      </w:pPr>
      <w:r>
        <w:separator/>
      </w:r>
    </w:p>
  </w:endnote>
  <w:endnote w:type="continuationSeparator" w:id="0">
    <w:p w14:paraId="5219A088" w14:textId="77777777" w:rsidR="00DE4A19" w:rsidRDefault="00DE4A19" w:rsidP="00DB01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825"/>
      <w:gridCol w:w="4813"/>
    </w:tblGrid>
    <w:tr w:rsidR="009B6E64" w14:paraId="2F47DC72" w14:textId="77777777">
      <w:trPr>
        <w:trHeight w:hRule="exact" w:val="115"/>
        <w:jc w:val="center"/>
      </w:trPr>
      <w:tc>
        <w:tcPr>
          <w:tcW w:w="4686" w:type="dxa"/>
          <w:shd w:val="clear" w:color="auto" w:fill="4472C4" w:themeFill="accent1"/>
          <w:tcMar>
            <w:top w:w="0" w:type="dxa"/>
            <w:bottom w:w="0" w:type="dxa"/>
          </w:tcMar>
        </w:tcPr>
        <w:p w14:paraId="7CF79616" w14:textId="77777777" w:rsidR="009B6E64" w:rsidRDefault="009B6E64">
          <w:pPr>
            <w:pStyle w:val="Header"/>
            <w:rPr>
              <w:caps/>
              <w:sz w:val="18"/>
            </w:rPr>
          </w:pPr>
        </w:p>
      </w:tc>
      <w:tc>
        <w:tcPr>
          <w:tcW w:w="4674" w:type="dxa"/>
          <w:shd w:val="clear" w:color="auto" w:fill="4472C4" w:themeFill="accent1"/>
          <w:tcMar>
            <w:top w:w="0" w:type="dxa"/>
            <w:bottom w:w="0" w:type="dxa"/>
          </w:tcMar>
        </w:tcPr>
        <w:p w14:paraId="4145D6A2" w14:textId="77777777" w:rsidR="009B6E64" w:rsidRDefault="009B6E64">
          <w:pPr>
            <w:pStyle w:val="Header"/>
            <w:jc w:val="right"/>
            <w:rPr>
              <w:caps/>
              <w:sz w:val="18"/>
            </w:rPr>
          </w:pPr>
        </w:p>
      </w:tc>
    </w:tr>
    <w:tr w:rsidR="009B6E64" w14:paraId="5D80770C" w14:textId="77777777">
      <w:trPr>
        <w:jc w:val="center"/>
      </w:trPr>
      <w:sdt>
        <w:sdtPr>
          <w:rPr>
            <w:caps/>
            <w:color w:val="808080" w:themeColor="background1" w:themeShade="80"/>
            <w:sz w:val="18"/>
            <w:szCs w:val="18"/>
          </w:rPr>
          <w:alias w:val="Author"/>
          <w:tag w:val=""/>
          <w:id w:val="1534151868"/>
          <w:placeholder>
            <w:docPart w:val="67BDB04E893542F9AAE06116C3920B49"/>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14:paraId="72E0C1DA" w14:textId="4032A4BE" w:rsidR="009B6E64" w:rsidRDefault="009B6E64">
              <w:pPr>
                <w:pStyle w:val="Footer"/>
                <w:rPr>
                  <w:caps/>
                  <w:color w:val="808080" w:themeColor="background1" w:themeShade="80"/>
                  <w:sz w:val="18"/>
                  <w:szCs w:val="18"/>
                </w:rPr>
              </w:pPr>
              <w:r>
                <w:rPr>
                  <w:caps/>
                  <w:color w:val="808080" w:themeColor="background1" w:themeShade="80"/>
                  <w:sz w:val="18"/>
                  <w:szCs w:val="18"/>
                </w:rPr>
                <w:t>MD R Ahmed</w:t>
              </w:r>
            </w:p>
          </w:tc>
        </w:sdtContent>
      </w:sdt>
      <w:tc>
        <w:tcPr>
          <w:tcW w:w="4674" w:type="dxa"/>
          <w:shd w:val="clear" w:color="auto" w:fill="auto"/>
          <w:vAlign w:val="center"/>
        </w:tcPr>
        <w:p w14:paraId="3379AA21" w14:textId="77777777" w:rsidR="009B6E64" w:rsidRDefault="009B6E64">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5A05EDCF" w14:textId="77777777" w:rsidR="009B6E64" w:rsidRDefault="009B6E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DE5629" w14:textId="77777777" w:rsidR="00DE4A19" w:rsidRDefault="00DE4A19" w:rsidP="00DB01DD">
      <w:pPr>
        <w:spacing w:after="0" w:line="240" w:lineRule="auto"/>
      </w:pPr>
      <w:r>
        <w:separator/>
      </w:r>
    </w:p>
  </w:footnote>
  <w:footnote w:type="continuationSeparator" w:id="0">
    <w:p w14:paraId="124A7F8E" w14:textId="77777777" w:rsidR="00DE4A19" w:rsidRDefault="00DE4A19" w:rsidP="00DB01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F5BE1A" w14:textId="11C432B1" w:rsidR="00273072" w:rsidRDefault="00273072">
    <w:pPr>
      <w:pStyle w:val="Header"/>
    </w:pPr>
  </w:p>
  <w:p w14:paraId="2ED9662D" w14:textId="653196D3" w:rsidR="00273072" w:rsidRDefault="00273072">
    <w:pPr>
      <w:pStyle w:val="Header"/>
    </w:pPr>
  </w:p>
  <w:p w14:paraId="3A740B9F" w14:textId="77777777" w:rsidR="00273072" w:rsidRDefault="002730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CC70B3"/>
    <w:multiLevelType w:val="hybridMultilevel"/>
    <w:tmpl w:val="A5E828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D16324B"/>
    <w:multiLevelType w:val="hybridMultilevel"/>
    <w:tmpl w:val="A44A49AC"/>
    <w:lvl w:ilvl="0" w:tplc="CEBA5E78">
      <w:start w:val="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583"/>
    <w:rsid w:val="00031A0F"/>
    <w:rsid w:val="0004769A"/>
    <w:rsid w:val="000528DD"/>
    <w:rsid w:val="00064CE4"/>
    <w:rsid w:val="000778BB"/>
    <w:rsid w:val="00083161"/>
    <w:rsid w:val="000916A7"/>
    <w:rsid w:val="00093034"/>
    <w:rsid w:val="000A2FF0"/>
    <w:rsid w:val="000C3DB2"/>
    <w:rsid w:val="000D16B0"/>
    <w:rsid w:val="000D3EB0"/>
    <w:rsid w:val="000D535E"/>
    <w:rsid w:val="000E6BD1"/>
    <w:rsid w:val="000F0379"/>
    <w:rsid w:val="00111452"/>
    <w:rsid w:val="001370F8"/>
    <w:rsid w:val="00140E1D"/>
    <w:rsid w:val="00144C76"/>
    <w:rsid w:val="00152884"/>
    <w:rsid w:val="001700EC"/>
    <w:rsid w:val="001769CD"/>
    <w:rsid w:val="00181629"/>
    <w:rsid w:val="001B04D4"/>
    <w:rsid w:val="001D69F0"/>
    <w:rsid w:val="001E5747"/>
    <w:rsid w:val="002164C8"/>
    <w:rsid w:val="00222017"/>
    <w:rsid w:val="00227F68"/>
    <w:rsid w:val="002333FA"/>
    <w:rsid w:val="00273072"/>
    <w:rsid w:val="00290474"/>
    <w:rsid w:val="0029713F"/>
    <w:rsid w:val="002B1F8F"/>
    <w:rsid w:val="002F1DEB"/>
    <w:rsid w:val="002F23A5"/>
    <w:rsid w:val="002F30D7"/>
    <w:rsid w:val="00317001"/>
    <w:rsid w:val="00337937"/>
    <w:rsid w:val="00344D81"/>
    <w:rsid w:val="00354C42"/>
    <w:rsid w:val="00357783"/>
    <w:rsid w:val="0038159D"/>
    <w:rsid w:val="00386449"/>
    <w:rsid w:val="003874B8"/>
    <w:rsid w:val="003959FD"/>
    <w:rsid w:val="003A05EC"/>
    <w:rsid w:val="003A22A4"/>
    <w:rsid w:val="003A5F51"/>
    <w:rsid w:val="003B1303"/>
    <w:rsid w:val="003D20D9"/>
    <w:rsid w:val="003D4A7A"/>
    <w:rsid w:val="0044098F"/>
    <w:rsid w:val="00441A63"/>
    <w:rsid w:val="00474757"/>
    <w:rsid w:val="004764D2"/>
    <w:rsid w:val="00482CCC"/>
    <w:rsid w:val="00494D1B"/>
    <w:rsid w:val="004A72F6"/>
    <w:rsid w:val="004B1DDE"/>
    <w:rsid w:val="004F0757"/>
    <w:rsid w:val="00507B96"/>
    <w:rsid w:val="00514B9F"/>
    <w:rsid w:val="00540D2F"/>
    <w:rsid w:val="00592996"/>
    <w:rsid w:val="005A218F"/>
    <w:rsid w:val="005D3DCB"/>
    <w:rsid w:val="005D52D2"/>
    <w:rsid w:val="006028E6"/>
    <w:rsid w:val="00630C99"/>
    <w:rsid w:val="00636E0A"/>
    <w:rsid w:val="0064333B"/>
    <w:rsid w:val="006442D2"/>
    <w:rsid w:val="006712BC"/>
    <w:rsid w:val="00677F43"/>
    <w:rsid w:val="00687A8E"/>
    <w:rsid w:val="006C6F7D"/>
    <w:rsid w:val="007417C5"/>
    <w:rsid w:val="00774F34"/>
    <w:rsid w:val="00785E6A"/>
    <w:rsid w:val="007B2C54"/>
    <w:rsid w:val="007B7AE7"/>
    <w:rsid w:val="007D7E7F"/>
    <w:rsid w:val="007E44F6"/>
    <w:rsid w:val="007E5D62"/>
    <w:rsid w:val="007F0677"/>
    <w:rsid w:val="007F286D"/>
    <w:rsid w:val="007F7AA3"/>
    <w:rsid w:val="00805885"/>
    <w:rsid w:val="00821867"/>
    <w:rsid w:val="00835A6A"/>
    <w:rsid w:val="008457F8"/>
    <w:rsid w:val="008527E0"/>
    <w:rsid w:val="00853F19"/>
    <w:rsid w:val="0086637C"/>
    <w:rsid w:val="00867B96"/>
    <w:rsid w:val="008716CE"/>
    <w:rsid w:val="00875D11"/>
    <w:rsid w:val="008774A0"/>
    <w:rsid w:val="008D7EE4"/>
    <w:rsid w:val="008E0664"/>
    <w:rsid w:val="008F571C"/>
    <w:rsid w:val="00903B6B"/>
    <w:rsid w:val="00936BDD"/>
    <w:rsid w:val="009837BF"/>
    <w:rsid w:val="009A7ABE"/>
    <w:rsid w:val="009B6BB9"/>
    <w:rsid w:val="009B6E64"/>
    <w:rsid w:val="00A02A47"/>
    <w:rsid w:val="00A12942"/>
    <w:rsid w:val="00A263DC"/>
    <w:rsid w:val="00A26BAE"/>
    <w:rsid w:val="00A426D8"/>
    <w:rsid w:val="00A46C17"/>
    <w:rsid w:val="00A46F9E"/>
    <w:rsid w:val="00A5080F"/>
    <w:rsid w:val="00A67DB2"/>
    <w:rsid w:val="00A75668"/>
    <w:rsid w:val="00A769A0"/>
    <w:rsid w:val="00AA2558"/>
    <w:rsid w:val="00AC0CA2"/>
    <w:rsid w:val="00AC79F4"/>
    <w:rsid w:val="00AD7F83"/>
    <w:rsid w:val="00AE464C"/>
    <w:rsid w:val="00AF795D"/>
    <w:rsid w:val="00B24969"/>
    <w:rsid w:val="00B31938"/>
    <w:rsid w:val="00B613FA"/>
    <w:rsid w:val="00B74123"/>
    <w:rsid w:val="00B90362"/>
    <w:rsid w:val="00BA4064"/>
    <w:rsid w:val="00BA5A40"/>
    <w:rsid w:val="00BB2583"/>
    <w:rsid w:val="00BD25D2"/>
    <w:rsid w:val="00BF791D"/>
    <w:rsid w:val="00C0077A"/>
    <w:rsid w:val="00C06915"/>
    <w:rsid w:val="00C26745"/>
    <w:rsid w:val="00C41EB7"/>
    <w:rsid w:val="00C42F45"/>
    <w:rsid w:val="00C54742"/>
    <w:rsid w:val="00C5474A"/>
    <w:rsid w:val="00C71A70"/>
    <w:rsid w:val="00C769FC"/>
    <w:rsid w:val="00C86F04"/>
    <w:rsid w:val="00C8789D"/>
    <w:rsid w:val="00C903A3"/>
    <w:rsid w:val="00D47C9A"/>
    <w:rsid w:val="00D50247"/>
    <w:rsid w:val="00D55CCF"/>
    <w:rsid w:val="00D8370C"/>
    <w:rsid w:val="00D94903"/>
    <w:rsid w:val="00DA4D7C"/>
    <w:rsid w:val="00DB01DD"/>
    <w:rsid w:val="00DC19C3"/>
    <w:rsid w:val="00DD3F16"/>
    <w:rsid w:val="00DE27EB"/>
    <w:rsid w:val="00DE3C41"/>
    <w:rsid w:val="00DE4A19"/>
    <w:rsid w:val="00DF4F5B"/>
    <w:rsid w:val="00E02D0C"/>
    <w:rsid w:val="00E2659D"/>
    <w:rsid w:val="00E33EF1"/>
    <w:rsid w:val="00E42CF1"/>
    <w:rsid w:val="00E47AC6"/>
    <w:rsid w:val="00E505EF"/>
    <w:rsid w:val="00E65C17"/>
    <w:rsid w:val="00E65F3D"/>
    <w:rsid w:val="00E67864"/>
    <w:rsid w:val="00E95074"/>
    <w:rsid w:val="00EB140E"/>
    <w:rsid w:val="00EB4696"/>
    <w:rsid w:val="00EB5204"/>
    <w:rsid w:val="00EB68A1"/>
    <w:rsid w:val="00EC2EA9"/>
    <w:rsid w:val="00EC395F"/>
    <w:rsid w:val="00EE3A13"/>
    <w:rsid w:val="00F15A55"/>
    <w:rsid w:val="00F6053E"/>
    <w:rsid w:val="00F710F0"/>
    <w:rsid w:val="00F724F0"/>
    <w:rsid w:val="00F776E3"/>
    <w:rsid w:val="00F912B9"/>
    <w:rsid w:val="00FB340A"/>
    <w:rsid w:val="00FC20D3"/>
    <w:rsid w:val="00FE0491"/>
    <w:rsid w:val="00FF04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33604"/>
  <w15:chartTrackingRefBased/>
  <w15:docId w15:val="{FD7E8376-398F-4909-9675-CAAC5180F7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2583"/>
    <w:pPr>
      <w:spacing w:after="200" w:line="276" w:lineRule="auto"/>
    </w:pPr>
    <w:rPr>
      <w:rFonts w:ascii="Calibri Light" w:hAnsi="Calibri Light" w:cs="Times New Roman"/>
      <w:sz w:val="24"/>
      <w:szCs w:val="24"/>
      <w:lang w:val="en-US"/>
    </w:rPr>
  </w:style>
  <w:style w:type="paragraph" w:styleId="Heading1">
    <w:name w:val="heading 1"/>
    <w:basedOn w:val="Normal"/>
    <w:next w:val="Normal"/>
    <w:link w:val="Heading1Char"/>
    <w:uiPriority w:val="9"/>
    <w:qFormat/>
    <w:rsid w:val="003874B8"/>
    <w:pPr>
      <w:keepNext/>
      <w:keepLines/>
      <w:spacing w:before="480" w:after="0"/>
      <w:outlineLvl w:val="0"/>
    </w:pPr>
    <w:rPr>
      <w:rFonts w:asciiTheme="majorHAnsi" w:eastAsiaTheme="majorEastAsia" w:hAnsiTheme="majorHAnsi" w:cstheme="majorBidi"/>
      <w:b/>
      <w:bCs/>
      <w:color w:val="2F5496" w:themeColor="accent1" w:themeShade="BF"/>
      <w:sz w:val="28"/>
      <w:szCs w:val="28"/>
      <w:lang w:val="en-GB"/>
    </w:rPr>
  </w:style>
  <w:style w:type="paragraph" w:styleId="Heading2">
    <w:name w:val="heading 2"/>
    <w:basedOn w:val="Normal"/>
    <w:next w:val="Normal"/>
    <w:link w:val="Heading2Char"/>
    <w:uiPriority w:val="9"/>
    <w:unhideWhenUsed/>
    <w:qFormat/>
    <w:rsid w:val="003874B8"/>
    <w:pPr>
      <w:keepNext/>
      <w:keepLines/>
      <w:spacing w:before="200" w:after="0"/>
      <w:outlineLvl w:val="1"/>
    </w:pPr>
    <w:rPr>
      <w:rFonts w:asciiTheme="majorHAnsi" w:eastAsiaTheme="majorEastAsia" w:hAnsiTheme="majorHAnsi" w:cstheme="majorBidi"/>
      <w:b/>
      <w:bCs/>
      <w:color w:val="4472C4" w:themeColor="accent1"/>
      <w:sz w:val="26"/>
      <w:szCs w:val="26"/>
      <w:lang w:val="en-GB"/>
    </w:rPr>
  </w:style>
  <w:style w:type="paragraph" w:styleId="Heading3">
    <w:name w:val="heading 3"/>
    <w:basedOn w:val="Normal"/>
    <w:next w:val="Normal"/>
    <w:link w:val="Heading3Char"/>
    <w:uiPriority w:val="9"/>
    <w:semiHidden/>
    <w:unhideWhenUsed/>
    <w:qFormat/>
    <w:rsid w:val="003874B8"/>
    <w:pPr>
      <w:keepNext/>
      <w:keepLines/>
      <w:spacing w:before="200" w:after="0"/>
      <w:outlineLvl w:val="2"/>
    </w:pPr>
    <w:rPr>
      <w:rFonts w:asciiTheme="majorHAnsi" w:eastAsiaTheme="majorEastAsia" w:hAnsiTheme="majorHAnsi" w:cstheme="majorBidi"/>
      <w:b/>
      <w:bCs/>
      <w:color w:val="4472C4" w:themeColor="accent1"/>
      <w:sz w:val="22"/>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BB2583"/>
    <w:pPr>
      <w:spacing w:after="0" w:line="240" w:lineRule="auto"/>
    </w:pPr>
    <w:rPr>
      <w:rFonts w:ascii="Calibri Light" w:hAnsi="Calibri Light" w:cs="Times New Roman"/>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3874B8"/>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3874B8"/>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3874B8"/>
    <w:rPr>
      <w:rFonts w:asciiTheme="majorHAnsi" w:eastAsiaTheme="majorEastAsia" w:hAnsiTheme="majorHAnsi" w:cstheme="majorBidi"/>
      <w:b/>
      <w:bCs/>
      <w:color w:val="4472C4" w:themeColor="accent1"/>
    </w:rPr>
  </w:style>
  <w:style w:type="paragraph" w:customStyle="1" w:styleId="Note">
    <w:name w:val="Note"/>
    <w:basedOn w:val="Normal"/>
    <w:link w:val="NoteChar"/>
    <w:uiPriority w:val="99"/>
    <w:rsid w:val="003874B8"/>
    <w:pPr>
      <w:widowControl w:val="0"/>
      <w:autoSpaceDE w:val="0"/>
      <w:autoSpaceDN w:val="0"/>
      <w:adjustRightInd w:val="0"/>
      <w:spacing w:after="0" w:line="240" w:lineRule="auto"/>
    </w:pPr>
    <w:rPr>
      <w:rFonts w:ascii="Arial" w:eastAsia="Times New Roman" w:hAnsi="Arial" w:cs="Arial"/>
      <w:color w:val="000080"/>
      <w:sz w:val="12"/>
      <w:szCs w:val="12"/>
      <w:lang w:val="en-GB" w:eastAsia="en-GB"/>
    </w:rPr>
  </w:style>
  <w:style w:type="character" w:customStyle="1" w:styleId="NoteChar">
    <w:name w:val="Note Char"/>
    <w:basedOn w:val="DefaultParagraphFont"/>
    <w:link w:val="Note"/>
    <w:uiPriority w:val="99"/>
    <w:locked/>
    <w:rsid w:val="003874B8"/>
    <w:rPr>
      <w:rFonts w:ascii="Arial" w:eastAsia="Times New Roman" w:hAnsi="Arial" w:cs="Arial"/>
      <w:color w:val="000080"/>
      <w:sz w:val="12"/>
      <w:szCs w:val="12"/>
      <w:lang w:eastAsia="en-GB"/>
    </w:rPr>
  </w:style>
  <w:style w:type="paragraph" w:styleId="NoSpacing">
    <w:name w:val="No Spacing"/>
    <w:link w:val="NoSpacingChar"/>
    <w:uiPriority w:val="1"/>
    <w:qFormat/>
    <w:rsid w:val="003874B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874B8"/>
    <w:rPr>
      <w:rFonts w:eastAsiaTheme="minorEastAsia"/>
      <w:lang w:val="en-US"/>
    </w:rPr>
  </w:style>
  <w:style w:type="paragraph" w:styleId="ListParagraph">
    <w:name w:val="List Paragraph"/>
    <w:basedOn w:val="Normal"/>
    <w:uiPriority w:val="34"/>
    <w:qFormat/>
    <w:rsid w:val="003874B8"/>
    <w:pPr>
      <w:ind w:left="720"/>
      <w:contextualSpacing/>
    </w:pPr>
    <w:rPr>
      <w:rFonts w:asciiTheme="minorHAnsi" w:hAnsiTheme="minorHAnsi" w:cstheme="minorBidi"/>
      <w:sz w:val="22"/>
      <w:szCs w:val="22"/>
      <w:lang w:val="en-GB"/>
    </w:rPr>
  </w:style>
  <w:style w:type="paragraph" w:styleId="Header">
    <w:name w:val="header"/>
    <w:basedOn w:val="Normal"/>
    <w:link w:val="HeaderChar"/>
    <w:uiPriority w:val="99"/>
    <w:unhideWhenUsed/>
    <w:rsid w:val="00DB01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01DD"/>
    <w:rPr>
      <w:rFonts w:ascii="Calibri Light" w:hAnsi="Calibri Light" w:cs="Times New Roman"/>
      <w:sz w:val="24"/>
      <w:szCs w:val="24"/>
      <w:lang w:val="en-US"/>
    </w:rPr>
  </w:style>
  <w:style w:type="paragraph" w:styleId="Footer">
    <w:name w:val="footer"/>
    <w:basedOn w:val="Normal"/>
    <w:link w:val="FooterChar"/>
    <w:uiPriority w:val="99"/>
    <w:unhideWhenUsed/>
    <w:rsid w:val="00DB01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01DD"/>
    <w:rPr>
      <w:rFonts w:ascii="Calibri Light" w:hAnsi="Calibri Light" w:cs="Times New Roman"/>
      <w:sz w:val="24"/>
      <w:szCs w:val="24"/>
      <w:lang w:val="en-US"/>
    </w:rPr>
  </w:style>
  <w:style w:type="character" w:styleId="Hyperlink">
    <w:name w:val="Hyperlink"/>
    <w:basedOn w:val="DefaultParagraphFont"/>
    <w:uiPriority w:val="99"/>
    <w:unhideWhenUsed/>
    <w:rsid w:val="002F1DEB"/>
    <w:rPr>
      <w:color w:val="0563C1" w:themeColor="hyperlink"/>
      <w:u w:val="single"/>
    </w:rPr>
  </w:style>
  <w:style w:type="character" w:styleId="Emphasis">
    <w:name w:val="Emphasis"/>
    <w:basedOn w:val="DefaultParagraphFont"/>
    <w:qFormat/>
    <w:rsid w:val="00273072"/>
    <w:rPr>
      <w:i/>
      <w:iCs/>
    </w:rPr>
  </w:style>
  <w:style w:type="paragraph" w:styleId="NormalWeb">
    <w:name w:val="Normal (Web)"/>
    <w:rsid w:val="00273072"/>
    <w:pPr>
      <w:spacing w:beforeAutospacing="1" w:after="0" w:afterAutospacing="1" w:line="240" w:lineRule="auto"/>
    </w:pPr>
    <w:rPr>
      <w:rFonts w:ascii="Times New Roman" w:eastAsia="SimSun" w:hAnsi="Times New Roman" w:cs="Times New Roman"/>
      <w:sz w:val="24"/>
      <w:szCs w:val="24"/>
      <w:lang w:val="en-US" w:eastAsia="zh-CN"/>
    </w:rPr>
  </w:style>
  <w:style w:type="paragraph" w:styleId="TOC1">
    <w:name w:val="toc 1"/>
    <w:basedOn w:val="Normal"/>
    <w:next w:val="Normal"/>
    <w:autoRedefine/>
    <w:uiPriority w:val="39"/>
    <w:rsid w:val="00273072"/>
    <w:pPr>
      <w:spacing w:after="100" w:line="240" w:lineRule="auto"/>
    </w:pPr>
    <w:rPr>
      <w:rFonts w:asciiTheme="minorHAnsi" w:eastAsiaTheme="minorEastAsia" w:hAnsiTheme="minorHAnsi" w:cstheme="minorBidi"/>
      <w:sz w:val="20"/>
      <w:szCs w:val="20"/>
      <w:lang w:eastAsia="zh-CN"/>
    </w:rPr>
  </w:style>
  <w:style w:type="paragraph" w:styleId="TOCHeading">
    <w:name w:val="TOC Heading"/>
    <w:basedOn w:val="Heading1"/>
    <w:next w:val="Normal"/>
    <w:uiPriority w:val="39"/>
    <w:semiHidden/>
    <w:unhideWhenUsed/>
    <w:qFormat/>
    <w:rsid w:val="00DD3F16"/>
    <w:pPr>
      <w:spacing w:before="240"/>
      <w:outlineLvl w:val="9"/>
    </w:pPr>
    <w:rPr>
      <w:b w:val="0"/>
      <w:bCs w:val="0"/>
      <w:sz w:val="32"/>
      <w:szCs w:val="32"/>
      <w:lang w:val="en-US"/>
    </w:rPr>
  </w:style>
  <w:style w:type="paragraph" w:styleId="TOC2">
    <w:name w:val="toc 2"/>
    <w:basedOn w:val="Normal"/>
    <w:next w:val="Normal"/>
    <w:autoRedefine/>
    <w:uiPriority w:val="39"/>
    <w:unhideWhenUsed/>
    <w:rsid w:val="00DD3F16"/>
    <w:pPr>
      <w:spacing w:after="100"/>
      <w:ind w:left="220"/>
    </w:pPr>
    <w:rPr>
      <w:rFonts w:asciiTheme="minorHAnsi" w:hAnsiTheme="minorHAnsi" w:cstheme="minorBidi"/>
      <w:sz w:val="22"/>
      <w:szCs w:val="22"/>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690428">
      <w:bodyDiv w:val="1"/>
      <w:marLeft w:val="0"/>
      <w:marRight w:val="0"/>
      <w:marTop w:val="0"/>
      <w:marBottom w:val="0"/>
      <w:divBdr>
        <w:top w:val="none" w:sz="0" w:space="0" w:color="auto"/>
        <w:left w:val="none" w:sz="0" w:space="0" w:color="auto"/>
        <w:bottom w:val="none" w:sz="0" w:space="0" w:color="auto"/>
        <w:right w:val="none" w:sz="0" w:space="0" w:color="auto"/>
      </w:divBdr>
    </w:div>
    <w:div w:id="282537449">
      <w:bodyDiv w:val="1"/>
      <w:marLeft w:val="0"/>
      <w:marRight w:val="0"/>
      <w:marTop w:val="0"/>
      <w:marBottom w:val="0"/>
      <w:divBdr>
        <w:top w:val="none" w:sz="0" w:space="0" w:color="auto"/>
        <w:left w:val="none" w:sz="0" w:space="0" w:color="auto"/>
        <w:bottom w:val="none" w:sz="0" w:space="0" w:color="auto"/>
        <w:right w:val="none" w:sz="0" w:space="0" w:color="auto"/>
      </w:divBdr>
    </w:div>
    <w:div w:id="1707749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7BDB04E893542F9AAE06116C3920B49"/>
        <w:category>
          <w:name w:val="General"/>
          <w:gallery w:val="placeholder"/>
        </w:category>
        <w:types>
          <w:type w:val="bbPlcHdr"/>
        </w:types>
        <w:behaviors>
          <w:behavior w:val="content"/>
        </w:behaviors>
        <w:guid w:val="{21824429-D08C-4325-815A-8599557527C9}"/>
      </w:docPartPr>
      <w:docPartBody>
        <w:p w:rsidR="00533DD8" w:rsidRDefault="001C6CA2" w:rsidP="001C6CA2">
          <w:pPr>
            <w:pStyle w:val="67BDB04E893542F9AAE06116C3920B49"/>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CA2"/>
    <w:rsid w:val="00086949"/>
    <w:rsid w:val="00090B41"/>
    <w:rsid w:val="00171000"/>
    <w:rsid w:val="00197361"/>
    <w:rsid w:val="001A2DCD"/>
    <w:rsid w:val="001C6CA2"/>
    <w:rsid w:val="00206975"/>
    <w:rsid w:val="002225FD"/>
    <w:rsid w:val="004C7180"/>
    <w:rsid w:val="004E34B6"/>
    <w:rsid w:val="00533DD8"/>
    <w:rsid w:val="006F7A22"/>
    <w:rsid w:val="00740B00"/>
    <w:rsid w:val="0094168A"/>
    <w:rsid w:val="009C2783"/>
    <w:rsid w:val="00AF059C"/>
    <w:rsid w:val="00B04CD0"/>
    <w:rsid w:val="00B57BBE"/>
    <w:rsid w:val="00D833FB"/>
    <w:rsid w:val="00DA2D93"/>
    <w:rsid w:val="00E210DE"/>
    <w:rsid w:val="00E710AE"/>
    <w:rsid w:val="00E9464B"/>
    <w:rsid w:val="00FC21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E34B6"/>
    <w:rPr>
      <w:color w:val="808080"/>
    </w:rPr>
  </w:style>
  <w:style w:type="paragraph" w:customStyle="1" w:styleId="67BDB04E893542F9AAE06116C3920B49">
    <w:name w:val="67BDB04E893542F9AAE06116C3920B49"/>
    <w:rsid w:val="001C6CA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8606F-864E-44D9-8360-D705437F79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439</TotalTime>
  <Pages>14</Pages>
  <Words>2762</Words>
  <Characters>15746</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Assignment: 2 Tort Law</vt:lpstr>
    </vt:vector>
  </TitlesOfParts>
  <Company/>
  <LinksUpToDate>false</LinksUpToDate>
  <CharactersWithSpaces>18472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Tort Law</dc:title>
  <dc:subject>Assignment – 2: Case Study; Occupiers Liability and Psychiatric Harm</dc:subject>
  <dc:creator>MD R Ahmed</dc:creator>
  <cp:keywords/>
  <dc:description/>
  <cp:lastModifiedBy>Md Roshid Ahmed (1922561)</cp:lastModifiedBy>
  <cp:revision>164</cp:revision>
  <cp:lastPrinted>2021-12-06T23:55:00Z</cp:lastPrinted>
  <dcterms:created xsi:type="dcterms:W3CDTF">2021-01-04T14:46:00Z</dcterms:created>
  <dcterms:modified xsi:type="dcterms:W3CDTF">2022-01-18T11:06:00Z</dcterms:modified>
</cp:coreProperties>
</file>