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3377C" w:rsidRDefault="00FE06F9" w:rsidP="00FE06F9">
      <w:pPr>
        <w:jc w:val="center"/>
        <w:rPr>
          <w:b/>
          <w:u w:val="single"/>
        </w:rPr>
      </w:pPr>
      <w:r w:rsidRPr="00FE06F9">
        <w:rPr>
          <w:b/>
          <w:u w:val="single"/>
        </w:rPr>
        <w:t>Herodotus: Strengths and Weaknesses of Herodotus as a Historian</w:t>
      </w:r>
    </w:p>
    <w:p w:rsidR="009F25CE" w:rsidRDefault="00486167" w:rsidP="00FE06F9">
      <w:pPr>
        <w:rPr>
          <w:sz w:val="20"/>
          <w:szCs w:val="20"/>
        </w:rPr>
      </w:pPr>
      <w:r>
        <w:rPr>
          <w:sz w:val="20"/>
          <w:szCs w:val="20"/>
        </w:rPr>
        <w:t>Before discussing the strengths and weaknesses of Herodotus it is important to understand that his Histories are in fact a series of ‘inquiries’, or an ‘autopsy’ of historical events in a context where poets and prose were the main media for chronology, battles, origins of people, and history of a polis took place.</w:t>
      </w:r>
      <w:r w:rsidR="00C1769B">
        <w:rPr>
          <w:rStyle w:val="FootnoteReference"/>
          <w:sz w:val="20"/>
          <w:szCs w:val="20"/>
        </w:rPr>
        <w:footnoteReference w:id="1"/>
      </w:r>
      <w:r w:rsidR="00C1769B">
        <w:rPr>
          <w:sz w:val="20"/>
          <w:szCs w:val="20"/>
        </w:rPr>
        <w:t xml:space="preserve"> This is prudent to understand before critiquing Herodotus as a Historical Source due to the nature of being the first prose historian of his kind, that is not to state that he did not have contemporaries, such as </w:t>
      </w:r>
      <w:proofErr w:type="spellStart"/>
      <w:r w:rsidR="00C1769B">
        <w:rPr>
          <w:sz w:val="20"/>
          <w:szCs w:val="20"/>
        </w:rPr>
        <w:t>Hecataeus</w:t>
      </w:r>
      <w:proofErr w:type="spellEnd"/>
      <w:r w:rsidR="00C1769B">
        <w:rPr>
          <w:sz w:val="20"/>
          <w:szCs w:val="20"/>
        </w:rPr>
        <w:t xml:space="preserve"> the Milesian and other polis ‘historians’</w:t>
      </w:r>
      <w:r w:rsidR="00092CC2">
        <w:rPr>
          <w:rStyle w:val="FootnoteReference"/>
          <w:sz w:val="20"/>
          <w:szCs w:val="20"/>
        </w:rPr>
        <w:footnoteReference w:id="2"/>
      </w:r>
      <w:r w:rsidR="00C1769B">
        <w:rPr>
          <w:sz w:val="20"/>
          <w:szCs w:val="20"/>
        </w:rPr>
        <w:t>.</w:t>
      </w:r>
      <w:r w:rsidR="00A13EF8">
        <w:rPr>
          <w:sz w:val="20"/>
          <w:szCs w:val="20"/>
        </w:rPr>
        <w:t xml:space="preserve"> However, if looking for strengths and weaknesses of Herodotus as a Historian we must look into his use of Sources, whether they are oral </w:t>
      </w:r>
      <w:r w:rsidR="00524E72">
        <w:rPr>
          <w:sz w:val="20"/>
          <w:szCs w:val="20"/>
        </w:rPr>
        <w:t>or</w:t>
      </w:r>
      <w:r w:rsidR="0023552E">
        <w:rPr>
          <w:sz w:val="20"/>
          <w:szCs w:val="20"/>
        </w:rPr>
        <w:t xml:space="preserve"> </w:t>
      </w:r>
      <w:r w:rsidR="00524E72">
        <w:rPr>
          <w:sz w:val="20"/>
          <w:szCs w:val="20"/>
        </w:rPr>
        <w:t>written,</w:t>
      </w:r>
      <w:r w:rsidR="00A13EF8">
        <w:rPr>
          <w:sz w:val="20"/>
          <w:szCs w:val="20"/>
        </w:rPr>
        <w:t xml:space="preserve"> and how he uses the sources as a whole.</w:t>
      </w:r>
      <w:r w:rsidR="009F25CE">
        <w:rPr>
          <w:sz w:val="20"/>
          <w:szCs w:val="20"/>
        </w:rPr>
        <w:t xml:space="preserve"> </w:t>
      </w:r>
      <w:r w:rsidR="00A13EF8">
        <w:rPr>
          <w:sz w:val="20"/>
          <w:szCs w:val="20"/>
        </w:rPr>
        <w:t>Herodotus is his ab</w:t>
      </w:r>
      <w:r w:rsidR="00524E72">
        <w:rPr>
          <w:sz w:val="20"/>
          <w:szCs w:val="20"/>
        </w:rPr>
        <w:t>le</w:t>
      </w:r>
      <w:r w:rsidR="00A13EF8">
        <w:rPr>
          <w:sz w:val="20"/>
          <w:szCs w:val="20"/>
        </w:rPr>
        <w:t xml:space="preserve"> to gather source material in a systematic way and then sort through the sources for the ‘truth’, and then order then into a narrative to state causes, events, and effects </w:t>
      </w:r>
      <w:r w:rsidR="004773DB">
        <w:rPr>
          <w:sz w:val="20"/>
          <w:szCs w:val="20"/>
        </w:rPr>
        <w:t>of history. T</w:t>
      </w:r>
      <w:r w:rsidR="00CA47A4">
        <w:rPr>
          <w:sz w:val="20"/>
          <w:szCs w:val="20"/>
        </w:rPr>
        <w:t>he argument will be the strengths and weaknesses of his use of sources and how he wove them into</w:t>
      </w:r>
      <w:r w:rsidR="009F25CE">
        <w:rPr>
          <w:sz w:val="20"/>
          <w:szCs w:val="20"/>
        </w:rPr>
        <w:t xml:space="preserve"> the narrative of his Histories.</w:t>
      </w:r>
    </w:p>
    <w:p w:rsidR="00A13EF8" w:rsidRDefault="009F25CE" w:rsidP="00FE06F9">
      <w:pPr>
        <w:rPr>
          <w:sz w:val="20"/>
          <w:szCs w:val="20"/>
        </w:rPr>
      </w:pPr>
      <w:r>
        <w:rPr>
          <w:sz w:val="20"/>
          <w:szCs w:val="20"/>
        </w:rPr>
        <w:t xml:space="preserve"> </w:t>
      </w:r>
      <w:r w:rsidR="004773DB">
        <w:rPr>
          <w:sz w:val="20"/>
          <w:szCs w:val="20"/>
        </w:rPr>
        <w:t>A Weakness</w:t>
      </w:r>
      <w:r w:rsidR="009A635C">
        <w:rPr>
          <w:sz w:val="20"/>
          <w:szCs w:val="20"/>
        </w:rPr>
        <w:t xml:space="preserve"> </w:t>
      </w:r>
      <w:r w:rsidR="004773DB">
        <w:rPr>
          <w:sz w:val="20"/>
          <w:szCs w:val="20"/>
        </w:rPr>
        <w:t xml:space="preserve">of </w:t>
      </w:r>
      <w:r w:rsidR="003C47B0">
        <w:rPr>
          <w:sz w:val="20"/>
          <w:szCs w:val="20"/>
        </w:rPr>
        <w:t>Herodotus’ writings of Egypt and their early rulers, Herodotus draws upon</w:t>
      </w:r>
      <w:r w:rsidR="000F6860">
        <w:rPr>
          <w:sz w:val="20"/>
          <w:szCs w:val="20"/>
        </w:rPr>
        <w:t xml:space="preserve"> three Priesthoods (Memphis, Thebes, and </w:t>
      </w:r>
      <w:proofErr w:type="spellStart"/>
      <w:r w:rsidR="000F6860">
        <w:rPr>
          <w:sz w:val="20"/>
          <w:szCs w:val="20"/>
        </w:rPr>
        <w:t>Helopolis</w:t>
      </w:r>
      <w:proofErr w:type="spellEnd"/>
      <w:r w:rsidR="000F6860">
        <w:rPr>
          <w:sz w:val="20"/>
          <w:szCs w:val="20"/>
        </w:rPr>
        <w:t>)</w:t>
      </w:r>
      <w:r w:rsidR="00683E8B">
        <w:rPr>
          <w:rStyle w:val="FootnoteReference"/>
          <w:sz w:val="20"/>
          <w:szCs w:val="20"/>
        </w:rPr>
        <w:footnoteReference w:id="3"/>
      </w:r>
      <w:r w:rsidR="000F6860">
        <w:rPr>
          <w:sz w:val="20"/>
          <w:szCs w:val="20"/>
        </w:rPr>
        <w:t xml:space="preserve"> for his account of the first King of Egypt and the 330 following th</w:t>
      </w:r>
      <w:r w:rsidR="00683E8B">
        <w:rPr>
          <w:sz w:val="20"/>
          <w:szCs w:val="20"/>
        </w:rPr>
        <w:t xml:space="preserve">ese with only 10 named examples, </w:t>
      </w:r>
      <w:r w:rsidR="00C029D8">
        <w:rPr>
          <w:sz w:val="20"/>
          <w:szCs w:val="20"/>
        </w:rPr>
        <w:t xml:space="preserve">these seem to contradict Egyptian Histories from Min to </w:t>
      </w:r>
      <w:proofErr w:type="spellStart"/>
      <w:r w:rsidR="00C029D8">
        <w:rPr>
          <w:sz w:val="20"/>
          <w:szCs w:val="20"/>
        </w:rPr>
        <w:t>Moeris</w:t>
      </w:r>
      <w:proofErr w:type="spellEnd"/>
      <w:r w:rsidR="00C029D8">
        <w:rPr>
          <w:sz w:val="20"/>
          <w:szCs w:val="20"/>
        </w:rPr>
        <w:t>, with the opposing chronology.</w:t>
      </w:r>
      <w:r w:rsidR="000F6860">
        <w:rPr>
          <w:rStyle w:val="FootnoteReference"/>
          <w:sz w:val="20"/>
          <w:szCs w:val="20"/>
        </w:rPr>
        <w:footnoteReference w:id="4"/>
      </w:r>
      <w:r w:rsidR="00C029D8">
        <w:rPr>
          <w:sz w:val="20"/>
          <w:szCs w:val="20"/>
        </w:rPr>
        <w:t xml:space="preserve"> Fehling argues that this is example of Herodotus using a false citation</w:t>
      </w:r>
      <w:r w:rsidR="00C029D8">
        <w:rPr>
          <w:rStyle w:val="FootnoteReference"/>
          <w:sz w:val="20"/>
          <w:szCs w:val="20"/>
        </w:rPr>
        <w:footnoteReference w:id="5"/>
      </w:r>
      <w:r w:rsidR="00C029D8">
        <w:rPr>
          <w:sz w:val="20"/>
          <w:szCs w:val="20"/>
        </w:rPr>
        <w:t xml:space="preserve"> to write down his own observations in order to justify his writing. So, although the gathering of source information can be seen as a Strength for Herodotus this is also a Weakness due </w:t>
      </w:r>
      <w:r w:rsidR="00E21456">
        <w:rPr>
          <w:sz w:val="20"/>
          <w:szCs w:val="20"/>
        </w:rPr>
        <w:t xml:space="preserve">to </w:t>
      </w:r>
      <w:r w:rsidR="00C029D8">
        <w:rPr>
          <w:sz w:val="20"/>
          <w:szCs w:val="20"/>
        </w:rPr>
        <w:t xml:space="preserve">his sources either do not exist or are </w:t>
      </w:r>
      <w:r w:rsidR="00E21456">
        <w:rPr>
          <w:sz w:val="20"/>
          <w:szCs w:val="20"/>
        </w:rPr>
        <w:t>incorrect</w:t>
      </w:r>
      <w:r w:rsidR="00C029D8">
        <w:rPr>
          <w:sz w:val="20"/>
          <w:szCs w:val="20"/>
        </w:rPr>
        <w:t>.</w:t>
      </w:r>
      <w:r w:rsidR="00300F92">
        <w:rPr>
          <w:sz w:val="20"/>
          <w:szCs w:val="20"/>
        </w:rPr>
        <w:t xml:space="preserve"> </w:t>
      </w:r>
      <w:r w:rsidR="00C9206D">
        <w:rPr>
          <w:sz w:val="20"/>
          <w:szCs w:val="20"/>
        </w:rPr>
        <w:t xml:space="preserve"> Or, if these truly were the words of the ‘Priests’ this</w:t>
      </w:r>
      <w:r w:rsidR="00C9206D" w:rsidRPr="0031284B">
        <w:rPr>
          <w:sz w:val="20"/>
          <w:szCs w:val="20"/>
        </w:rPr>
        <w:t xml:space="preserve"> reveals the </w:t>
      </w:r>
      <w:r w:rsidR="000E4113">
        <w:rPr>
          <w:sz w:val="20"/>
          <w:szCs w:val="20"/>
        </w:rPr>
        <w:t xml:space="preserve">extent of </w:t>
      </w:r>
      <w:r w:rsidR="00C9206D" w:rsidRPr="0031284B">
        <w:rPr>
          <w:sz w:val="20"/>
          <w:szCs w:val="20"/>
        </w:rPr>
        <w:t xml:space="preserve">his ability to discern </w:t>
      </w:r>
      <w:r w:rsidR="000E4113">
        <w:rPr>
          <w:sz w:val="20"/>
          <w:szCs w:val="20"/>
        </w:rPr>
        <w:t>difference</w:t>
      </w:r>
      <w:r w:rsidR="00C9206D" w:rsidRPr="0031284B">
        <w:rPr>
          <w:sz w:val="20"/>
          <w:szCs w:val="20"/>
        </w:rPr>
        <w:t xml:space="preserve"> between fact or fiction</w:t>
      </w:r>
      <w:bookmarkStart w:id="0" w:name="_GoBack"/>
      <w:bookmarkEnd w:id="0"/>
      <w:r w:rsidR="00C9206D" w:rsidRPr="0031284B">
        <w:rPr>
          <w:sz w:val="20"/>
          <w:szCs w:val="20"/>
        </w:rPr>
        <w:t>, which for a Historian is key.</w:t>
      </w:r>
    </w:p>
    <w:p w:rsidR="00995E61" w:rsidRDefault="00995E61" w:rsidP="00995E61">
      <w:pPr>
        <w:rPr>
          <w:sz w:val="20"/>
          <w:szCs w:val="20"/>
        </w:rPr>
      </w:pPr>
      <w:r>
        <w:rPr>
          <w:sz w:val="20"/>
          <w:szCs w:val="20"/>
        </w:rPr>
        <w:t>Another weakness to be drawn from this could be the use of narrative in accordance to the Early Kings, West argues that they contain themes and motifs to be wary of, such as revenge</w:t>
      </w:r>
      <w:r w:rsidR="007B0CBE">
        <w:rPr>
          <w:sz w:val="20"/>
          <w:szCs w:val="20"/>
        </w:rPr>
        <w:t>,</w:t>
      </w:r>
      <w:r>
        <w:rPr>
          <w:sz w:val="20"/>
          <w:szCs w:val="20"/>
        </w:rPr>
        <w:t xml:space="preserve"> each in the case of Book Two with an exotic Non-Greek</w:t>
      </w:r>
      <w:r w:rsidR="00F24151">
        <w:rPr>
          <w:sz w:val="20"/>
          <w:szCs w:val="20"/>
        </w:rPr>
        <w:t xml:space="preserve"> Twist, </w:t>
      </w:r>
      <w:proofErr w:type="spellStart"/>
      <w:r w:rsidR="00F24151">
        <w:rPr>
          <w:sz w:val="20"/>
          <w:szCs w:val="20"/>
        </w:rPr>
        <w:t>Baragwanath</w:t>
      </w:r>
      <w:proofErr w:type="spellEnd"/>
      <w:r w:rsidR="00F24151">
        <w:rPr>
          <w:sz w:val="20"/>
          <w:szCs w:val="20"/>
        </w:rPr>
        <w:t xml:space="preserve"> hints to </w:t>
      </w:r>
      <w:r>
        <w:rPr>
          <w:sz w:val="20"/>
          <w:szCs w:val="20"/>
        </w:rPr>
        <w:t xml:space="preserve">a </w:t>
      </w:r>
      <w:r w:rsidR="002E5965">
        <w:rPr>
          <w:sz w:val="20"/>
          <w:szCs w:val="20"/>
        </w:rPr>
        <w:t>‘</w:t>
      </w:r>
      <w:r>
        <w:rPr>
          <w:sz w:val="20"/>
          <w:szCs w:val="20"/>
        </w:rPr>
        <w:t>masterplan</w:t>
      </w:r>
      <w:r w:rsidR="002E5965">
        <w:rPr>
          <w:sz w:val="20"/>
          <w:szCs w:val="20"/>
        </w:rPr>
        <w:t>’</w:t>
      </w:r>
      <w:r>
        <w:rPr>
          <w:sz w:val="20"/>
          <w:szCs w:val="20"/>
        </w:rPr>
        <w:t xml:space="preserve"> by Herodotus </w:t>
      </w:r>
      <w:r w:rsidR="00BF08DF">
        <w:rPr>
          <w:sz w:val="20"/>
          <w:szCs w:val="20"/>
        </w:rPr>
        <w:t>engage the Greek</w:t>
      </w:r>
      <w:r>
        <w:rPr>
          <w:sz w:val="20"/>
          <w:szCs w:val="20"/>
        </w:rPr>
        <w:t xml:space="preserve"> audience by anchoring these events in the</w:t>
      </w:r>
      <w:r w:rsidR="00BF08DF">
        <w:rPr>
          <w:sz w:val="20"/>
          <w:szCs w:val="20"/>
        </w:rPr>
        <w:t xml:space="preserve">ir past and draw comparisons </w:t>
      </w:r>
      <w:r>
        <w:rPr>
          <w:sz w:val="20"/>
          <w:szCs w:val="20"/>
        </w:rPr>
        <w:t>between the stories of the Greeks</w:t>
      </w:r>
      <w:r>
        <w:rPr>
          <w:rStyle w:val="FootnoteReference"/>
          <w:sz w:val="20"/>
          <w:szCs w:val="20"/>
        </w:rPr>
        <w:footnoteReference w:id="6"/>
      </w:r>
      <w:r>
        <w:rPr>
          <w:sz w:val="20"/>
          <w:szCs w:val="20"/>
        </w:rPr>
        <w:t>. However, how he hoped to achieve this narrative can be argued to be insufficient as the only model upon which he could draw upon for reference for ‘history’ would have been Homer’s Iliad/Odyssey.</w:t>
      </w:r>
      <w:r>
        <w:rPr>
          <w:rStyle w:val="FootnoteReference"/>
          <w:sz w:val="20"/>
          <w:szCs w:val="20"/>
        </w:rPr>
        <w:footnoteReference w:id="7"/>
      </w:r>
    </w:p>
    <w:p w:rsidR="0027512D" w:rsidRDefault="0027512D" w:rsidP="00995E61">
      <w:pPr>
        <w:rPr>
          <w:sz w:val="20"/>
          <w:szCs w:val="20"/>
        </w:rPr>
      </w:pPr>
      <w:r>
        <w:rPr>
          <w:sz w:val="20"/>
          <w:szCs w:val="20"/>
        </w:rPr>
        <w:t>In contrast we also find that</w:t>
      </w:r>
      <w:r w:rsidR="00C0698E">
        <w:rPr>
          <w:sz w:val="20"/>
          <w:szCs w:val="20"/>
        </w:rPr>
        <w:t xml:space="preserve"> his sources </w:t>
      </w:r>
      <w:r w:rsidR="007C500C">
        <w:rPr>
          <w:sz w:val="20"/>
          <w:szCs w:val="20"/>
        </w:rPr>
        <w:t>corroborate</w:t>
      </w:r>
      <w:r w:rsidR="00C0698E">
        <w:rPr>
          <w:sz w:val="20"/>
          <w:szCs w:val="20"/>
        </w:rPr>
        <w:t xml:space="preserve"> </w:t>
      </w:r>
      <w:r w:rsidR="007C500C">
        <w:rPr>
          <w:sz w:val="20"/>
          <w:szCs w:val="20"/>
        </w:rPr>
        <w:t>with</w:t>
      </w:r>
      <w:r w:rsidR="00C0698E">
        <w:rPr>
          <w:sz w:val="20"/>
          <w:szCs w:val="20"/>
        </w:rPr>
        <w:t xml:space="preserve"> </w:t>
      </w:r>
      <w:proofErr w:type="spellStart"/>
      <w:r w:rsidR="00C0698E">
        <w:rPr>
          <w:sz w:val="20"/>
          <w:szCs w:val="20"/>
        </w:rPr>
        <w:t>Naukratis</w:t>
      </w:r>
      <w:proofErr w:type="spellEnd"/>
      <w:r w:rsidR="003457AA">
        <w:rPr>
          <w:sz w:val="20"/>
          <w:szCs w:val="20"/>
        </w:rPr>
        <w:t xml:space="preserve"> according to </w:t>
      </w:r>
      <w:proofErr w:type="spellStart"/>
      <w:r w:rsidR="003457AA">
        <w:rPr>
          <w:sz w:val="20"/>
          <w:szCs w:val="20"/>
        </w:rPr>
        <w:t>Villing</w:t>
      </w:r>
      <w:proofErr w:type="spellEnd"/>
      <w:r w:rsidR="003457AA">
        <w:rPr>
          <w:sz w:val="20"/>
          <w:szCs w:val="20"/>
        </w:rPr>
        <w:t xml:space="preserve">, his sources indicate that </w:t>
      </w:r>
      <w:proofErr w:type="spellStart"/>
      <w:r w:rsidR="004F263C">
        <w:rPr>
          <w:sz w:val="20"/>
          <w:szCs w:val="20"/>
        </w:rPr>
        <w:t>Amasis</w:t>
      </w:r>
      <w:proofErr w:type="spellEnd"/>
      <w:r w:rsidR="004F263C">
        <w:rPr>
          <w:sz w:val="20"/>
          <w:szCs w:val="20"/>
        </w:rPr>
        <w:t xml:space="preserve"> gave</w:t>
      </w:r>
      <w:r w:rsidR="003457AA">
        <w:rPr>
          <w:sz w:val="20"/>
          <w:szCs w:val="20"/>
        </w:rPr>
        <w:t xml:space="preserve"> </w:t>
      </w:r>
      <w:proofErr w:type="spellStart"/>
      <w:r w:rsidR="003457AA">
        <w:rPr>
          <w:sz w:val="20"/>
          <w:szCs w:val="20"/>
        </w:rPr>
        <w:t>Naukratis</w:t>
      </w:r>
      <w:proofErr w:type="spellEnd"/>
      <w:r w:rsidR="003457AA">
        <w:rPr>
          <w:sz w:val="20"/>
          <w:szCs w:val="20"/>
        </w:rPr>
        <w:t xml:space="preserve"> </w:t>
      </w:r>
      <w:r w:rsidR="007C500C">
        <w:rPr>
          <w:sz w:val="20"/>
          <w:szCs w:val="20"/>
        </w:rPr>
        <w:t>to</w:t>
      </w:r>
      <w:r w:rsidR="003457AA">
        <w:rPr>
          <w:sz w:val="20"/>
          <w:szCs w:val="20"/>
        </w:rPr>
        <w:t xml:space="preserve"> foreign trade</w:t>
      </w:r>
      <w:r w:rsidR="003457AA">
        <w:rPr>
          <w:rStyle w:val="FootnoteReference"/>
          <w:sz w:val="20"/>
          <w:szCs w:val="20"/>
        </w:rPr>
        <w:footnoteReference w:id="8"/>
      </w:r>
      <w:r w:rsidR="007B0CBE">
        <w:rPr>
          <w:sz w:val="20"/>
          <w:szCs w:val="20"/>
        </w:rPr>
        <w:t xml:space="preserve"> </w:t>
      </w:r>
      <w:r w:rsidR="003457AA">
        <w:rPr>
          <w:sz w:val="20"/>
          <w:szCs w:val="20"/>
        </w:rPr>
        <w:t xml:space="preserve">is corroborated with archaeological evidence </w:t>
      </w:r>
      <w:r w:rsidR="004F263C">
        <w:rPr>
          <w:sz w:val="20"/>
          <w:szCs w:val="20"/>
        </w:rPr>
        <w:t xml:space="preserve">that Greeks </w:t>
      </w:r>
      <w:r w:rsidR="007C500C">
        <w:rPr>
          <w:sz w:val="20"/>
          <w:szCs w:val="20"/>
        </w:rPr>
        <w:t>did inhabit the site.</w:t>
      </w:r>
      <w:r w:rsidR="003457AA">
        <w:rPr>
          <w:sz w:val="20"/>
          <w:szCs w:val="20"/>
        </w:rPr>
        <w:t xml:space="preserve"> </w:t>
      </w:r>
      <w:r w:rsidR="007C500C">
        <w:rPr>
          <w:sz w:val="20"/>
          <w:szCs w:val="20"/>
        </w:rPr>
        <w:t xml:space="preserve">The description of </w:t>
      </w:r>
      <w:proofErr w:type="spellStart"/>
      <w:r w:rsidR="007C500C">
        <w:rPr>
          <w:sz w:val="20"/>
          <w:szCs w:val="20"/>
        </w:rPr>
        <w:t>Naukratis</w:t>
      </w:r>
      <w:proofErr w:type="spellEnd"/>
      <w:r w:rsidR="003457AA">
        <w:rPr>
          <w:sz w:val="20"/>
          <w:szCs w:val="20"/>
        </w:rPr>
        <w:t xml:space="preserve"> being used by multiple polis of Greeks accurate due to evidence of Athenian Weights and Corinthian Pottery</w:t>
      </w:r>
      <w:r w:rsidR="00CF13FD">
        <w:rPr>
          <w:rStyle w:val="FootnoteReference"/>
          <w:sz w:val="20"/>
          <w:szCs w:val="20"/>
        </w:rPr>
        <w:footnoteReference w:id="9"/>
      </w:r>
      <w:r w:rsidR="003457AA">
        <w:rPr>
          <w:sz w:val="20"/>
          <w:szCs w:val="20"/>
        </w:rPr>
        <w:t>.</w:t>
      </w:r>
      <w:r w:rsidR="004F263C">
        <w:rPr>
          <w:sz w:val="20"/>
          <w:szCs w:val="20"/>
        </w:rPr>
        <w:t xml:space="preserve"> Not only this, </w:t>
      </w:r>
      <w:r w:rsidR="00CF13FD">
        <w:rPr>
          <w:sz w:val="20"/>
          <w:szCs w:val="20"/>
        </w:rPr>
        <w:t xml:space="preserve">but Herodotus’ descriptions of the </w:t>
      </w:r>
      <w:proofErr w:type="spellStart"/>
      <w:r w:rsidR="00CF13FD">
        <w:rPr>
          <w:sz w:val="20"/>
          <w:szCs w:val="20"/>
        </w:rPr>
        <w:t>Baris</w:t>
      </w:r>
      <w:proofErr w:type="spellEnd"/>
      <w:r w:rsidR="00CF13FD">
        <w:rPr>
          <w:sz w:val="20"/>
          <w:szCs w:val="20"/>
        </w:rPr>
        <w:t xml:space="preserve"> boats </w:t>
      </w:r>
      <w:r w:rsidR="007C500C">
        <w:rPr>
          <w:sz w:val="20"/>
          <w:szCs w:val="20"/>
        </w:rPr>
        <w:t>from</w:t>
      </w:r>
      <w:r w:rsidR="00CF13FD">
        <w:rPr>
          <w:sz w:val="20"/>
          <w:szCs w:val="20"/>
        </w:rPr>
        <w:t xml:space="preserve"> his ‘sources’ seem to corroborate with recent discovery </w:t>
      </w:r>
      <w:r w:rsidR="00EC49AF">
        <w:rPr>
          <w:sz w:val="20"/>
          <w:szCs w:val="20"/>
        </w:rPr>
        <w:t>of</w:t>
      </w:r>
      <w:r w:rsidR="00CF13FD">
        <w:rPr>
          <w:sz w:val="20"/>
          <w:szCs w:val="20"/>
        </w:rPr>
        <w:t xml:space="preserve"> Ship 17 </w:t>
      </w:r>
      <w:r w:rsidR="00EC49AF">
        <w:rPr>
          <w:sz w:val="20"/>
          <w:szCs w:val="20"/>
        </w:rPr>
        <w:t>in</w:t>
      </w:r>
      <w:r w:rsidR="00CF13FD">
        <w:rPr>
          <w:sz w:val="20"/>
          <w:szCs w:val="20"/>
        </w:rPr>
        <w:t xml:space="preserve"> </w:t>
      </w:r>
      <w:proofErr w:type="spellStart"/>
      <w:r w:rsidR="00CF13FD">
        <w:rPr>
          <w:sz w:val="20"/>
          <w:szCs w:val="20"/>
        </w:rPr>
        <w:t>Thonis-Heracleion</w:t>
      </w:r>
      <w:proofErr w:type="spellEnd"/>
      <w:r w:rsidR="00CF13FD">
        <w:rPr>
          <w:rStyle w:val="FootnoteReference"/>
          <w:sz w:val="20"/>
          <w:szCs w:val="20"/>
        </w:rPr>
        <w:footnoteReference w:id="10"/>
      </w:r>
      <w:r w:rsidR="00CF13FD">
        <w:rPr>
          <w:sz w:val="20"/>
          <w:szCs w:val="20"/>
        </w:rPr>
        <w:t>.</w:t>
      </w:r>
      <w:r w:rsidR="00201DB3">
        <w:rPr>
          <w:sz w:val="20"/>
          <w:szCs w:val="20"/>
        </w:rPr>
        <w:t xml:space="preserve"> Not only is the description accurate, but the only mention of the description in writing is provided by Herodotus with the application of the steering process. This concludes that although to some extent Herodotus’ Sources can be questio</w:t>
      </w:r>
      <w:r w:rsidR="0069671B">
        <w:rPr>
          <w:sz w:val="20"/>
          <w:szCs w:val="20"/>
        </w:rPr>
        <w:t>nable, some</w:t>
      </w:r>
      <w:r w:rsidR="00201DB3">
        <w:rPr>
          <w:sz w:val="20"/>
          <w:szCs w:val="20"/>
        </w:rPr>
        <w:t xml:space="preserve"> information </w:t>
      </w:r>
      <w:r w:rsidR="007B0CBE">
        <w:rPr>
          <w:sz w:val="20"/>
          <w:szCs w:val="20"/>
        </w:rPr>
        <w:t>is</w:t>
      </w:r>
      <w:r w:rsidR="00201DB3">
        <w:rPr>
          <w:sz w:val="20"/>
          <w:szCs w:val="20"/>
        </w:rPr>
        <w:t xml:space="preserve"> correct when compared to the archaeological record.</w:t>
      </w:r>
    </w:p>
    <w:p w:rsidR="00AE3C22" w:rsidRDefault="00AE3C22" w:rsidP="00995E61">
      <w:pPr>
        <w:rPr>
          <w:sz w:val="20"/>
          <w:szCs w:val="20"/>
        </w:rPr>
      </w:pPr>
      <w:r>
        <w:rPr>
          <w:sz w:val="20"/>
          <w:szCs w:val="20"/>
        </w:rPr>
        <w:t>In conclusion, although Herodotus’ use of Sources is his main strength as a Historian, he is the first to encounter the problem of sources and choosing which are accurate to incorporate into his histories.</w:t>
      </w:r>
      <w:r w:rsidR="00D9570A">
        <w:rPr>
          <w:rStyle w:val="FootnoteReference"/>
          <w:sz w:val="20"/>
          <w:szCs w:val="20"/>
        </w:rPr>
        <w:footnoteReference w:id="11"/>
      </w:r>
      <w:r w:rsidR="00D218E9">
        <w:rPr>
          <w:sz w:val="20"/>
          <w:szCs w:val="20"/>
        </w:rPr>
        <w:t xml:space="preserve"> </w:t>
      </w:r>
      <w:r w:rsidR="00D218E9">
        <w:rPr>
          <w:sz w:val="20"/>
          <w:szCs w:val="20"/>
        </w:rPr>
        <w:lastRenderedPageBreak/>
        <w:t xml:space="preserve">Although Herodotus does question his own sources and provides parallel examples of the tales accordingly and states whether or not he believes them to be true. His own introductory proem also seeks us to question what we have read of his Histories in themselves, not as what he wrote it, but what he was told.  </w:t>
      </w:r>
      <w:r w:rsidR="006B3E69">
        <w:rPr>
          <w:sz w:val="20"/>
          <w:szCs w:val="20"/>
        </w:rPr>
        <w:t>W</w:t>
      </w:r>
      <w:r w:rsidR="00D218E9">
        <w:rPr>
          <w:sz w:val="20"/>
          <w:szCs w:val="20"/>
        </w:rPr>
        <w:t xml:space="preserve">e can clearly see the strengths and weaknesses of his Sources through the comparison to chronological records and compare them to archaeological evidence. </w:t>
      </w:r>
      <w:r w:rsidR="006B3E69">
        <w:rPr>
          <w:sz w:val="20"/>
          <w:szCs w:val="20"/>
        </w:rPr>
        <w:t>Whether</w:t>
      </w:r>
      <w:r w:rsidR="00D218E9">
        <w:rPr>
          <w:sz w:val="20"/>
          <w:szCs w:val="20"/>
        </w:rPr>
        <w:t xml:space="preserve"> certain aspects of his Histories have been proven true or false, or whether his Sources have been falsified or given false information we cannot discredit Herodotus due to this, the key aspect of being a Historian is finding and commenting on sources and debating their validity, to see Herodotus make a start on this so early in the discipline is actually a merit to his reliability as an author. </w:t>
      </w:r>
      <w:r w:rsidR="007B0CBE">
        <w:rPr>
          <w:sz w:val="20"/>
          <w:szCs w:val="20"/>
        </w:rPr>
        <w:t>However,</w:t>
      </w:r>
      <w:r w:rsidR="00D218E9">
        <w:rPr>
          <w:sz w:val="20"/>
          <w:szCs w:val="20"/>
        </w:rPr>
        <w:t xml:space="preserve"> we cannot also ignore the running narrative through the prose Histories and the implications behind this.</w:t>
      </w:r>
    </w:p>
    <w:p w:rsidR="003457AA" w:rsidRDefault="003457AA" w:rsidP="00995E61">
      <w:pPr>
        <w:rPr>
          <w:sz w:val="20"/>
          <w:szCs w:val="20"/>
        </w:rPr>
      </w:pPr>
    </w:p>
    <w:p w:rsidR="003457AA" w:rsidRDefault="003457AA" w:rsidP="00995E61">
      <w:pPr>
        <w:rPr>
          <w:sz w:val="20"/>
          <w:szCs w:val="20"/>
        </w:rPr>
      </w:pPr>
    </w:p>
    <w:p w:rsidR="0027512D" w:rsidRDefault="0027512D" w:rsidP="00995E61">
      <w:pPr>
        <w:rPr>
          <w:sz w:val="20"/>
          <w:szCs w:val="20"/>
        </w:rPr>
      </w:pPr>
    </w:p>
    <w:p w:rsidR="00FE06F9" w:rsidRDefault="003518E3" w:rsidP="00FE06F9">
      <w:pPr>
        <w:rPr>
          <w:b/>
        </w:rPr>
      </w:pPr>
      <w:r w:rsidRPr="003518E3">
        <w:rPr>
          <w:b/>
        </w:rPr>
        <w:t>Bibliography:</w:t>
      </w:r>
    </w:p>
    <w:p w:rsidR="003518E3" w:rsidRDefault="00B63C5B" w:rsidP="00FE06F9">
      <w:proofErr w:type="spellStart"/>
      <w:r>
        <w:t>Baragwanath</w:t>
      </w:r>
      <w:proofErr w:type="spellEnd"/>
      <w:r>
        <w:t xml:space="preserve"> E</w:t>
      </w:r>
      <w:r w:rsidR="00091BCD">
        <w:t>.</w:t>
      </w:r>
      <w:r w:rsidR="00995E61">
        <w:t xml:space="preserve"> (2008</w:t>
      </w:r>
      <w:r>
        <w:t>),</w:t>
      </w:r>
      <w:r w:rsidR="003518E3">
        <w:t xml:space="preserve"> Motivation and Narrative in Herodotus, Oxford University Press.</w:t>
      </w:r>
      <w:r>
        <w:t xml:space="preserve"> (Oxford).</w:t>
      </w:r>
    </w:p>
    <w:p w:rsidR="00995E61" w:rsidRDefault="00995E61" w:rsidP="00FE06F9">
      <w:proofErr w:type="spellStart"/>
      <w:r>
        <w:t>Baragwanath</w:t>
      </w:r>
      <w:proofErr w:type="spellEnd"/>
      <w:r>
        <w:t xml:space="preserve"> E. (2012), Myth, Truth, and Narrative in Herodotus, Oxford University Press. (Oxford).</w:t>
      </w:r>
    </w:p>
    <w:p w:rsidR="00446C79" w:rsidRDefault="00446C79" w:rsidP="00FE06F9">
      <w:proofErr w:type="spellStart"/>
      <w:proofErr w:type="gramStart"/>
      <w:r>
        <w:t>Belov</w:t>
      </w:r>
      <w:proofErr w:type="spellEnd"/>
      <w:r>
        <w:t xml:space="preserve">  A.</w:t>
      </w:r>
      <w:proofErr w:type="gramEnd"/>
      <w:r w:rsidRPr="00446C79">
        <w:t xml:space="preserve"> </w:t>
      </w:r>
      <w:r>
        <w:t>(2015),</w:t>
      </w:r>
      <w:r w:rsidR="00292861" w:rsidRPr="00446C79">
        <w:t xml:space="preserve"> Did Ancient Egyptian Ships have Keels? The evidence of </w:t>
      </w:r>
      <w:proofErr w:type="spellStart"/>
      <w:r w:rsidR="00292861" w:rsidRPr="00446C79">
        <w:t>Thonis-Heracleion</w:t>
      </w:r>
      <w:proofErr w:type="spellEnd"/>
      <w:r w:rsidR="00292861" w:rsidRPr="00446C79">
        <w:t xml:space="preserve"> Ship 17, </w:t>
      </w:r>
      <w:r w:rsidR="00292861" w:rsidRPr="00446C79">
        <w:rPr>
          <w:i/>
          <w:iCs/>
        </w:rPr>
        <w:t>International Journal of Nautical Archaeology</w:t>
      </w:r>
      <w:r>
        <w:t>.</w:t>
      </w:r>
      <w:r w:rsidR="00292861" w:rsidRPr="00446C79">
        <w:t> </w:t>
      </w:r>
      <w:r>
        <w:t xml:space="preserve"> (</w:t>
      </w:r>
      <w:hyperlink r:id="rId8" w:history="1">
        <w:r w:rsidRPr="00354DD5">
          <w:rPr>
            <w:rStyle w:val="Hyperlink"/>
          </w:rPr>
          <w:t>https://onlinelibrary.wiley.com/doi/full/10.1111/1095-9270.12030 accessed 21/02/2019</w:t>
        </w:r>
      </w:hyperlink>
      <w:r>
        <w:t xml:space="preserve"> 20:11)</w:t>
      </w:r>
    </w:p>
    <w:p w:rsidR="00091BCD" w:rsidRDefault="00091BCD" w:rsidP="00FE06F9">
      <w:r>
        <w:t xml:space="preserve">Fehling D. (1990), Herodotus and his ‘Sources’, Francis </w:t>
      </w:r>
      <w:proofErr w:type="spellStart"/>
      <w:r>
        <w:t>Carns</w:t>
      </w:r>
      <w:proofErr w:type="spellEnd"/>
      <w:r>
        <w:t xml:space="preserve"> Publishing (Leeds).</w:t>
      </w:r>
    </w:p>
    <w:p w:rsidR="00D94B7F" w:rsidRDefault="00D94B7F" w:rsidP="00FE06F9">
      <w:r>
        <w:t xml:space="preserve">Fowler R. L. (1996) </w:t>
      </w:r>
      <w:proofErr w:type="spellStart"/>
      <w:r>
        <w:t>Herodotos</w:t>
      </w:r>
      <w:proofErr w:type="spellEnd"/>
      <w:r>
        <w:t xml:space="preserve"> and His </w:t>
      </w:r>
      <w:r w:rsidR="00D218E9">
        <w:t>Contemporaries (</w:t>
      </w:r>
      <w:hyperlink r:id="rId9" w:history="1">
        <w:r w:rsidR="00D218E9" w:rsidRPr="00354DD5">
          <w:rPr>
            <w:rStyle w:val="Hyperlink"/>
          </w:rPr>
          <w:t>https://www.cambridge.org/core/journals/journal-of-hellenic-studies/article/herodotos-and-his-contemporaries/E20BBBE8828E481FE82D86EB7BC76159 20/02/2019</w:t>
        </w:r>
      </w:hyperlink>
      <w:r w:rsidR="00D218E9">
        <w:t xml:space="preserve"> 20:30)</w:t>
      </w:r>
      <w:r>
        <w:t xml:space="preserve"> </w:t>
      </w:r>
    </w:p>
    <w:p w:rsidR="00CF13FD" w:rsidRDefault="00CF13FD" w:rsidP="00FE06F9">
      <w:pPr>
        <w:rPr>
          <w:rFonts w:cstheme="minorHAnsi"/>
          <w:shd w:val="clear" w:color="auto" w:fill="FFFFFF"/>
        </w:rPr>
      </w:pPr>
      <w:r>
        <w:rPr>
          <w:rFonts w:cstheme="minorHAnsi"/>
          <w:shd w:val="clear" w:color="auto" w:fill="FFFFFF"/>
        </w:rPr>
        <w:t>Johnston, A. (2014)</w:t>
      </w:r>
      <w:r w:rsidRPr="00CF13FD">
        <w:rPr>
          <w:rFonts w:cstheme="minorHAnsi"/>
          <w:shd w:val="clear" w:color="auto" w:fill="FFFFFF"/>
        </w:rPr>
        <w:t xml:space="preserve"> The </w:t>
      </w:r>
      <w:proofErr w:type="spellStart"/>
      <w:r w:rsidRPr="00CF13FD">
        <w:rPr>
          <w:rFonts w:cstheme="minorHAnsi"/>
          <w:shd w:val="clear" w:color="auto" w:fill="FFFFFF"/>
        </w:rPr>
        <w:t>Naukratis</w:t>
      </w:r>
      <w:proofErr w:type="spellEnd"/>
      <w:r w:rsidRPr="00CF13FD">
        <w:rPr>
          <w:rFonts w:cstheme="minorHAnsi"/>
          <w:shd w:val="clear" w:color="auto" w:fill="FFFFFF"/>
        </w:rPr>
        <w:t xml:space="preserve"> Project: Petrie, Greeks and </w:t>
      </w:r>
      <w:proofErr w:type="spellStart"/>
      <w:r w:rsidRPr="00CF13FD">
        <w:rPr>
          <w:rFonts w:cstheme="minorHAnsi"/>
          <w:shd w:val="clear" w:color="auto" w:fill="FFFFFF"/>
        </w:rPr>
        <w:t>Egyptians.</w:t>
      </w:r>
      <w:r w:rsidRPr="00CF13FD">
        <w:rPr>
          <w:rFonts w:cstheme="minorHAnsi"/>
          <w:i/>
          <w:iCs/>
          <w:bdr w:val="none" w:sz="0" w:space="0" w:color="auto" w:frame="1"/>
          <w:shd w:val="clear" w:color="auto" w:fill="FFFFFF"/>
        </w:rPr>
        <w:t>Archaeology</w:t>
      </w:r>
      <w:proofErr w:type="spellEnd"/>
      <w:r w:rsidRPr="00CF13FD">
        <w:rPr>
          <w:rFonts w:cstheme="minorHAnsi"/>
          <w:i/>
          <w:iCs/>
          <w:bdr w:val="none" w:sz="0" w:space="0" w:color="auto" w:frame="1"/>
          <w:shd w:val="clear" w:color="auto" w:fill="FFFFFF"/>
        </w:rPr>
        <w:t xml:space="preserve"> International</w:t>
      </w:r>
      <w:r w:rsidRPr="00CF13FD">
        <w:rPr>
          <w:rFonts w:cstheme="minorHAnsi"/>
          <w:shd w:val="clear" w:color="auto" w:fill="FFFFFF"/>
        </w:rPr>
        <w:t>, 17, pp.69–73</w:t>
      </w:r>
    </w:p>
    <w:p w:rsidR="00CF13FD" w:rsidRPr="00CF13FD" w:rsidRDefault="00CF13FD" w:rsidP="00FE06F9">
      <w:pPr>
        <w:rPr>
          <w:rFonts w:cstheme="minorHAnsi"/>
        </w:rPr>
      </w:pPr>
      <w:proofErr w:type="spellStart"/>
      <w:r>
        <w:rPr>
          <w:rFonts w:cstheme="minorHAnsi"/>
          <w:shd w:val="clear" w:color="auto" w:fill="FFFFFF"/>
        </w:rPr>
        <w:t>Villing</w:t>
      </w:r>
      <w:proofErr w:type="spellEnd"/>
      <w:r>
        <w:rPr>
          <w:rFonts w:cstheme="minorHAnsi"/>
          <w:shd w:val="clear" w:color="auto" w:fill="FFFFFF"/>
        </w:rPr>
        <w:t xml:space="preserve"> A. (2006) </w:t>
      </w:r>
      <w:proofErr w:type="spellStart"/>
      <w:r>
        <w:rPr>
          <w:rFonts w:cstheme="minorHAnsi"/>
          <w:shd w:val="clear" w:color="auto" w:fill="FFFFFF"/>
        </w:rPr>
        <w:t>Naukratis</w:t>
      </w:r>
      <w:proofErr w:type="spellEnd"/>
      <w:r>
        <w:rPr>
          <w:rFonts w:cstheme="minorHAnsi"/>
          <w:shd w:val="clear" w:color="auto" w:fill="FFFFFF"/>
        </w:rPr>
        <w:t xml:space="preserve">: Greek Diversity in Egypt, East Greek Pottery from </w:t>
      </w:r>
      <w:proofErr w:type="spellStart"/>
      <w:r>
        <w:rPr>
          <w:rFonts w:cstheme="minorHAnsi"/>
          <w:shd w:val="clear" w:color="auto" w:fill="FFFFFF"/>
        </w:rPr>
        <w:t>Naukratis</w:t>
      </w:r>
      <w:proofErr w:type="spellEnd"/>
      <w:r>
        <w:rPr>
          <w:rFonts w:cstheme="minorHAnsi"/>
          <w:shd w:val="clear" w:color="auto" w:fill="FFFFFF"/>
        </w:rPr>
        <w:t>: The Current State of Research.  pp53-69</w:t>
      </w:r>
    </w:p>
    <w:p w:rsidR="00B63C5B" w:rsidRDefault="00B63C5B" w:rsidP="00FE06F9">
      <w:r>
        <w:t xml:space="preserve">West S. (1991), Herodotus’ Portrait of </w:t>
      </w:r>
      <w:proofErr w:type="spellStart"/>
      <w:r>
        <w:t>Hecataeus</w:t>
      </w:r>
      <w:proofErr w:type="spellEnd"/>
      <w:r>
        <w:t>, The Journal of Hellenistic Studies Vol. 111, pp 144-160.</w:t>
      </w:r>
    </w:p>
    <w:p w:rsidR="003518E3" w:rsidRPr="003518E3" w:rsidRDefault="003518E3" w:rsidP="00FE06F9">
      <w:pPr>
        <w:rPr>
          <w:b/>
        </w:rPr>
      </w:pPr>
    </w:p>
    <w:p w:rsidR="00FE06F9" w:rsidRDefault="00FE06F9" w:rsidP="00FE06F9"/>
    <w:p w:rsidR="00FE06F9" w:rsidRDefault="00FE06F9" w:rsidP="00FE06F9"/>
    <w:p w:rsidR="00FE06F9" w:rsidRPr="00FE06F9" w:rsidRDefault="00FE06F9" w:rsidP="00FE06F9"/>
    <w:sectPr w:rsidR="00FE06F9" w:rsidRPr="00FE06F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76C0B" w:rsidRDefault="00576C0B" w:rsidP="00215A9C">
      <w:pPr>
        <w:spacing w:after="0" w:line="240" w:lineRule="auto"/>
      </w:pPr>
      <w:r>
        <w:separator/>
      </w:r>
    </w:p>
  </w:endnote>
  <w:endnote w:type="continuationSeparator" w:id="0">
    <w:p w:rsidR="00576C0B" w:rsidRDefault="00576C0B" w:rsidP="00215A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76C0B" w:rsidRDefault="00576C0B" w:rsidP="00215A9C">
      <w:pPr>
        <w:spacing w:after="0" w:line="240" w:lineRule="auto"/>
      </w:pPr>
      <w:r>
        <w:separator/>
      </w:r>
    </w:p>
  </w:footnote>
  <w:footnote w:type="continuationSeparator" w:id="0">
    <w:p w:rsidR="00576C0B" w:rsidRDefault="00576C0B" w:rsidP="00215A9C">
      <w:pPr>
        <w:spacing w:after="0" w:line="240" w:lineRule="auto"/>
      </w:pPr>
      <w:r>
        <w:continuationSeparator/>
      </w:r>
    </w:p>
  </w:footnote>
  <w:footnote w:id="1">
    <w:p w:rsidR="00092CC2" w:rsidRDefault="00C1769B">
      <w:pPr>
        <w:pStyle w:val="FootnoteText"/>
      </w:pPr>
      <w:r>
        <w:rPr>
          <w:rStyle w:val="FootnoteReference"/>
        </w:rPr>
        <w:footnoteRef/>
      </w:r>
      <w:r w:rsidR="00995E61">
        <w:t xml:space="preserve"> Emily Baragwanath.2008</w:t>
      </w:r>
      <w:r>
        <w:t>. pp35-38.</w:t>
      </w:r>
    </w:p>
  </w:footnote>
  <w:footnote w:id="2">
    <w:p w:rsidR="00092CC2" w:rsidRDefault="00092CC2">
      <w:pPr>
        <w:pStyle w:val="FootnoteText"/>
      </w:pPr>
      <w:r>
        <w:rPr>
          <w:rStyle w:val="FootnoteReference"/>
        </w:rPr>
        <w:footnoteRef/>
      </w:r>
      <w:r w:rsidR="00F23A6B">
        <w:t xml:space="preserve"> Stephanie West. 1991. p</w:t>
      </w:r>
      <w:r>
        <w:t>p144-146</w:t>
      </w:r>
      <w:r w:rsidR="00CA47A4">
        <w:t>.</w:t>
      </w:r>
    </w:p>
  </w:footnote>
  <w:footnote w:id="3">
    <w:p w:rsidR="00683E8B" w:rsidRDefault="00683E8B">
      <w:pPr>
        <w:pStyle w:val="FootnoteText"/>
      </w:pPr>
      <w:r>
        <w:rPr>
          <w:rStyle w:val="FootnoteReference"/>
        </w:rPr>
        <w:footnoteRef/>
      </w:r>
      <w:r>
        <w:t xml:space="preserve"> </w:t>
      </w:r>
      <w:proofErr w:type="spellStart"/>
      <w:r>
        <w:t>Detlev</w:t>
      </w:r>
      <w:proofErr w:type="spellEnd"/>
      <w:r>
        <w:t xml:space="preserve"> Fehling. 1990.  </w:t>
      </w:r>
      <w:r w:rsidR="00F23A6B">
        <w:t>p</w:t>
      </w:r>
      <w:r>
        <w:t>p71-73.</w:t>
      </w:r>
    </w:p>
  </w:footnote>
  <w:footnote w:id="4">
    <w:p w:rsidR="000F6860" w:rsidRDefault="000F6860">
      <w:pPr>
        <w:pStyle w:val="FootnoteText"/>
      </w:pPr>
      <w:r>
        <w:rPr>
          <w:rStyle w:val="FootnoteReference"/>
        </w:rPr>
        <w:footnoteRef/>
      </w:r>
      <w:r>
        <w:t xml:space="preserve"> </w:t>
      </w:r>
      <w:proofErr w:type="spellStart"/>
      <w:r>
        <w:t>Detlev</w:t>
      </w:r>
      <w:proofErr w:type="spellEnd"/>
      <w:r>
        <w:t xml:space="preserve"> Fehling.</w:t>
      </w:r>
      <w:r w:rsidR="00683E8B">
        <w:t xml:space="preserve"> 1990</w:t>
      </w:r>
      <w:r>
        <w:t xml:space="preserve">.  </w:t>
      </w:r>
      <w:r w:rsidR="00F23A6B">
        <w:t>p</w:t>
      </w:r>
      <w:r>
        <w:t>p71-73.</w:t>
      </w:r>
    </w:p>
  </w:footnote>
  <w:footnote w:id="5">
    <w:p w:rsidR="00C029D8" w:rsidRDefault="00C029D8">
      <w:pPr>
        <w:pStyle w:val="FootnoteText"/>
      </w:pPr>
      <w:r>
        <w:rPr>
          <w:rStyle w:val="FootnoteReference"/>
        </w:rPr>
        <w:footnoteRef/>
      </w:r>
      <w:r>
        <w:t xml:space="preserve"> </w:t>
      </w:r>
      <w:proofErr w:type="spellStart"/>
      <w:r>
        <w:t>Detlev</w:t>
      </w:r>
      <w:proofErr w:type="spellEnd"/>
      <w:r>
        <w:t xml:space="preserve"> Fehling. 1990.  </w:t>
      </w:r>
      <w:r w:rsidR="00F23A6B">
        <w:t>p</w:t>
      </w:r>
      <w:r>
        <w:t>p71-73.</w:t>
      </w:r>
    </w:p>
  </w:footnote>
  <w:footnote w:id="6">
    <w:p w:rsidR="00995E61" w:rsidRDefault="00995E61">
      <w:pPr>
        <w:pStyle w:val="FootnoteText"/>
      </w:pPr>
      <w:r>
        <w:rPr>
          <w:rStyle w:val="FootnoteReference"/>
        </w:rPr>
        <w:footnoteRef/>
      </w:r>
      <w:r>
        <w:t xml:space="preserve"> </w:t>
      </w:r>
      <w:r w:rsidR="005F3257">
        <w:t xml:space="preserve">Emily </w:t>
      </w:r>
      <w:proofErr w:type="spellStart"/>
      <w:r w:rsidR="005F3257">
        <w:t>Baragwanath</w:t>
      </w:r>
      <w:proofErr w:type="spellEnd"/>
      <w:r w:rsidR="005F3257">
        <w:t xml:space="preserve">. 2012. </w:t>
      </w:r>
      <w:r w:rsidR="00F23A6B">
        <w:t>p</w:t>
      </w:r>
      <w:r w:rsidR="005F3257">
        <w:t>p107-109.</w:t>
      </w:r>
    </w:p>
  </w:footnote>
  <w:footnote w:id="7">
    <w:p w:rsidR="00995E61" w:rsidRDefault="00995E61" w:rsidP="00995E61">
      <w:pPr>
        <w:pStyle w:val="FootnoteText"/>
      </w:pPr>
      <w:r>
        <w:rPr>
          <w:rStyle w:val="FootnoteReference"/>
        </w:rPr>
        <w:footnoteRef/>
      </w:r>
      <w:r w:rsidR="00F23A6B">
        <w:t xml:space="preserve"> Stephanie West. 1991. p</w:t>
      </w:r>
      <w:r>
        <w:t>p144-146.</w:t>
      </w:r>
    </w:p>
  </w:footnote>
  <w:footnote w:id="8">
    <w:p w:rsidR="003457AA" w:rsidRDefault="003457AA">
      <w:pPr>
        <w:pStyle w:val="FootnoteText"/>
      </w:pPr>
      <w:r>
        <w:rPr>
          <w:rStyle w:val="FootnoteReference"/>
        </w:rPr>
        <w:footnoteRef/>
      </w:r>
      <w:r>
        <w:t xml:space="preserve"> </w:t>
      </w:r>
      <w:r w:rsidR="00CF13FD">
        <w:t xml:space="preserve">Alexandra </w:t>
      </w:r>
      <w:proofErr w:type="spellStart"/>
      <w:r w:rsidR="00CF13FD">
        <w:t>Villing</w:t>
      </w:r>
      <w:proofErr w:type="spellEnd"/>
      <w:r w:rsidR="00CF13FD">
        <w:t>. 2006. Pp53-69.</w:t>
      </w:r>
    </w:p>
  </w:footnote>
  <w:footnote w:id="9">
    <w:p w:rsidR="00CF13FD" w:rsidRDefault="00CF13FD">
      <w:pPr>
        <w:pStyle w:val="FootnoteText"/>
      </w:pPr>
      <w:r>
        <w:rPr>
          <w:rStyle w:val="FootnoteReference"/>
        </w:rPr>
        <w:footnoteRef/>
      </w:r>
      <w:r>
        <w:t xml:space="preserve"> Alexandra </w:t>
      </w:r>
      <w:proofErr w:type="spellStart"/>
      <w:r>
        <w:t>Villing</w:t>
      </w:r>
      <w:proofErr w:type="spellEnd"/>
      <w:r>
        <w:t>. 2006. Pp.53-69.</w:t>
      </w:r>
    </w:p>
  </w:footnote>
  <w:footnote w:id="10">
    <w:p w:rsidR="00CF13FD" w:rsidRDefault="00CF13FD">
      <w:pPr>
        <w:pStyle w:val="FootnoteText"/>
      </w:pPr>
      <w:r>
        <w:rPr>
          <w:rStyle w:val="FootnoteReference"/>
        </w:rPr>
        <w:footnoteRef/>
      </w:r>
      <w:proofErr w:type="gramStart"/>
      <w:r w:rsidR="00446C79">
        <w:t xml:space="preserve">Alexander </w:t>
      </w:r>
      <w:r>
        <w:t xml:space="preserve"> </w:t>
      </w:r>
      <w:proofErr w:type="spellStart"/>
      <w:r w:rsidR="00446C79">
        <w:t>Belrov</w:t>
      </w:r>
      <w:proofErr w:type="spellEnd"/>
      <w:proofErr w:type="gramEnd"/>
      <w:r w:rsidR="00446C79">
        <w:t xml:space="preserve"> 2013. (</w:t>
      </w:r>
      <w:hyperlink r:id="rId1" w:history="1">
        <w:r w:rsidR="00446C79" w:rsidRPr="00354DD5">
          <w:rPr>
            <w:rStyle w:val="Hyperlink"/>
          </w:rPr>
          <w:t>https://onlinelibrary.wiley.com/doi/full/10.1111/1095-9270.12030 accessed 21/02/2019</w:t>
        </w:r>
      </w:hyperlink>
      <w:r w:rsidR="00446C79">
        <w:t xml:space="preserve"> 20:11)</w:t>
      </w:r>
    </w:p>
  </w:footnote>
  <w:footnote w:id="11">
    <w:p w:rsidR="00D9570A" w:rsidRDefault="00D9570A">
      <w:pPr>
        <w:pStyle w:val="FootnoteText"/>
      </w:pPr>
      <w:r>
        <w:rPr>
          <w:rStyle w:val="FootnoteReference"/>
        </w:rPr>
        <w:footnoteRef/>
      </w:r>
      <w:r>
        <w:t xml:space="preserve"> Robert L. Fowler. 1996. (</w:t>
      </w:r>
      <w:hyperlink r:id="rId2" w:history="1">
        <w:r w:rsidRPr="00354DD5">
          <w:rPr>
            <w:rStyle w:val="Hyperlink"/>
          </w:rPr>
          <w:t>https://www.cambridge.org/core/journals/journal-of-hellenic-studies/article/herodotos-and-his-contemporaries/E20BBBE8828E481FE82D86EB7BC76159 20/02/2019</w:t>
        </w:r>
      </w:hyperlink>
      <w:r>
        <w:t xml:space="preserve"> 20:30)</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2A4A59"/>
    <w:multiLevelType w:val="hybridMultilevel"/>
    <w:tmpl w:val="F6443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D740A2"/>
    <w:multiLevelType w:val="hybridMultilevel"/>
    <w:tmpl w:val="79341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EC732E6"/>
    <w:multiLevelType w:val="hybridMultilevel"/>
    <w:tmpl w:val="AD8C8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85B1AFC"/>
    <w:multiLevelType w:val="hybridMultilevel"/>
    <w:tmpl w:val="CBA8A15C"/>
    <w:lvl w:ilvl="0" w:tplc="D9D2FAB4">
      <w:start w:val="1"/>
      <w:numFmt w:val="bullet"/>
      <w:lvlText w:val="•"/>
      <w:lvlJc w:val="left"/>
      <w:pPr>
        <w:tabs>
          <w:tab w:val="num" w:pos="720"/>
        </w:tabs>
        <w:ind w:left="720" w:hanging="360"/>
      </w:pPr>
      <w:rPr>
        <w:rFonts w:ascii="Arial" w:hAnsi="Arial" w:hint="default"/>
      </w:rPr>
    </w:lvl>
    <w:lvl w:ilvl="1" w:tplc="5552A9EE" w:tentative="1">
      <w:start w:val="1"/>
      <w:numFmt w:val="bullet"/>
      <w:lvlText w:val="•"/>
      <w:lvlJc w:val="left"/>
      <w:pPr>
        <w:tabs>
          <w:tab w:val="num" w:pos="1440"/>
        </w:tabs>
        <w:ind w:left="1440" w:hanging="360"/>
      </w:pPr>
      <w:rPr>
        <w:rFonts w:ascii="Arial" w:hAnsi="Arial" w:hint="default"/>
      </w:rPr>
    </w:lvl>
    <w:lvl w:ilvl="2" w:tplc="BBB83494" w:tentative="1">
      <w:start w:val="1"/>
      <w:numFmt w:val="bullet"/>
      <w:lvlText w:val="•"/>
      <w:lvlJc w:val="left"/>
      <w:pPr>
        <w:tabs>
          <w:tab w:val="num" w:pos="2160"/>
        </w:tabs>
        <w:ind w:left="2160" w:hanging="360"/>
      </w:pPr>
      <w:rPr>
        <w:rFonts w:ascii="Arial" w:hAnsi="Arial" w:hint="default"/>
      </w:rPr>
    </w:lvl>
    <w:lvl w:ilvl="3" w:tplc="6CC40944" w:tentative="1">
      <w:start w:val="1"/>
      <w:numFmt w:val="bullet"/>
      <w:lvlText w:val="•"/>
      <w:lvlJc w:val="left"/>
      <w:pPr>
        <w:tabs>
          <w:tab w:val="num" w:pos="2880"/>
        </w:tabs>
        <w:ind w:left="2880" w:hanging="360"/>
      </w:pPr>
      <w:rPr>
        <w:rFonts w:ascii="Arial" w:hAnsi="Arial" w:hint="default"/>
      </w:rPr>
    </w:lvl>
    <w:lvl w:ilvl="4" w:tplc="ED3E0024" w:tentative="1">
      <w:start w:val="1"/>
      <w:numFmt w:val="bullet"/>
      <w:lvlText w:val="•"/>
      <w:lvlJc w:val="left"/>
      <w:pPr>
        <w:tabs>
          <w:tab w:val="num" w:pos="3600"/>
        </w:tabs>
        <w:ind w:left="3600" w:hanging="360"/>
      </w:pPr>
      <w:rPr>
        <w:rFonts w:ascii="Arial" w:hAnsi="Arial" w:hint="default"/>
      </w:rPr>
    </w:lvl>
    <w:lvl w:ilvl="5" w:tplc="C1242B24" w:tentative="1">
      <w:start w:val="1"/>
      <w:numFmt w:val="bullet"/>
      <w:lvlText w:val="•"/>
      <w:lvlJc w:val="left"/>
      <w:pPr>
        <w:tabs>
          <w:tab w:val="num" w:pos="4320"/>
        </w:tabs>
        <w:ind w:left="4320" w:hanging="360"/>
      </w:pPr>
      <w:rPr>
        <w:rFonts w:ascii="Arial" w:hAnsi="Arial" w:hint="default"/>
      </w:rPr>
    </w:lvl>
    <w:lvl w:ilvl="6" w:tplc="939664FA" w:tentative="1">
      <w:start w:val="1"/>
      <w:numFmt w:val="bullet"/>
      <w:lvlText w:val="•"/>
      <w:lvlJc w:val="left"/>
      <w:pPr>
        <w:tabs>
          <w:tab w:val="num" w:pos="5040"/>
        </w:tabs>
        <w:ind w:left="5040" w:hanging="360"/>
      </w:pPr>
      <w:rPr>
        <w:rFonts w:ascii="Arial" w:hAnsi="Arial" w:hint="default"/>
      </w:rPr>
    </w:lvl>
    <w:lvl w:ilvl="7" w:tplc="6714D688" w:tentative="1">
      <w:start w:val="1"/>
      <w:numFmt w:val="bullet"/>
      <w:lvlText w:val="•"/>
      <w:lvlJc w:val="left"/>
      <w:pPr>
        <w:tabs>
          <w:tab w:val="num" w:pos="5760"/>
        </w:tabs>
        <w:ind w:left="5760" w:hanging="360"/>
      </w:pPr>
      <w:rPr>
        <w:rFonts w:ascii="Arial" w:hAnsi="Arial" w:hint="default"/>
      </w:rPr>
    </w:lvl>
    <w:lvl w:ilvl="8" w:tplc="DE06292E"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06F9"/>
    <w:rsid w:val="00091BCD"/>
    <w:rsid w:val="00092CC2"/>
    <w:rsid w:val="000E4113"/>
    <w:rsid w:val="000F6860"/>
    <w:rsid w:val="001B50CF"/>
    <w:rsid w:val="00201DB3"/>
    <w:rsid w:val="00215A9C"/>
    <w:rsid w:val="00226E7C"/>
    <w:rsid w:val="0023552E"/>
    <w:rsid w:val="0027512D"/>
    <w:rsid w:val="00275EE1"/>
    <w:rsid w:val="00292861"/>
    <w:rsid w:val="002E5965"/>
    <w:rsid w:val="00300F92"/>
    <w:rsid w:val="0031284B"/>
    <w:rsid w:val="003457AA"/>
    <w:rsid w:val="003518E3"/>
    <w:rsid w:val="00380364"/>
    <w:rsid w:val="003C47B0"/>
    <w:rsid w:val="00446C79"/>
    <w:rsid w:val="004773DB"/>
    <w:rsid w:val="00486167"/>
    <w:rsid w:val="004F263C"/>
    <w:rsid w:val="00524E72"/>
    <w:rsid w:val="00533B30"/>
    <w:rsid w:val="00547A4E"/>
    <w:rsid w:val="00576C0B"/>
    <w:rsid w:val="00591AAD"/>
    <w:rsid w:val="005F3257"/>
    <w:rsid w:val="00683E8B"/>
    <w:rsid w:val="0069671B"/>
    <w:rsid w:val="006B3E69"/>
    <w:rsid w:val="007B0CBE"/>
    <w:rsid w:val="007C500C"/>
    <w:rsid w:val="00804276"/>
    <w:rsid w:val="0081079D"/>
    <w:rsid w:val="00995E61"/>
    <w:rsid w:val="009A635C"/>
    <w:rsid w:val="009F25CE"/>
    <w:rsid w:val="00A13EF8"/>
    <w:rsid w:val="00A81D05"/>
    <w:rsid w:val="00AE3C22"/>
    <w:rsid w:val="00B63C5B"/>
    <w:rsid w:val="00BE77F0"/>
    <w:rsid w:val="00BF08DF"/>
    <w:rsid w:val="00C029D8"/>
    <w:rsid w:val="00C0698E"/>
    <w:rsid w:val="00C1769B"/>
    <w:rsid w:val="00C9206D"/>
    <w:rsid w:val="00CA47A4"/>
    <w:rsid w:val="00CF13FD"/>
    <w:rsid w:val="00CF7B0C"/>
    <w:rsid w:val="00D218E9"/>
    <w:rsid w:val="00D2620C"/>
    <w:rsid w:val="00D3377C"/>
    <w:rsid w:val="00D445F1"/>
    <w:rsid w:val="00D94B7F"/>
    <w:rsid w:val="00D9570A"/>
    <w:rsid w:val="00E0113F"/>
    <w:rsid w:val="00E21456"/>
    <w:rsid w:val="00EC49AF"/>
    <w:rsid w:val="00F23A6B"/>
    <w:rsid w:val="00F24151"/>
    <w:rsid w:val="00F44BED"/>
    <w:rsid w:val="00FE06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2274BB"/>
  <w15:chartTrackingRefBased/>
  <w15:docId w15:val="{0B7B801F-A949-4CB1-BAD9-D0C57E3410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italic">
    <w:name w:val="italic"/>
    <w:basedOn w:val="DefaultParagraphFont"/>
    <w:rsid w:val="00FE06F9"/>
  </w:style>
  <w:style w:type="paragraph" w:styleId="ListParagraph">
    <w:name w:val="List Paragraph"/>
    <w:basedOn w:val="Normal"/>
    <w:uiPriority w:val="34"/>
    <w:qFormat/>
    <w:rsid w:val="0031284B"/>
    <w:pPr>
      <w:ind w:left="720"/>
      <w:contextualSpacing/>
    </w:pPr>
  </w:style>
  <w:style w:type="character" w:customStyle="1" w:styleId="t">
    <w:name w:val="t"/>
    <w:basedOn w:val="DefaultParagraphFont"/>
    <w:rsid w:val="00A81D05"/>
  </w:style>
  <w:style w:type="paragraph" w:styleId="FootnoteText">
    <w:name w:val="footnote text"/>
    <w:basedOn w:val="Normal"/>
    <w:link w:val="FootnoteTextChar"/>
    <w:uiPriority w:val="99"/>
    <w:semiHidden/>
    <w:unhideWhenUsed/>
    <w:rsid w:val="00215A9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15A9C"/>
    <w:rPr>
      <w:sz w:val="20"/>
      <w:szCs w:val="20"/>
    </w:rPr>
  </w:style>
  <w:style w:type="character" w:styleId="FootnoteReference">
    <w:name w:val="footnote reference"/>
    <w:basedOn w:val="DefaultParagraphFont"/>
    <w:uiPriority w:val="99"/>
    <w:semiHidden/>
    <w:unhideWhenUsed/>
    <w:rsid w:val="00215A9C"/>
    <w:rPr>
      <w:vertAlign w:val="superscript"/>
    </w:rPr>
  </w:style>
  <w:style w:type="character" w:styleId="Hyperlink">
    <w:name w:val="Hyperlink"/>
    <w:basedOn w:val="DefaultParagraphFont"/>
    <w:uiPriority w:val="99"/>
    <w:unhideWhenUsed/>
    <w:rsid w:val="00446C7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72205179">
      <w:bodyDiv w:val="1"/>
      <w:marLeft w:val="0"/>
      <w:marRight w:val="0"/>
      <w:marTop w:val="0"/>
      <w:marBottom w:val="0"/>
      <w:divBdr>
        <w:top w:val="none" w:sz="0" w:space="0" w:color="auto"/>
        <w:left w:val="none" w:sz="0" w:space="0" w:color="auto"/>
        <w:bottom w:val="none" w:sz="0" w:space="0" w:color="auto"/>
        <w:right w:val="none" w:sz="0" w:space="0" w:color="auto"/>
      </w:divBdr>
      <w:divsChild>
        <w:div w:id="886143323">
          <w:marLeft w:val="360"/>
          <w:marRight w:val="0"/>
          <w:marTop w:val="0"/>
          <w:marBottom w:val="0"/>
          <w:divBdr>
            <w:top w:val="none" w:sz="0" w:space="0" w:color="auto"/>
            <w:left w:val="none" w:sz="0" w:space="0" w:color="auto"/>
            <w:bottom w:val="none" w:sz="0" w:space="0" w:color="auto"/>
            <w:right w:val="none" w:sz="0" w:space="0" w:color="auto"/>
          </w:divBdr>
        </w:div>
      </w:divsChild>
    </w:div>
    <w:div w:id="14257613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library.wiley.com/doi/full/10.1111/1095-9270.12030%20accessed%2021/02/2019"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cambridge.org/core/journals/journal-of-hellenic-studies/article/herodotos-and-his-contemporaries/E20BBBE8828E481FE82D86EB7BC76159%2020/02/2019"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s://www.cambridge.org/core/journals/journal-of-hellenic-studies/article/herodotos-and-his-contemporaries/E20BBBE8828E481FE82D86EB7BC76159%2020/02/2019" TargetMode="External"/><Relationship Id="rId1" Type="http://schemas.openxmlformats.org/officeDocument/2006/relationships/hyperlink" Target="https://onlinelibrary.wiley.com/doi/full/10.1111/1095-9270.12030%20accessed%2021/02/20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7C20E8-3372-49B6-B33C-0F42E74D07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2</Pages>
  <Words>898</Words>
  <Characters>5125</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Kerslake (1501314)</dc:creator>
  <cp:keywords/>
  <dc:description/>
  <cp:lastModifiedBy>Charlotte Kerslake (1501314)</cp:lastModifiedBy>
  <cp:revision>26</cp:revision>
  <dcterms:created xsi:type="dcterms:W3CDTF">2019-02-22T22:37:00Z</dcterms:created>
  <dcterms:modified xsi:type="dcterms:W3CDTF">2019-02-22T23:48:00Z</dcterms:modified>
</cp:coreProperties>
</file>