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8B6C9" w14:textId="724008C9" w:rsidR="00501C21" w:rsidRPr="00711DB0" w:rsidRDefault="00501C21" w:rsidP="00501C21">
      <w:pPr>
        <w:rPr>
          <w:lang w:val="en-US"/>
        </w:rPr>
      </w:pPr>
      <w:r>
        <w:rPr>
          <w:noProof/>
        </w:rPr>
        <w:drawing>
          <wp:anchor distT="0" distB="0" distL="114300" distR="114300" simplePos="0" relativeHeight="251658240" behindDoc="0" locked="0" layoutInCell="1" allowOverlap="1" wp14:anchorId="5404996C" wp14:editId="3A4E2DDA">
            <wp:simplePos x="0" y="0"/>
            <wp:positionH relativeFrom="margin">
              <wp:posOffset>1463040</wp:posOffset>
            </wp:positionH>
            <wp:positionV relativeFrom="paragraph">
              <wp:posOffset>13335</wp:posOffset>
            </wp:positionV>
            <wp:extent cx="2724150" cy="110992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422" cy="1117776"/>
                    </a:xfrm>
                    <a:prstGeom prst="rect">
                      <a:avLst/>
                    </a:prstGeom>
                    <a:noFill/>
                  </pic:spPr>
                </pic:pic>
              </a:graphicData>
            </a:graphic>
            <wp14:sizeRelH relativeFrom="margin">
              <wp14:pctWidth>0</wp14:pctWidth>
            </wp14:sizeRelH>
            <wp14:sizeRelV relativeFrom="margin">
              <wp14:pctHeight>0</wp14:pctHeight>
            </wp14:sizeRelV>
          </wp:anchor>
        </w:drawing>
      </w:r>
      <w:r w:rsidRPr="00501C21">
        <w:rPr>
          <w:rFonts w:ascii="Calibri" w:eastAsia="Calibri" w:hAnsi="Calibri" w:cs="Calibri"/>
          <w:lang w:val="en-US"/>
        </w:rPr>
        <w:t xml:space="preserve"> </w:t>
      </w:r>
    </w:p>
    <w:p w14:paraId="6AC909AB" w14:textId="766A976C" w:rsidR="00501C21" w:rsidRPr="00501C21" w:rsidRDefault="00501C21" w:rsidP="00501C21">
      <w:pPr>
        <w:spacing w:after="158"/>
        <w:ind w:left="49"/>
        <w:jc w:val="center"/>
        <w:rPr>
          <w:lang w:val="en-US"/>
        </w:rPr>
      </w:pPr>
      <w:r w:rsidRPr="00501C21">
        <w:rPr>
          <w:rFonts w:ascii="Calibri" w:eastAsia="Calibri" w:hAnsi="Calibri" w:cs="Calibri"/>
          <w:lang w:val="en-US"/>
        </w:rPr>
        <w:t xml:space="preserve"> </w:t>
      </w:r>
    </w:p>
    <w:p w14:paraId="3D84DE5B" w14:textId="77777777" w:rsidR="00501C21" w:rsidRPr="00501C21" w:rsidRDefault="00501C21" w:rsidP="00501C21">
      <w:pPr>
        <w:ind w:left="49"/>
        <w:jc w:val="center"/>
        <w:rPr>
          <w:lang w:val="en-US"/>
        </w:rPr>
      </w:pPr>
      <w:r w:rsidRPr="00501C21">
        <w:rPr>
          <w:rFonts w:ascii="Calibri" w:eastAsia="Calibri" w:hAnsi="Calibri" w:cs="Calibri"/>
          <w:lang w:val="en-US"/>
        </w:rPr>
        <w:t xml:space="preserve"> </w:t>
      </w:r>
    </w:p>
    <w:p w14:paraId="2D531F01" w14:textId="77777777" w:rsidR="00501C21" w:rsidRPr="00501C21" w:rsidRDefault="00501C21" w:rsidP="00501C21">
      <w:pPr>
        <w:spacing w:after="287"/>
        <w:ind w:left="49"/>
        <w:jc w:val="center"/>
        <w:rPr>
          <w:lang w:val="en-US"/>
        </w:rPr>
      </w:pPr>
      <w:r w:rsidRPr="00501C21">
        <w:rPr>
          <w:rFonts w:ascii="Calibri" w:eastAsia="Calibri" w:hAnsi="Calibri" w:cs="Calibri"/>
          <w:lang w:val="en-US"/>
        </w:rPr>
        <w:t xml:space="preserve"> </w:t>
      </w:r>
    </w:p>
    <w:p w14:paraId="68D929F3" w14:textId="3F6C8825" w:rsidR="00501C21" w:rsidRPr="00501C21" w:rsidRDefault="00501C21" w:rsidP="00501C21">
      <w:pPr>
        <w:spacing w:after="157"/>
        <w:ind w:left="89"/>
        <w:jc w:val="center"/>
        <w:rPr>
          <w:rFonts w:asciiTheme="minorBidi" w:hAnsiTheme="minorBidi"/>
          <w:lang w:val="en-US"/>
        </w:rPr>
      </w:pPr>
      <w:r w:rsidRPr="00501C21">
        <w:rPr>
          <w:rFonts w:asciiTheme="minorBidi" w:hAnsiTheme="minorBidi"/>
          <w:sz w:val="36"/>
          <w:lang w:val="en-US"/>
        </w:rPr>
        <w:t xml:space="preserve"> [</w:t>
      </w:r>
      <w:r w:rsidR="00437257" w:rsidRPr="00437257">
        <w:rPr>
          <w:rFonts w:ascii="Arial" w:hAnsi="Arial" w:cs="Arial"/>
          <w:b/>
          <w:bCs/>
          <w:sz w:val="36"/>
          <w:lang w:val="en-US"/>
        </w:rPr>
        <w:t>Barriers and Enablers to Accessing Child and Adolescent Mental Health Services (CAMHS) in the United Kingdom: A Systematic Review of Qualitative Research</w:t>
      </w:r>
      <w:r w:rsidRPr="00501C21">
        <w:rPr>
          <w:rFonts w:asciiTheme="minorBidi" w:hAnsiTheme="minorBidi"/>
          <w:sz w:val="36"/>
          <w:lang w:val="en-US"/>
        </w:rPr>
        <w:t>]</w:t>
      </w:r>
    </w:p>
    <w:p w14:paraId="6E2B3F25" w14:textId="77777777" w:rsidR="00501C21" w:rsidRPr="00501C21" w:rsidRDefault="00501C21" w:rsidP="00501C21">
      <w:pPr>
        <w:spacing w:after="42"/>
        <w:ind w:left="89"/>
        <w:jc w:val="center"/>
        <w:rPr>
          <w:lang w:val="en-US"/>
        </w:rPr>
      </w:pPr>
      <w:r w:rsidRPr="00501C21">
        <w:rPr>
          <w:sz w:val="36"/>
          <w:lang w:val="en-US"/>
        </w:rPr>
        <w:t xml:space="preserve"> </w:t>
      </w:r>
    </w:p>
    <w:p w14:paraId="0C224F8D" w14:textId="77777777" w:rsidR="00501C21" w:rsidRPr="00B56FD2" w:rsidRDefault="00501C21" w:rsidP="00501C21">
      <w:pPr>
        <w:spacing w:after="157"/>
        <w:ind w:left="2367" w:right="2358"/>
        <w:jc w:val="center"/>
        <w:rPr>
          <w:rFonts w:ascii="Arial" w:hAnsi="Arial" w:cs="Arial"/>
          <w:sz w:val="28"/>
          <w:szCs w:val="28"/>
          <w:lang w:val="en-US"/>
        </w:rPr>
      </w:pPr>
      <w:r w:rsidRPr="00B56FD2">
        <w:rPr>
          <w:rFonts w:ascii="Arial" w:hAnsi="Arial" w:cs="Arial"/>
          <w:sz w:val="28"/>
          <w:szCs w:val="28"/>
          <w:lang w:val="en-US"/>
        </w:rPr>
        <w:t xml:space="preserve">by </w:t>
      </w:r>
    </w:p>
    <w:p w14:paraId="1B529749" w14:textId="77777777" w:rsidR="00501C21" w:rsidRPr="00B56FD2" w:rsidRDefault="00501C21" w:rsidP="00501C21">
      <w:pPr>
        <w:spacing w:after="158"/>
        <w:ind w:left="59"/>
        <w:jc w:val="center"/>
        <w:rPr>
          <w:rFonts w:ascii="Arial" w:hAnsi="Arial" w:cs="Arial"/>
          <w:sz w:val="28"/>
          <w:szCs w:val="28"/>
          <w:lang w:val="en-US"/>
        </w:rPr>
      </w:pPr>
      <w:r w:rsidRPr="00B56FD2">
        <w:rPr>
          <w:rFonts w:ascii="Arial" w:hAnsi="Arial" w:cs="Arial"/>
          <w:sz w:val="28"/>
          <w:szCs w:val="28"/>
          <w:lang w:val="en-US"/>
        </w:rPr>
        <w:t xml:space="preserve"> </w:t>
      </w:r>
    </w:p>
    <w:p w14:paraId="4A8294CD" w14:textId="3ACB6376" w:rsidR="00501C21" w:rsidRPr="00437257" w:rsidRDefault="00501C21" w:rsidP="00501C21">
      <w:pPr>
        <w:spacing w:after="157"/>
        <w:ind w:left="2367" w:right="2359"/>
        <w:jc w:val="center"/>
        <w:rPr>
          <w:rFonts w:ascii="Arial" w:hAnsi="Arial" w:cs="Arial"/>
          <w:sz w:val="32"/>
          <w:szCs w:val="32"/>
          <w:lang w:val="en-US"/>
        </w:rPr>
      </w:pPr>
      <w:r w:rsidRPr="00437257">
        <w:rPr>
          <w:rFonts w:ascii="Arial" w:hAnsi="Arial" w:cs="Arial"/>
          <w:sz w:val="32"/>
          <w:szCs w:val="32"/>
          <w:lang w:val="en-US"/>
        </w:rPr>
        <w:t>Adela Slivciuc</w:t>
      </w:r>
    </w:p>
    <w:p w14:paraId="0E9348AE" w14:textId="77777777" w:rsidR="00501C21" w:rsidRPr="00B56FD2" w:rsidRDefault="00501C21" w:rsidP="00501C21">
      <w:pPr>
        <w:spacing w:after="158"/>
        <w:ind w:left="59"/>
        <w:jc w:val="center"/>
        <w:rPr>
          <w:rFonts w:ascii="Arial" w:hAnsi="Arial" w:cs="Arial"/>
          <w:sz w:val="28"/>
          <w:szCs w:val="28"/>
          <w:lang w:val="en-US"/>
        </w:rPr>
      </w:pPr>
      <w:r w:rsidRPr="00B56FD2">
        <w:rPr>
          <w:rFonts w:ascii="Arial" w:hAnsi="Arial" w:cs="Arial"/>
          <w:sz w:val="28"/>
          <w:szCs w:val="28"/>
          <w:lang w:val="en-US"/>
        </w:rPr>
        <w:t xml:space="preserve"> </w:t>
      </w:r>
    </w:p>
    <w:p w14:paraId="4357E446" w14:textId="77777777" w:rsidR="00501C21" w:rsidRPr="00B56FD2" w:rsidRDefault="00501C21" w:rsidP="00501C21">
      <w:pPr>
        <w:spacing w:after="156"/>
        <w:ind w:left="59"/>
        <w:jc w:val="center"/>
        <w:rPr>
          <w:rFonts w:ascii="Arial" w:hAnsi="Arial" w:cs="Arial"/>
          <w:sz w:val="28"/>
          <w:szCs w:val="28"/>
          <w:lang w:val="en-US"/>
        </w:rPr>
      </w:pPr>
      <w:r w:rsidRPr="00B56FD2">
        <w:rPr>
          <w:rFonts w:ascii="Arial" w:hAnsi="Arial" w:cs="Arial"/>
          <w:sz w:val="28"/>
          <w:szCs w:val="28"/>
          <w:lang w:val="en-US"/>
        </w:rPr>
        <w:t xml:space="preserve"> </w:t>
      </w:r>
    </w:p>
    <w:p w14:paraId="1DDD1997" w14:textId="77777777" w:rsidR="00501C21" w:rsidRPr="00B56FD2" w:rsidRDefault="00501C21" w:rsidP="00501C21">
      <w:pPr>
        <w:spacing w:after="158"/>
        <w:ind w:left="59"/>
        <w:jc w:val="center"/>
        <w:rPr>
          <w:rFonts w:ascii="Arial" w:hAnsi="Arial" w:cs="Arial"/>
          <w:sz w:val="28"/>
          <w:szCs w:val="28"/>
          <w:lang w:val="en-US"/>
        </w:rPr>
      </w:pPr>
      <w:r w:rsidRPr="00B56FD2">
        <w:rPr>
          <w:rFonts w:ascii="Arial" w:hAnsi="Arial" w:cs="Arial"/>
          <w:sz w:val="28"/>
          <w:szCs w:val="28"/>
          <w:lang w:val="en-US"/>
        </w:rPr>
        <w:t xml:space="preserve"> </w:t>
      </w:r>
    </w:p>
    <w:p w14:paraId="462B6642" w14:textId="77777777" w:rsidR="00501C21" w:rsidRPr="00B56FD2" w:rsidRDefault="00501C21" w:rsidP="00501C21">
      <w:pPr>
        <w:spacing w:after="158"/>
        <w:ind w:left="59"/>
        <w:jc w:val="center"/>
        <w:rPr>
          <w:rFonts w:ascii="Arial" w:hAnsi="Arial" w:cs="Arial"/>
          <w:sz w:val="28"/>
          <w:szCs w:val="28"/>
          <w:lang w:val="en-US"/>
        </w:rPr>
      </w:pPr>
      <w:r w:rsidRPr="00B56FD2">
        <w:rPr>
          <w:rFonts w:ascii="Arial" w:hAnsi="Arial" w:cs="Arial"/>
          <w:sz w:val="28"/>
          <w:szCs w:val="28"/>
          <w:lang w:val="en-US"/>
        </w:rPr>
        <w:t xml:space="preserve"> </w:t>
      </w:r>
    </w:p>
    <w:p w14:paraId="10D20C19" w14:textId="71B6B3E9" w:rsidR="00501C21" w:rsidRPr="00437257" w:rsidRDefault="00501C21" w:rsidP="00437257">
      <w:pPr>
        <w:spacing w:after="158"/>
        <w:ind w:left="59"/>
        <w:jc w:val="center"/>
        <w:rPr>
          <w:rFonts w:ascii="Arial" w:hAnsi="Arial" w:cs="Arial"/>
          <w:sz w:val="28"/>
          <w:szCs w:val="28"/>
          <w:lang w:val="en-US"/>
        </w:rPr>
      </w:pPr>
      <w:r w:rsidRPr="00B56FD2">
        <w:rPr>
          <w:rFonts w:ascii="Arial" w:hAnsi="Arial" w:cs="Arial"/>
          <w:sz w:val="28"/>
          <w:szCs w:val="28"/>
          <w:lang w:val="en-US"/>
        </w:rPr>
        <w:t xml:space="preserve"> </w:t>
      </w:r>
      <w:r w:rsidRPr="00437257">
        <w:rPr>
          <w:rFonts w:ascii="Arial" w:hAnsi="Arial" w:cs="Arial"/>
          <w:b/>
          <w:bCs/>
          <w:sz w:val="32"/>
          <w:szCs w:val="32"/>
          <w:lang w:val="en-US"/>
        </w:rPr>
        <w:t>A Dissertation submitted in partial fulfilment of the requirements for the degree of Master of Science in Public Health and Social Care in Practice</w:t>
      </w:r>
    </w:p>
    <w:p w14:paraId="6526D9F2" w14:textId="77777777" w:rsidR="00501C21" w:rsidRPr="00B56FD2" w:rsidRDefault="00501C21" w:rsidP="00501C21">
      <w:pPr>
        <w:spacing w:after="156"/>
        <w:ind w:left="59"/>
        <w:rPr>
          <w:rFonts w:ascii="Arial" w:hAnsi="Arial" w:cs="Arial"/>
          <w:sz w:val="28"/>
          <w:szCs w:val="28"/>
          <w:lang w:val="en-US"/>
        </w:rPr>
      </w:pPr>
    </w:p>
    <w:p w14:paraId="1E8401F7" w14:textId="77777777" w:rsidR="00501C21" w:rsidRPr="00B56FD2" w:rsidRDefault="00501C21" w:rsidP="00501C21">
      <w:pPr>
        <w:spacing w:after="169"/>
        <w:jc w:val="center"/>
        <w:rPr>
          <w:rFonts w:ascii="Arial" w:hAnsi="Arial" w:cs="Arial"/>
          <w:b/>
          <w:bCs/>
          <w:sz w:val="28"/>
          <w:szCs w:val="28"/>
          <w:lang w:val="en-US"/>
        </w:rPr>
      </w:pPr>
    </w:p>
    <w:p w14:paraId="494C2D88" w14:textId="77777777" w:rsidR="00501C21" w:rsidRPr="00B56FD2" w:rsidRDefault="00501C21" w:rsidP="00501C21">
      <w:pPr>
        <w:spacing w:after="169"/>
        <w:jc w:val="center"/>
        <w:rPr>
          <w:rFonts w:ascii="Arial" w:hAnsi="Arial" w:cs="Arial"/>
          <w:b/>
          <w:bCs/>
          <w:sz w:val="28"/>
          <w:szCs w:val="28"/>
          <w:lang w:val="en-US"/>
        </w:rPr>
      </w:pPr>
    </w:p>
    <w:p w14:paraId="0A7B9B38" w14:textId="77777777" w:rsidR="00501C21" w:rsidRPr="00B56FD2" w:rsidRDefault="00501C21" w:rsidP="00501C21">
      <w:pPr>
        <w:spacing w:after="169"/>
        <w:jc w:val="center"/>
        <w:rPr>
          <w:rFonts w:ascii="Arial" w:hAnsi="Arial" w:cs="Arial"/>
          <w:b/>
          <w:bCs/>
          <w:sz w:val="28"/>
          <w:szCs w:val="28"/>
          <w:lang w:val="en-US"/>
        </w:rPr>
      </w:pPr>
      <w:r w:rsidRPr="00B56FD2">
        <w:rPr>
          <w:rFonts w:ascii="Arial" w:hAnsi="Arial" w:cs="Arial"/>
          <w:b/>
          <w:bCs/>
          <w:sz w:val="28"/>
          <w:szCs w:val="28"/>
          <w:lang w:val="en-US"/>
        </w:rPr>
        <w:t>The Institute of Inner-City Learning</w:t>
      </w:r>
    </w:p>
    <w:p w14:paraId="42FE5A88" w14:textId="77777777" w:rsidR="00501C21" w:rsidRPr="00B56FD2" w:rsidRDefault="00501C21" w:rsidP="00501C21">
      <w:pPr>
        <w:spacing w:after="169"/>
        <w:jc w:val="center"/>
        <w:rPr>
          <w:rFonts w:ascii="Arial" w:hAnsi="Arial" w:cs="Arial"/>
          <w:b/>
          <w:bCs/>
          <w:sz w:val="28"/>
          <w:szCs w:val="28"/>
          <w:lang w:val="en-US"/>
        </w:rPr>
      </w:pPr>
      <w:r w:rsidRPr="00B56FD2">
        <w:rPr>
          <w:rFonts w:ascii="Arial" w:hAnsi="Arial" w:cs="Arial"/>
          <w:b/>
          <w:bCs/>
          <w:sz w:val="28"/>
          <w:szCs w:val="28"/>
          <w:lang w:val="en-US"/>
        </w:rPr>
        <w:t>University of Wales Trinity Saint David – London Campus</w:t>
      </w:r>
    </w:p>
    <w:p w14:paraId="32E3ED2C" w14:textId="77777777" w:rsidR="00501C21" w:rsidRPr="00B56FD2" w:rsidRDefault="00501C21" w:rsidP="00501C21">
      <w:pPr>
        <w:spacing w:after="157"/>
        <w:ind w:left="2367" w:right="2357"/>
        <w:jc w:val="center"/>
        <w:rPr>
          <w:rFonts w:ascii="Arial" w:hAnsi="Arial" w:cs="Arial"/>
          <w:b/>
          <w:bCs/>
          <w:sz w:val="28"/>
          <w:szCs w:val="28"/>
          <w:lang w:val="en-US"/>
        </w:rPr>
      </w:pPr>
    </w:p>
    <w:p w14:paraId="6D0E7BAF" w14:textId="77777777" w:rsidR="00501C21" w:rsidRPr="00B56FD2" w:rsidRDefault="00501C21" w:rsidP="00501C21">
      <w:pPr>
        <w:spacing w:after="157"/>
        <w:ind w:left="2367" w:right="2357"/>
        <w:jc w:val="center"/>
        <w:rPr>
          <w:rFonts w:ascii="Arial" w:hAnsi="Arial" w:cs="Arial"/>
          <w:b/>
          <w:bCs/>
          <w:sz w:val="28"/>
          <w:szCs w:val="28"/>
          <w:lang w:val="en-US"/>
        </w:rPr>
      </w:pPr>
    </w:p>
    <w:p w14:paraId="5FABEC72" w14:textId="764D3B89" w:rsidR="00501C21" w:rsidRPr="00B56FD2" w:rsidRDefault="00501C21" w:rsidP="00501C21">
      <w:pPr>
        <w:spacing w:after="157"/>
        <w:ind w:left="2367" w:right="2357"/>
        <w:jc w:val="center"/>
        <w:rPr>
          <w:rFonts w:ascii="Arial" w:hAnsi="Arial" w:cs="Arial"/>
          <w:b/>
          <w:bCs/>
          <w:sz w:val="28"/>
          <w:szCs w:val="28"/>
          <w:lang w:val="en-US"/>
        </w:rPr>
      </w:pPr>
      <w:r w:rsidRPr="00B56FD2">
        <w:rPr>
          <w:rFonts w:ascii="Arial" w:hAnsi="Arial" w:cs="Arial"/>
          <w:b/>
          <w:bCs/>
          <w:sz w:val="28"/>
          <w:szCs w:val="28"/>
          <w:lang w:val="en-US"/>
        </w:rPr>
        <w:t>[</w:t>
      </w:r>
      <w:r w:rsidR="00B56FD2" w:rsidRPr="00B56FD2">
        <w:rPr>
          <w:rFonts w:ascii="Arial" w:hAnsi="Arial" w:cs="Arial"/>
          <w:b/>
          <w:bCs/>
          <w:sz w:val="28"/>
          <w:szCs w:val="28"/>
          <w:lang w:val="en-US"/>
        </w:rPr>
        <w:t>September 2026</w:t>
      </w:r>
      <w:r w:rsidRPr="00B56FD2">
        <w:rPr>
          <w:rFonts w:ascii="Arial" w:hAnsi="Arial" w:cs="Arial"/>
          <w:b/>
          <w:bCs/>
          <w:sz w:val="28"/>
          <w:szCs w:val="28"/>
          <w:lang w:val="en-US"/>
        </w:rPr>
        <w:t xml:space="preserve">] </w:t>
      </w:r>
    </w:p>
    <w:p w14:paraId="619AC5A0" w14:textId="77777777" w:rsidR="00501C21" w:rsidRPr="00501C21" w:rsidRDefault="00501C21" w:rsidP="00501C21">
      <w:pPr>
        <w:rPr>
          <w:b/>
          <w:bCs/>
          <w:lang w:val="en-US"/>
        </w:rPr>
      </w:pPr>
      <w:r w:rsidRPr="00501C21">
        <w:rPr>
          <w:b/>
          <w:bCs/>
          <w:lang w:val="en-US"/>
        </w:rPr>
        <w:br w:type="page"/>
      </w:r>
    </w:p>
    <w:p w14:paraId="1AF9516E" w14:textId="77777777" w:rsidR="00501C21" w:rsidRPr="00C4204A" w:rsidRDefault="00501C21" w:rsidP="00501C21">
      <w:pPr>
        <w:spacing w:after="200" w:line="276" w:lineRule="auto"/>
        <w:rPr>
          <w:rFonts w:ascii="Arial" w:eastAsia="Times New Roman" w:hAnsi="Arial" w:cs="Arial"/>
          <w:b/>
          <w:bCs/>
          <w:color w:val="000000" w:themeColor="text1"/>
          <w:lang w:val="hr-HR"/>
        </w:rPr>
      </w:pPr>
      <w:r w:rsidRPr="00C4204A">
        <w:rPr>
          <w:rFonts w:ascii="Arial" w:eastAsia="Times New Roman" w:hAnsi="Arial" w:cs="Arial"/>
          <w:b/>
          <w:bCs/>
          <w:color w:val="000000" w:themeColor="text1"/>
          <w:lang w:val="hr-HR"/>
        </w:rPr>
        <w:lastRenderedPageBreak/>
        <w:t>DECLARATION</w:t>
      </w:r>
    </w:p>
    <w:p w14:paraId="69B5B9A8" w14:textId="77777777" w:rsidR="00501C21" w:rsidRPr="00946751" w:rsidRDefault="00501C21" w:rsidP="00501C21">
      <w:pPr>
        <w:spacing w:after="200" w:line="276" w:lineRule="auto"/>
        <w:rPr>
          <w:rFonts w:ascii="Arial" w:eastAsia="Times New Roman" w:hAnsi="Arial" w:cs="Arial"/>
          <w:color w:val="000000" w:themeColor="text1"/>
          <w:lang w:val="hr-HR"/>
        </w:rPr>
      </w:pPr>
    </w:p>
    <w:p w14:paraId="7BA053EB" w14:textId="023EFDE5" w:rsidR="00501C21" w:rsidRPr="00946751" w:rsidRDefault="00501C21" w:rsidP="00501C21">
      <w:pPr>
        <w:spacing w:after="200" w:line="276" w:lineRule="auto"/>
        <w:rPr>
          <w:rFonts w:ascii="Arial" w:eastAsia="Times New Roman" w:hAnsi="Arial" w:cs="Arial"/>
          <w:color w:val="000000" w:themeColor="text1"/>
          <w:lang w:val="hr-HR"/>
        </w:rPr>
      </w:pPr>
      <w:r>
        <w:rPr>
          <w:noProof/>
        </w:rPr>
        <mc:AlternateContent>
          <mc:Choice Requires="wpi">
            <w:drawing>
              <wp:anchor distT="0" distB="0" distL="114300" distR="114300" simplePos="0" relativeHeight="251660288" behindDoc="0" locked="0" layoutInCell="1" allowOverlap="1" wp14:anchorId="22348FE8" wp14:editId="55818761">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6135FC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HVtE+fkAAAADQEAAA8AAABkcnMvZG93bnJldi54&#10;bWxMj8tOwzAQRfdI/IM1SGxQ6jygCiFOVSEBEhVIfWy6c2OTBOxxFLtN4OuZrmA3j6M7Z8rFZA07&#10;6cF3DgUksxiYxtqpDhsBu+1TlAPzQaKSxqEW8K09LKrLi1IWyo241qdNaBiFoC+kgDaEvuDc1622&#10;0s9cr5F2H26wMlA7NFwNcqRwa3gax3NuZYd0oZW9fmx1/bU5WgFmeL5J3t7HF/XZ/GyzdNwvX1d7&#10;Ia6vpuUDsKCn8AfDWZ/UoSKngzui8swIiLI0T4k9V3e3wAiJkjyj0YHg+H4OvCr5/y+qX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">
                <v:imagedata r:id="rId10" o:title=""/>
                <o:lock v:ext="edit" rotation="t" verticies="t" shapetype="t"/>
              </v:shape>
            </w:pict>
          </mc:Fallback>
        </mc:AlternateContent>
      </w:r>
      <w:r>
        <w:rPr>
          <w:noProof/>
        </w:rPr>
        <mc:AlternateContent>
          <mc:Choice Requires="wpi">
            <w:drawing>
              <wp:anchor distT="0" distB="0" distL="114300" distR="114300" simplePos="0" relativeHeight="251661312" behindDoc="0" locked="0" layoutInCell="1" allowOverlap="1" wp14:anchorId="653374BE" wp14:editId="02129B6E">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06C9E559" id="Ink 15" o:spid="_x0000_s1026" type="#_x0000_t75" style="position:absolute;margin-left:-164.1pt;margin-top:18.35pt;width:72.5pt;height: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">
                <v:imagedata r:id="rId12" o:title=""/>
                <o:lock v:ext="edit" rotation="t" verticies="t" shapetype="t"/>
              </v:shape>
            </w:pict>
          </mc:Fallback>
        </mc:AlternateContent>
      </w:r>
      <w:r>
        <w:rPr>
          <w:noProof/>
        </w:rPr>
        <mc:AlternateContent>
          <mc:Choice Requires="wpi">
            <w:drawing>
              <wp:anchor distT="0" distB="0" distL="114300" distR="114300" simplePos="0" relativeHeight="251662336" behindDoc="0" locked="0" layoutInCell="1" allowOverlap="1" wp14:anchorId="1EE18ED9" wp14:editId="4E31E40A">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E6F00E1" id="Ink 14" o:spid="_x0000_s1026" type="#_x0000_t75" style="position:absolute;margin-left:-164.1pt;margin-top:-16.9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NEN7JzjAAAADQEAAA8AAABkcnMvZG93bnJldi54&#10;bWxMj09Lw0AQxe+C32EZwYukm92AhJhNKYIKikJbL71ts2uSdv+E3W0T/fROT3qbmffjzXv1craG&#10;nHWIg3cC2CIHol3r1eA6AZ/bp6wEEpN0ShrvtIBvHWHZXF/VslJ+cmt93qSOoImLlRTQpzRWlMa2&#10;11bGhR+1Q+3LBysTrqGjKsgJza2hPM/vqZWDww+9HPVjr9vj5mQFmPB8x94/phd16H62BZ92q9e3&#10;nRC3N/PqAUjSc/qD4RIfo0ODmfb+5FQkRkBW8JIje5kKLIFIxsoCT3uEGeNAm5r+b9H8Ag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Jjr0DO8AQAAXQQA&#10;ABAAAAAAAAAAAAAAAAAAJwQAAGRycy9pbmsvaW5rMS54bWxQSwECLQAUAAYACAAAACEA0Q3snOMA&#10;AAANAQAADwAAAAAAAAAAAAAAAAARBgAAZHJzL2Rvd25yZXYueG1sUEsBAi0AFAAGAAgAAAAhAHkY&#10;vJ2/AAAAIQEAABkAAAAAAAAAAAAAAAAAIQcAAGRycy9fcmVscy9lMm9Eb2MueG1sLnJlbHNQSwUG&#10;AAAAAAYABgB4AQAAFwgAAAAA&#10;">
                <v:imagedata r:id="rId10" o:title=""/>
                <o:lock v:ext="edit" rotation="t" verticies="t" shapetype="t"/>
              </v:shape>
            </w:pict>
          </mc:Fallback>
        </mc:AlternateContent>
      </w:r>
      <w:r>
        <w:rPr>
          <w:noProof/>
        </w:rPr>
        <mc:AlternateContent>
          <mc:Choice Requires="wpi">
            <w:drawing>
              <wp:anchor distT="0" distB="0" distL="114300" distR="114300" simplePos="0" relativeHeight="251663360" behindDoc="0" locked="0" layoutInCell="1" allowOverlap="1" wp14:anchorId="6B062FDE" wp14:editId="6767487D">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06591990" id="Ink 11" o:spid="_x0000_s1026" type="#_x0000_t75" style="position:absolute;margin-left:-188.65pt;margin-top:-17.05pt;width:72.5pt;height: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">
                <v:imagedata r:id="rId10" o:title=""/>
                <o:lock v:ext="edit" rotation="t" verticies="t" shapetype="t"/>
              </v:shape>
            </w:pict>
          </mc:Fallback>
        </mc:AlternateContent>
      </w:r>
      <w:r w:rsidRPr="008A73BC">
        <w:rPr>
          <w:rFonts w:ascii="Arial" w:eastAsia="Times New Roman" w:hAnsi="Arial" w:cs="Arial"/>
          <w:color w:val="000000" w:themeColor="text1"/>
          <w:lang w:val="hr-HR"/>
        </w:rPr>
        <w:t xml:space="preserve">I, </w:t>
      </w:r>
      <w:r>
        <w:rPr>
          <w:rFonts w:ascii="Arial" w:eastAsia="Times New Roman" w:hAnsi="Arial" w:cs="Arial"/>
          <w:color w:val="000000" w:themeColor="text1"/>
          <w:lang w:val="hr-HR"/>
        </w:rPr>
        <w:t>Adela Slivciuc</w:t>
      </w:r>
      <w:r w:rsidR="00B56FD2">
        <w:rPr>
          <w:rFonts w:ascii="Arial" w:eastAsia="Times New Roman" w:hAnsi="Arial" w:cs="Arial"/>
          <w:color w:val="000000" w:themeColor="text1"/>
          <w:lang w:val="hr-HR"/>
        </w:rPr>
        <w:t>, declare that this dissertation has been composed by me</w:t>
      </w:r>
      <w:r w:rsidRPr="008A73BC">
        <w:rPr>
          <w:rFonts w:ascii="Arial" w:eastAsia="Times New Roman" w:hAnsi="Arial" w:cs="Arial"/>
          <w:color w:val="000000" w:themeColor="text1"/>
          <w:lang w:val="hr-HR"/>
        </w:rPr>
        <w:t>, that the work contained herein is entirely my own except where explicitly stated otherwise in the text, and that this work has not been submitted for any other degree or qualification, in whole or in part, except as specified</w:t>
      </w:r>
      <w:r w:rsidRPr="00946751">
        <w:rPr>
          <w:rFonts w:ascii="Arial" w:eastAsia="Times New Roman" w:hAnsi="Arial" w:cs="Arial"/>
          <w:color w:val="000000" w:themeColor="text1"/>
          <w:lang w:val="hr-HR"/>
        </w:rPr>
        <w:t>.</w:t>
      </w:r>
    </w:p>
    <w:p w14:paraId="50C0622B" w14:textId="77777777" w:rsidR="00501C21" w:rsidRPr="00946751" w:rsidRDefault="00501C21" w:rsidP="00501C21">
      <w:pPr>
        <w:spacing w:after="200" w:line="276" w:lineRule="auto"/>
        <w:rPr>
          <w:rFonts w:ascii="Arial" w:eastAsia="Times New Roman" w:hAnsi="Arial" w:cs="Arial"/>
          <w:color w:val="000000" w:themeColor="text1"/>
          <w:lang w:val="hr-HR"/>
        </w:rPr>
      </w:pPr>
    </w:p>
    <w:p w14:paraId="7F82F8F0" w14:textId="77777777" w:rsidR="00501C21" w:rsidRPr="00946751" w:rsidRDefault="00501C21" w:rsidP="00501C21">
      <w:pPr>
        <w:spacing w:after="200" w:line="276" w:lineRule="auto"/>
        <w:rPr>
          <w:rFonts w:ascii="Arial" w:eastAsia="Times New Roman" w:hAnsi="Arial" w:cs="Arial"/>
          <w:color w:val="000000" w:themeColor="text1"/>
          <w:lang w:val="hr-HR"/>
        </w:rPr>
      </w:pPr>
    </w:p>
    <w:p w14:paraId="5E950FEA" w14:textId="41EB297E" w:rsidR="00501C21" w:rsidRPr="00946751" w:rsidRDefault="00501C21" w:rsidP="00501C21">
      <w:pPr>
        <w:spacing w:after="200" w:line="276" w:lineRule="auto"/>
        <w:rPr>
          <w:rFonts w:ascii="Arial" w:eastAsia="Times New Roman" w:hAnsi="Arial" w:cs="Arial"/>
          <w:color w:val="000000" w:themeColor="text1"/>
          <w:lang w:val="hr-HR"/>
        </w:rPr>
      </w:pPr>
      <w:r w:rsidRPr="00946751">
        <w:rPr>
          <w:rFonts w:ascii="Arial" w:eastAsia="Times New Roman" w:hAnsi="Arial" w:cs="Arial"/>
          <w:color w:val="000000" w:themeColor="text1"/>
          <w:lang w:val="hr-HR"/>
        </w:rPr>
        <w:t>Signed</w:t>
      </w:r>
      <w:r>
        <w:rPr>
          <w:rFonts w:ascii="Arial" w:eastAsia="Times New Roman" w:hAnsi="Arial" w:cs="Arial"/>
          <w:color w:val="000000" w:themeColor="text1"/>
          <w:lang w:val="hr-HR"/>
        </w:rPr>
        <w:t>:</w:t>
      </w:r>
      <w:r w:rsidRPr="00946751">
        <w:rPr>
          <w:rFonts w:ascii="Arial" w:eastAsia="Times New Roman" w:hAnsi="Arial" w:cs="Arial"/>
          <w:color w:val="000000" w:themeColor="text1"/>
          <w:lang w:val="hr-HR"/>
        </w:rPr>
        <w:t>……</w:t>
      </w:r>
      <w:r w:rsidR="00B56FD2">
        <w:rPr>
          <w:rFonts w:ascii="Arial" w:eastAsia="Times New Roman" w:hAnsi="Arial" w:cs="Arial"/>
          <w:color w:val="000000" w:themeColor="text1"/>
          <w:lang w:val="hr-HR"/>
        </w:rPr>
        <w:t>Adela Slivciuc</w:t>
      </w:r>
      <w:r w:rsidRPr="00946751">
        <w:rPr>
          <w:rFonts w:ascii="Arial" w:eastAsia="Times New Roman" w:hAnsi="Arial" w:cs="Arial"/>
          <w:color w:val="000000" w:themeColor="text1"/>
          <w:lang w:val="hr-HR"/>
        </w:rPr>
        <w:t>…………………………………………</w:t>
      </w:r>
    </w:p>
    <w:p w14:paraId="1790603F" w14:textId="77777777" w:rsidR="00501C21" w:rsidRPr="00946751" w:rsidRDefault="00501C21" w:rsidP="00501C21">
      <w:pPr>
        <w:spacing w:after="200" w:line="276" w:lineRule="auto"/>
        <w:rPr>
          <w:rFonts w:ascii="Arial" w:eastAsia="Times New Roman" w:hAnsi="Arial" w:cs="Arial"/>
          <w:color w:val="000000" w:themeColor="text1"/>
          <w:lang w:val="hr-HR"/>
        </w:rPr>
      </w:pPr>
    </w:p>
    <w:p w14:paraId="18C91B5E" w14:textId="070CD071" w:rsidR="00501C21" w:rsidRPr="00946751" w:rsidRDefault="00501C21" w:rsidP="00501C21">
      <w:pPr>
        <w:spacing w:after="200" w:line="276" w:lineRule="auto"/>
        <w:rPr>
          <w:rFonts w:ascii="Arial" w:eastAsia="Times New Roman" w:hAnsi="Arial" w:cs="Arial"/>
          <w:color w:val="000000" w:themeColor="text1"/>
          <w:lang w:val="hr-HR"/>
        </w:rPr>
      </w:pPr>
      <w:r w:rsidRPr="00946751">
        <w:rPr>
          <w:rFonts w:ascii="Arial" w:eastAsia="Times New Roman" w:hAnsi="Arial" w:cs="Arial"/>
          <w:color w:val="000000" w:themeColor="text1"/>
          <w:lang w:val="hr-HR"/>
        </w:rPr>
        <w:t>Dat</w:t>
      </w:r>
      <w:r>
        <w:rPr>
          <w:rFonts w:ascii="Arial" w:eastAsia="Times New Roman" w:hAnsi="Arial" w:cs="Arial"/>
          <w:color w:val="000000" w:themeColor="text1"/>
          <w:lang w:val="hr-HR"/>
        </w:rPr>
        <w:t>e:...</w:t>
      </w:r>
      <w:r w:rsidRPr="00946751">
        <w:rPr>
          <w:rFonts w:ascii="Arial" w:eastAsia="Times New Roman" w:hAnsi="Arial" w:cs="Arial"/>
          <w:color w:val="000000" w:themeColor="text1"/>
          <w:lang w:val="hr-HR"/>
        </w:rPr>
        <w:t>……</w:t>
      </w:r>
      <w:r w:rsidR="00B56FD2">
        <w:rPr>
          <w:rFonts w:ascii="Arial" w:eastAsia="Times New Roman" w:hAnsi="Arial" w:cs="Arial"/>
          <w:color w:val="000000" w:themeColor="text1"/>
          <w:lang w:val="hr-HR"/>
        </w:rPr>
        <w:t>08.09.2026</w:t>
      </w:r>
      <w:r w:rsidRPr="00946751">
        <w:rPr>
          <w:rFonts w:ascii="Arial" w:eastAsia="Times New Roman" w:hAnsi="Arial" w:cs="Arial"/>
          <w:color w:val="000000" w:themeColor="text1"/>
          <w:lang w:val="hr-HR"/>
        </w:rPr>
        <w:t>…………………………………………</w:t>
      </w:r>
    </w:p>
    <w:p w14:paraId="762BADC0" w14:textId="77777777" w:rsidR="00501C21" w:rsidRPr="00501C21" w:rsidRDefault="00501C21" w:rsidP="00501C21">
      <w:pPr>
        <w:spacing w:after="157"/>
        <w:ind w:right="2357"/>
        <w:rPr>
          <w:b/>
          <w:bCs/>
          <w:lang w:val="en-US"/>
        </w:rPr>
      </w:pPr>
    </w:p>
    <w:p w14:paraId="04B59F55" w14:textId="77777777" w:rsidR="00501C21" w:rsidRPr="00501C21" w:rsidRDefault="00501C21" w:rsidP="00501C21">
      <w:pPr>
        <w:spacing w:after="0"/>
        <w:rPr>
          <w:lang w:val="en-US"/>
        </w:rPr>
      </w:pPr>
      <w:r w:rsidRPr="00501C21">
        <w:rPr>
          <w:color w:val="0070C0"/>
          <w:lang w:val="en-US"/>
        </w:rPr>
        <w:t xml:space="preserve"> </w:t>
      </w:r>
      <w:r w:rsidRPr="00501C21">
        <w:rPr>
          <w:color w:val="0070C0"/>
          <w:lang w:val="en-US"/>
        </w:rPr>
        <w:tab/>
        <w:t xml:space="preserve"> </w:t>
      </w:r>
    </w:p>
    <w:p w14:paraId="46AE27AA" w14:textId="77777777" w:rsidR="00501C21" w:rsidRPr="00501C21" w:rsidRDefault="00501C21" w:rsidP="00501C21">
      <w:pPr>
        <w:rPr>
          <w:rFonts w:ascii="Times New Roman" w:eastAsia="Times New Roman" w:hAnsi="Times New Roman" w:cs="Times New Roman"/>
          <w:b/>
          <w:color w:val="000000"/>
          <w:lang w:val="en-US"/>
        </w:rPr>
      </w:pPr>
      <w:r w:rsidRPr="00501C21">
        <w:rPr>
          <w:lang w:val="en-US"/>
        </w:rPr>
        <w:br w:type="page"/>
      </w:r>
    </w:p>
    <w:p w14:paraId="5A0E6B45" w14:textId="77777777" w:rsidR="00501C21" w:rsidRPr="004106C5" w:rsidRDefault="00501C21" w:rsidP="004106C5">
      <w:pPr>
        <w:rPr>
          <w:rFonts w:ascii="Arial" w:hAnsi="Arial" w:cs="Arial"/>
          <w:b/>
          <w:bCs/>
          <w:sz w:val="28"/>
          <w:szCs w:val="28"/>
          <w:lang w:val="en-GB" w:eastAsia="zh-CN"/>
        </w:rPr>
      </w:pPr>
      <w:r w:rsidRPr="004106C5">
        <w:rPr>
          <w:rFonts w:ascii="Arial" w:hAnsi="Arial" w:cs="Arial"/>
          <w:b/>
          <w:bCs/>
          <w:sz w:val="28"/>
          <w:szCs w:val="28"/>
          <w:lang w:val="en-GB" w:eastAsia="zh-CN"/>
        </w:rPr>
        <w:lastRenderedPageBreak/>
        <w:t xml:space="preserve">Acknowledgements </w:t>
      </w:r>
    </w:p>
    <w:p w14:paraId="763616DF" w14:textId="77777777" w:rsidR="00501C21" w:rsidRPr="00501C21" w:rsidRDefault="00501C21" w:rsidP="00501C21">
      <w:pPr>
        <w:spacing w:after="158" w:line="259" w:lineRule="auto"/>
        <w:rPr>
          <w:rFonts w:ascii="Arial" w:eastAsia="DengXian" w:hAnsi="Arial" w:cs="Arial"/>
          <w:sz w:val="22"/>
          <w:szCs w:val="22"/>
          <w:lang w:val="en-GB" w:eastAsia="zh-CN"/>
        </w:rPr>
      </w:pPr>
      <w:r w:rsidRPr="00501C21">
        <w:rPr>
          <w:rFonts w:ascii="Arial" w:eastAsia="DengXian" w:hAnsi="Arial" w:cs="Arial"/>
          <w:sz w:val="22"/>
          <w:szCs w:val="22"/>
          <w:lang w:val="en-GB" w:eastAsia="zh-CN"/>
        </w:rPr>
        <w:t xml:space="preserve"> </w:t>
      </w:r>
    </w:p>
    <w:p w14:paraId="14185CEE" w14:textId="0DC86391" w:rsidR="00501C21" w:rsidRPr="00501C21" w:rsidRDefault="00501C21" w:rsidP="00501C21">
      <w:pPr>
        <w:spacing w:after="167" w:line="259" w:lineRule="auto"/>
        <w:rPr>
          <w:rFonts w:ascii="Arial" w:eastAsia="DengXian" w:hAnsi="Arial" w:cs="Arial"/>
          <w:sz w:val="22"/>
          <w:szCs w:val="22"/>
          <w:lang w:val="en-GB" w:eastAsia="zh-CN"/>
        </w:rPr>
      </w:pPr>
      <w:r w:rsidRPr="00501C21">
        <w:rPr>
          <w:rFonts w:ascii="Arial" w:eastAsia="DengXian" w:hAnsi="Arial" w:cs="Arial"/>
          <w:sz w:val="22"/>
          <w:szCs w:val="22"/>
          <w:lang w:val="en-GB" w:eastAsia="zh-CN"/>
        </w:rPr>
        <w:t xml:space="preserve">The acknowledgements section is where you thank those who have helped and supported you during the research and writing process. This section is </w:t>
      </w:r>
      <w:r w:rsidR="004106C5" w:rsidRPr="00501C21">
        <w:rPr>
          <w:rFonts w:ascii="Arial" w:eastAsia="DengXian" w:hAnsi="Arial" w:cs="Arial"/>
          <w:sz w:val="22"/>
          <w:szCs w:val="22"/>
          <w:lang w:val="en-GB" w:eastAsia="zh-CN"/>
        </w:rPr>
        <w:t>optional and</w:t>
      </w:r>
      <w:r w:rsidRPr="00501C21">
        <w:rPr>
          <w:rFonts w:ascii="Arial" w:eastAsia="DengXian" w:hAnsi="Arial" w:cs="Arial"/>
          <w:sz w:val="22"/>
          <w:szCs w:val="22"/>
          <w:lang w:val="en-GB" w:eastAsia="zh-CN"/>
        </w:rPr>
        <w:t xml:space="preserve"> should be no longer than one page. </w:t>
      </w:r>
    </w:p>
    <w:p w14:paraId="05B1C9F1" w14:textId="77777777" w:rsidR="00501C21" w:rsidRPr="00501C21" w:rsidRDefault="00501C21" w:rsidP="00501C21">
      <w:pPr>
        <w:spacing w:after="166" w:line="259" w:lineRule="auto"/>
        <w:rPr>
          <w:rFonts w:ascii="Arial" w:eastAsia="DengXian" w:hAnsi="Arial" w:cs="Arial"/>
          <w:sz w:val="22"/>
          <w:szCs w:val="22"/>
          <w:lang w:val="en-GB" w:eastAsia="zh-CN"/>
        </w:rPr>
      </w:pPr>
      <w:r w:rsidRPr="00501C21">
        <w:rPr>
          <w:rFonts w:ascii="Arial" w:eastAsia="DengXian" w:hAnsi="Arial" w:cs="Arial"/>
          <w:sz w:val="22"/>
          <w:szCs w:val="22"/>
          <w:lang w:val="en-GB" w:eastAsia="zh-CN"/>
        </w:rPr>
        <w:t xml:space="preserve">Move from thanking the people most formally involved (supervisors, academics) to those who have supported you in other ways (friends and family).  </w:t>
      </w:r>
    </w:p>
    <w:p w14:paraId="109CCDDD" w14:textId="77777777" w:rsidR="00501C21" w:rsidRPr="00501C21" w:rsidRDefault="00501C21" w:rsidP="00501C21">
      <w:pPr>
        <w:spacing w:after="169" w:line="259" w:lineRule="auto"/>
        <w:rPr>
          <w:rFonts w:ascii="Arial" w:eastAsia="DengXian" w:hAnsi="Arial" w:cs="Arial"/>
          <w:sz w:val="22"/>
          <w:szCs w:val="22"/>
          <w:lang w:val="en-GB" w:eastAsia="zh-CN"/>
        </w:rPr>
      </w:pPr>
      <w:r w:rsidRPr="00501C21">
        <w:rPr>
          <w:rFonts w:ascii="Arial" w:eastAsia="DengXian" w:hAnsi="Arial" w:cs="Arial"/>
          <w:sz w:val="22"/>
          <w:szCs w:val="22"/>
          <w:lang w:val="en-GB" w:eastAsia="zh-CN"/>
        </w:rPr>
        <w:t xml:space="preserve">If you include acknowledgements, make sure to thank your supervisor! </w:t>
      </w:r>
    </w:p>
    <w:p w14:paraId="4D0B0A6C" w14:textId="099C80C4" w:rsidR="00501C21" w:rsidRPr="00501C21" w:rsidRDefault="00501C21">
      <w:pPr>
        <w:rPr>
          <w:lang w:val="en-GB"/>
        </w:rPr>
      </w:pPr>
    </w:p>
    <w:p w14:paraId="3B8B880A" w14:textId="636D26F9" w:rsidR="00501C21" w:rsidRPr="00501C21" w:rsidRDefault="00501C21">
      <w:pPr>
        <w:rPr>
          <w:lang w:val="en-US"/>
        </w:rPr>
      </w:pPr>
    </w:p>
    <w:p w14:paraId="6D7D19F0" w14:textId="77777777" w:rsidR="00501C21" w:rsidRPr="00501C21" w:rsidRDefault="00501C21">
      <w:pPr>
        <w:rPr>
          <w:lang w:val="en-US"/>
        </w:rPr>
      </w:pPr>
      <w:r w:rsidRPr="00501C21">
        <w:rPr>
          <w:lang w:val="en-US"/>
        </w:rPr>
        <w:br w:type="page"/>
      </w:r>
    </w:p>
    <w:p w14:paraId="5D0D5470" w14:textId="08EF850B" w:rsidR="00501C21" w:rsidRPr="00501C21" w:rsidRDefault="00501C21" w:rsidP="004106C5">
      <w:pPr>
        <w:pStyle w:val="Heading1"/>
        <w:rPr>
          <w:lang w:val="en-US"/>
        </w:rPr>
      </w:pPr>
      <w:bookmarkStart w:id="0" w:name="_Toc233629095"/>
      <w:r w:rsidRPr="00501C21">
        <w:rPr>
          <w:lang w:val="en-US"/>
        </w:rPr>
        <w:lastRenderedPageBreak/>
        <w:t>Abstract</w:t>
      </w:r>
      <w:bookmarkEnd w:id="0"/>
    </w:p>
    <w:p w14:paraId="4536B339" w14:textId="77777777" w:rsidR="00501C21" w:rsidRPr="00501C21" w:rsidRDefault="00501C21" w:rsidP="00501C21">
      <w:pPr>
        <w:rPr>
          <w:lang w:val="en-US"/>
        </w:rPr>
      </w:pPr>
    </w:p>
    <w:p w14:paraId="5E867CDA" w14:textId="0BA34D26" w:rsidR="00501C21" w:rsidRPr="00501C21" w:rsidRDefault="000854D3" w:rsidP="00B56FD2">
      <w:pPr>
        <w:spacing w:line="360" w:lineRule="auto"/>
        <w:jc w:val="both"/>
        <w:rPr>
          <w:rFonts w:ascii="Arial" w:hAnsi="Arial" w:cs="Arial"/>
          <w:sz w:val="22"/>
          <w:szCs w:val="22"/>
          <w:lang w:val="en-US"/>
        </w:rPr>
      </w:pPr>
      <w:r>
        <w:rPr>
          <w:rFonts w:ascii="Arial" w:hAnsi="Arial" w:cs="Arial"/>
          <w:sz w:val="22"/>
          <w:szCs w:val="22"/>
          <w:lang w:val="en-US"/>
        </w:rPr>
        <w:t>This dissertation explores the barriers and facilitators to accessing</w:t>
      </w:r>
      <w:r w:rsidR="00501C21" w:rsidRPr="00501C21">
        <w:rPr>
          <w:rFonts w:ascii="Arial" w:hAnsi="Arial" w:cs="Arial"/>
          <w:sz w:val="22"/>
          <w:szCs w:val="22"/>
          <w:lang w:val="en-US"/>
        </w:rPr>
        <w:t xml:space="preserve"> Child and Adolescent Mental Health Services (CAMHS) in the UK. This issue is important to study because around </w:t>
      </w:r>
      <w:r>
        <w:rPr>
          <w:rFonts w:ascii="Arial" w:hAnsi="Arial" w:cs="Arial"/>
          <w:sz w:val="22"/>
          <w:szCs w:val="22"/>
          <w:lang w:val="en-US"/>
        </w:rPr>
        <w:t>one-fifth of children and young people in England demonstrated a probable mental disorder in 2023,</w:t>
      </w:r>
      <w:r w:rsidR="00501C21" w:rsidRPr="00501C21">
        <w:rPr>
          <w:rFonts w:ascii="Arial" w:hAnsi="Arial" w:cs="Arial"/>
          <w:sz w:val="22"/>
          <w:szCs w:val="22"/>
          <w:lang w:val="en-US"/>
        </w:rPr>
        <w:t xml:space="preserve"> while there is currently considerable pressure on referrals and referral processes, reflecting the gap between mental health needs and provision (NHS Digital, 2023; Children's Commissioner, 2024). Existing research shows that access to services is influenced not only by </w:t>
      </w:r>
      <w:r>
        <w:rPr>
          <w:rFonts w:ascii="Arial" w:hAnsi="Arial" w:cs="Arial"/>
          <w:sz w:val="22"/>
          <w:szCs w:val="22"/>
          <w:lang w:val="en-US"/>
        </w:rPr>
        <w:t>a child's clinical need</w:t>
      </w:r>
      <w:r w:rsidR="00501C21" w:rsidRPr="00501C21">
        <w:rPr>
          <w:rFonts w:ascii="Arial" w:hAnsi="Arial" w:cs="Arial"/>
          <w:sz w:val="22"/>
          <w:szCs w:val="22"/>
          <w:lang w:val="en-US"/>
        </w:rPr>
        <w:t>, but also by referral thresholds, waiting times, geographical disparities, workforce restrictions, and other aspects of inequality (Parkin and Long, 2024; Institute of Health Equity, 2020).</w:t>
      </w:r>
    </w:p>
    <w:p w14:paraId="6870ADA8" w14:textId="77777777" w:rsidR="00501C21" w:rsidRPr="00501C21" w:rsidRDefault="00501C21" w:rsidP="00B56FD2">
      <w:pPr>
        <w:spacing w:line="360" w:lineRule="auto"/>
        <w:jc w:val="both"/>
        <w:rPr>
          <w:rFonts w:ascii="Arial" w:hAnsi="Arial" w:cs="Arial"/>
          <w:sz w:val="22"/>
          <w:szCs w:val="22"/>
          <w:lang w:val="en-US"/>
        </w:rPr>
      </w:pPr>
    </w:p>
    <w:p w14:paraId="45C2E68A" w14:textId="72187424" w:rsidR="00501C21" w:rsidRPr="00501C21" w:rsidRDefault="000854D3" w:rsidP="00B56FD2">
      <w:pPr>
        <w:spacing w:line="360" w:lineRule="auto"/>
        <w:jc w:val="both"/>
        <w:rPr>
          <w:rFonts w:ascii="Arial" w:hAnsi="Arial" w:cs="Arial"/>
          <w:sz w:val="22"/>
          <w:szCs w:val="22"/>
          <w:lang w:val="en-US"/>
        </w:rPr>
      </w:pPr>
      <w:r>
        <w:rPr>
          <w:rFonts w:ascii="Arial" w:hAnsi="Arial" w:cs="Arial"/>
          <w:sz w:val="22"/>
          <w:szCs w:val="22"/>
          <w:lang w:val="en-US"/>
        </w:rPr>
        <w:t>To identify key barriers and facilitators to accessing mental health services, this dissertation will critically analyse</w:t>
      </w:r>
      <w:r w:rsidR="00501C21" w:rsidRPr="00501C21">
        <w:rPr>
          <w:rFonts w:ascii="Arial" w:hAnsi="Arial" w:cs="Arial"/>
          <w:sz w:val="22"/>
          <w:szCs w:val="22"/>
          <w:lang w:val="en-US"/>
        </w:rPr>
        <w:t xml:space="preserve"> existing socio-economic, structural, and policy-based obstacles while identifying enablers of access. </w:t>
      </w:r>
      <w:r>
        <w:rPr>
          <w:rFonts w:ascii="Arial" w:hAnsi="Arial" w:cs="Arial"/>
          <w:sz w:val="22"/>
          <w:szCs w:val="22"/>
          <w:lang w:val="en-US"/>
        </w:rPr>
        <w:t xml:space="preserve">This dissertation will apply </w:t>
      </w:r>
      <w:r w:rsidR="00B56FD2">
        <w:rPr>
          <w:rFonts w:ascii="Arial" w:hAnsi="Arial" w:cs="Arial"/>
          <w:sz w:val="22"/>
          <w:szCs w:val="22"/>
          <w:lang w:val="en-US"/>
        </w:rPr>
        <w:t>a systematic</w:t>
      </w:r>
      <w:r>
        <w:rPr>
          <w:rFonts w:ascii="Arial" w:hAnsi="Arial" w:cs="Arial"/>
          <w:sz w:val="22"/>
          <w:szCs w:val="22"/>
          <w:lang w:val="en-US"/>
        </w:rPr>
        <w:t xml:space="preserve"> literature review methodology to examine evidence from qualitative and mixed-methods studies in the UK conducted during 2015-2025</w:t>
      </w:r>
      <w:r w:rsidR="00501C21" w:rsidRPr="00501C21">
        <w:rPr>
          <w:rFonts w:ascii="Arial" w:hAnsi="Arial" w:cs="Arial"/>
          <w:sz w:val="22"/>
          <w:szCs w:val="22"/>
          <w:lang w:val="en-US"/>
        </w:rPr>
        <w:t xml:space="preserve">. The review </w:t>
      </w:r>
      <w:r w:rsidR="00B56FD2">
        <w:rPr>
          <w:rFonts w:ascii="Arial" w:hAnsi="Arial" w:cs="Arial"/>
          <w:sz w:val="22"/>
          <w:szCs w:val="22"/>
          <w:lang w:val="en-US"/>
        </w:rPr>
        <w:t>follows</w:t>
      </w:r>
      <w:r w:rsidR="00501C21" w:rsidRPr="00501C21">
        <w:rPr>
          <w:rFonts w:ascii="Arial" w:hAnsi="Arial" w:cs="Arial"/>
          <w:sz w:val="22"/>
          <w:szCs w:val="22"/>
          <w:lang w:val="en-US"/>
        </w:rPr>
        <w:t xml:space="preserve"> PRISMA 2020 guidelines (Page et al., 2021). The included studies will be </w:t>
      </w:r>
      <w:r>
        <w:rPr>
          <w:rFonts w:ascii="Arial" w:hAnsi="Arial" w:cs="Arial"/>
          <w:sz w:val="22"/>
          <w:szCs w:val="22"/>
          <w:lang w:val="en-US"/>
        </w:rPr>
        <w:t xml:space="preserve">analysed through thematic analysis to identify patterns emerging within the </w:t>
      </w:r>
      <w:r w:rsidR="00501C21" w:rsidRPr="00501C21">
        <w:rPr>
          <w:rFonts w:ascii="Arial" w:hAnsi="Arial" w:cs="Arial"/>
          <w:sz w:val="22"/>
          <w:szCs w:val="22"/>
          <w:lang w:val="en-US"/>
        </w:rPr>
        <w:t>experiences of young people, their parents/carers, and professionals (Braun and Clarke, 2006; Aveyard, 2023).</w:t>
      </w:r>
    </w:p>
    <w:p w14:paraId="6113142C" w14:textId="77777777" w:rsidR="00501C21" w:rsidRPr="00501C21" w:rsidRDefault="00501C21" w:rsidP="00B56FD2">
      <w:pPr>
        <w:spacing w:line="360" w:lineRule="auto"/>
        <w:jc w:val="both"/>
        <w:rPr>
          <w:rFonts w:ascii="Arial" w:hAnsi="Arial" w:cs="Arial"/>
          <w:sz w:val="22"/>
          <w:szCs w:val="22"/>
          <w:lang w:val="en-US"/>
        </w:rPr>
      </w:pPr>
    </w:p>
    <w:p w14:paraId="29249F30" w14:textId="5C4DE318" w:rsidR="00501C21" w:rsidRPr="00501C21" w:rsidRDefault="00501C21" w:rsidP="00B56FD2">
      <w:pPr>
        <w:spacing w:line="360" w:lineRule="auto"/>
        <w:jc w:val="both"/>
        <w:rPr>
          <w:lang w:val="en-US"/>
        </w:rPr>
      </w:pPr>
      <w:r w:rsidRPr="00501C21">
        <w:rPr>
          <w:rFonts w:ascii="Arial" w:hAnsi="Arial" w:cs="Arial"/>
          <w:sz w:val="22"/>
          <w:szCs w:val="22"/>
          <w:lang w:val="en-US"/>
        </w:rPr>
        <w:t xml:space="preserve">Access is </w:t>
      </w:r>
      <w:r w:rsidR="000854D3">
        <w:rPr>
          <w:rFonts w:ascii="Arial" w:hAnsi="Arial" w:cs="Arial"/>
          <w:sz w:val="22"/>
          <w:szCs w:val="22"/>
          <w:lang w:val="en-US"/>
        </w:rPr>
        <w:t>conceptualised</w:t>
      </w:r>
      <w:r w:rsidRPr="00501C21">
        <w:rPr>
          <w:rFonts w:ascii="Arial" w:hAnsi="Arial" w:cs="Arial"/>
          <w:sz w:val="22"/>
          <w:szCs w:val="22"/>
          <w:lang w:val="en-US"/>
        </w:rPr>
        <w:t xml:space="preserve"> </w:t>
      </w:r>
      <w:r w:rsidR="000854D3">
        <w:rPr>
          <w:rFonts w:ascii="Arial" w:hAnsi="Arial" w:cs="Arial"/>
          <w:sz w:val="22"/>
          <w:szCs w:val="22"/>
          <w:lang w:val="en-US"/>
        </w:rPr>
        <w:t>as a pathway comprising early recognition, referral, admission to services, waiting for an appointment, treatment,</w:t>
      </w:r>
      <w:r w:rsidRPr="00501C21">
        <w:rPr>
          <w:rFonts w:ascii="Arial" w:hAnsi="Arial" w:cs="Arial"/>
          <w:sz w:val="22"/>
          <w:szCs w:val="22"/>
          <w:lang w:val="en-US"/>
        </w:rPr>
        <w:t xml:space="preserve"> and follow-up care. This research is expected to contribute to </w:t>
      </w:r>
      <w:r w:rsidR="000854D3">
        <w:rPr>
          <w:rFonts w:ascii="Arial" w:hAnsi="Arial" w:cs="Arial"/>
          <w:sz w:val="22"/>
          <w:szCs w:val="22"/>
          <w:lang w:val="en-US"/>
        </w:rPr>
        <w:t>evidence-based recommendations that address inequalities, promote early interventions, clarify referral procedures, and facilitate</w:t>
      </w:r>
      <w:r w:rsidRPr="00501C21">
        <w:rPr>
          <w:rFonts w:ascii="Arial" w:hAnsi="Arial" w:cs="Arial"/>
          <w:sz w:val="22"/>
          <w:szCs w:val="22"/>
          <w:lang w:val="en-US"/>
        </w:rPr>
        <w:t xml:space="preserve"> cooperation between schools, primary care, and CAMHS.</w:t>
      </w:r>
      <w:r w:rsidRPr="00501C21">
        <w:rPr>
          <w:lang w:val="en-US"/>
        </w:rPr>
        <w:br w:type="page"/>
      </w:r>
    </w:p>
    <w:sdt>
      <w:sdtPr>
        <w:rPr>
          <w:rFonts w:asciiTheme="minorHAnsi" w:eastAsiaTheme="minorHAnsi" w:hAnsiTheme="minorHAnsi" w:cstheme="minorBidi"/>
          <w:color w:val="auto"/>
          <w:kern w:val="2"/>
          <w:sz w:val="24"/>
          <w:szCs w:val="24"/>
          <w:lang w:val="ru-RU"/>
          <w14:ligatures w14:val="standardContextual"/>
        </w:rPr>
        <w:id w:val="387998294"/>
        <w:docPartObj>
          <w:docPartGallery w:val="Table of Contents"/>
          <w:docPartUnique/>
        </w:docPartObj>
      </w:sdtPr>
      <w:sdtEndPr>
        <w:rPr>
          <w:b/>
          <w:bCs/>
          <w:noProof/>
        </w:rPr>
      </w:sdtEndPr>
      <w:sdtContent>
        <w:p w14:paraId="11E04930" w14:textId="22A41F2B" w:rsidR="003457C9" w:rsidRDefault="003457C9">
          <w:pPr>
            <w:pStyle w:val="TOCHeading"/>
          </w:pPr>
          <w:r>
            <w:t>Contents</w:t>
          </w:r>
        </w:p>
        <w:p w14:paraId="69647A4C" w14:textId="7220B837" w:rsidR="00E6400E" w:rsidRDefault="003457C9">
          <w:pPr>
            <w:pStyle w:val="TOC1"/>
            <w:tabs>
              <w:tab w:val="right" w:leader="dot" w:pos="9345"/>
            </w:tabs>
            <w:rPr>
              <w:rFonts w:eastAsiaTheme="minorEastAsia"/>
              <w:noProof/>
              <w:lang w:eastAsia="ru-RU"/>
            </w:rPr>
          </w:pPr>
          <w:r>
            <w:fldChar w:fldCharType="begin"/>
          </w:r>
          <w:r>
            <w:instrText xml:space="preserve"> TOC \o "1-3" \h \z \u </w:instrText>
          </w:r>
          <w:r>
            <w:fldChar w:fldCharType="separate"/>
          </w:r>
          <w:hyperlink w:anchor="_Toc233629095" w:history="1">
            <w:r w:rsidR="00E6400E" w:rsidRPr="00855426">
              <w:rPr>
                <w:rStyle w:val="Hyperlink"/>
                <w:noProof/>
                <w:lang w:val="en-US"/>
              </w:rPr>
              <w:t>Abstract</w:t>
            </w:r>
            <w:r w:rsidR="00E6400E">
              <w:rPr>
                <w:noProof/>
                <w:webHidden/>
              </w:rPr>
              <w:tab/>
            </w:r>
            <w:r w:rsidR="00E6400E">
              <w:rPr>
                <w:noProof/>
                <w:webHidden/>
              </w:rPr>
              <w:fldChar w:fldCharType="begin"/>
            </w:r>
            <w:r w:rsidR="00E6400E">
              <w:rPr>
                <w:noProof/>
                <w:webHidden/>
              </w:rPr>
              <w:instrText xml:space="preserve"> PAGEREF _Toc233629095 \h </w:instrText>
            </w:r>
            <w:r w:rsidR="00E6400E">
              <w:rPr>
                <w:noProof/>
                <w:webHidden/>
              </w:rPr>
            </w:r>
            <w:r w:rsidR="00E6400E">
              <w:rPr>
                <w:noProof/>
                <w:webHidden/>
              </w:rPr>
              <w:fldChar w:fldCharType="separate"/>
            </w:r>
            <w:r w:rsidR="00E6400E">
              <w:rPr>
                <w:noProof/>
                <w:webHidden/>
              </w:rPr>
              <w:t>3</w:t>
            </w:r>
            <w:r w:rsidR="00E6400E">
              <w:rPr>
                <w:noProof/>
                <w:webHidden/>
              </w:rPr>
              <w:fldChar w:fldCharType="end"/>
            </w:r>
          </w:hyperlink>
        </w:p>
        <w:p w14:paraId="4EB4B7FC" w14:textId="2199B395" w:rsidR="00E6400E" w:rsidRDefault="00E6400E">
          <w:pPr>
            <w:pStyle w:val="TOC1"/>
            <w:tabs>
              <w:tab w:val="right" w:leader="dot" w:pos="9345"/>
            </w:tabs>
            <w:rPr>
              <w:rFonts w:eastAsiaTheme="minorEastAsia"/>
              <w:noProof/>
              <w:lang w:eastAsia="ru-RU"/>
            </w:rPr>
          </w:pPr>
          <w:hyperlink w:anchor="_Toc233629096" w:history="1">
            <w:r w:rsidRPr="00855426">
              <w:rPr>
                <w:rStyle w:val="Hyperlink"/>
                <w:noProof/>
                <w:lang w:val="en-US"/>
              </w:rPr>
              <w:t>List of Figures</w:t>
            </w:r>
            <w:r>
              <w:rPr>
                <w:noProof/>
                <w:webHidden/>
              </w:rPr>
              <w:tab/>
            </w:r>
            <w:r>
              <w:rPr>
                <w:noProof/>
                <w:webHidden/>
              </w:rPr>
              <w:fldChar w:fldCharType="begin"/>
            </w:r>
            <w:r>
              <w:rPr>
                <w:noProof/>
                <w:webHidden/>
              </w:rPr>
              <w:instrText xml:space="preserve"> PAGEREF _Toc233629096 \h </w:instrText>
            </w:r>
            <w:r>
              <w:rPr>
                <w:noProof/>
                <w:webHidden/>
              </w:rPr>
            </w:r>
            <w:r>
              <w:rPr>
                <w:noProof/>
                <w:webHidden/>
              </w:rPr>
              <w:fldChar w:fldCharType="separate"/>
            </w:r>
            <w:r>
              <w:rPr>
                <w:noProof/>
                <w:webHidden/>
              </w:rPr>
              <w:t>7</w:t>
            </w:r>
            <w:r>
              <w:rPr>
                <w:noProof/>
                <w:webHidden/>
              </w:rPr>
              <w:fldChar w:fldCharType="end"/>
            </w:r>
          </w:hyperlink>
        </w:p>
        <w:p w14:paraId="06031A7D" w14:textId="1193E3CB" w:rsidR="00E6400E" w:rsidRDefault="00E6400E">
          <w:pPr>
            <w:pStyle w:val="TOC1"/>
            <w:tabs>
              <w:tab w:val="right" w:leader="dot" w:pos="9345"/>
            </w:tabs>
            <w:rPr>
              <w:rFonts w:eastAsiaTheme="minorEastAsia"/>
              <w:noProof/>
              <w:lang w:eastAsia="ru-RU"/>
            </w:rPr>
          </w:pPr>
          <w:hyperlink w:anchor="_Toc233629097" w:history="1">
            <w:r w:rsidRPr="00855426">
              <w:rPr>
                <w:rStyle w:val="Hyperlink"/>
                <w:noProof/>
                <w:lang w:val="en-US"/>
              </w:rPr>
              <w:t>List of Tables</w:t>
            </w:r>
            <w:r>
              <w:rPr>
                <w:noProof/>
                <w:webHidden/>
              </w:rPr>
              <w:tab/>
            </w:r>
            <w:r>
              <w:rPr>
                <w:noProof/>
                <w:webHidden/>
              </w:rPr>
              <w:fldChar w:fldCharType="begin"/>
            </w:r>
            <w:r>
              <w:rPr>
                <w:noProof/>
                <w:webHidden/>
              </w:rPr>
              <w:instrText xml:space="preserve"> PAGEREF _Toc233629097 \h </w:instrText>
            </w:r>
            <w:r>
              <w:rPr>
                <w:noProof/>
                <w:webHidden/>
              </w:rPr>
            </w:r>
            <w:r>
              <w:rPr>
                <w:noProof/>
                <w:webHidden/>
              </w:rPr>
              <w:fldChar w:fldCharType="separate"/>
            </w:r>
            <w:r>
              <w:rPr>
                <w:noProof/>
                <w:webHidden/>
              </w:rPr>
              <w:t>8</w:t>
            </w:r>
            <w:r>
              <w:rPr>
                <w:noProof/>
                <w:webHidden/>
              </w:rPr>
              <w:fldChar w:fldCharType="end"/>
            </w:r>
          </w:hyperlink>
        </w:p>
        <w:p w14:paraId="401BDC04" w14:textId="3BE239CA" w:rsidR="00E6400E" w:rsidRDefault="00E6400E">
          <w:pPr>
            <w:pStyle w:val="TOC1"/>
            <w:tabs>
              <w:tab w:val="right" w:leader="dot" w:pos="9345"/>
            </w:tabs>
            <w:rPr>
              <w:rFonts w:eastAsiaTheme="minorEastAsia"/>
              <w:noProof/>
              <w:lang w:eastAsia="ru-RU"/>
            </w:rPr>
          </w:pPr>
          <w:hyperlink w:anchor="_Toc233629098" w:history="1">
            <w:r w:rsidRPr="00855426">
              <w:rPr>
                <w:rStyle w:val="Hyperlink"/>
                <w:noProof/>
                <w:lang w:val="en-US"/>
              </w:rPr>
              <w:t>List of Abbreviations</w:t>
            </w:r>
            <w:r>
              <w:rPr>
                <w:noProof/>
                <w:webHidden/>
              </w:rPr>
              <w:tab/>
            </w:r>
            <w:r>
              <w:rPr>
                <w:noProof/>
                <w:webHidden/>
              </w:rPr>
              <w:fldChar w:fldCharType="begin"/>
            </w:r>
            <w:r>
              <w:rPr>
                <w:noProof/>
                <w:webHidden/>
              </w:rPr>
              <w:instrText xml:space="preserve"> PAGEREF _Toc233629098 \h </w:instrText>
            </w:r>
            <w:r>
              <w:rPr>
                <w:noProof/>
                <w:webHidden/>
              </w:rPr>
            </w:r>
            <w:r>
              <w:rPr>
                <w:noProof/>
                <w:webHidden/>
              </w:rPr>
              <w:fldChar w:fldCharType="separate"/>
            </w:r>
            <w:r>
              <w:rPr>
                <w:noProof/>
                <w:webHidden/>
              </w:rPr>
              <w:t>9</w:t>
            </w:r>
            <w:r>
              <w:rPr>
                <w:noProof/>
                <w:webHidden/>
              </w:rPr>
              <w:fldChar w:fldCharType="end"/>
            </w:r>
          </w:hyperlink>
        </w:p>
        <w:p w14:paraId="07D45E8C" w14:textId="6F9A658D" w:rsidR="00E6400E" w:rsidRDefault="00E6400E">
          <w:pPr>
            <w:pStyle w:val="TOC1"/>
            <w:tabs>
              <w:tab w:val="right" w:leader="dot" w:pos="9345"/>
            </w:tabs>
            <w:rPr>
              <w:rFonts w:eastAsiaTheme="minorEastAsia"/>
              <w:noProof/>
              <w:lang w:eastAsia="ru-RU"/>
            </w:rPr>
          </w:pPr>
          <w:hyperlink w:anchor="_Toc233629099" w:history="1">
            <w:r w:rsidRPr="00855426">
              <w:rPr>
                <w:rStyle w:val="Hyperlink"/>
                <w:noProof/>
                <w:lang w:val="en-US"/>
              </w:rPr>
              <w:t>Chapter 1: Introduction</w:t>
            </w:r>
            <w:r>
              <w:rPr>
                <w:noProof/>
                <w:webHidden/>
              </w:rPr>
              <w:tab/>
            </w:r>
            <w:r>
              <w:rPr>
                <w:noProof/>
                <w:webHidden/>
              </w:rPr>
              <w:fldChar w:fldCharType="begin"/>
            </w:r>
            <w:r>
              <w:rPr>
                <w:noProof/>
                <w:webHidden/>
              </w:rPr>
              <w:instrText xml:space="preserve"> PAGEREF _Toc233629099 \h </w:instrText>
            </w:r>
            <w:r>
              <w:rPr>
                <w:noProof/>
                <w:webHidden/>
              </w:rPr>
            </w:r>
            <w:r>
              <w:rPr>
                <w:noProof/>
                <w:webHidden/>
              </w:rPr>
              <w:fldChar w:fldCharType="separate"/>
            </w:r>
            <w:r>
              <w:rPr>
                <w:noProof/>
                <w:webHidden/>
              </w:rPr>
              <w:t>10</w:t>
            </w:r>
            <w:r>
              <w:rPr>
                <w:noProof/>
                <w:webHidden/>
              </w:rPr>
              <w:fldChar w:fldCharType="end"/>
            </w:r>
          </w:hyperlink>
        </w:p>
        <w:p w14:paraId="793BD335" w14:textId="7B1D206A" w:rsidR="00E6400E" w:rsidRDefault="00E6400E">
          <w:pPr>
            <w:pStyle w:val="TOC2"/>
            <w:tabs>
              <w:tab w:val="right" w:leader="dot" w:pos="9345"/>
            </w:tabs>
            <w:rPr>
              <w:rFonts w:eastAsiaTheme="minorEastAsia"/>
              <w:noProof/>
              <w:lang w:eastAsia="ru-RU"/>
            </w:rPr>
          </w:pPr>
          <w:hyperlink w:anchor="_Toc233629100" w:history="1">
            <w:r w:rsidRPr="00855426">
              <w:rPr>
                <w:rStyle w:val="Hyperlink"/>
                <w:noProof/>
                <w:lang w:val="en-US"/>
              </w:rPr>
              <w:t>1.1 Background to Study</w:t>
            </w:r>
            <w:r>
              <w:rPr>
                <w:noProof/>
                <w:webHidden/>
              </w:rPr>
              <w:tab/>
            </w:r>
            <w:r>
              <w:rPr>
                <w:noProof/>
                <w:webHidden/>
              </w:rPr>
              <w:fldChar w:fldCharType="begin"/>
            </w:r>
            <w:r>
              <w:rPr>
                <w:noProof/>
                <w:webHidden/>
              </w:rPr>
              <w:instrText xml:space="preserve"> PAGEREF _Toc233629100 \h </w:instrText>
            </w:r>
            <w:r>
              <w:rPr>
                <w:noProof/>
                <w:webHidden/>
              </w:rPr>
            </w:r>
            <w:r>
              <w:rPr>
                <w:noProof/>
                <w:webHidden/>
              </w:rPr>
              <w:fldChar w:fldCharType="separate"/>
            </w:r>
            <w:r>
              <w:rPr>
                <w:noProof/>
                <w:webHidden/>
              </w:rPr>
              <w:t>10</w:t>
            </w:r>
            <w:r>
              <w:rPr>
                <w:noProof/>
                <w:webHidden/>
              </w:rPr>
              <w:fldChar w:fldCharType="end"/>
            </w:r>
          </w:hyperlink>
        </w:p>
        <w:p w14:paraId="07229ADC" w14:textId="4A3FDFF6" w:rsidR="00E6400E" w:rsidRDefault="00E6400E">
          <w:pPr>
            <w:pStyle w:val="TOC2"/>
            <w:tabs>
              <w:tab w:val="right" w:leader="dot" w:pos="9345"/>
            </w:tabs>
            <w:rPr>
              <w:rFonts w:eastAsiaTheme="minorEastAsia"/>
              <w:noProof/>
              <w:lang w:eastAsia="ru-RU"/>
            </w:rPr>
          </w:pPr>
          <w:hyperlink w:anchor="_Toc233629101" w:history="1">
            <w:r w:rsidRPr="00855426">
              <w:rPr>
                <w:rStyle w:val="Hyperlink"/>
                <w:rFonts w:ascii="Arial" w:hAnsi="Arial" w:cs="Arial"/>
                <w:noProof/>
                <w:lang w:val="en-US"/>
              </w:rPr>
              <w:t>1.2 Research Problem</w:t>
            </w:r>
            <w:r>
              <w:rPr>
                <w:noProof/>
                <w:webHidden/>
              </w:rPr>
              <w:tab/>
            </w:r>
            <w:r>
              <w:rPr>
                <w:noProof/>
                <w:webHidden/>
              </w:rPr>
              <w:fldChar w:fldCharType="begin"/>
            </w:r>
            <w:r>
              <w:rPr>
                <w:noProof/>
                <w:webHidden/>
              </w:rPr>
              <w:instrText xml:space="preserve"> PAGEREF _Toc233629101 \h </w:instrText>
            </w:r>
            <w:r>
              <w:rPr>
                <w:noProof/>
                <w:webHidden/>
              </w:rPr>
            </w:r>
            <w:r>
              <w:rPr>
                <w:noProof/>
                <w:webHidden/>
              </w:rPr>
              <w:fldChar w:fldCharType="separate"/>
            </w:r>
            <w:r>
              <w:rPr>
                <w:noProof/>
                <w:webHidden/>
              </w:rPr>
              <w:t>11</w:t>
            </w:r>
            <w:r>
              <w:rPr>
                <w:noProof/>
                <w:webHidden/>
              </w:rPr>
              <w:fldChar w:fldCharType="end"/>
            </w:r>
          </w:hyperlink>
        </w:p>
        <w:p w14:paraId="559B8E1C" w14:textId="3481591F" w:rsidR="00E6400E" w:rsidRDefault="00E6400E">
          <w:pPr>
            <w:pStyle w:val="TOC2"/>
            <w:tabs>
              <w:tab w:val="right" w:leader="dot" w:pos="9345"/>
            </w:tabs>
            <w:rPr>
              <w:rFonts w:eastAsiaTheme="minorEastAsia"/>
              <w:noProof/>
              <w:lang w:eastAsia="ru-RU"/>
            </w:rPr>
          </w:pPr>
          <w:hyperlink w:anchor="_Toc233629102" w:history="1">
            <w:r w:rsidRPr="00855426">
              <w:rPr>
                <w:rStyle w:val="Hyperlink"/>
                <w:rFonts w:ascii="Arial" w:hAnsi="Arial" w:cs="Arial"/>
                <w:noProof/>
                <w:lang w:val="en-US"/>
              </w:rPr>
              <w:t>1.3 Rationale for the Study</w:t>
            </w:r>
            <w:r>
              <w:rPr>
                <w:noProof/>
                <w:webHidden/>
              </w:rPr>
              <w:tab/>
            </w:r>
            <w:r>
              <w:rPr>
                <w:noProof/>
                <w:webHidden/>
              </w:rPr>
              <w:fldChar w:fldCharType="begin"/>
            </w:r>
            <w:r>
              <w:rPr>
                <w:noProof/>
                <w:webHidden/>
              </w:rPr>
              <w:instrText xml:space="preserve"> PAGEREF _Toc233629102 \h </w:instrText>
            </w:r>
            <w:r>
              <w:rPr>
                <w:noProof/>
                <w:webHidden/>
              </w:rPr>
            </w:r>
            <w:r>
              <w:rPr>
                <w:noProof/>
                <w:webHidden/>
              </w:rPr>
              <w:fldChar w:fldCharType="separate"/>
            </w:r>
            <w:r>
              <w:rPr>
                <w:noProof/>
                <w:webHidden/>
              </w:rPr>
              <w:t>11</w:t>
            </w:r>
            <w:r>
              <w:rPr>
                <w:noProof/>
                <w:webHidden/>
              </w:rPr>
              <w:fldChar w:fldCharType="end"/>
            </w:r>
          </w:hyperlink>
        </w:p>
        <w:p w14:paraId="4BA7BE1C" w14:textId="27EBA23B" w:rsidR="00E6400E" w:rsidRDefault="00E6400E">
          <w:pPr>
            <w:pStyle w:val="TOC2"/>
            <w:tabs>
              <w:tab w:val="right" w:leader="dot" w:pos="9345"/>
            </w:tabs>
            <w:rPr>
              <w:rFonts w:eastAsiaTheme="minorEastAsia"/>
              <w:noProof/>
              <w:lang w:eastAsia="ru-RU"/>
            </w:rPr>
          </w:pPr>
          <w:hyperlink w:anchor="_Toc233629103" w:history="1">
            <w:r w:rsidRPr="00855426">
              <w:rPr>
                <w:rStyle w:val="Hyperlink"/>
                <w:rFonts w:ascii="Arial" w:hAnsi="Arial" w:cs="Arial"/>
                <w:noProof/>
                <w:lang w:val="en-US"/>
              </w:rPr>
              <w:t>1.4 Aim and Objectives</w:t>
            </w:r>
            <w:r>
              <w:rPr>
                <w:noProof/>
                <w:webHidden/>
              </w:rPr>
              <w:tab/>
            </w:r>
            <w:r>
              <w:rPr>
                <w:noProof/>
                <w:webHidden/>
              </w:rPr>
              <w:fldChar w:fldCharType="begin"/>
            </w:r>
            <w:r>
              <w:rPr>
                <w:noProof/>
                <w:webHidden/>
              </w:rPr>
              <w:instrText xml:space="preserve"> PAGEREF _Toc233629103 \h </w:instrText>
            </w:r>
            <w:r>
              <w:rPr>
                <w:noProof/>
                <w:webHidden/>
              </w:rPr>
            </w:r>
            <w:r>
              <w:rPr>
                <w:noProof/>
                <w:webHidden/>
              </w:rPr>
              <w:fldChar w:fldCharType="separate"/>
            </w:r>
            <w:r>
              <w:rPr>
                <w:noProof/>
                <w:webHidden/>
              </w:rPr>
              <w:t>12</w:t>
            </w:r>
            <w:r>
              <w:rPr>
                <w:noProof/>
                <w:webHidden/>
              </w:rPr>
              <w:fldChar w:fldCharType="end"/>
            </w:r>
          </w:hyperlink>
        </w:p>
        <w:p w14:paraId="7D350E43" w14:textId="564274F4" w:rsidR="00E6400E" w:rsidRDefault="00E6400E">
          <w:pPr>
            <w:pStyle w:val="TOC2"/>
            <w:tabs>
              <w:tab w:val="right" w:leader="dot" w:pos="9345"/>
            </w:tabs>
            <w:rPr>
              <w:rFonts w:eastAsiaTheme="minorEastAsia"/>
              <w:noProof/>
              <w:lang w:eastAsia="ru-RU"/>
            </w:rPr>
          </w:pPr>
          <w:hyperlink w:anchor="_Toc233629104" w:history="1">
            <w:r w:rsidRPr="00855426">
              <w:rPr>
                <w:rStyle w:val="Hyperlink"/>
                <w:rFonts w:ascii="Arial" w:hAnsi="Arial" w:cs="Arial"/>
                <w:noProof/>
                <w:lang w:val="en-US"/>
              </w:rPr>
              <w:t>1.5 Scope of the Study</w:t>
            </w:r>
            <w:r>
              <w:rPr>
                <w:noProof/>
                <w:webHidden/>
              </w:rPr>
              <w:tab/>
            </w:r>
            <w:r>
              <w:rPr>
                <w:noProof/>
                <w:webHidden/>
              </w:rPr>
              <w:fldChar w:fldCharType="begin"/>
            </w:r>
            <w:r>
              <w:rPr>
                <w:noProof/>
                <w:webHidden/>
              </w:rPr>
              <w:instrText xml:space="preserve"> PAGEREF _Toc233629104 \h </w:instrText>
            </w:r>
            <w:r>
              <w:rPr>
                <w:noProof/>
                <w:webHidden/>
              </w:rPr>
            </w:r>
            <w:r>
              <w:rPr>
                <w:noProof/>
                <w:webHidden/>
              </w:rPr>
              <w:fldChar w:fldCharType="separate"/>
            </w:r>
            <w:r>
              <w:rPr>
                <w:noProof/>
                <w:webHidden/>
              </w:rPr>
              <w:t>13</w:t>
            </w:r>
            <w:r>
              <w:rPr>
                <w:noProof/>
                <w:webHidden/>
              </w:rPr>
              <w:fldChar w:fldCharType="end"/>
            </w:r>
          </w:hyperlink>
        </w:p>
        <w:p w14:paraId="7771153A" w14:textId="2B8B0939" w:rsidR="00E6400E" w:rsidRDefault="00E6400E">
          <w:pPr>
            <w:pStyle w:val="TOC2"/>
            <w:tabs>
              <w:tab w:val="right" w:leader="dot" w:pos="9345"/>
            </w:tabs>
            <w:rPr>
              <w:rFonts w:eastAsiaTheme="minorEastAsia"/>
              <w:noProof/>
              <w:lang w:eastAsia="ru-RU"/>
            </w:rPr>
          </w:pPr>
          <w:hyperlink w:anchor="_Toc233629105" w:history="1">
            <w:r w:rsidRPr="00855426">
              <w:rPr>
                <w:rStyle w:val="Hyperlink"/>
                <w:rFonts w:ascii="Arial" w:hAnsi="Arial" w:cs="Arial"/>
                <w:noProof/>
                <w:lang w:val="en-US"/>
              </w:rPr>
              <w:t>1.6 Structure of the Dissertation</w:t>
            </w:r>
            <w:r>
              <w:rPr>
                <w:noProof/>
                <w:webHidden/>
              </w:rPr>
              <w:tab/>
            </w:r>
            <w:r>
              <w:rPr>
                <w:noProof/>
                <w:webHidden/>
              </w:rPr>
              <w:fldChar w:fldCharType="begin"/>
            </w:r>
            <w:r>
              <w:rPr>
                <w:noProof/>
                <w:webHidden/>
              </w:rPr>
              <w:instrText xml:space="preserve"> PAGEREF _Toc233629105 \h </w:instrText>
            </w:r>
            <w:r>
              <w:rPr>
                <w:noProof/>
                <w:webHidden/>
              </w:rPr>
            </w:r>
            <w:r>
              <w:rPr>
                <w:noProof/>
                <w:webHidden/>
              </w:rPr>
              <w:fldChar w:fldCharType="separate"/>
            </w:r>
            <w:r>
              <w:rPr>
                <w:noProof/>
                <w:webHidden/>
              </w:rPr>
              <w:t>13</w:t>
            </w:r>
            <w:r>
              <w:rPr>
                <w:noProof/>
                <w:webHidden/>
              </w:rPr>
              <w:fldChar w:fldCharType="end"/>
            </w:r>
          </w:hyperlink>
        </w:p>
        <w:p w14:paraId="484839B2" w14:textId="28AB72C5" w:rsidR="00E6400E" w:rsidRDefault="00E6400E">
          <w:pPr>
            <w:pStyle w:val="TOC1"/>
            <w:tabs>
              <w:tab w:val="right" w:leader="dot" w:pos="9345"/>
            </w:tabs>
            <w:rPr>
              <w:rFonts w:eastAsiaTheme="minorEastAsia"/>
              <w:noProof/>
              <w:lang w:eastAsia="ru-RU"/>
            </w:rPr>
          </w:pPr>
          <w:hyperlink w:anchor="_Toc233629106" w:history="1">
            <w:r w:rsidRPr="00855426">
              <w:rPr>
                <w:rStyle w:val="Hyperlink"/>
                <w:rFonts w:ascii="Arial" w:hAnsi="Arial" w:cs="Arial"/>
                <w:noProof/>
                <w:lang w:val="en-US"/>
              </w:rPr>
              <w:t>Chapter 2: Literature Review and Theoretical Framework</w:t>
            </w:r>
            <w:r>
              <w:rPr>
                <w:noProof/>
                <w:webHidden/>
              </w:rPr>
              <w:tab/>
            </w:r>
            <w:r>
              <w:rPr>
                <w:noProof/>
                <w:webHidden/>
              </w:rPr>
              <w:fldChar w:fldCharType="begin"/>
            </w:r>
            <w:r>
              <w:rPr>
                <w:noProof/>
                <w:webHidden/>
              </w:rPr>
              <w:instrText xml:space="preserve"> PAGEREF _Toc233629106 \h </w:instrText>
            </w:r>
            <w:r>
              <w:rPr>
                <w:noProof/>
                <w:webHidden/>
              </w:rPr>
            </w:r>
            <w:r>
              <w:rPr>
                <w:noProof/>
                <w:webHidden/>
              </w:rPr>
              <w:fldChar w:fldCharType="separate"/>
            </w:r>
            <w:r>
              <w:rPr>
                <w:noProof/>
                <w:webHidden/>
              </w:rPr>
              <w:t>14</w:t>
            </w:r>
            <w:r>
              <w:rPr>
                <w:noProof/>
                <w:webHidden/>
              </w:rPr>
              <w:fldChar w:fldCharType="end"/>
            </w:r>
          </w:hyperlink>
        </w:p>
        <w:p w14:paraId="15DA4399" w14:textId="510E6739" w:rsidR="00E6400E" w:rsidRDefault="00E6400E">
          <w:pPr>
            <w:pStyle w:val="TOC2"/>
            <w:tabs>
              <w:tab w:val="right" w:leader="dot" w:pos="9345"/>
            </w:tabs>
            <w:rPr>
              <w:rFonts w:eastAsiaTheme="minorEastAsia"/>
              <w:noProof/>
              <w:lang w:eastAsia="ru-RU"/>
            </w:rPr>
          </w:pPr>
          <w:hyperlink w:anchor="_Toc233629107" w:history="1">
            <w:r w:rsidRPr="00855426">
              <w:rPr>
                <w:rStyle w:val="Hyperlink"/>
                <w:rFonts w:ascii="Arial" w:hAnsi="Arial" w:cs="Arial"/>
                <w:noProof/>
                <w:lang w:val="en-US"/>
              </w:rPr>
              <w:t>2.1 Introduction</w:t>
            </w:r>
            <w:r>
              <w:rPr>
                <w:noProof/>
                <w:webHidden/>
              </w:rPr>
              <w:tab/>
            </w:r>
            <w:r>
              <w:rPr>
                <w:noProof/>
                <w:webHidden/>
              </w:rPr>
              <w:fldChar w:fldCharType="begin"/>
            </w:r>
            <w:r>
              <w:rPr>
                <w:noProof/>
                <w:webHidden/>
              </w:rPr>
              <w:instrText xml:space="preserve"> PAGEREF _Toc233629107 \h </w:instrText>
            </w:r>
            <w:r>
              <w:rPr>
                <w:noProof/>
                <w:webHidden/>
              </w:rPr>
            </w:r>
            <w:r>
              <w:rPr>
                <w:noProof/>
                <w:webHidden/>
              </w:rPr>
              <w:fldChar w:fldCharType="separate"/>
            </w:r>
            <w:r>
              <w:rPr>
                <w:noProof/>
                <w:webHidden/>
              </w:rPr>
              <w:t>14</w:t>
            </w:r>
            <w:r>
              <w:rPr>
                <w:noProof/>
                <w:webHidden/>
              </w:rPr>
              <w:fldChar w:fldCharType="end"/>
            </w:r>
          </w:hyperlink>
        </w:p>
        <w:p w14:paraId="71600791" w14:textId="3F6390A9" w:rsidR="00E6400E" w:rsidRDefault="00E6400E">
          <w:pPr>
            <w:pStyle w:val="TOC2"/>
            <w:tabs>
              <w:tab w:val="right" w:leader="dot" w:pos="9345"/>
            </w:tabs>
            <w:rPr>
              <w:rFonts w:eastAsiaTheme="minorEastAsia"/>
              <w:noProof/>
              <w:lang w:eastAsia="ru-RU"/>
            </w:rPr>
          </w:pPr>
          <w:hyperlink w:anchor="_Toc233629108" w:history="1">
            <w:r w:rsidRPr="00855426">
              <w:rPr>
                <w:rStyle w:val="Hyperlink"/>
                <w:rFonts w:ascii="Arial" w:hAnsi="Arial" w:cs="Arial"/>
                <w:noProof/>
                <w:lang w:val="en-US"/>
              </w:rPr>
              <w:t>2.2 Child and Adolescent Mental Health in the United Kingdom</w:t>
            </w:r>
            <w:r>
              <w:rPr>
                <w:noProof/>
                <w:webHidden/>
              </w:rPr>
              <w:tab/>
            </w:r>
            <w:r>
              <w:rPr>
                <w:noProof/>
                <w:webHidden/>
              </w:rPr>
              <w:fldChar w:fldCharType="begin"/>
            </w:r>
            <w:r>
              <w:rPr>
                <w:noProof/>
                <w:webHidden/>
              </w:rPr>
              <w:instrText xml:space="preserve"> PAGEREF _Toc233629108 \h </w:instrText>
            </w:r>
            <w:r>
              <w:rPr>
                <w:noProof/>
                <w:webHidden/>
              </w:rPr>
            </w:r>
            <w:r>
              <w:rPr>
                <w:noProof/>
                <w:webHidden/>
              </w:rPr>
              <w:fldChar w:fldCharType="separate"/>
            </w:r>
            <w:r>
              <w:rPr>
                <w:noProof/>
                <w:webHidden/>
              </w:rPr>
              <w:t>14</w:t>
            </w:r>
            <w:r>
              <w:rPr>
                <w:noProof/>
                <w:webHidden/>
              </w:rPr>
              <w:fldChar w:fldCharType="end"/>
            </w:r>
          </w:hyperlink>
        </w:p>
        <w:p w14:paraId="0C0F2E5B" w14:textId="5704B0A7" w:rsidR="00E6400E" w:rsidRDefault="00E6400E">
          <w:pPr>
            <w:pStyle w:val="TOC2"/>
            <w:tabs>
              <w:tab w:val="right" w:leader="dot" w:pos="9345"/>
            </w:tabs>
            <w:rPr>
              <w:rFonts w:eastAsiaTheme="minorEastAsia"/>
              <w:noProof/>
              <w:lang w:eastAsia="ru-RU"/>
            </w:rPr>
          </w:pPr>
          <w:hyperlink w:anchor="_Toc233629109" w:history="1">
            <w:r w:rsidRPr="00855426">
              <w:rPr>
                <w:rStyle w:val="Hyperlink"/>
                <w:rFonts w:ascii="Arial" w:hAnsi="Arial" w:cs="Arial"/>
                <w:noProof/>
                <w:lang w:val="en-US"/>
              </w:rPr>
              <w:t>2.3 Overview of CAMHS in the United Kingdom</w:t>
            </w:r>
            <w:r>
              <w:rPr>
                <w:noProof/>
                <w:webHidden/>
              </w:rPr>
              <w:tab/>
            </w:r>
            <w:r>
              <w:rPr>
                <w:noProof/>
                <w:webHidden/>
              </w:rPr>
              <w:fldChar w:fldCharType="begin"/>
            </w:r>
            <w:r>
              <w:rPr>
                <w:noProof/>
                <w:webHidden/>
              </w:rPr>
              <w:instrText xml:space="preserve"> PAGEREF _Toc233629109 \h </w:instrText>
            </w:r>
            <w:r>
              <w:rPr>
                <w:noProof/>
                <w:webHidden/>
              </w:rPr>
            </w:r>
            <w:r>
              <w:rPr>
                <w:noProof/>
                <w:webHidden/>
              </w:rPr>
              <w:fldChar w:fldCharType="separate"/>
            </w:r>
            <w:r>
              <w:rPr>
                <w:noProof/>
                <w:webHidden/>
              </w:rPr>
              <w:t>15</w:t>
            </w:r>
            <w:r>
              <w:rPr>
                <w:noProof/>
                <w:webHidden/>
              </w:rPr>
              <w:fldChar w:fldCharType="end"/>
            </w:r>
          </w:hyperlink>
        </w:p>
        <w:p w14:paraId="3D720318" w14:textId="3030F7DB" w:rsidR="00E6400E" w:rsidRDefault="00E6400E">
          <w:pPr>
            <w:pStyle w:val="TOC2"/>
            <w:tabs>
              <w:tab w:val="right" w:leader="dot" w:pos="9345"/>
            </w:tabs>
            <w:rPr>
              <w:rFonts w:eastAsiaTheme="minorEastAsia"/>
              <w:noProof/>
              <w:lang w:eastAsia="ru-RU"/>
            </w:rPr>
          </w:pPr>
          <w:hyperlink w:anchor="_Toc233629110" w:history="1">
            <w:r w:rsidRPr="00855426">
              <w:rPr>
                <w:rStyle w:val="Hyperlink"/>
                <w:rFonts w:ascii="Arial" w:hAnsi="Arial" w:cs="Arial"/>
                <w:noProof/>
                <w:lang w:val="en-US"/>
              </w:rPr>
              <w:t>2.4 Theoretical and Conceptual Framework</w:t>
            </w:r>
            <w:r>
              <w:rPr>
                <w:noProof/>
                <w:webHidden/>
              </w:rPr>
              <w:tab/>
            </w:r>
            <w:r>
              <w:rPr>
                <w:noProof/>
                <w:webHidden/>
              </w:rPr>
              <w:fldChar w:fldCharType="begin"/>
            </w:r>
            <w:r>
              <w:rPr>
                <w:noProof/>
                <w:webHidden/>
              </w:rPr>
              <w:instrText xml:space="preserve"> PAGEREF _Toc233629110 \h </w:instrText>
            </w:r>
            <w:r>
              <w:rPr>
                <w:noProof/>
                <w:webHidden/>
              </w:rPr>
            </w:r>
            <w:r>
              <w:rPr>
                <w:noProof/>
                <w:webHidden/>
              </w:rPr>
              <w:fldChar w:fldCharType="separate"/>
            </w:r>
            <w:r>
              <w:rPr>
                <w:noProof/>
                <w:webHidden/>
              </w:rPr>
              <w:t>16</w:t>
            </w:r>
            <w:r>
              <w:rPr>
                <w:noProof/>
                <w:webHidden/>
              </w:rPr>
              <w:fldChar w:fldCharType="end"/>
            </w:r>
          </w:hyperlink>
        </w:p>
        <w:p w14:paraId="59ED85BC" w14:textId="06BA160D" w:rsidR="00E6400E" w:rsidRDefault="00E6400E">
          <w:pPr>
            <w:pStyle w:val="TOC2"/>
            <w:tabs>
              <w:tab w:val="right" w:leader="dot" w:pos="9345"/>
            </w:tabs>
            <w:rPr>
              <w:rFonts w:eastAsiaTheme="minorEastAsia"/>
              <w:noProof/>
              <w:lang w:eastAsia="ru-RU"/>
            </w:rPr>
          </w:pPr>
          <w:hyperlink w:anchor="_Toc233629111" w:history="1">
            <w:r w:rsidRPr="00855426">
              <w:rPr>
                <w:rStyle w:val="Hyperlink"/>
                <w:rFonts w:ascii="Arial" w:hAnsi="Arial" w:cs="Arial"/>
                <w:noProof/>
                <w:lang w:val="en-US"/>
              </w:rPr>
              <w:t>2.5 Structural Barriers to CAMHS Access</w:t>
            </w:r>
            <w:r>
              <w:rPr>
                <w:noProof/>
                <w:webHidden/>
              </w:rPr>
              <w:tab/>
            </w:r>
            <w:r>
              <w:rPr>
                <w:noProof/>
                <w:webHidden/>
              </w:rPr>
              <w:fldChar w:fldCharType="begin"/>
            </w:r>
            <w:r>
              <w:rPr>
                <w:noProof/>
                <w:webHidden/>
              </w:rPr>
              <w:instrText xml:space="preserve"> PAGEREF _Toc233629111 \h </w:instrText>
            </w:r>
            <w:r>
              <w:rPr>
                <w:noProof/>
                <w:webHidden/>
              </w:rPr>
            </w:r>
            <w:r>
              <w:rPr>
                <w:noProof/>
                <w:webHidden/>
              </w:rPr>
              <w:fldChar w:fldCharType="separate"/>
            </w:r>
            <w:r>
              <w:rPr>
                <w:noProof/>
                <w:webHidden/>
              </w:rPr>
              <w:t>17</w:t>
            </w:r>
            <w:r>
              <w:rPr>
                <w:noProof/>
                <w:webHidden/>
              </w:rPr>
              <w:fldChar w:fldCharType="end"/>
            </w:r>
          </w:hyperlink>
        </w:p>
        <w:p w14:paraId="08306B38" w14:textId="30B1A6B5" w:rsidR="00E6400E" w:rsidRDefault="00E6400E">
          <w:pPr>
            <w:pStyle w:val="TOC2"/>
            <w:tabs>
              <w:tab w:val="right" w:leader="dot" w:pos="9345"/>
            </w:tabs>
            <w:rPr>
              <w:rFonts w:eastAsiaTheme="minorEastAsia"/>
              <w:noProof/>
              <w:lang w:eastAsia="ru-RU"/>
            </w:rPr>
          </w:pPr>
          <w:hyperlink w:anchor="_Toc233629112" w:history="1">
            <w:r w:rsidRPr="00855426">
              <w:rPr>
                <w:rStyle w:val="Hyperlink"/>
                <w:rFonts w:ascii="Arial" w:hAnsi="Arial" w:cs="Arial"/>
                <w:noProof/>
                <w:lang w:val="en-US"/>
              </w:rPr>
              <w:t>2.6 Socioeconomic Inequalities and CAMHS Access</w:t>
            </w:r>
            <w:r>
              <w:rPr>
                <w:noProof/>
                <w:webHidden/>
              </w:rPr>
              <w:tab/>
            </w:r>
            <w:r>
              <w:rPr>
                <w:noProof/>
                <w:webHidden/>
              </w:rPr>
              <w:fldChar w:fldCharType="begin"/>
            </w:r>
            <w:r>
              <w:rPr>
                <w:noProof/>
                <w:webHidden/>
              </w:rPr>
              <w:instrText xml:space="preserve"> PAGEREF _Toc233629112 \h </w:instrText>
            </w:r>
            <w:r>
              <w:rPr>
                <w:noProof/>
                <w:webHidden/>
              </w:rPr>
            </w:r>
            <w:r>
              <w:rPr>
                <w:noProof/>
                <w:webHidden/>
              </w:rPr>
              <w:fldChar w:fldCharType="separate"/>
            </w:r>
            <w:r>
              <w:rPr>
                <w:noProof/>
                <w:webHidden/>
              </w:rPr>
              <w:t>18</w:t>
            </w:r>
            <w:r>
              <w:rPr>
                <w:noProof/>
                <w:webHidden/>
              </w:rPr>
              <w:fldChar w:fldCharType="end"/>
            </w:r>
          </w:hyperlink>
        </w:p>
        <w:p w14:paraId="448E08BA" w14:textId="2529BE13" w:rsidR="00E6400E" w:rsidRDefault="00E6400E">
          <w:pPr>
            <w:pStyle w:val="TOC2"/>
            <w:tabs>
              <w:tab w:val="right" w:leader="dot" w:pos="9345"/>
            </w:tabs>
            <w:rPr>
              <w:rFonts w:eastAsiaTheme="minorEastAsia"/>
              <w:noProof/>
              <w:lang w:eastAsia="ru-RU"/>
            </w:rPr>
          </w:pPr>
          <w:hyperlink w:anchor="_Toc233629113" w:history="1">
            <w:r w:rsidRPr="00855426">
              <w:rPr>
                <w:rStyle w:val="Hyperlink"/>
                <w:rFonts w:ascii="Arial" w:hAnsi="Arial" w:cs="Arial"/>
                <w:noProof/>
                <w:lang w:val="en-US"/>
              </w:rPr>
              <w:t>2.7 Stigma, Help-Seeking, and Family-Level Barriers</w:t>
            </w:r>
            <w:r>
              <w:rPr>
                <w:noProof/>
                <w:webHidden/>
              </w:rPr>
              <w:tab/>
            </w:r>
            <w:r>
              <w:rPr>
                <w:noProof/>
                <w:webHidden/>
              </w:rPr>
              <w:fldChar w:fldCharType="begin"/>
            </w:r>
            <w:r>
              <w:rPr>
                <w:noProof/>
                <w:webHidden/>
              </w:rPr>
              <w:instrText xml:space="preserve"> PAGEREF _Toc233629113 \h </w:instrText>
            </w:r>
            <w:r>
              <w:rPr>
                <w:noProof/>
                <w:webHidden/>
              </w:rPr>
            </w:r>
            <w:r>
              <w:rPr>
                <w:noProof/>
                <w:webHidden/>
              </w:rPr>
              <w:fldChar w:fldCharType="separate"/>
            </w:r>
            <w:r>
              <w:rPr>
                <w:noProof/>
                <w:webHidden/>
              </w:rPr>
              <w:t>20</w:t>
            </w:r>
            <w:r>
              <w:rPr>
                <w:noProof/>
                <w:webHidden/>
              </w:rPr>
              <w:fldChar w:fldCharType="end"/>
            </w:r>
          </w:hyperlink>
        </w:p>
        <w:p w14:paraId="17F1A90E" w14:textId="00787AB3" w:rsidR="00E6400E" w:rsidRDefault="00E6400E">
          <w:pPr>
            <w:pStyle w:val="TOC2"/>
            <w:tabs>
              <w:tab w:val="right" w:leader="dot" w:pos="9345"/>
            </w:tabs>
            <w:rPr>
              <w:rFonts w:eastAsiaTheme="minorEastAsia"/>
              <w:noProof/>
              <w:lang w:eastAsia="ru-RU"/>
            </w:rPr>
          </w:pPr>
          <w:hyperlink w:anchor="_Toc233629114" w:history="1">
            <w:r w:rsidRPr="00855426">
              <w:rPr>
                <w:rStyle w:val="Hyperlink"/>
                <w:rFonts w:ascii="Arial" w:hAnsi="Arial" w:cs="Arial"/>
                <w:noProof/>
                <w:lang w:val="en-US"/>
              </w:rPr>
              <w:t>2.8 Enablers of CAMHS Access</w:t>
            </w:r>
            <w:r>
              <w:rPr>
                <w:noProof/>
                <w:webHidden/>
              </w:rPr>
              <w:tab/>
            </w:r>
            <w:r>
              <w:rPr>
                <w:noProof/>
                <w:webHidden/>
              </w:rPr>
              <w:fldChar w:fldCharType="begin"/>
            </w:r>
            <w:r>
              <w:rPr>
                <w:noProof/>
                <w:webHidden/>
              </w:rPr>
              <w:instrText xml:space="preserve"> PAGEREF _Toc233629114 \h </w:instrText>
            </w:r>
            <w:r>
              <w:rPr>
                <w:noProof/>
                <w:webHidden/>
              </w:rPr>
            </w:r>
            <w:r>
              <w:rPr>
                <w:noProof/>
                <w:webHidden/>
              </w:rPr>
              <w:fldChar w:fldCharType="separate"/>
            </w:r>
            <w:r>
              <w:rPr>
                <w:noProof/>
                <w:webHidden/>
              </w:rPr>
              <w:t>21</w:t>
            </w:r>
            <w:r>
              <w:rPr>
                <w:noProof/>
                <w:webHidden/>
              </w:rPr>
              <w:fldChar w:fldCharType="end"/>
            </w:r>
          </w:hyperlink>
        </w:p>
        <w:p w14:paraId="2CEF3DA0" w14:textId="2A2C9F84" w:rsidR="00E6400E" w:rsidRDefault="00E6400E">
          <w:pPr>
            <w:pStyle w:val="TOC2"/>
            <w:tabs>
              <w:tab w:val="right" w:leader="dot" w:pos="9345"/>
            </w:tabs>
            <w:rPr>
              <w:rFonts w:eastAsiaTheme="minorEastAsia"/>
              <w:noProof/>
              <w:lang w:eastAsia="ru-RU"/>
            </w:rPr>
          </w:pPr>
          <w:hyperlink w:anchor="_Toc233629115" w:history="1">
            <w:r w:rsidRPr="00855426">
              <w:rPr>
                <w:rStyle w:val="Hyperlink"/>
                <w:rFonts w:ascii="Arial" w:hAnsi="Arial" w:cs="Arial"/>
                <w:noProof/>
                <w:lang w:val="en-US"/>
              </w:rPr>
              <w:t>2.9 Synthesis of the Literature and Conceptual Framework</w:t>
            </w:r>
            <w:r>
              <w:rPr>
                <w:noProof/>
                <w:webHidden/>
              </w:rPr>
              <w:tab/>
            </w:r>
            <w:r>
              <w:rPr>
                <w:noProof/>
                <w:webHidden/>
              </w:rPr>
              <w:fldChar w:fldCharType="begin"/>
            </w:r>
            <w:r>
              <w:rPr>
                <w:noProof/>
                <w:webHidden/>
              </w:rPr>
              <w:instrText xml:space="preserve"> PAGEREF _Toc233629115 \h </w:instrText>
            </w:r>
            <w:r>
              <w:rPr>
                <w:noProof/>
                <w:webHidden/>
              </w:rPr>
            </w:r>
            <w:r>
              <w:rPr>
                <w:noProof/>
                <w:webHidden/>
              </w:rPr>
              <w:fldChar w:fldCharType="separate"/>
            </w:r>
            <w:r>
              <w:rPr>
                <w:noProof/>
                <w:webHidden/>
              </w:rPr>
              <w:t>22</w:t>
            </w:r>
            <w:r>
              <w:rPr>
                <w:noProof/>
                <w:webHidden/>
              </w:rPr>
              <w:fldChar w:fldCharType="end"/>
            </w:r>
          </w:hyperlink>
        </w:p>
        <w:p w14:paraId="711BFE29" w14:textId="7B81968F" w:rsidR="00E6400E" w:rsidRDefault="00E6400E">
          <w:pPr>
            <w:pStyle w:val="TOC2"/>
            <w:tabs>
              <w:tab w:val="right" w:leader="dot" w:pos="9345"/>
            </w:tabs>
            <w:rPr>
              <w:rFonts w:eastAsiaTheme="minorEastAsia"/>
              <w:noProof/>
              <w:lang w:eastAsia="ru-RU"/>
            </w:rPr>
          </w:pPr>
          <w:hyperlink w:anchor="_Toc233629116" w:history="1">
            <w:r w:rsidRPr="00855426">
              <w:rPr>
                <w:rStyle w:val="Hyperlink"/>
                <w:rFonts w:ascii="Arial" w:hAnsi="Arial" w:cs="Arial"/>
                <w:noProof/>
                <w:lang w:val="en-US"/>
              </w:rPr>
              <w:t>2.10 Gaps in Literature</w:t>
            </w:r>
            <w:r>
              <w:rPr>
                <w:noProof/>
                <w:webHidden/>
              </w:rPr>
              <w:tab/>
            </w:r>
            <w:r>
              <w:rPr>
                <w:noProof/>
                <w:webHidden/>
              </w:rPr>
              <w:fldChar w:fldCharType="begin"/>
            </w:r>
            <w:r>
              <w:rPr>
                <w:noProof/>
                <w:webHidden/>
              </w:rPr>
              <w:instrText xml:space="preserve"> PAGEREF _Toc233629116 \h </w:instrText>
            </w:r>
            <w:r>
              <w:rPr>
                <w:noProof/>
                <w:webHidden/>
              </w:rPr>
            </w:r>
            <w:r>
              <w:rPr>
                <w:noProof/>
                <w:webHidden/>
              </w:rPr>
              <w:fldChar w:fldCharType="separate"/>
            </w:r>
            <w:r>
              <w:rPr>
                <w:noProof/>
                <w:webHidden/>
              </w:rPr>
              <w:t>24</w:t>
            </w:r>
            <w:r>
              <w:rPr>
                <w:noProof/>
                <w:webHidden/>
              </w:rPr>
              <w:fldChar w:fldCharType="end"/>
            </w:r>
          </w:hyperlink>
        </w:p>
        <w:p w14:paraId="59F25F55" w14:textId="21B19274" w:rsidR="00E6400E" w:rsidRDefault="00E6400E">
          <w:pPr>
            <w:pStyle w:val="TOC2"/>
            <w:tabs>
              <w:tab w:val="right" w:leader="dot" w:pos="9345"/>
            </w:tabs>
            <w:rPr>
              <w:rFonts w:eastAsiaTheme="minorEastAsia"/>
              <w:noProof/>
              <w:lang w:eastAsia="ru-RU"/>
            </w:rPr>
          </w:pPr>
          <w:hyperlink w:anchor="_Toc233629117" w:history="1">
            <w:r w:rsidRPr="00855426">
              <w:rPr>
                <w:rStyle w:val="Hyperlink"/>
                <w:rFonts w:ascii="Arial" w:hAnsi="Arial" w:cs="Arial"/>
                <w:noProof/>
                <w:lang w:val="en-US"/>
              </w:rPr>
              <w:t>2.11 Chapter Summary</w:t>
            </w:r>
            <w:r>
              <w:rPr>
                <w:noProof/>
                <w:webHidden/>
              </w:rPr>
              <w:tab/>
            </w:r>
            <w:r>
              <w:rPr>
                <w:noProof/>
                <w:webHidden/>
              </w:rPr>
              <w:fldChar w:fldCharType="begin"/>
            </w:r>
            <w:r>
              <w:rPr>
                <w:noProof/>
                <w:webHidden/>
              </w:rPr>
              <w:instrText xml:space="preserve"> PAGEREF _Toc233629117 \h </w:instrText>
            </w:r>
            <w:r>
              <w:rPr>
                <w:noProof/>
                <w:webHidden/>
              </w:rPr>
            </w:r>
            <w:r>
              <w:rPr>
                <w:noProof/>
                <w:webHidden/>
              </w:rPr>
              <w:fldChar w:fldCharType="separate"/>
            </w:r>
            <w:r>
              <w:rPr>
                <w:noProof/>
                <w:webHidden/>
              </w:rPr>
              <w:t>25</w:t>
            </w:r>
            <w:r>
              <w:rPr>
                <w:noProof/>
                <w:webHidden/>
              </w:rPr>
              <w:fldChar w:fldCharType="end"/>
            </w:r>
          </w:hyperlink>
        </w:p>
        <w:p w14:paraId="42402435" w14:textId="68BBD2AE" w:rsidR="00E6400E" w:rsidRDefault="00E6400E">
          <w:pPr>
            <w:pStyle w:val="TOC1"/>
            <w:tabs>
              <w:tab w:val="right" w:leader="dot" w:pos="9345"/>
            </w:tabs>
            <w:rPr>
              <w:rFonts w:eastAsiaTheme="minorEastAsia"/>
              <w:noProof/>
              <w:lang w:eastAsia="ru-RU"/>
            </w:rPr>
          </w:pPr>
          <w:hyperlink w:anchor="_Toc233629118" w:history="1">
            <w:r w:rsidRPr="00855426">
              <w:rPr>
                <w:rStyle w:val="Hyperlink"/>
                <w:noProof/>
                <w:lang w:val="en-US"/>
              </w:rPr>
              <w:t>Chapter 3: Research Methodology</w:t>
            </w:r>
            <w:r>
              <w:rPr>
                <w:noProof/>
                <w:webHidden/>
              </w:rPr>
              <w:tab/>
            </w:r>
            <w:r>
              <w:rPr>
                <w:noProof/>
                <w:webHidden/>
              </w:rPr>
              <w:fldChar w:fldCharType="begin"/>
            </w:r>
            <w:r>
              <w:rPr>
                <w:noProof/>
                <w:webHidden/>
              </w:rPr>
              <w:instrText xml:space="preserve"> PAGEREF _Toc233629118 \h </w:instrText>
            </w:r>
            <w:r>
              <w:rPr>
                <w:noProof/>
                <w:webHidden/>
              </w:rPr>
            </w:r>
            <w:r>
              <w:rPr>
                <w:noProof/>
                <w:webHidden/>
              </w:rPr>
              <w:fldChar w:fldCharType="separate"/>
            </w:r>
            <w:r>
              <w:rPr>
                <w:noProof/>
                <w:webHidden/>
              </w:rPr>
              <w:t>26</w:t>
            </w:r>
            <w:r>
              <w:rPr>
                <w:noProof/>
                <w:webHidden/>
              </w:rPr>
              <w:fldChar w:fldCharType="end"/>
            </w:r>
          </w:hyperlink>
        </w:p>
        <w:p w14:paraId="31B9E769" w14:textId="541091D0" w:rsidR="00E6400E" w:rsidRDefault="00E6400E">
          <w:pPr>
            <w:pStyle w:val="TOC2"/>
            <w:tabs>
              <w:tab w:val="right" w:leader="dot" w:pos="9345"/>
            </w:tabs>
            <w:rPr>
              <w:rFonts w:eastAsiaTheme="minorEastAsia"/>
              <w:noProof/>
              <w:lang w:eastAsia="ru-RU"/>
            </w:rPr>
          </w:pPr>
          <w:hyperlink w:anchor="_Toc233629119" w:history="1">
            <w:r w:rsidRPr="00855426">
              <w:rPr>
                <w:rStyle w:val="Hyperlink"/>
                <w:noProof/>
                <w:lang w:val="en-US"/>
              </w:rPr>
              <w:t>3.1 Introduction</w:t>
            </w:r>
            <w:r>
              <w:rPr>
                <w:noProof/>
                <w:webHidden/>
              </w:rPr>
              <w:tab/>
            </w:r>
            <w:r>
              <w:rPr>
                <w:noProof/>
                <w:webHidden/>
              </w:rPr>
              <w:fldChar w:fldCharType="begin"/>
            </w:r>
            <w:r>
              <w:rPr>
                <w:noProof/>
                <w:webHidden/>
              </w:rPr>
              <w:instrText xml:space="preserve"> PAGEREF _Toc233629119 \h </w:instrText>
            </w:r>
            <w:r>
              <w:rPr>
                <w:noProof/>
                <w:webHidden/>
              </w:rPr>
            </w:r>
            <w:r>
              <w:rPr>
                <w:noProof/>
                <w:webHidden/>
              </w:rPr>
              <w:fldChar w:fldCharType="separate"/>
            </w:r>
            <w:r>
              <w:rPr>
                <w:noProof/>
                <w:webHidden/>
              </w:rPr>
              <w:t>26</w:t>
            </w:r>
            <w:r>
              <w:rPr>
                <w:noProof/>
                <w:webHidden/>
              </w:rPr>
              <w:fldChar w:fldCharType="end"/>
            </w:r>
          </w:hyperlink>
        </w:p>
        <w:p w14:paraId="43EF7F09" w14:textId="71FA5C24" w:rsidR="00E6400E" w:rsidRDefault="00E6400E">
          <w:pPr>
            <w:pStyle w:val="TOC2"/>
            <w:tabs>
              <w:tab w:val="right" w:leader="dot" w:pos="9345"/>
            </w:tabs>
            <w:rPr>
              <w:rFonts w:eastAsiaTheme="minorEastAsia"/>
              <w:noProof/>
              <w:lang w:eastAsia="ru-RU"/>
            </w:rPr>
          </w:pPr>
          <w:hyperlink w:anchor="_Toc233629120" w:history="1">
            <w:r w:rsidRPr="00855426">
              <w:rPr>
                <w:rStyle w:val="Hyperlink"/>
                <w:rFonts w:ascii="Arial" w:hAnsi="Arial" w:cs="Arial"/>
                <w:noProof/>
                <w:lang w:val="en-US"/>
              </w:rPr>
              <w:t>3.2 Research Philosophy and Approach</w:t>
            </w:r>
            <w:r>
              <w:rPr>
                <w:noProof/>
                <w:webHidden/>
              </w:rPr>
              <w:tab/>
            </w:r>
            <w:r>
              <w:rPr>
                <w:noProof/>
                <w:webHidden/>
              </w:rPr>
              <w:fldChar w:fldCharType="begin"/>
            </w:r>
            <w:r>
              <w:rPr>
                <w:noProof/>
                <w:webHidden/>
              </w:rPr>
              <w:instrText xml:space="preserve"> PAGEREF _Toc233629120 \h </w:instrText>
            </w:r>
            <w:r>
              <w:rPr>
                <w:noProof/>
                <w:webHidden/>
              </w:rPr>
            </w:r>
            <w:r>
              <w:rPr>
                <w:noProof/>
                <w:webHidden/>
              </w:rPr>
              <w:fldChar w:fldCharType="separate"/>
            </w:r>
            <w:r>
              <w:rPr>
                <w:noProof/>
                <w:webHidden/>
              </w:rPr>
              <w:t>26</w:t>
            </w:r>
            <w:r>
              <w:rPr>
                <w:noProof/>
                <w:webHidden/>
              </w:rPr>
              <w:fldChar w:fldCharType="end"/>
            </w:r>
          </w:hyperlink>
        </w:p>
        <w:p w14:paraId="55E95895" w14:textId="2339E938" w:rsidR="00E6400E" w:rsidRDefault="00E6400E">
          <w:pPr>
            <w:pStyle w:val="TOC2"/>
            <w:tabs>
              <w:tab w:val="right" w:leader="dot" w:pos="9345"/>
            </w:tabs>
            <w:rPr>
              <w:rFonts w:eastAsiaTheme="minorEastAsia"/>
              <w:noProof/>
              <w:lang w:eastAsia="ru-RU"/>
            </w:rPr>
          </w:pPr>
          <w:hyperlink w:anchor="_Toc233629121" w:history="1">
            <w:r w:rsidRPr="00855426">
              <w:rPr>
                <w:rStyle w:val="Hyperlink"/>
                <w:rFonts w:ascii="Arial" w:hAnsi="Arial" w:cs="Arial"/>
                <w:noProof/>
                <w:lang w:val="en-US"/>
              </w:rPr>
              <w:t>3.3 Research Design</w:t>
            </w:r>
            <w:r>
              <w:rPr>
                <w:noProof/>
                <w:webHidden/>
              </w:rPr>
              <w:tab/>
            </w:r>
            <w:r>
              <w:rPr>
                <w:noProof/>
                <w:webHidden/>
              </w:rPr>
              <w:fldChar w:fldCharType="begin"/>
            </w:r>
            <w:r>
              <w:rPr>
                <w:noProof/>
                <w:webHidden/>
              </w:rPr>
              <w:instrText xml:space="preserve"> PAGEREF _Toc233629121 \h </w:instrText>
            </w:r>
            <w:r>
              <w:rPr>
                <w:noProof/>
                <w:webHidden/>
              </w:rPr>
            </w:r>
            <w:r>
              <w:rPr>
                <w:noProof/>
                <w:webHidden/>
              </w:rPr>
              <w:fldChar w:fldCharType="separate"/>
            </w:r>
            <w:r>
              <w:rPr>
                <w:noProof/>
                <w:webHidden/>
              </w:rPr>
              <w:t>27</w:t>
            </w:r>
            <w:r>
              <w:rPr>
                <w:noProof/>
                <w:webHidden/>
              </w:rPr>
              <w:fldChar w:fldCharType="end"/>
            </w:r>
          </w:hyperlink>
        </w:p>
        <w:p w14:paraId="73F81D93" w14:textId="5585A166" w:rsidR="00E6400E" w:rsidRDefault="00E6400E">
          <w:pPr>
            <w:pStyle w:val="TOC2"/>
            <w:tabs>
              <w:tab w:val="right" w:leader="dot" w:pos="9345"/>
            </w:tabs>
            <w:rPr>
              <w:rFonts w:eastAsiaTheme="minorEastAsia"/>
              <w:noProof/>
              <w:lang w:eastAsia="ru-RU"/>
            </w:rPr>
          </w:pPr>
          <w:hyperlink w:anchor="_Toc233629122" w:history="1">
            <w:r w:rsidRPr="00855426">
              <w:rPr>
                <w:rStyle w:val="Hyperlink"/>
                <w:noProof/>
                <w:lang w:val="en-US"/>
              </w:rPr>
              <w:t>3.4 Search Strategy</w:t>
            </w:r>
            <w:r>
              <w:rPr>
                <w:noProof/>
                <w:webHidden/>
              </w:rPr>
              <w:tab/>
            </w:r>
            <w:r>
              <w:rPr>
                <w:noProof/>
                <w:webHidden/>
              </w:rPr>
              <w:fldChar w:fldCharType="begin"/>
            </w:r>
            <w:r>
              <w:rPr>
                <w:noProof/>
                <w:webHidden/>
              </w:rPr>
              <w:instrText xml:space="preserve"> PAGEREF _Toc233629122 \h </w:instrText>
            </w:r>
            <w:r>
              <w:rPr>
                <w:noProof/>
                <w:webHidden/>
              </w:rPr>
            </w:r>
            <w:r>
              <w:rPr>
                <w:noProof/>
                <w:webHidden/>
              </w:rPr>
              <w:fldChar w:fldCharType="separate"/>
            </w:r>
            <w:r>
              <w:rPr>
                <w:noProof/>
                <w:webHidden/>
              </w:rPr>
              <w:t>28</w:t>
            </w:r>
            <w:r>
              <w:rPr>
                <w:noProof/>
                <w:webHidden/>
              </w:rPr>
              <w:fldChar w:fldCharType="end"/>
            </w:r>
          </w:hyperlink>
        </w:p>
        <w:p w14:paraId="10937B41" w14:textId="0DB7ABD1" w:rsidR="00E6400E" w:rsidRDefault="00E6400E">
          <w:pPr>
            <w:pStyle w:val="TOC2"/>
            <w:tabs>
              <w:tab w:val="right" w:leader="dot" w:pos="9345"/>
            </w:tabs>
            <w:rPr>
              <w:rFonts w:eastAsiaTheme="minorEastAsia"/>
              <w:noProof/>
              <w:lang w:eastAsia="ru-RU"/>
            </w:rPr>
          </w:pPr>
          <w:hyperlink w:anchor="_Toc233629123" w:history="1">
            <w:r w:rsidRPr="00855426">
              <w:rPr>
                <w:rStyle w:val="Hyperlink"/>
                <w:rFonts w:ascii="Arial" w:hAnsi="Arial" w:cs="Arial"/>
                <w:noProof/>
                <w:lang w:val="en-US"/>
              </w:rPr>
              <w:t>3.5 Inclusion and Exclusion Criteria</w:t>
            </w:r>
            <w:r>
              <w:rPr>
                <w:noProof/>
                <w:webHidden/>
              </w:rPr>
              <w:tab/>
            </w:r>
            <w:r>
              <w:rPr>
                <w:noProof/>
                <w:webHidden/>
              </w:rPr>
              <w:fldChar w:fldCharType="begin"/>
            </w:r>
            <w:r>
              <w:rPr>
                <w:noProof/>
                <w:webHidden/>
              </w:rPr>
              <w:instrText xml:space="preserve"> PAGEREF _Toc233629123 \h </w:instrText>
            </w:r>
            <w:r>
              <w:rPr>
                <w:noProof/>
                <w:webHidden/>
              </w:rPr>
            </w:r>
            <w:r>
              <w:rPr>
                <w:noProof/>
                <w:webHidden/>
              </w:rPr>
              <w:fldChar w:fldCharType="separate"/>
            </w:r>
            <w:r>
              <w:rPr>
                <w:noProof/>
                <w:webHidden/>
              </w:rPr>
              <w:t>29</w:t>
            </w:r>
            <w:r>
              <w:rPr>
                <w:noProof/>
                <w:webHidden/>
              </w:rPr>
              <w:fldChar w:fldCharType="end"/>
            </w:r>
          </w:hyperlink>
        </w:p>
        <w:p w14:paraId="04EC20FE" w14:textId="75E4F0BF" w:rsidR="00E6400E" w:rsidRDefault="00E6400E">
          <w:pPr>
            <w:pStyle w:val="TOC2"/>
            <w:tabs>
              <w:tab w:val="right" w:leader="dot" w:pos="9345"/>
            </w:tabs>
            <w:rPr>
              <w:rFonts w:eastAsiaTheme="minorEastAsia"/>
              <w:noProof/>
              <w:lang w:eastAsia="ru-RU"/>
            </w:rPr>
          </w:pPr>
          <w:hyperlink w:anchor="_Toc233629124" w:history="1">
            <w:r w:rsidRPr="00855426">
              <w:rPr>
                <w:rStyle w:val="Hyperlink"/>
                <w:noProof/>
                <w:lang w:val="en-US"/>
              </w:rPr>
              <w:t>3.6 Study Selection Process</w:t>
            </w:r>
            <w:r>
              <w:rPr>
                <w:noProof/>
                <w:webHidden/>
              </w:rPr>
              <w:tab/>
            </w:r>
            <w:r>
              <w:rPr>
                <w:noProof/>
                <w:webHidden/>
              </w:rPr>
              <w:fldChar w:fldCharType="begin"/>
            </w:r>
            <w:r>
              <w:rPr>
                <w:noProof/>
                <w:webHidden/>
              </w:rPr>
              <w:instrText xml:space="preserve"> PAGEREF _Toc233629124 \h </w:instrText>
            </w:r>
            <w:r>
              <w:rPr>
                <w:noProof/>
                <w:webHidden/>
              </w:rPr>
            </w:r>
            <w:r>
              <w:rPr>
                <w:noProof/>
                <w:webHidden/>
              </w:rPr>
              <w:fldChar w:fldCharType="separate"/>
            </w:r>
            <w:r>
              <w:rPr>
                <w:noProof/>
                <w:webHidden/>
              </w:rPr>
              <w:t>30</w:t>
            </w:r>
            <w:r>
              <w:rPr>
                <w:noProof/>
                <w:webHidden/>
              </w:rPr>
              <w:fldChar w:fldCharType="end"/>
            </w:r>
          </w:hyperlink>
        </w:p>
        <w:p w14:paraId="71BA6279" w14:textId="4A9C1EBF" w:rsidR="00E6400E" w:rsidRDefault="00E6400E">
          <w:pPr>
            <w:pStyle w:val="TOC2"/>
            <w:tabs>
              <w:tab w:val="right" w:leader="dot" w:pos="9345"/>
            </w:tabs>
            <w:rPr>
              <w:rFonts w:eastAsiaTheme="minorEastAsia"/>
              <w:noProof/>
              <w:lang w:eastAsia="ru-RU"/>
            </w:rPr>
          </w:pPr>
          <w:hyperlink w:anchor="_Toc233629125" w:history="1">
            <w:r w:rsidRPr="00855426">
              <w:rPr>
                <w:rStyle w:val="Hyperlink"/>
                <w:noProof/>
                <w:lang w:val="en-US"/>
              </w:rPr>
              <w:t>3.7 PRISMA Flow Diagram</w:t>
            </w:r>
            <w:r>
              <w:rPr>
                <w:noProof/>
                <w:webHidden/>
              </w:rPr>
              <w:tab/>
            </w:r>
            <w:r>
              <w:rPr>
                <w:noProof/>
                <w:webHidden/>
              </w:rPr>
              <w:fldChar w:fldCharType="begin"/>
            </w:r>
            <w:r>
              <w:rPr>
                <w:noProof/>
                <w:webHidden/>
              </w:rPr>
              <w:instrText xml:space="preserve"> PAGEREF _Toc233629125 \h </w:instrText>
            </w:r>
            <w:r>
              <w:rPr>
                <w:noProof/>
                <w:webHidden/>
              </w:rPr>
            </w:r>
            <w:r>
              <w:rPr>
                <w:noProof/>
                <w:webHidden/>
              </w:rPr>
              <w:fldChar w:fldCharType="separate"/>
            </w:r>
            <w:r>
              <w:rPr>
                <w:noProof/>
                <w:webHidden/>
              </w:rPr>
              <w:t>30</w:t>
            </w:r>
            <w:r>
              <w:rPr>
                <w:noProof/>
                <w:webHidden/>
              </w:rPr>
              <w:fldChar w:fldCharType="end"/>
            </w:r>
          </w:hyperlink>
        </w:p>
        <w:p w14:paraId="1660B0A0" w14:textId="597A09E1" w:rsidR="00E6400E" w:rsidRDefault="00E6400E">
          <w:pPr>
            <w:pStyle w:val="TOC2"/>
            <w:tabs>
              <w:tab w:val="right" w:leader="dot" w:pos="9345"/>
            </w:tabs>
            <w:rPr>
              <w:rFonts w:eastAsiaTheme="minorEastAsia"/>
              <w:noProof/>
              <w:lang w:eastAsia="ru-RU"/>
            </w:rPr>
          </w:pPr>
          <w:hyperlink w:anchor="_Toc233629126" w:history="1">
            <w:r w:rsidRPr="00855426">
              <w:rPr>
                <w:rStyle w:val="Hyperlink"/>
                <w:noProof/>
                <w:lang w:val="en-US"/>
              </w:rPr>
              <w:t>3.8 Quality Appraisal</w:t>
            </w:r>
            <w:r>
              <w:rPr>
                <w:noProof/>
                <w:webHidden/>
              </w:rPr>
              <w:tab/>
            </w:r>
            <w:r>
              <w:rPr>
                <w:noProof/>
                <w:webHidden/>
              </w:rPr>
              <w:fldChar w:fldCharType="begin"/>
            </w:r>
            <w:r>
              <w:rPr>
                <w:noProof/>
                <w:webHidden/>
              </w:rPr>
              <w:instrText xml:space="preserve"> PAGEREF _Toc233629126 \h </w:instrText>
            </w:r>
            <w:r>
              <w:rPr>
                <w:noProof/>
                <w:webHidden/>
              </w:rPr>
            </w:r>
            <w:r>
              <w:rPr>
                <w:noProof/>
                <w:webHidden/>
              </w:rPr>
              <w:fldChar w:fldCharType="separate"/>
            </w:r>
            <w:r>
              <w:rPr>
                <w:noProof/>
                <w:webHidden/>
              </w:rPr>
              <w:t>31</w:t>
            </w:r>
            <w:r>
              <w:rPr>
                <w:noProof/>
                <w:webHidden/>
              </w:rPr>
              <w:fldChar w:fldCharType="end"/>
            </w:r>
          </w:hyperlink>
        </w:p>
        <w:p w14:paraId="1664968F" w14:textId="777C613E" w:rsidR="00E6400E" w:rsidRDefault="00E6400E">
          <w:pPr>
            <w:pStyle w:val="TOC2"/>
            <w:tabs>
              <w:tab w:val="right" w:leader="dot" w:pos="9345"/>
            </w:tabs>
            <w:rPr>
              <w:rFonts w:eastAsiaTheme="minorEastAsia"/>
              <w:noProof/>
              <w:lang w:eastAsia="ru-RU"/>
            </w:rPr>
          </w:pPr>
          <w:hyperlink w:anchor="_Toc233629127" w:history="1">
            <w:r w:rsidRPr="00855426">
              <w:rPr>
                <w:rStyle w:val="Hyperlink"/>
                <w:noProof/>
                <w:lang w:val="en-US"/>
              </w:rPr>
              <w:t>3.9 Data Extraction</w:t>
            </w:r>
            <w:r>
              <w:rPr>
                <w:noProof/>
                <w:webHidden/>
              </w:rPr>
              <w:tab/>
            </w:r>
            <w:r>
              <w:rPr>
                <w:noProof/>
                <w:webHidden/>
              </w:rPr>
              <w:fldChar w:fldCharType="begin"/>
            </w:r>
            <w:r>
              <w:rPr>
                <w:noProof/>
                <w:webHidden/>
              </w:rPr>
              <w:instrText xml:space="preserve"> PAGEREF _Toc233629127 \h </w:instrText>
            </w:r>
            <w:r>
              <w:rPr>
                <w:noProof/>
                <w:webHidden/>
              </w:rPr>
            </w:r>
            <w:r>
              <w:rPr>
                <w:noProof/>
                <w:webHidden/>
              </w:rPr>
              <w:fldChar w:fldCharType="separate"/>
            </w:r>
            <w:r>
              <w:rPr>
                <w:noProof/>
                <w:webHidden/>
              </w:rPr>
              <w:t>32</w:t>
            </w:r>
            <w:r>
              <w:rPr>
                <w:noProof/>
                <w:webHidden/>
              </w:rPr>
              <w:fldChar w:fldCharType="end"/>
            </w:r>
          </w:hyperlink>
        </w:p>
        <w:p w14:paraId="2BF0BAC6" w14:textId="420A58C5" w:rsidR="00E6400E" w:rsidRDefault="00E6400E">
          <w:pPr>
            <w:pStyle w:val="TOC2"/>
            <w:tabs>
              <w:tab w:val="right" w:leader="dot" w:pos="9345"/>
            </w:tabs>
            <w:rPr>
              <w:rFonts w:eastAsiaTheme="minorEastAsia"/>
              <w:noProof/>
              <w:lang w:eastAsia="ru-RU"/>
            </w:rPr>
          </w:pPr>
          <w:hyperlink w:anchor="_Toc233629128" w:history="1">
            <w:r w:rsidRPr="00855426">
              <w:rPr>
                <w:rStyle w:val="Hyperlink"/>
                <w:noProof/>
                <w:lang w:val="en-US"/>
              </w:rPr>
              <w:t>3.10 Data Analysis: Thematic Analysis</w:t>
            </w:r>
            <w:r>
              <w:rPr>
                <w:noProof/>
                <w:webHidden/>
              </w:rPr>
              <w:tab/>
            </w:r>
            <w:r>
              <w:rPr>
                <w:noProof/>
                <w:webHidden/>
              </w:rPr>
              <w:fldChar w:fldCharType="begin"/>
            </w:r>
            <w:r>
              <w:rPr>
                <w:noProof/>
                <w:webHidden/>
              </w:rPr>
              <w:instrText xml:space="preserve"> PAGEREF _Toc233629128 \h </w:instrText>
            </w:r>
            <w:r>
              <w:rPr>
                <w:noProof/>
                <w:webHidden/>
              </w:rPr>
            </w:r>
            <w:r>
              <w:rPr>
                <w:noProof/>
                <w:webHidden/>
              </w:rPr>
              <w:fldChar w:fldCharType="separate"/>
            </w:r>
            <w:r>
              <w:rPr>
                <w:noProof/>
                <w:webHidden/>
              </w:rPr>
              <w:t>33</w:t>
            </w:r>
            <w:r>
              <w:rPr>
                <w:noProof/>
                <w:webHidden/>
              </w:rPr>
              <w:fldChar w:fldCharType="end"/>
            </w:r>
          </w:hyperlink>
        </w:p>
        <w:p w14:paraId="4D3A1B11" w14:textId="67928F62" w:rsidR="00E6400E" w:rsidRDefault="00E6400E">
          <w:pPr>
            <w:pStyle w:val="TOC2"/>
            <w:tabs>
              <w:tab w:val="right" w:leader="dot" w:pos="9345"/>
            </w:tabs>
            <w:rPr>
              <w:rFonts w:eastAsiaTheme="minorEastAsia"/>
              <w:noProof/>
              <w:lang w:eastAsia="ru-RU"/>
            </w:rPr>
          </w:pPr>
          <w:hyperlink w:anchor="_Toc233629129" w:history="1">
            <w:r w:rsidRPr="00855426">
              <w:rPr>
                <w:rStyle w:val="Hyperlink"/>
                <w:noProof/>
                <w:lang w:val="en-US"/>
              </w:rPr>
              <w:t>3.11 Ethical Considerations</w:t>
            </w:r>
            <w:r>
              <w:rPr>
                <w:noProof/>
                <w:webHidden/>
              </w:rPr>
              <w:tab/>
            </w:r>
            <w:r>
              <w:rPr>
                <w:noProof/>
                <w:webHidden/>
              </w:rPr>
              <w:fldChar w:fldCharType="begin"/>
            </w:r>
            <w:r>
              <w:rPr>
                <w:noProof/>
                <w:webHidden/>
              </w:rPr>
              <w:instrText xml:space="preserve"> PAGEREF _Toc233629129 \h </w:instrText>
            </w:r>
            <w:r>
              <w:rPr>
                <w:noProof/>
                <w:webHidden/>
              </w:rPr>
            </w:r>
            <w:r>
              <w:rPr>
                <w:noProof/>
                <w:webHidden/>
              </w:rPr>
              <w:fldChar w:fldCharType="separate"/>
            </w:r>
            <w:r>
              <w:rPr>
                <w:noProof/>
                <w:webHidden/>
              </w:rPr>
              <w:t>33</w:t>
            </w:r>
            <w:r>
              <w:rPr>
                <w:noProof/>
                <w:webHidden/>
              </w:rPr>
              <w:fldChar w:fldCharType="end"/>
            </w:r>
          </w:hyperlink>
        </w:p>
        <w:p w14:paraId="492D2C8C" w14:textId="454CDC5B" w:rsidR="00E6400E" w:rsidRDefault="00E6400E">
          <w:pPr>
            <w:pStyle w:val="TOC2"/>
            <w:tabs>
              <w:tab w:val="right" w:leader="dot" w:pos="9345"/>
            </w:tabs>
            <w:rPr>
              <w:rFonts w:eastAsiaTheme="minorEastAsia"/>
              <w:noProof/>
              <w:lang w:eastAsia="ru-RU"/>
            </w:rPr>
          </w:pPr>
          <w:hyperlink w:anchor="_Toc233629130" w:history="1">
            <w:r w:rsidRPr="00855426">
              <w:rPr>
                <w:rStyle w:val="Hyperlink"/>
                <w:noProof/>
                <w:lang w:val="en-US"/>
              </w:rPr>
              <w:t>3.12 Limitations of the Methodology</w:t>
            </w:r>
            <w:r>
              <w:rPr>
                <w:noProof/>
                <w:webHidden/>
              </w:rPr>
              <w:tab/>
            </w:r>
            <w:r>
              <w:rPr>
                <w:noProof/>
                <w:webHidden/>
              </w:rPr>
              <w:fldChar w:fldCharType="begin"/>
            </w:r>
            <w:r>
              <w:rPr>
                <w:noProof/>
                <w:webHidden/>
              </w:rPr>
              <w:instrText xml:space="preserve"> PAGEREF _Toc233629130 \h </w:instrText>
            </w:r>
            <w:r>
              <w:rPr>
                <w:noProof/>
                <w:webHidden/>
              </w:rPr>
            </w:r>
            <w:r>
              <w:rPr>
                <w:noProof/>
                <w:webHidden/>
              </w:rPr>
              <w:fldChar w:fldCharType="separate"/>
            </w:r>
            <w:r>
              <w:rPr>
                <w:noProof/>
                <w:webHidden/>
              </w:rPr>
              <w:t>34</w:t>
            </w:r>
            <w:r>
              <w:rPr>
                <w:noProof/>
                <w:webHidden/>
              </w:rPr>
              <w:fldChar w:fldCharType="end"/>
            </w:r>
          </w:hyperlink>
        </w:p>
        <w:p w14:paraId="6512DABD" w14:textId="2CE71DA5" w:rsidR="00E6400E" w:rsidRDefault="00E6400E">
          <w:pPr>
            <w:pStyle w:val="TOC2"/>
            <w:tabs>
              <w:tab w:val="right" w:leader="dot" w:pos="9345"/>
            </w:tabs>
            <w:rPr>
              <w:rFonts w:eastAsiaTheme="minorEastAsia"/>
              <w:noProof/>
              <w:lang w:eastAsia="ru-RU"/>
            </w:rPr>
          </w:pPr>
          <w:hyperlink w:anchor="_Toc233629131" w:history="1">
            <w:r w:rsidRPr="00855426">
              <w:rPr>
                <w:rStyle w:val="Hyperlink"/>
                <w:noProof/>
                <w:lang w:val="en-US"/>
              </w:rPr>
              <w:t>3.13 Chapter Summary</w:t>
            </w:r>
            <w:r>
              <w:rPr>
                <w:noProof/>
                <w:webHidden/>
              </w:rPr>
              <w:tab/>
            </w:r>
            <w:r>
              <w:rPr>
                <w:noProof/>
                <w:webHidden/>
              </w:rPr>
              <w:fldChar w:fldCharType="begin"/>
            </w:r>
            <w:r>
              <w:rPr>
                <w:noProof/>
                <w:webHidden/>
              </w:rPr>
              <w:instrText xml:space="preserve"> PAGEREF _Toc233629131 \h </w:instrText>
            </w:r>
            <w:r>
              <w:rPr>
                <w:noProof/>
                <w:webHidden/>
              </w:rPr>
            </w:r>
            <w:r>
              <w:rPr>
                <w:noProof/>
                <w:webHidden/>
              </w:rPr>
              <w:fldChar w:fldCharType="separate"/>
            </w:r>
            <w:r>
              <w:rPr>
                <w:noProof/>
                <w:webHidden/>
              </w:rPr>
              <w:t>34</w:t>
            </w:r>
            <w:r>
              <w:rPr>
                <w:noProof/>
                <w:webHidden/>
              </w:rPr>
              <w:fldChar w:fldCharType="end"/>
            </w:r>
          </w:hyperlink>
        </w:p>
        <w:p w14:paraId="1F5E635F" w14:textId="0C7CE4A1" w:rsidR="00E6400E" w:rsidRDefault="00E6400E">
          <w:pPr>
            <w:pStyle w:val="TOC1"/>
            <w:tabs>
              <w:tab w:val="right" w:leader="dot" w:pos="9345"/>
            </w:tabs>
            <w:rPr>
              <w:rFonts w:eastAsiaTheme="minorEastAsia"/>
              <w:noProof/>
              <w:lang w:eastAsia="ru-RU"/>
            </w:rPr>
          </w:pPr>
          <w:hyperlink w:anchor="_Toc233629132" w:history="1">
            <w:r w:rsidRPr="00855426">
              <w:rPr>
                <w:rStyle w:val="Hyperlink"/>
                <w:noProof/>
                <w:lang w:val="en-US"/>
              </w:rPr>
              <w:t>4. Results and Discussion</w:t>
            </w:r>
            <w:r>
              <w:rPr>
                <w:noProof/>
                <w:webHidden/>
              </w:rPr>
              <w:tab/>
            </w:r>
            <w:r>
              <w:rPr>
                <w:noProof/>
                <w:webHidden/>
              </w:rPr>
              <w:fldChar w:fldCharType="begin"/>
            </w:r>
            <w:r>
              <w:rPr>
                <w:noProof/>
                <w:webHidden/>
              </w:rPr>
              <w:instrText xml:space="preserve"> PAGEREF _Toc233629132 \h </w:instrText>
            </w:r>
            <w:r>
              <w:rPr>
                <w:noProof/>
                <w:webHidden/>
              </w:rPr>
            </w:r>
            <w:r>
              <w:rPr>
                <w:noProof/>
                <w:webHidden/>
              </w:rPr>
              <w:fldChar w:fldCharType="separate"/>
            </w:r>
            <w:r>
              <w:rPr>
                <w:noProof/>
                <w:webHidden/>
              </w:rPr>
              <w:t>35</w:t>
            </w:r>
            <w:r>
              <w:rPr>
                <w:noProof/>
                <w:webHidden/>
              </w:rPr>
              <w:fldChar w:fldCharType="end"/>
            </w:r>
          </w:hyperlink>
        </w:p>
        <w:p w14:paraId="0316FDC5" w14:textId="0FD6E2EB" w:rsidR="00E6400E" w:rsidRDefault="00E6400E">
          <w:pPr>
            <w:pStyle w:val="TOC2"/>
            <w:tabs>
              <w:tab w:val="right" w:leader="dot" w:pos="9345"/>
            </w:tabs>
            <w:rPr>
              <w:rFonts w:eastAsiaTheme="minorEastAsia"/>
              <w:noProof/>
              <w:lang w:eastAsia="ru-RU"/>
            </w:rPr>
          </w:pPr>
          <w:hyperlink w:anchor="_Toc233629133" w:history="1">
            <w:r w:rsidRPr="00855426">
              <w:rPr>
                <w:rStyle w:val="Hyperlink"/>
                <w:noProof/>
                <w:lang w:val="en-US"/>
              </w:rPr>
              <w:t>4.1 Introduction</w:t>
            </w:r>
            <w:r>
              <w:rPr>
                <w:noProof/>
                <w:webHidden/>
              </w:rPr>
              <w:tab/>
            </w:r>
            <w:r>
              <w:rPr>
                <w:noProof/>
                <w:webHidden/>
              </w:rPr>
              <w:fldChar w:fldCharType="begin"/>
            </w:r>
            <w:r>
              <w:rPr>
                <w:noProof/>
                <w:webHidden/>
              </w:rPr>
              <w:instrText xml:space="preserve"> PAGEREF _Toc233629133 \h </w:instrText>
            </w:r>
            <w:r>
              <w:rPr>
                <w:noProof/>
                <w:webHidden/>
              </w:rPr>
            </w:r>
            <w:r>
              <w:rPr>
                <w:noProof/>
                <w:webHidden/>
              </w:rPr>
              <w:fldChar w:fldCharType="separate"/>
            </w:r>
            <w:r>
              <w:rPr>
                <w:noProof/>
                <w:webHidden/>
              </w:rPr>
              <w:t>35</w:t>
            </w:r>
            <w:r>
              <w:rPr>
                <w:noProof/>
                <w:webHidden/>
              </w:rPr>
              <w:fldChar w:fldCharType="end"/>
            </w:r>
          </w:hyperlink>
        </w:p>
        <w:p w14:paraId="24122245" w14:textId="4DBCE9A8" w:rsidR="00E6400E" w:rsidRDefault="00E6400E">
          <w:pPr>
            <w:pStyle w:val="TOC2"/>
            <w:tabs>
              <w:tab w:val="right" w:leader="dot" w:pos="9345"/>
            </w:tabs>
            <w:rPr>
              <w:rFonts w:eastAsiaTheme="minorEastAsia"/>
              <w:noProof/>
              <w:lang w:eastAsia="ru-RU"/>
            </w:rPr>
          </w:pPr>
          <w:hyperlink w:anchor="_Toc233629134" w:history="1">
            <w:r w:rsidRPr="00855426">
              <w:rPr>
                <w:rStyle w:val="Hyperlink"/>
                <w:noProof/>
                <w:lang w:val="en-US"/>
              </w:rPr>
              <w:t>4.2 Overview of Included Evidence</w:t>
            </w:r>
            <w:r>
              <w:rPr>
                <w:noProof/>
                <w:webHidden/>
              </w:rPr>
              <w:tab/>
            </w:r>
            <w:r>
              <w:rPr>
                <w:noProof/>
                <w:webHidden/>
              </w:rPr>
              <w:fldChar w:fldCharType="begin"/>
            </w:r>
            <w:r>
              <w:rPr>
                <w:noProof/>
                <w:webHidden/>
              </w:rPr>
              <w:instrText xml:space="preserve"> PAGEREF _Toc233629134 \h </w:instrText>
            </w:r>
            <w:r>
              <w:rPr>
                <w:noProof/>
                <w:webHidden/>
              </w:rPr>
            </w:r>
            <w:r>
              <w:rPr>
                <w:noProof/>
                <w:webHidden/>
              </w:rPr>
              <w:fldChar w:fldCharType="separate"/>
            </w:r>
            <w:r>
              <w:rPr>
                <w:noProof/>
                <w:webHidden/>
              </w:rPr>
              <w:t>35</w:t>
            </w:r>
            <w:r>
              <w:rPr>
                <w:noProof/>
                <w:webHidden/>
              </w:rPr>
              <w:fldChar w:fldCharType="end"/>
            </w:r>
          </w:hyperlink>
        </w:p>
        <w:p w14:paraId="66B97148" w14:textId="73856F57" w:rsidR="00E6400E" w:rsidRDefault="00E6400E">
          <w:pPr>
            <w:pStyle w:val="TOC2"/>
            <w:tabs>
              <w:tab w:val="right" w:leader="dot" w:pos="9345"/>
            </w:tabs>
            <w:rPr>
              <w:rFonts w:eastAsiaTheme="minorEastAsia"/>
              <w:noProof/>
              <w:lang w:eastAsia="ru-RU"/>
            </w:rPr>
          </w:pPr>
          <w:hyperlink w:anchor="_Toc233629135" w:history="1">
            <w:r w:rsidRPr="00855426">
              <w:rPr>
                <w:rStyle w:val="Hyperlink"/>
                <w:noProof/>
                <w:lang w:val="en-US"/>
              </w:rPr>
              <w:t>4.3 Theme 1: Waiting Times and Delayed Access</w:t>
            </w:r>
            <w:r>
              <w:rPr>
                <w:noProof/>
                <w:webHidden/>
              </w:rPr>
              <w:tab/>
            </w:r>
            <w:r>
              <w:rPr>
                <w:noProof/>
                <w:webHidden/>
              </w:rPr>
              <w:fldChar w:fldCharType="begin"/>
            </w:r>
            <w:r>
              <w:rPr>
                <w:noProof/>
                <w:webHidden/>
              </w:rPr>
              <w:instrText xml:space="preserve"> PAGEREF _Toc233629135 \h </w:instrText>
            </w:r>
            <w:r>
              <w:rPr>
                <w:noProof/>
                <w:webHidden/>
              </w:rPr>
            </w:r>
            <w:r>
              <w:rPr>
                <w:noProof/>
                <w:webHidden/>
              </w:rPr>
              <w:fldChar w:fldCharType="separate"/>
            </w:r>
            <w:r>
              <w:rPr>
                <w:noProof/>
                <w:webHidden/>
              </w:rPr>
              <w:t>37</w:t>
            </w:r>
            <w:r>
              <w:rPr>
                <w:noProof/>
                <w:webHidden/>
              </w:rPr>
              <w:fldChar w:fldCharType="end"/>
            </w:r>
          </w:hyperlink>
        </w:p>
        <w:p w14:paraId="733BBB2F" w14:textId="54C03036" w:rsidR="00E6400E" w:rsidRDefault="00E6400E">
          <w:pPr>
            <w:pStyle w:val="TOC2"/>
            <w:tabs>
              <w:tab w:val="right" w:leader="dot" w:pos="9345"/>
            </w:tabs>
            <w:rPr>
              <w:rFonts w:eastAsiaTheme="minorEastAsia"/>
              <w:noProof/>
              <w:lang w:eastAsia="ru-RU"/>
            </w:rPr>
          </w:pPr>
          <w:hyperlink w:anchor="_Toc233629136" w:history="1">
            <w:r w:rsidRPr="00855426">
              <w:rPr>
                <w:rStyle w:val="Hyperlink"/>
                <w:noProof/>
                <w:lang w:val="en-US"/>
              </w:rPr>
              <w:t>4.4 Theme 2: Referral Thresholds and Rejected Referrals</w:t>
            </w:r>
            <w:r>
              <w:rPr>
                <w:noProof/>
                <w:webHidden/>
              </w:rPr>
              <w:tab/>
            </w:r>
            <w:r>
              <w:rPr>
                <w:noProof/>
                <w:webHidden/>
              </w:rPr>
              <w:fldChar w:fldCharType="begin"/>
            </w:r>
            <w:r>
              <w:rPr>
                <w:noProof/>
                <w:webHidden/>
              </w:rPr>
              <w:instrText xml:space="preserve"> PAGEREF _Toc233629136 \h </w:instrText>
            </w:r>
            <w:r>
              <w:rPr>
                <w:noProof/>
                <w:webHidden/>
              </w:rPr>
            </w:r>
            <w:r>
              <w:rPr>
                <w:noProof/>
                <w:webHidden/>
              </w:rPr>
              <w:fldChar w:fldCharType="separate"/>
            </w:r>
            <w:r>
              <w:rPr>
                <w:noProof/>
                <w:webHidden/>
              </w:rPr>
              <w:t>37</w:t>
            </w:r>
            <w:r>
              <w:rPr>
                <w:noProof/>
                <w:webHidden/>
              </w:rPr>
              <w:fldChar w:fldCharType="end"/>
            </w:r>
          </w:hyperlink>
        </w:p>
        <w:p w14:paraId="5588E6B8" w14:textId="4A7F8691" w:rsidR="00E6400E" w:rsidRDefault="00E6400E">
          <w:pPr>
            <w:pStyle w:val="TOC2"/>
            <w:tabs>
              <w:tab w:val="right" w:leader="dot" w:pos="9345"/>
            </w:tabs>
            <w:rPr>
              <w:rFonts w:eastAsiaTheme="minorEastAsia"/>
              <w:noProof/>
              <w:lang w:eastAsia="ru-RU"/>
            </w:rPr>
          </w:pPr>
          <w:hyperlink w:anchor="_Toc233629137" w:history="1">
            <w:r w:rsidRPr="00855426">
              <w:rPr>
                <w:rStyle w:val="Hyperlink"/>
                <w:noProof/>
                <w:lang w:val="en-US"/>
              </w:rPr>
              <w:t>4.5 Theme 3: Socioeconomic Inequalities in CAMHS Access</w:t>
            </w:r>
            <w:r>
              <w:rPr>
                <w:noProof/>
                <w:webHidden/>
              </w:rPr>
              <w:tab/>
            </w:r>
            <w:r>
              <w:rPr>
                <w:noProof/>
                <w:webHidden/>
              </w:rPr>
              <w:fldChar w:fldCharType="begin"/>
            </w:r>
            <w:r>
              <w:rPr>
                <w:noProof/>
                <w:webHidden/>
              </w:rPr>
              <w:instrText xml:space="preserve"> PAGEREF _Toc233629137 \h </w:instrText>
            </w:r>
            <w:r>
              <w:rPr>
                <w:noProof/>
                <w:webHidden/>
              </w:rPr>
            </w:r>
            <w:r>
              <w:rPr>
                <w:noProof/>
                <w:webHidden/>
              </w:rPr>
              <w:fldChar w:fldCharType="separate"/>
            </w:r>
            <w:r>
              <w:rPr>
                <w:noProof/>
                <w:webHidden/>
              </w:rPr>
              <w:t>39</w:t>
            </w:r>
            <w:r>
              <w:rPr>
                <w:noProof/>
                <w:webHidden/>
              </w:rPr>
              <w:fldChar w:fldCharType="end"/>
            </w:r>
          </w:hyperlink>
        </w:p>
        <w:p w14:paraId="0008095F" w14:textId="356922A1" w:rsidR="00E6400E" w:rsidRDefault="00E6400E">
          <w:pPr>
            <w:pStyle w:val="TOC2"/>
            <w:tabs>
              <w:tab w:val="right" w:leader="dot" w:pos="9345"/>
            </w:tabs>
            <w:rPr>
              <w:rFonts w:eastAsiaTheme="minorEastAsia"/>
              <w:noProof/>
              <w:lang w:eastAsia="ru-RU"/>
            </w:rPr>
          </w:pPr>
          <w:hyperlink w:anchor="_Toc233629138" w:history="1">
            <w:r w:rsidRPr="00855426">
              <w:rPr>
                <w:rStyle w:val="Hyperlink"/>
                <w:noProof/>
                <w:lang w:val="en-US"/>
              </w:rPr>
              <w:t>4.6 Theme 4: Regional Variation and Service Capacity</w:t>
            </w:r>
            <w:r>
              <w:rPr>
                <w:noProof/>
                <w:webHidden/>
              </w:rPr>
              <w:tab/>
            </w:r>
            <w:r>
              <w:rPr>
                <w:noProof/>
                <w:webHidden/>
              </w:rPr>
              <w:fldChar w:fldCharType="begin"/>
            </w:r>
            <w:r>
              <w:rPr>
                <w:noProof/>
                <w:webHidden/>
              </w:rPr>
              <w:instrText xml:space="preserve"> PAGEREF _Toc233629138 \h </w:instrText>
            </w:r>
            <w:r>
              <w:rPr>
                <w:noProof/>
                <w:webHidden/>
              </w:rPr>
            </w:r>
            <w:r>
              <w:rPr>
                <w:noProof/>
                <w:webHidden/>
              </w:rPr>
              <w:fldChar w:fldCharType="separate"/>
            </w:r>
            <w:r>
              <w:rPr>
                <w:noProof/>
                <w:webHidden/>
              </w:rPr>
              <w:t>40</w:t>
            </w:r>
            <w:r>
              <w:rPr>
                <w:noProof/>
                <w:webHidden/>
              </w:rPr>
              <w:fldChar w:fldCharType="end"/>
            </w:r>
          </w:hyperlink>
        </w:p>
        <w:p w14:paraId="4F5C43E6" w14:textId="5D1F50A8" w:rsidR="00E6400E" w:rsidRDefault="00E6400E">
          <w:pPr>
            <w:pStyle w:val="TOC2"/>
            <w:tabs>
              <w:tab w:val="right" w:leader="dot" w:pos="9345"/>
            </w:tabs>
            <w:rPr>
              <w:rFonts w:eastAsiaTheme="minorEastAsia"/>
              <w:noProof/>
              <w:lang w:eastAsia="ru-RU"/>
            </w:rPr>
          </w:pPr>
          <w:hyperlink w:anchor="_Toc233629139" w:history="1">
            <w:r w:rsidRPr="00855426">
              <w:rPr>
                <w:rStyle w:val="Hyperlink"/>
                <w:noProof/>
                <w:lang w:val="en-US"/>
              </w:rPr>
              <w:t>4.7 Theme 5: Stigma, Awareness and Help-Seeking</w:t>
            </w:r>
            <w:r>
              <w:rPr>
                <w:noProof/>
                <w:webHidden/>
              </w:rPr>
              <w:tab/>
            </w:r>
            <w:r>
              <w:rPr>
                <w:noProof/>
                <w:webHidden/>
              </w:rPr>
              <w:fldChar w:fldCharType="begin"/>
            </w:r>
            <w:r>
              <w:rPr>
                <w:noProof/>
                <w:webHidden/>
              </w:rPr>
              <w:instrText xml:space="preserve"> PAGEREF _Toc233629139 \h </w:instrText>
            </w:r>
            <w:r>
              <w:rPr>
                <w:noProof/>
                <w:webHidden/>
              </w:rPr>
            </w:r>
            <w:r>
              <w:rPr>
                <w:noProof/>
                <w:webHidden/>
              </w:rPr>
              <w:fldChar w:fldCharType="separate"/>
            </w:r>
            <w:r>
              <w:rPr>
                <w:noProof/>
                <w:webHidden/>
              </w:rPr>
              <w:t>41</w:t>
            </w:r>
            <w:r>
              <w:rPr>
                <w:noProof/>
                <w:webHidden/>
              </w:rPr>
              <w:fldChar w:fldCharType="end"/>
            </w:r>
          </w:hyperlink>
        </w:p>
        <w:p w14:paraId="21A5A5DA" w14:textId="0A262810" w:rsidR="00E6400E" w:rsidRDefault="00E6400E">
          <w:pPr>
            <w:pStyle w:val="TOC2"/>
            <w:tabs>
              <w:tab w:val="right" w:leader="dot" w:pos="9345"/>
            </w:tabs>
            <w:rPr>
              <w:rFonts w:eastAsiaTheme="minorEastAsia"/>
              <w:noProof/>
              <w:lang w:eastAsia="ru-RU"/>
            </w:rPr>
          </w:pPr>
          <w:hyperlink w:anchor="_Toc233629140" w:history="1">
            <w:r w:rsidRPr="00855426">
              <w:rPr>
                <w:rStyle w:val="Hyperlink"/>
                <w:noProof/>
                <w:lang w:val="en-US"/>
              </w:rPr>
              <w:t>4.8 Theme 6: Schools, GPs and Early Intervention as Enablers</w:t>
            </w:r>
            <w:r>
              <w:rPr>
                <w:noProof/>
                <w:webHidden/>
              </w:rPr>
              <w:tab/>
            </w:r>
            <w:r>
              <w:rPr>
                <w:noProof/>
                <w:webHidden/>
              </w:rPr>
              <w:fldChar w:fldCharType="begin"/>
            </w:r>
            <w:r>
              <w:rPr>
                <w:noProof/>
                <w:webHidden/>
              </w:rPr>
              <w:instrText xml:space="preserve"> PAGEREF _Toc233629140 \h </w:instrText>
            </w:r>
            <w:r>
              <w:rPr>
                <w:noProof/>
                <w:webHidden/>
              </w:rPr>
            </w:r>
            <w:r>
              <w:rPr>
                <w:noProof/>
                <w:webHidden/>
              </w:rPr>
              <w:fldChar w:fldCharType="separate"/>
            </w:r>
            <w:r>
              <w:rPr>
                <w:noProof/>
                <w:webHidden/>
              </w:rPr>
              <w:t>42</w:t>
            </w:r>
            <w:r>
              <w:rPr>
                <w:noProof/>
                <w:webHidden/>
              </w:rPr>
              <w:fldChar w:fldCharType="end"/>
            </w:r>
          </w:hyperlink>
        </w:p>
        <w:p w14:paraId="6AD84E65" w14:textId="2BC40328" w:rsidR="00E6400E" w:rsidRDefault="00E6400E">
          <w:pPr>
            <w:pStyle w:val="TOC2"/>
            <w:tabs>
              <w:tab w:val="right" w:leader="dot" w:pos="9345"/>
            </w:tabs>
            <w:rPr>
              <w:rFonts w:eastAsiaTheme="minorEastAsia"/>
              <w:noProof/>
              <w:lang w:eastAsia="ru-RU"/>
            </w:rPr>
          </w:pPr>
          <w:hyperlink w:anchor="_Toc233629141" w:history="1">
            <w:r w:rsidRPr="00855426">
              <w:rPr>
                <w:rStyle w:val="Hyperlink"/>
                <w:noProof/>
                <w:lang w:val="en-US"/>
              </w:rPr>
              <w:t>4.9 Theme 7: Continuity of Care and Transition Issues</w:t>
            </w:r>
            <w:r>
              <w:rPr>
                <w:noProof/>
                <w:webHidden/>
              </w:rPr>
              <w:tab/>
            </w:r>
            <w:r>
              <w:rPr>
                <w:noProof/>
                <w:webHidden/>
              </w:rPr>
              <w:fldChar w:fldCharType="begin"/>
            </w:r>
            <w:r>
              <w:rPr>
                <w:noProof/>
                <w:webHidden/>
              </w:rPr>
              <w:instrText xml:space="preserve"> PAGEREF _Toc233629141 \h </w:instrText>
            </w:r>
            <w:r>
              <w:rPr>
                <w:noProof/>
                <w:webHidden/>
              </w:rPr>
            </w:r>
            <w:r>
              <w:rPr>
                <w:noProof/>
                <w:webHidden/>
              </w:rPr>
              <w:fldChar w:fldCharType="separate"/>
            </w:r>
            <w:r>
              <w:rPr>
                <w:noProof/>
                <w:webHidden/>
              </w:rPr>
              <w:t>43</w:t>
            </w:r>
            <w:r>
              <w:rPr>
                <w:noProof/>
                <w:webHidden/>
              </w:rPr>
              <w:fldChar w:fldCharType="end"/>
            </w:r>
          </w:hyperlink>
        </w:p>
        <w:p w14:paraId="07446D5C" w14:textId="09C287FC" w:rsidR="00E6400E" w:rsidRDefault="00E6400E">
          <w:pPr>
            <w:pStyle w:val="TOC2"/>
            <w:tabs>
              <w:tab w:val="right" w:leader="dot" w:pos="9345"/>
            </w:tabs>
            <w:rPr>
              <w:rFonts w:eastAsiaTheme="minorEastAsia"/>
              <w:noProof/>
              <w:lang w:eastAsia="ru-RU"/>
            </w:rPr>
          </w:pPr>
          <w:hyperlink w:anchor="_Toc233629142" w:history="1">
            <w:r w:rsidRPr="00855426">
              <w:rPr>
                <w:rStyle w:val="Hyperlink"/>
                <w:noProof/>
                <w:lang w:val="en-US"/>
              </w:rPr>
              <w:t>4.10 Synthesis of Findings</w:t>
            </w:r>
            <w:r>
              <w:rPr>
                <w:noProof/>
                <w:webHidden/>
              </w:rPr>
              <w:tab/>
            </w:r>
            <w:r>
              <w:rPr>
                <w:noProof/>
                <w:webHidden/>
              </w:rPr>
              <w:fldChar w:fldCharType="begin"/>
            </w:r>
            <w:r>
              <w:rPr>
                <w:noProof/>
                <w:webHidden/>
              </w:rPr>
              <w:instrText xml:space="preserve"> PAGEREF _Toc233629142 \h </w:instrText>
            </w:r>
            <w:r>
              <w:rPr>
                <w:noProof/>
                <w:webHidden/>
              </w:rPr>
            </w:r>
            <w:r>
              <w:rPr>
                <w:noProof/>
                <w:webHidden/>
              </w:rPr>
              <w:fldChar w:fldCharType="separate"/>
            </w:r>
            <w:r>
              <w:rPr>
                <w:noProof/>
                <w:webHidden/>
              </w:rPr>
              <w:t>43</w:t>
            </w:r>
            <w:r>
              <w:rPr>
                <w:noProof/>
                <w:webHidden/>
              </w:rPr>
              <w:fldChar w:fldCharType="end"/>
            </w:r>
          </w:hyperlink>
        </w:p>
        <w:p w14:paraId="67240EDA" w14:textId="7BB0239F" w:rsidR="00E6400E" w:rsidRDefault="00E6400E">
          <w:pPr>
            <w:pStyle w:val="TOC2"/>
            <w:tabs>
              <w:tab w:val="right" w:leader="dot" w:pos="9345"/>
            </w:tabs>
            <w:rPr>
              <w:rFonts w:eastAsiaTheme="minorEastAsia"/>
              <w:noProof/>
              <w:lang w:eastAsia="ru-RU"/>
            </w:rPr>
          </w:pPr>
          <w:hyperlink w:anchor="_Toc233629143" w:history="1">
            <w:r w:rsidRPr="00855426">
              <w:rPr>
                <w:rStyle w:val="Hyperlink"/>
                <w:noProof/>
                <w:lang w:val="en-US"/>
              </w:rPr>
              <w:t>4.11 Discussion in Relation to the Research Question</w:t>
            </w:r>
            <w:r>
              <w:rPr>
                <w:noProof/>
                <w:webHidden/>
              </w:rPr>
              <w:tab/>
            </w:r>
            <w:r>
              <w:rPr>
                <w:noProof/>
                <w:webHidden/>
              </w:rPr>
              <w:fldChar w:fldCharType="begin"/>
            </w:r>
            <w:r>
              <w:rPr>
                <w:noProof/>
                <w:webHidden/>
              </w:rPr>
              <w:instrText xml:space="preserve"> PAGEREF _Toc233629143 \h </w:instrText>
            </w:r>
            <w:r>
              <w:rPr>
                <w:noProof/>
                <w:webHidden/>
              </w:rPr>
            </w:r>
            <w:r>
              <w:rPr>
                <w:noProof/>
                <w:webHidden/>
              </w:rPr>
              <w:fldChar w:fldCharType="separate"/>
            </w:r>
            <w:r>
              <w:rPr>
                <w:noProof/>
                <w:webHidden/>
              </w:rPr>
              <w:t>45</w:t>
            </w:r>
            <w:r>
              <w:rPr>
                <w:noProof/>
                <w:webHidden/>
              </w:rPr>
              <w:fldChar w:fldCharType="end"/>
            </w:r>
          </w:hyperlink>
        </w:p>
        <w:p w14:paraId="6D5AB661" w14:textId="3403EC19" w:rsidR="00E6400E" w:rsidRDefault="00E6400E">
          <w:pPr>
            <w:pStyle w:val="TOC2"/>
            <w:tabs>
              <w:tab w:val="right" w:leader="dot" w:pos="9345"/>
            </w:tabs>
            <w:rPr>
              <w:rFonts w:eastAsiaTheme="minorEastAsia"/>
              <w:noProof/>
              <w:lang w:eastAsia="ru-RU"/>
            </w:rPr>
          </w:pPr>
          <w:hyperlink w:anchor="_Toc233629144" w:history="1">
            <w:r w:rsidRPr="00855426">
              <w:rPr>
                <w:rStyle w:val="Hyperlink"/>
                <w:noProof/>
                <w:lang w:val="en-US"/>
              </w:rPr>
              <w:t>4.12 Chapter Summary</w:t>
            </w:r>
            <w:r>
              <w:rPr>
                <w:noProof/>
                <w:webHidden/>
              </w:rPr>
              <w:tab/>
            </w:r>
            <w:r>
              <w:rPr>
                <w:noProof/>
                <w:webHidden/>
              </w:rPr>
              <w:fldChar w:fldCharType="begin"/>
            </w:r>
            <w:r>
              <w:rPr>
                <w:noProof/>
                <w:webHidden/>
              </w:rPr>
              <w:instrText xml:space="preserve"> PAGEREF _Toc233629144 \h </w:instrText>
            </w:r>
            <w:r>
              <w:rPr>
                <w:noProof/>
                <w:webHidden/>
              </w:rPr>
            </w:r>
            <w:r>
              <w:rPr>
                <w:noProof/>
                <w:webHidden/>
              </w:rPr>
              <w:fldChar w:fldCharType="separate"/>
            </w:r>
            <w:r>
              <w:rPr>
                <w:noProof/>
                <w:webHidden/>
              </w:rPr>
              <w:t>46</w:t>
            </w:r>
            <w:r>
              <w:rPr>
                <w:noProof/>
                <w:webHidden/>
              </w:rPr>
              <w:fldChar w:fldCharType="end"/>
            </w:r>
          </w:hyperlink>
        </w:p>
        <w:p w14:paraId="4C13AABD" w14:textId="3576E629" w:rsidR="00E6400E" w:rsidRDefault="00E6400E">
          <w:pPr>
            <w:pStyle w:val="TOC1"/>
            <w:tabs>
              <w:tab w:val="right" w:leader="dot" w:pos="9345"/>
            </w:tabs>
            <w:rPr>
              <w:rFonts w:eastAsiaTheme="minorEastAsia"/>
              <w:noProof/>
              <w:lang w:eastAsia="ru-RU"/>
            </w:rPr>
          </w:pPr>
          <w:hyperlink w:anchor="_Toc233629145" w:history="1">
            <w:r w:rsidRPr="00855426">
              <w:rPr>
                <w:rStyle w:val="Hyperlink"/>
                <w:noProof/>
                <w:lang w:val="en-US"/>
              </w:rPr>
              <w:t>Chapter 5: Conclusions and Recommendations</w:t>
            </w:r>
            <w:r>
              <w:rPr>
                <w:noProof/>
                <w:webHidden/>
              </w:rPr>
              <w:tab/>
            </w:r>
            <w:r>
              <w:rPr>
                <w:noProof/>
                <w:webHidden/>
              </w:rPr>
              <w:fldChar w:fldCharType="begin"/>
            </w:r>
            <w:r>
              <w:rPr>
                <w:noProof/>
                <w:webHidden/>
              </w:rPr>
              <w:instrText xml:space="preserve"> PAGEREF _Toc233629145 \h </w:instrText>
            </w:r>
            <w:r>
              <w:rPr>
                <w:noProof/>
                <w:webHidden/>
              </w:rPr>
            </w:r>
            <w:r>
              <w:rPr>
                <w:noProof/>
                <w:webHidden/>
              </w:rPr>
              <w:fldChar w:fldCharType="separate"/>
            </w:r>
            <w:r>
              <w:rPr>
                <w:noProof/>
                <w:webHidden/>
              </w:rPr>
              <w:t>47</w:t>
            </w:r>
            <w:r>
              <w:rPr>
                <w:noProof/>
                <w:webHidden/>
              </w:rPr>
              <w:fldChar w:fldCharType="end"/>
            </w:r>
          </w:hyperlink>
        </w:p>
        <w:p w14:paraId="2989E61C" w14:textId="1C6AD6D0" w:rsidR="00E6400E" w:rsidRDefault="00E6400E">
          <w:pPr>
            <w:pStyle w:val="TOC2"/>
            <w:tabs>
              <w:tab w:val="right" w:leader="dot" w:pos="9345"/>
            </w:tabs>
            <w:rPr>
              <w:rFonts w:eastAsiaTheme="minorEastAsia"/>
              <w:noProof/>
              <w:lang w:eastAsia="ru-RU"/>
            </w:rPr>
          </w:pPr>
          <w:hyperlink w:anchor="_Toc233629146" w:history="1">
            <w:r w:rsidRPr="00855426">
              <w:rPr>
                <w:rStyle w:val="Hyperlink"/>
                <w:noProof/>
                <w:lang w:val="en-US"/>
              </w:rPr>
              <w:t>5.1 Introduction</w:t>
            </w:r>
            <w:r>
              <w:rPr>
                <w:noProof/>
                <w:webHidden/>
              </w:rPr>
              <w:tab/>
            </w:r>
            <w:r>
              <w:rPr>
                <w:noProof/>
                <w:webHidden/>
              </w:rPr>
              <w:fldChar w:fldCharType="begin"/>
            </w:r>
            <w:r>
              <w:rPr>
                <w:noProof/>
                <w:webHidden/>
              </w:rPr>
              <w:instrText xml:space="preserve"> PAGEREF _Toc233629146 \h </w:instrText>
            </w:r>
            <w:r>
              <w:rPr>
                <w:noProof/>
                <w:webHidden/>
              </w:rPr>
            </w:r>
            <w:r>
              <w:rPr>
                <w:noProof/>
                <w:webHidden/>
              </w:rPr>
              <w:fldChar w:fldCharType="separate"/>
            </w:r>
            <w:r>
              <w:rPr>
                <w:noProof/>
                <w:webHidden/>
              </w:rPr>
              <w:t>47</w:t>
            </w:r>
            <w:r>
              <w:rPr>
                <w:noProof/>
                <w:webHidden/>
              </w:rPr>
              <w:fldChar w:fldCharType="end"/>
            </w:r>
          </w:hyperlink>
        </w:p>
        <w:p w14:paraId="2A4D84A8" w14:textId="56A4FE0E" w:rsidR="00E6400E" w:rsidRDefault="00E6400E">
          <w:pPr>
            <w:pStyle w:val="TOC2"/>
            <w:tabs>
              <w:tab w:val="right" w:leader="dot" w:pos="9345"/>
            </w:tabs>
            <w:rPr>
              <w:rFonts w:eastAsiaTheme="minorEastAsia"/>
              <w:noProof/>
              <w:lang w:eastAsia="ru-RU"/>
            </w:rPr>
          </w:pPr>
          <w:hyperlink w:anchor="_Toc233629147" w:history="1">
            <w:r w:rsidRPr="00855426">
              <w:rPr>
                <w:rStyle w:val="Hyperlink"/>
                <w:noProof/>
                <w:lang w:val="en-US"/>
              </w:rPr>
              <w:t>5.2 Answer to the Research Question</w:t>
            </w:r>
            <w:r>
              <w:rPr>
                <w:noProof/>
                <w:webHidden/>
              </w:rPr>
              <w:tab/>
            </w:r>
            <w:r>
              <w:rPr>
                <w:noProof/>
                <w:webHidden/>
              </w:rPr>
              <w:fldChar w:fldCharType="begin"/>
            </w:r>
            <w:r>
              <w:rPr>
                <w:noProof/>
                <w:webHidden/>
              </w:rPr>
              <w:instrText xml:space="preserve"> PAGEREF _Toc233629147 \h </w:instrText>
            </w:r>
            <w:r>
              <w:rPr>
                <w:noProof/>
                <w:webHidden/>
              </w:rPr>
            </w:r>
            <w:r>
              <w:rPr>
                <w:noProof/>
                <w:webHidden/>
              </w:rPr>
              <w:fldChar w:fldCharType="separate"/>
            </w:r>
            <w:r>
              <w:rPr>
                <w:noProof/>
                <w:webHidden/>
              </w:rPr>
              <w:t>47</w:t>
            </w:r>
            <w:r>
              <w:rPr>
                <w:noProof/>
                <w:webHidden/>
              </w:rPr>
              <w:fldChar w:fldCharType="end"/>
            </w:r>
          </w:hyperlink>
        </w:p>
        <w:p w14:paraId="7AE6FB9E" w14:textId="013406EB" w:rsidR="00E6400E" w:rsidRDefault="00E6400E">
          <w:pPr>
            <w:pStyle w:val="TOC2"/>
            <w:tabs>
              <w:tab w:val="right" w:leader="dot" w:pos="9345"/>
            </w:tabs>
            <w:rPr>
              <w:rFonts w:eastAsiaTheme="minorEastAsia"/>
              <w:noProof/>
              <w:lang w:eastAsia="ru-RU"/>
            </w:rPr>
          </w:pPr>
          <w:hyperlink w:anchor="_Toc233629148" w:history="1">
            <w:r w:rsidRPr="00855426">
              <w:rPr>
                <w:rStyle w:val="Hyperlink"/>
                <w:noProof/>
                <w:lang w:val="en-US"/>
              </w:rPr>
              <w:t>5.3 Summary of Key Findings</w:t>
            </w:r>
            <w:r>
              <w:rPr>
                <w:noProof/>
                <w:webHidden/>
              </w:rPr>
              <w:tab/>
            </w:r>
            <w:r>
              <w:rPr>
                <w:noProof/>
                <w:webHidden/>
              </w:rPr>
              <w:fldChar w:fldCharType="begin"/>
            </w:r>
            <w:r>
              <w:rPr>
                <w:noProof/>
                <w:webHidden/>
              </w:rPr>
              <w:instrText xml:space="preserve"> PAGEREF _Toc233629148 \h </w:instrText>
            </w:r>
            <w:r>
              <w:rPr>
                <w:noProof/>
                <w:webHidden/>
              </w:rPr>
            </w:r>
            <w:r>
              <w:rPr>
                <w:noProof/>
                <w:webHidden/>
              </w:rPr>
              <w:fldChar w:fldCharType="separate"/>
            </w:r>
            <w:r>
              <w:rPr>
                <w:noProof/>
                <w:webHidden/>
              </w:rPr>
              <w:t>48</w:t>
            </w:r>
            <w:r>
              <w:rPr>
                <w:noProof/>
                <w:webHidden/>
              </w:rPr>
              <w:fldChar w:fldCharType="end"/>
            </w:r>
          </w:hyperlink>
        </w:p>
        <w:p w14:paraId="0A4FCD65" w14:textId="6E4A1AF9" w:rsidR="00E6400E" w:rsidRDefault="00E6400E">
          <w:pPr>
            <w:pStyle w:val="TOC2"/>
            <w:tabs>
              <w:tab w:val="right" w:leader="dot" w:pos="9345"/>
            </w:tabs>
            <w:rPr>
              <w:rFonts w:eastAsiaTheme="minorEastAsia"/>
              <w:noProof/>
              <w:lang w:eastAsia="ru-RU"/>
            </w:rPr>
          </w:pPr>
          <w:hyperlink w:anchor="_Toc233629149" w:history="1">
            <w:r w:rsidRPr="00855426">
              <w:rPr>
                <w:rStyle w:val="Hyperlink"/>
                <w:noProof/>
                <w:lang w:val="en-US"/>
              </w:rPr>
              <w:t>5.4 Contribution of the Dissertation</w:t>
            </w:r>
            <w:r>
              <w:rPr>
                <w:noProof/>
                <w:webHidden/>
              </w:rPr>
              <w:tab/>
            </w:r>
            <w:r>
              <w:rPr>
                <w:noProof/>
                <w:webHidden/>
              </w:rPr>
              <w:fldChar w:fldCharType="begin"/>
            </w:r>
            <w:r>
              <w:rPr>
                <w:noProof/>
                <w:webHidden/>
              </w:rPr>
              <w:instrText xml:space="preserve"> PAGEREF _Toc233629149 \h </w:instrText>
            </w:r>
            <w:r>
              <w:rPr>
                <w:noProof/>
                <w:webHidden/>
              </w:rPr>
            </w:r>
            <w:r>
              <w:rPr>
                <w:noProof/>
                <w:webHidden/>
              </w:rPr>
              <w:fldChar w:fldCharType="separate"/>
            </w:r>
            <w:r>
              <w:rPr>
                <w:noProof/>
                <w:webHidden/>
              </w:rPr>
              <w:t>49</w:t>
            </w:r>
            <w:r>
              <w:rPr>
                <w:noProof/>
                <w:webHidden/>
              </w:rPr>
              <w:fldChar w:fldCharType="end"/>
            </w:r>
          </w:hyperlink>
        </w:p>
        <w:p w14:paraId="32874BDF" w14:textId="280F5ABF" w:rsidR="00E6400E" w:rsidRDefault="00E6400E">
          <w:pPr>
            <w:pStyle w:val="TOC2"/>
            <w:tabs>
              <w:tab w:val="right" w:leader="dot" w:pos="9345"/>
            </w:tabs>
            <w:rPr>
              <w:rFonts w:eastAsiaTheme="minorEastAsia"/>
              <w:noProof/>
              <w:lang w:eastAsia="ru-RU"/>
            </w:rPr>
          </w:pPr>
          <w:hyperlink w:anchor="_Toc233629150" w:history="1">
            <w:r w:rsidRPr="00855426">
              <w:rPr>
                <w:rStyle w:val="Hyperlink"/>
                <w:noProof/>
                <w:lang w:val="en-US"/>
              </w:rPr>
              <w:t>5.5 Recommendations for Policy and Practice</w:t>
            </w:r>
            <w:r>
              <w:rPr>
                <w:noProof/>
                <w:webHidden/>
              </w:rPr>
              <w:tab/>
            </w:r>
            <w:r>
              <w:rPr>
                <w:noProof/>
                <w:webHidden/>
              </w:rPr>
              <w:fldChar w:fldCharType="begin"/>
            </w:r>
            <w:r>
              <w:rPr>
                <w:noProof/>
                <w:webHidden/>
              </w:rPr>
              <w:instrText xml:space="preserve"> PAGEREF _Toc233629150 \h </w:instrText>
            </w:r>
            <w:r>
              <w:rPr>
                <w:noProof/>
                <w:webHidden/>
              </w:rPr>
            </w:r>
            <w:r>
              <w:rPr>
                <w:noProof/>
                <w:webHidden/>
              </w:rPr>
              <w:fldChar w:fldCharType="separate"/>
            </w:r>
            <w:r>
              <w:rPr>
                <w:noProof/>
                <w:webHidden/>
              </w:rPr>
              <w:t>50</w:t>
            </w:r>
            <w:r>
              <w:rPr>
                <w:noProof/>
                <w:webHidden/>
              </w:rPr>
              <w:fldChar w:fldCharType="end"/>
            </w:r>
          </w:hyperlink>
        </w:p>
        <w:p w14:paraId="0B767BFD" w14:textId="0DD621B0" w:rsidR="00E6400E" w:rsidRDefault="00E6400E">
          <w:pPr>
            <w:pStyle w:val="TOC2"/>
            <w:tabs>
              <w:tab w:val="right" w:leader="dot" w:pos="9345"/>
            </w:tabs>
            <w:rPr>
              <w:rFonts w:eastAsiaTheme="minorEastAsia"/>
              <w:noProof/>
              <w:lang w:eastAsia="ru-RU"/>
            </w:rPr>
          </w:pPr>
          <w:hyperlink w:anchor="_Toc233629151" w:history="1">
            <w:r w:rsidRPr="00855426">
              <w:rPr>
                <w:rStyle w:val="Hyperlink"/>
                <w:noProof/>
                <w:lang w:val="en-US"/>
              </w:rPr>
              <w:t>5.6 Recommendations for Future Research</w:t>
            </w:r>
            <w:r>
              <w:rPr>
                <w:noProof/>
                <w:webHidden/>
              </w:rPr>
              <w:tab/>
            </w:r>
            <w:r>
              <w:rPr>
                <w:noProof/>
                <w:webHidden/>
              </w:rPr>
              <w:fldChar w:fldCharType="begin"/>
            </w:r>
            <w:r>
              <w:rPr>
                <w:noProof/>
                <w:webHidden/>
              </w:rPr>
              <w:instrText xml:space="preserve"> PAGEREF _Toc233629151 \h </w:instrText>
            </w:r>
            <w:r>
              <w:rPr>
                <w:noProof/>
                <w:webHidden/>
              </w:rPr>
            </w:r>
            <w:r>
              <w:rPr>
                <w:noProof/>
                <w:webHidden/>
              </w:rPr>
              <w:fldChar w:fldCharType="separate"/>
            </w:r>
            <w:r>
              <w:rPr>
                <w:noProof/>
                <w:webHidden/>
              </w:rPr>
              <w:t>51</w:t>
            </w:r>
            <w:r>
              <w:rPr>
                <w:noProof/>
                <w:webHidden/>
              </w:rPr>
              <w:fldChar w:fldCharType="end"/>
            </w:r>
          </w:hyperlink>
        </w:p>
        <w:p w14:paraId="5B7F4172" w14:textId="5A9FE185" w:rsidR="00E6400E" w:rsidRDefault="00E6400E">
          <w:pPr>
            <w:pStyle w:val="TOC2"/>
            <w:tabs>
              <w:tab w:val="right" w:leader="dot" w:pos="9345"/>
            </w:tabs>
            <w:rPr>
              <w:rFonts w:eastAsiaTheme="minorEastAsia"/>
              <w:noProof/>
              <w:lang w:eastAsia="ru-RU"/>
            </w:rPr>
          </w:pPr>
          <w:hyperlink w:anchor="_Toc233629152" w:history="1">
            <w:r w:rsidRPr="00855426">
              <w:rPr>
                <w:rStyle w:val="Hyperlink"/>
                <w:noProof/>
                <w:lang w:val="en-US"/>
              </w:rPr>
              <w:t>5.7 Final Conclusion</w:t>
            </w:r>
            <w:r>
              <w:rPr>
                <w:noProof/>
                <w:webHidden/>
              </w:rPr>
              <w:tab/>
            </w:r>
            <w:r>
              <w:rPr>
                <w:noProof/>
                <w:webHidden/>
              </w:rPr>
              <w:fldChar w:fldCharType="begin"/>
            </w:r>
            <w:r>
              <w:rPr>
                <w:noProof/>
                <w:webHidden/>
              </w:rPr>
              <w:instrText xml:space="preserve"> PAGEREF _Toc233629152 \h </w:instrText>
            </w:r>
            <w:r>
              <w:rPr>
                <w:noProof/>
                <w:webHidden/>
              </w:rPr>
            </w:r>
            <w:r>
              <w:rPr>
                <w:noProof/>
                <w:webHidden/>
              </w:rPr>
              <w:fldChar w:fldCharType="separate"/>
            </w:r>
            <w:r>
              <w:rPr>
                <w:noProof/>
                <w:webHidden/>
              </w:rPr>
              <w:t>52</w:t>
            </w:r>
            <w:r>
              <w:rPr>
                <w:noProof/>
                <w:webHidden/>
              </w:rPr>
              <w:fldChar w:fldCharType="end"/>
            </w:r>
          </w:hyperlink>
        </w:p>
        <w:p w14:paraId="3BFE9685" w14:textId="647B13C0" w:rsidR="00E6400E" w:rsidRDefault="00E6400E">
          <w:pPr>
            <w:pStyle w:val="TOC1"/>
            <w:tabs>
              <w:tab w:val="right" w:leader="dot" w:pos="9345"/>
            </w:tabs>
            <w:rPr>
              <w:rFonts w:eastAsiaTheme="minorEastAsia"/>
              <w:noProof/>
              <w:lang w:eastAsia="ru-RU"/>
            </w:rPr>
          </w:pPr>
          <w:hyperlink w:anchor="_Toc233629153" w:history="1">
            <w:r w:rsidRPr="00855426">
              <w:rPr>
                <w:rStyle w:val="Hyperlink"/>
                <w:noProof/>
                <w:lang w:val="en-US"/>
              </w:rPr>
              <w:t>References</w:t>
            </w:r>
            <w:r>
              <w:rPr>
                <w:noProof/>
                <w:webHidden/>
              </w:rPr>
              <w:tab/>
            </w:r>
            <w:r>
              <w:rPr>
                <w:noProof/>
                <w:webHidden/>
              </w:rPr>
              <w:fldChar w:fldCharType="begin"/>
            </w:r>
            <w:r>
              <w:rPr>
                <w:noProof/>
                <w:webHidden/>
              </w:rPr>
              <w:instrText xml:space="preserve"> PAGEREF _Toc233629153 \h </w:instrText>
            </w:r>
            <w:r>
              <w:rPr>
                <w:noProof/>
                <w:webHidden/>
              </w:rPr>
            </w:r>
            <w:r>
              <w:rPr>
                <w:noProof/>
                <w:webHidden/>
              </w:rPr>
              <w:fldChar w:fldCharType="separate"/>
            </w:r>
            <w:r>
              <w:rPr>
                <w:noProof/>
                <w:webHidden/>
              </w:rPr>
              <w:t>53</w:t>
            </w:r>
            <w:r>
              <w:rPr>
                <w:noProof/>
                <w:webHidden/>
              </w:rPr>
              <w:fldChar w:fldCharType="end"/>
            </w:r>
          </w:hyperlink>
        </w:p>
        <w:p w14:paraId="30E13992" w14:textId="1A36AA79" w:rsidR="00E6400E" w:rsidRDefault="00E6400E">
          <w:pPr>
            <w:pStyle w:val="TOC1"/>
            <w:tabs>
              <w:tab w:val="right" w:leader="dot" w:pos="9345"/>
            </w:tabs>
            <w:rPr>
              <w:rFonts w:eastAsiaTheme="minorEastAsia"/>
              <w:noProof/>
              <w:lang w:eastAsia="ru-RU"/>
            </w:rPr>
          </w:pPr>
          <w:hyperlink w:anchor="_Toc233629154" w:history="1">
            <w:r w:rsidRPr="00855426">
              <w:rPr>
                <w:rStyle w:val="Hyperlink"/>
                <w:noProof/>
                <w:lang w:val="en-US"/>
              </w:rPr>
              <w:t>Appendices</w:t>
            </w:r>
            <w:r>
              <w:rPr>
                <w:noProof/>
                <w:webHidden/>
              </w:rPr>
              <w:tab/>
            </w:r>
            <w:r>
              <w:rPr>
                <w:noProof/>
                <w:webHidden/>
              </w:rPr>
              <w:fldChar w:fldCharType="begin"/>
            </w:r>
            <w:r>
              <w:rPr>
                <w:noProof/>
                <w:webHidden/>
              </w:rPr>
              <w:instrText xml:space="preserve"> PAGEREF _Toc233629154 \h </w:instrText>
            </w:r>
            <w:r>
              <w:rPr>
                <w:noProof/>
                <w:webHidden/>
              </w:rPr>
            </w:r>
            <w:r>
              <w:rPr>
                <w:noProof/>
                <w:webHidden/>
              </w:rPr>
              <w:fldChar w:fldCharType="separate"/>
            </w:r>
            <w:r>
              <w:rPr>
                <w:noProof/>
                <w:webHidden/>
              </w:rPr>
              <w:t>64</w:t>
            </w:r>
            <w:r>
              <w:rPr>
                <w:noProof/>
                <w:webHidden/>
              </w:rPr>
              <w:fldChar w:fldCharType="end"/>
            </w:r>
          </w:hyperlink>
        </w:p>
        <w:p w14:paraId="4B6A53EE" w14:textId="4FDAC94E" w:rsidR="00E6400E" w:rsidRDefault="00E6400E">
          <w:pPr>
            <w:pStyle w:val="TOC2"/>
            <w:tabs>
              <w:tab w:val="right" w:leader="dot" w:pos="9345"/>
            </w:tabs>
            <w:rPr>
              <w:rFonts w:eastAsiaTheme="minorEastAsia"/>
              <w:noProof/>
              <w:lang w:eastAsia="ru-RU"/>
            </w:rPr>
          </w:pPr>
          <w:hyperlink w:anchor="_Toc233629155" w:history="1">
            <w:r w:rsidRPr="00855426">
              <w:rPr>
                <w:rStyle w:val="Hyperlink"/>
                <w:noProof/>
                <w:lang w:val="en-US"/>
              </w:rPr>
              <w:t>Appendix 1: Search Strategy</w:t>
            </w:r>
            <w:r>
              <w:rPr>
                <w:noProof/>
                <w:webHidden/>
              </w:rPr>
              <w:tab/>
            </w:r>
            <w:r>
              <w:rPr>
                <w:noProof/>
                <w:webHidden/>
              </w:rPr>
              <w:fldChar w:fldCharType="begin"/>
            </w:r>
            <w:r>
              <w:rPr>
                <w:noProof/>
                <w:webHidden/>
              </w:rPr>
              <w:instrText xml:space="preserve"> PAGEREF _Toc233629155 \h </w:instrText>
            </w:r>
            <w:r>
              <w:rPr>
                <w:noProof/>
                <w:webHidden/>
              </w:rPr>
            </w:r>
            <w:r>
              <w:rPr>
                <w:noProof/>
                <w:webHidden/>
              </w:rPr>
              <w:fldChar w:fldCharType="separate"/>
            </w:r>
            <w:r>
              <w:rPr>
                <w:noProof/>
                <w:webHidden/>
              </w:rPr>
              <w:t>64</w:t>
            </w:r>
            <w:r>
              <w:rPr>
                <w:noProof/>
                <w:webHidden/>
              </w:rPr>
              <w:fldChar w:fldCharType="end"/>
            </w:r>
          </w:hyperlink>
        </w:p>
        <w:p w14:paraId="4922ACA6" w14:textId="4927B1B1" w:rsidR="00E6400E" w:rsidRDefault="00E6400E">
          <w:pPr>
            <w:pStyle w:val="TOC2"/>
            <w:tabs>
              <w:tab w:val="right" w:leader="dot" w:pos="9345"/>
            </w:tabs>
            <w:rPr>
              <w:rFonts w:eastAsiaTheme="minorEastAsia"/>
              <w:noProof/>
              <w:lang w:eastAsia="ru-RU"/>
            </w:rPr>
          </w:pPr>
          <w:hyperlink w:anchor="_Toc233629156" w:history="1">
            <w:r w:rsidRPr="00855426">
              <w:rPr>
                <w:rStyle w:val="Hyperlink"/>
                <w:noProof/>
                <w:lang w:val="en-US"/>
              </w:rPr>
              <w:t>Appendix 2: Inclusion and Exclusion Criteria</w:t>
            </w:r>
            <w:r>
              <w:rPr>
                <w:noProof/>
                <w:webHidden/>
              </w:rPr>
              <w:tab/>
            </w:r>
            <w:r>
              <w:rPr>
                <w:noProof/>
                <w:webHidden/>
              </w:rPr>
              <w:fldChar w:fldCharType="begin"/>
            </w:r>
            <w:r>
              <w:rPr>
                <w:noProof/>
                <w:webHidden/>
              </w:rPr>
              <w:instrText xml:space="preserve"> PAGEREF _Toc233629156 \h </w:instrText>
            </w:r>
            <w:r>
              <w:rPr>
                <w:noProof/>
                <w:webHidden/>
              </w:rPr>
            </w:r>
            <w:r>
              <w:rPr>
                <w:noProof/>
                <w:webHidden/>
              </w:rPr>
              <w:fldChar w:fldCharType="separate"/>
            </w:r>
            <w:r>
              <w:rPr>
                <w:noProof/>
                <w:webHidden/>
              </w:rPr>
              <w:t>65</w:t>
            </w:r>
            <w:r>
              <w:rPr>
                <w:noProof/>
                <w:webHidden/>
              </w:rPr>
              <w:fldChar w:fldCharType="end"/>
            </w:r>
          </w:hyperlink>
        </w:p>
        <w:p w14:paraId="52463851" w14:textId="1B212AA7" w:rsidR="00E6400E" w:rsidRDefault="00E6400E">
          <w:pPr>
            <w:pStyle w:val="TOC2"/>
            <w:tabs>
              <w:tab w:val="right" w:leader="dot" w:pos="9345"/>
            </w:tabs>
            <w:rPr>
              <w:rFonts w:eastAsiaTheme="minorEastAsia"/>
              <w:noProof/>
              <w:lang w:eastAsia="ru-RU"/>
            </w:rPr>
          </w:pPr>
          <w:hyperlink w:anchor="_Toc233629157" w:history="1">
            <w:r w:rsidRPr="00855426">
              <w:rPr>
                <w:rStyle w:val="Hyperlink"/>
                <w:noProof/>
                <w:lang w:val="en-US"/>
              </w:rPr>
              <w:t>Appendix 3: PRISMA 2020 Flow Diagram Data</w:t>
            </w:r>
            <w:r>
              <w:rPr>
                <w:noProof/>
                <w:webHidden/>
              </w:rPr>
              <w:tab/>
            </w:r>
            <w:r>
              <w:rPr>
                <w:noProof/>
                <w:webHidden/>
              </w:rPr>
              <w:fldChar w:fldCharType="begin"/>
            </w:r>
            <w:r>
              <w:rPr>
                <w:noProof/>
                <w:webHidden/>
              </w:rPr>
              <w:instrText xml:space="preserve"> PAGEREF _Toc233629157 \h </w:instrText>
            </w:r>
            <w:r>
              <w:rPr>
                <w:noProof/>
                <w:webHidden/>
              </w:rPr>
            </w:r>
            <w:r>
              <w:rPr>
                <w:noProof/>
                <w:webHidden/>
              </w:rPr>
              <w:fldChar w:fldCharType="separate"/>
            </w:r>
            <w:r>
              <w:rPr>
                <w:noProof/>
                <w:webHidden/>
              </w:rPr>
              <w:t>66</w:t>
            </w:r>
            <w:r>
              <w:rPr>
                <w:noProof/>
                <w:webHidden/>
              </w:rPr>
              <w:fldChar w:fldCharType="end"/>
            </w:r>
          </w:hyperlink>
        </w:p>
        <w:p w14:paraId="6AEB575C" w14:textId="32579321" w:rsidR="00E6400E" w:rsidRDefault="00E6400E">
          <w:pPr>
            <w:pStyle w:val="TOC2"/>
            <w:tabs>
              <w:tab w:val="right" w:leader="dot" w:pos="9345"/>
            </w:tabs>
            <w:rPr>
              <w:rFonts w:eastAsiaTheme="minorEastAsia"/>
              <w:noProof/>
              <w:lang w:eastAsia="ru-RU"/>
            </w:rPr>
          </w:pPr>
          <w:hyperlink w:anchor="_Toc233629158" w:history="1">
            <w:r w:rsidRPr="00855426">
              <w:rPr>
                <w:rStyle w:val="Hyperlink"/>
                <w:noProof/>
                <w:lang w:val="en-US"/>
              </w:rPr>
              <w:t>Appendix 4: Quality Appraisal Tool</w:t>
            </w:r>
            <w:r>
              <w:rPr>
                <w:noProof/>
                <w:webHidden/>
              </w:rPr>
              <w:tab/>
            </w:r>
            <w:r>
              <w:rPr>
                <w:noProof/>
                <w:webHidden/>
              </w:rPr>
              <w:fldChar w:fldCharType="begin"/>
            </w:r>
            <w:r>
              <w:rPr>
                <w:noProof/>
                <w:webHidden/>
              </w:rPr>
              <w:instrText xml:space="preserve"> PAGEREF _Toc233629158 \h </w:instrText>
            </w:r>
            <w:r>
              <w:rPr>
                <w:noProof/>
                <w:webHidden/>
              </w:rPr>
            </w:r>
            <w:r>
              <w:rPr>
                <w:noProof/>
                <w:webHidden/>
              </w:rPr>
              <w:fldChar w:fldCharType="separate"/>
            </w:r>
            <w:r>
              <w:rPr>
                <w:noProof/>
                <w:webHidden/>
              </w:rPr>
              <w:t>67</w:t>
            </w:r>
            <w:r>
              <w:rPr>
                <w:noProof/>
                <w:webHidden/>
              </w:rPr>
              <w:fldChar w:fldCharType="end"/>
            </w:r>
          </w:hyperlink>
        </w:p>
        <w:p w14:paraId="61835FC1" w14:textId="6E7C52CA" w:rsidR="00E6400E" w:rsidRDefault="00E6400E">
          <w:pPr>
            <w:pStyle w:val="TOC2"/>
            <w:tabs>
              <w:tab w:val="right" w:leader="dot" w:pos="9345"/>
            </w:tabs>
            <w:rPr>
              <w:rFonts w:eastAsiaTheme="minorEastAsia"/>
              <w:noProof/>
              <w:lang w:eastAsia="ru-RU"/>
            </w:rPr>
          </w:pPr>
          <w:hyperlink w:anchor="_Toc233629159" w:history="1">
            <w:r w:rsidRPr="00855426">
              <w:rPr>
                <w:rStyle w:val="Hyperlink"/>
                <w:noProof/>
                <w:lang w:val="en-US"/>
              </w:rPr>
              <w:t>Appendix 5: Framework for Information Extraction</w:t>
            </w:r>
            <w:r>
              <w:rPr>
                <w:noProof/>
                <w:webHidden/>
              </w:rPr>
              <w:tab/>
            </w:r>
            <w:r>
              <w:rPr>
                <w:noProof/>
                <w:webHidden/>
              </w:rPr>
              <w:fldChar w:fldCharType="begin"/>
            </w:r>
            <w:r>
              <w:rPr>
                <w:noProof/>
                <w:webHidden/>
              </w:rPr>
              <w:instrText xml:space="preserve"> PAGEREF _Toc233629159 \h </w:instrText>
            </w:r>
            <w:r>
              <w:rPr>
                <w:noProof/>
                <w:webHidden/>
              </w:rPr>
            </w:r>
            <w:r>
              <w:rPr>
                <w:noProof/>
                <w:webHidden/>
              </w:rPr>
              <w:fldChar w:fldCharType="separate"/>
            </w:r>
            <w:r>
              <w:rPr>
                <w:noProof/>
                <w:webHidden/>
              </w:rPr>
              <w:t>68</w:t>
            </w:r>
            <w:r>
              <w:rPr>
                <w:noProof/>
                <w:webHidden/>
              </w:rPr>
              <w:fldChar w:fldCharType="end"/>
            </w:r>
          </w:hyperlink>
        </w:p>
        <w:p w14:paraId="07FD485B" w14:textId="1C67FD6E" w:rsidR="00E6400E" w:rsidRDefault="00E6400E">
          <w:pPr>
            <w:pStyle w:val="TOC2"/>
            <w:tabs>
              <w:tab w:val="right" w:leader="dot" w:pos="9345"/>
            </w:tabs>
            <w:rPr>
              <w:rFonts w:eastAsiaTheme="minorEastAsia"/>
              <w:noProof/>
              <w:lang w:eastAsia="ru-RU"/>
            </w:rPr>
          </w:pPr>
          <w:hyperlink w:anchor="_Toc233629160" w:history="1">
            <w:r w:rsidRPr="00855426">
              <w:rPr>
                <w:rStyle w:val="Hyperlink"/>
                <w:noProof/>
                <w:lang w:val="en-US"/>
              </w:rPr>
              <w:t>Appendix 6: Source Table for Review Analysis – Twenty Sources</w:t>
            </w:r>
            <w:r>
              <w:rPr>
                <w:noProof/>
                <w:webHidden/>
              </w:rPr>
              <w:tab/>
            </w:r>
            <w:r>
              <w:rPr>
                <w:noProof/>
                <w:webHidden/>
              </w:rPr>
              <w:fldChar w:fldCharType="begin"/>
            </w:r>
            <w:r>
              <w:rPr>
                <w:noProof/>
                <w:webHidden/>
              </w:rPr>
              <w:instrText xml:space="preserve"> PAGEREF _Toc233629160 \h </w:instrText>
            </w:r>
            <w:r>
              <w:rPr>
                <w:noProof/>
                <w:webHidden/>
              </w:rPr>
            </w:r>
            <w:r>
              <w:rPr>
                <w:noProof/>
                <w:webHidden/>
              </w:rPr>
              <w:fldChar w:fldCharType="separate"/>
            </w:r>
            <w:r>
              <w:rPr>
                <w:noProof/>
                <w:webHidden/>
              </w:rPr>
              <w:t>69</w:t>
            </w:r>
            <w:r>
              <w:rPr>
                <w:noProof/>
                <w:webHidden/>
              </w:rPr>
              <w:fldChar w:fldCharType="end"/>
            </w:r>
          </w:hyperlink>
        </w:p>
        <w:p w14:paraId="1ACD8B5A" w14:textId="23F48643" w:rsidR="00E6400E" w:rsidRDefault="00E6400E">
          <w:pPr>
            <w:pStyle w:val="TOC2"/>
            <w:tabs>
              <w:tab w:val="right" w:leader="dot" w:pos="9345"/>
            </w:tabs>
            <w:rPr>
              <w:rFonts w:eastAsiaTheme="minorEastAsia"/>
              <w:noProof/>
              <w:lang w:eastAsia="ru-RU"/>
            </w:rPr>
          </w:pPr>
          <w:hyperlink w:anchor="_Toc233629161" w:history="1">
            <w:r w:rsidRPr="00855426">
              <w:rPr>
                <w:rStyle w:val="Hyperlink"/>
                <w:noProof/>
                <w:lang w:val="en-US"/>
              </w:rPr>
              <w:t>Appendix 7: Thematic Coding Summary</w:t>
            </w:r>
            <w:r>
              <w:rPr>
                <w:noProof/>
                <w:webHidden/>
              </w:rPr>
              <w:tab/>
            </w:r>
            <w:r>
              <w:rPr>
                <w:noProof/>
                <w:webHidden/>
              </w:rPr>
              <w:fldChar w:fldCharType="begin"/>
            </w:r>
            <w:r>
              <w:rPr>
                <w:noProof/>
                <w:webHidden/>
              </w:rPr>
              <w:instrText xml:space="preserve"> PAGEREF _Toc233629161 \h </w:instrText>
            </w:r>
            <w:r>
              <w:rPr>
                <w:noProof/>
                <w:webHidden/>
              </w:rPr>
            </w:r>
            <w:r>
              <w:rPr>
                <w:noProof/>
                <w:webHidden/>
              </w:rPr>
              <w:fldChar w:fldCharType="separate"/>
            </w:r>
            <w:r>
              <w:rPr>
                <w:noProof/>
                <w:webHidden/>
              </w:rPr>
              <w:t>71</w:t>
            </w:r>
            <w:r>
              <w:rPr>
                <w:noProof/>
                <w:webHidden/>
              </w:rPr>
              <w:fldChar w:fldCharType="end"/>
            </w:r>
          </w:hyperlink>
        </w:p>
        <w:p w14:paraId="5A67A953" w14:textId="10760AEF" w:rsidR="00E6400E" w:rsidRDefault="00E6400E">
          <w:pPr>
            <w:pStyle w:val="TOC2"/>
            <w:tabs>
              <w:tab w:val="right" w:leader="dot" w:pos="9345"/>
            </w:tabs>
            <w:rPr>
              <w:rFonts w:eastAsiaTheme="minorEastAsia"/>
              <w:noProof/>
              <w:lang w:eastAsia="ru-RU"/>
            </w:rPr>
          </w:pPr>
          <w:hyperlink w:anchor="_Toc233629162" w:history="1">
            <w:r w:rsidRPr="00855426">
              <w:rPr>
                <w:rStyle w:val="Hyperlink"/>
                <w:noProof/>
                <w:lang w:val="en-US"/>
              </w:rPr>
              <w:t>Appendix 8: PRISMA 2020 Checklist Summary</w:t>
            </w:r>
            <w:r>
              <w:rPr>
                <w:noProof/>
                <w:webHidden/>
              </w:rPr>
              <w:tab/>
            </w:r>
            <w:r>
              <w:rPr>
                <w:noProof/>
                <w:webHidden/>
              </w:rPr>
              <w:fldChar w:fldCharType="begin"/>
            </w:r>
            <w:r>
              <w:rPr>
                <w:noProof/>
                <w:webHidden/>
              </w:rPr>
              <w:instrText xml:space="preserve"> PAGEREF _Toc233629162 \h </w:instrText>
            </w:r>
            <w:r>
              <w:rPr>
                <w:noProof/>
                <w:webHidden/>
              </w:rPr>
            </w:r>
            <w:r>
              <w:rPr>
                <w:noProof/>
                <w:webHidden/>
              </w:rPr>
              <w:fldChar w:fldCharType="separate"/>
            </w:r>
            <w:r>
              <w:rPr>
                <w:noProof/>
                <w:webHidden/>
              </w:rPr>
              <w:t>72</w:t>
            </w:r>
            <w:r>
              <w:rPr>
                <w:noProof/>
                <w:webHidden/>
              </w:rPr>
              <w:fldChar w:fldCharType="end"/>
            </w:r>
          </w:hyperlink>
        </w:p>
        <w:p w14:paraId="55D7C6BE" w14:textId="3948D3A9" w:rsidR="00E6400E" w:rsidRDefault="00E6400E">
          <w:pPr>
            <w:pStyle w:val="TOC2"/>
            <w:tabs>
              <w:tab w:val="right" w:leader="dot" w:pos="9345"/>
            </w:tabs>
            <w:rPr>
              <w:rFonts w:eastAsiaTheme="minorEastAsia"/>
              <w:noProof/>
              <w:lang w:eastAsia="ru-RU"/>
            </w:rPr>
          </w:pPr>
          <w:hyperlink w:anchor="_Toc233629163" w:history="1">
            <w:r w:rsidRPr="00855426">
              <w:rPr>
                <w:rStyle w:val="Hyperlink"/>
                <w:noProof/>
                <w:lang w:val="en-US"/>
              </w:rPr>
              <w:t>Appendix 9: Search Audit Trail</w:t>
            </w:r>
            <w:r>
              <w:rPr>
                <w:noProof/>
                <w:webHidden/>
              </w:rPr>
              <w:tab/>
            </w:r>
            <w:r>
              <w:rPr>
                <w:noProof/>
                <w:webHidden/>
              </w:rPr>
              <w:fldChar w:fldCharType="begin"/>
            </w:r>
            <w:r>
              <w:rPr>
                <w:noProof/>
                <w:webHidden/>
              </w:rPr>
              <w:instrText xml:space="preserve"> PAGEREF _Toc233629163 \h </w:instrText>
            </w:r>
            <w:r>
              <w:rPr>
                <w:noProof/>
                <w:webHidden/>
              </w:rPr>
            </w:r>
            <w:r>
              <w:rPr>
                <w:noProof/>
                <w:webHidden/>
              </w:rPr>
              <w:fldChar w:fldCharType="separate"/>
            </w:r>
            <w:r>
              <w:rPr>
                <w:noProof/>
                <w:webHidden/>
              </w:rPr>
              <w:t>73</w:t>
            </w:r>
            <w:r>
              <w:rPr>
                <w:noProof/>
                <w:webHidden/>
              </w:rPr>
              <w:fldChar w:fldCharType="end"/>
            </w:r>
          </w:hyperlink>
        </w:p>
        <w:p w14:paraId="51F04EF3" w14:textId="4C046593" w:rsidR="00E6400E" w:rsidRDefault="00E6400E">
          <w:pPr>
            <w:pStyle w:val="TOC2"/>
            <w:tabs>
              <w:tab w:val="right" w:leader="dot" w:pos="9345"/>
            </w:tabs>
            <w:rPr>
              <w:rFonts w:eastAsiaTheme="minorEastAsia"/>
              <w:noProof/>
              <w:lang w:eastAsia="ru-RU"/>
            </w:rPr>
          </w:pPr>
          <w:hyperlink w:anchor="_Toc233629164" w:history="1">
            <w:r w:rsidRPr="00855426">
              <w:rPr>
                <w:rStyle w:val="Hyperlink"/>
                <w:noProof/>
                <w:lang w:val="en-US"/>
              </w:rPr>
              <w:t>Appendix 10: Linkage of Themes to Objectives</w:t>
            </w:r>
            <w:r>
              <w:rPr>
                <w:noProof/>
                <w:webHidden/>
              </w:rPr>
              <w:tab/>
            </w:r>
            <w:r>
              <w:rPr>
                <w:noProof/>
                <w:webHidden/>
              </w:rPr>
              <w:fldChar w:fldCharType="begin"/>
            </w:r>
            <w:r>
              <w:rPr>
                <w:noProof/>
                <w:webHidden/>
              </w:rPr>
              <w:instrText xml:space="preserve"> PAGEREF _Toc233629164 \h </w:instrText>
            </w:r>
            <w:r>
              <w:rPr>
                <w:noProof/>
                <w:webHidden/>
              </w:rPr>
            </w:r>
            <w:r>
              <w:rPr>
                <w:noProof/>
                <w:webHidden/>
              </w:rPr>
              <w:fldChar w:fldCharType="separate"/>
            </w:r>
            <w:r>
              <w:rPr>
                <w:noProof/>
                <w:webHidden/>
              </w:rPr>
              <w:t>74</w:t>
            </w:r>
            <w:r>
              <w:rPr>
                <w:noProof/>
                <w:webHidden/>
              </w:rPr>
              <w:fldChar w:fldCharType="end"/>
            </w:r>
          </w:hyperlink>
        </w:p>
        <w:p w14:paraId="0B1197A6" w14:textId="6D546462" w:rsidR="00E6400E" w:rsidRDefault="00E6400E">
          <w:pPr>
            <w:pStyle w:val="TOC2"/>
            <w:tabs>
              <w:tab w:val="right" w:leader="dot" w:pos="9345"/>
            </w:tabs>
            <w:rPr>
              <w:rFonts w:eastAsiaTheme="minorEastAsia"/>
              <w:noProof/>
              <w:lang w:eastAsia="ru-RU"/>
            </w:rPr>
          </w:pPr>
          <w:hyperlink w:anchor="_Toc233629165" w:history="1">
            <w:r w:rsidRPr="00855426">
              <w:rPr>
                <w:rStyle w:val="Hyperlink"/>
                <w:noProof/>
                <w:lang w:val="en-US"/>
              </w:rPr>
              <w:t>Appendix 11: Barriers and Enablers Through the CAMHS Access Pathway</w:t>
            </w:r>
            <w:r>
              <w:rPr>
                <w:noProof/>
                <w:webHidden/>
              </w:rPr>
              <w:tab/>
            </w:r>
            <w:r>
              <w:rPr>
                <w:noProof/>
                <w:webHidden/>
              </w:rPr>
              <w:fldChar w:fldCharType="begin"/>
            </w:r>
            <w:r>
              <w:rPr>
                <w:noProof/>
                <w:webHidden/>
              </w:rPr>
              <w:instrText xml:space="preserve"> PAGEREF _Toc233629165 \h </w:instrText>
            </w:r>
            <w:r>
              <w:rPr>
                <w:noProof/>
                <w:webHidden/>
              </w:rPr>
            </w:r>
            <w:r>
              <w:rPr>
                <w:noProof/>
                <w:webHidden/>
              </w:rPr>
              <w:fldChar w:fldCharType="separate"/>
            </w:r>
            <w:r>
              <w:rPr>
                <w:noProof/>
                <w:webHidden/>
              </w:rPr>
              <w:t>75</w:t>
            </w:r>
            <w:r>
              <w:rPr>
                <w:noProof/>
                <w:webHidden/>
              </w:rPr>
              <w:fldChar w:fldCharType="end"/>
            </w:r>
          </w:hyperlink>
        </w:p>
        <w:p w14:paraId="3CF366D7" w14:textId="4E53E9B9" w:rsidR="00E6400E" w:rsidRDefault="00E6400E">
          <w:pPr>
            <w:pStyle w:val="TOC2"/>
            <w:tabs>
              <w:tab w:val="right" w:leader="dot" w:pos="9345"/>
            </w:tabs>
            <w:rPr>
              <w:rFonts w:eastAsiaTheme="minorEastAsia"/>
              <w:noProof/>
              <w:lang w:eastAsia="ru-RU"/>
            </w:rPr>
          </w:pPr>
          <w:hyperlink w:anchor="_Toc233629166" w:history="1">
            <w:r w:rsidRPr="00855426">
              <w:rPr>
                <w:rStyle w:val="Hyperlink"/>
                <w:noProof/>
                <w:lang w:val="en-US"/>
              </w:rPr>
              <w:t>Appendix 12: Overview of Implementation of Recommendations</w:t>
            </w:r>
            <w:r>
              <w:rPr>
                <w:noProof/>
                <w:webHidden/>
              </w:rPr>
              <w:tab/>
            </w:r>
            <w:r>
              <w:rPr>
                <w:noProof/>
                <w:webHidden/>
              </w:rPr>
              <w:fldChar w:fldCharType="begin"/>
            </w:r>
            <w:r>
              <w:rPr>
                <w:noProof/>
                <w:webHidden/>
              </w:rPr>
              <w:instrText xml:space="preserve"> PAGEREF _Toc233629166 \h </w:instrText>
            </w:r>
            <w:r>
              <w:rPr>
                <w:noProof/>
                <w:webHidden/>
              </w:rPr>
            </w:r>
            <w:r>
              <w:rPr>
                <w:noProof/>
                <w:webHidden/>
              </w:rPr>
              <w:fldChar w:fldCharType="separate"/>
            </w:r>
            <w:r>
              <w:rPr>
                <w:noProof/>
                <w:webHidden/>
              </w:rPr>
              <w:t>76</w:t>
            </w:r>
            <w:r>
              <w:rPr>
                <w:noProof/>
                <w:webHidden/>
              </w:rPr>
              <w:fldChar w:fldCharType="end"/>
            </w:r>
          </w:hyperlink>
        </w:p>
        <w:p w14:paraId="60BD0E09" w14:textId="4B8FF2FC" w:rsidR="00E6400E" w:rsidRDefault="00E6400E">
          <w:pPr>
            <w:pStyle w:val="TOC2"/>
            <w:tabs>
              <w:tab w:val="right" w:leader="dot" w:pos="9345"/>
            </w:tabs>
            <w:rPr>
              <w:rFonts w:eastAsiaTheme="minorEastAsia"/>
              <w:noProof/>
              <w:lang w:eastAsia="ru-RU"/>
            </w:rPr>
          </w:pPr>
          <w:hyperlink w:anchor="_Toc233629167" w:history="1">
            <w:r w:rsidRPr="00855426">
              <w:rPr>
                <w:rStyle w:val="Hyperlink"/>
                <w:noProof/>
                <w:lang w:val="en-US"/>
              </w:rPr>
              <w:t>Appendix 13: Glossary of Key Terms</w:t>
            </w:r>
            <w:r>
              <w:rPr>
                <w:noProof/>
                <w:webHidden/>
              </w:rPr>
              <w:tab/>
            </w:r>
            <w:r>
              <w:rPr>
                <w:noProof/>
                <w:webHidden/>
              </w:rPr>
              <w:fldChar w:fldCharType="begin"/>
            </w:r>
            <w:r>
              <w:rPr>
                <w:noProof/>
                <w:webHidden/>
              </w:rPr>
              <w:instrText xml:space="preserve"> PAGEREF _Toc233629167 \h </w:instrText>
            </w:r>
            <w:r>
              <w:rPr>
                <w:noProof/>
                <w:webHidden/>
              </w:rPr>
            </w:r>
            <w:r>
              <w:rPr>
                <w:noProof/>
                <w:webHidden/>
              </w:rPr>
              <w:fldChar w:fldCharType="separate"/>
            </w:r>
            <w:r>
              <w:rPr>
                <w:noProof/>
                <w:webHidden/>
              </w:rPr>
              <w:t>77</w:t>
            </w:r>
            <w:r>
              <w:rPr>
                <w:noProof/>
                <w:webHidden/>
              </w:rPr>
              <w:fldChar w:fldCharType="end"/>
            </w:r>
          </w:hyperlink>
        </w:p>
        <w:p w14:paraId="64647C32" w14:textId="4FD0577F" w:rsidR="003457C9" w:rsidRDefault="003457C9">
          <w:r>
            <w:rPr>
              <w:b/>
              <w:bCs/>
              <w:noProof/>
            </w:rPr>
            <w:fldChar w:fldCharType="end"/>
          </w:r>
        </w:p>
      </w:sdtContent>
    </w:sdt>
    <w:p w14:paraId="36775588" w14:textId="2D556464" w:rsidR="00501C21" w:rsidRPr="00501C21" w:rsidRDefault="00501C21">
      <w:pPr>
        <w:rPr>
          <w:lang w:val="en-US"/>
        </w:rPr>
      </w:pPr>
    </w:p>
    <w:p w14:paraId="144734B0" w14:textId="03CEE6D0" w:rsidR="00501C21" w:rsidRPr="00501C21" w:rsidRDefault="00501C21">
      <w:pPr>
        <w:rPr>
          <w:lang w:val="en-US"/>
        </w:rPr>
      </w:pPr>
      <w:r w:rsidRPr="00501C21">
        <w:rPr>
          <w:lang w:val="en-US"/>
        </w:rPr>
        <w:br w:type="page"/>
      </w:r>
    </w:p>
    <w:p w14:paraId="40699B98" w14:textId="77777777" w:rsidR="004106C5" w:rsidRPr="004106C5" w:rsidRDefault="004106C5" w:rsidP="004106C5">
      <w:pPr>
        <w:pStyle w:val="Heading1"/>
        <w:rPr>
          <w:lang w:val="en-US"/>
        </w:rPr>
      </w:pPr>
      <w:bookmarkStart w:id="1" w:name="_Toc233629096"/>
      <w:r w:rsidRPr="004106C5">
        <w:rPr>
          <w:lang w:val="en-US"/>
        </w:rPr>
        <w:lastRenderedPageBreak/>
        <w:t>List of Figures</w:t>
      </w:r>
      <w:bookmarkEnd w:id="1"/>
    </w:p>
    <w:p w14:paraId="254518B3" w14:textId="77777777" w:rsidR="004106C5" w:rsidRDefault="004106C5" w:rsidP="004106C5">
      <w:pPr>
        <w:rPr>
          <w:rFonts w:ascii="Arial" w:hAnsi="Arial" w:cs="Arial"/>
          <w:lang w:val="en-US"/>
        </w:rPr>
      </w:pPr>
    </w:p>
    <w:p w14:paraId="2E82DDB4" w14:textId="4BEA4699"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 xml:space="preserve">Figure 1: </w:t>
      </w:r>
      <w:r w:rsidR="00BE31E7" w:rsidRPr="004106C5">
        <w:rPr>
          <w:rFonts w:ascii="Arial" w:hAnsi="Arial" w:cs="Arial"/>
          <w:sz w:val="22"/>
          <w:szCs w:val="22"/>
          <w:lang w:val="en-US"/>
        </w:rPr>
        <w:t>Conceptual framework showing structural, socioeconomic and policy-related barriers to CAMHS access in the United Kingdom</w:t>
      </w:r>
      <w:r w:rsidRPr="004106C5">
        <w:rPr>
          <w:rFonts w:ascii="Arial" w:hAnsi="Arial" w:cs="Arial"/>
          <w:sz w:val="22"/>
          <w:szCs w:val="22"/>
          <w:lang w:val="en-US"/>
        </w:rPr>
        <w:t>..............................</w:t>
      </w:r>
      <w:r w:rsidR="00BE31E7">
        <w:rPr>
          <w:rFonts w:ascii="Arial" w:hAnsi="Arial" w:cs="Arial"/>
          <w:sz w:val="22"/>
          <w:szCs w:val="22"/>
          <w:lang w:val="en-US"/>
        </w:rPr>
        <w:t>..............</w:t>
      </w:r>
      <w:r w:rsidRPr="004106C5">
        <w:rPr>
          <w:rFonts w:ascii="Arial" w:hAnsi="Arial" w:cs="Arial"/>
          <w:sz w:val="22"/>
          <w:szCs w:val="22"/>
          <w:lang w:val="en-US"/>
        </w:rPr>
        <w:t xml:space="preserve">...................................... </w:t>
      </w:r>
      <w:r w:rsidR="003457C9">
        <w:rPr>
          <w:rFonts w:ascii="Arial" w:hAnsi="Arial" w:cs="Arial"/>
          <w:sz w:val="22"/>
          <w:szCs w:val="22"/>
          <w:lang w:val="en-US"/>
        </w:rPr>
        <w:t>27</w:t>
      </w:r>
    </w:p>
    <w:p w14:paraId="7B98CADF" w14:textId="77777777" w:rsidR="00BE31E7" w:rsidRPr="00B7158F" w:rsidRDefault="00BE31E7" w:rsidP="00BE31E7">
      <w:pPr>
        <w:spacing w:line="360" w:lineRule="auto"/>
        <w:jc w:val="both"/>
        <w:rPr>
          <w:rFonts w:ascii="Arial" w:hAnsi="Arial" w:cs="Arial"/>
          <w:sz w:val="22"/>
          <w:szCs w:val="22"/>
          <w:lang w:val="en-US"/>
        </w:rPr>
      </w:pPr>
      <w:r w:rsidRPr="00B7158F">
        <w:rPr>
          <w:rFonts w:ascii="Arial" w:hAnsi="Arial" w:cs="Arial"/>
          <w:sz w:val="22"/>
          <w:szCs w:val="22"/>
          <w:lang w:val="en-US"/>
        </w:rPr>
        <w:t>Figure 2: PRISMA 2020 flow diagram identifying, screening, including, and excluding studies.</w:t>
      </w:r>
    </w:p>
    <w:p w14:paraId="6D8000CE" w14:textId="1427B102"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w:t>
      </w:r>
      <w:r w:rsidR="00BE31E7">
        <w:rPr>
          <w:rFonts w:ascii="Arial" w:hAnsi="Arial" w:cs="Arial"/>
          <w:sz w:val="22"/>
          <w:szCs w:val="22"/>
          <w:lang w:val="en-US"/>
        </w:rPr>
        <w:t>...................................................................................................</w:t>
      </w:r>
      <w:r w:rsidRPr="004106C5">
        <w:rPr>
          <w:rFonts w:ascii="Arial" w:hAnsi="Arial" w:cs="Arial"/>
          <w:sz w:val="22"/>
          <w:szCs w:val="22"/>
          <w:lang w:val="en-US"/>
        </w:rPr>
        <w:t xml:space="preserve">....... </w:t>
      </w:r>
      <w:r w:rsidR="003457C9">
        <w:rPr>
          <w:rFonts w:ascii="Arial" w:hAnsi="Arial" w:cs="Arial"/>
          <w:sz w:val="22"/>
          <w:szCs w:val="22"/>
          <w:lang w:val="en-US"/>
        </w:rPr>
        <w:t>36</w:t>
      </w:r>
    </w:p>
    <w:p w14:paraId="62ABC470" w14:textId="7C9B2360"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Figure 3: Thematic map of barriers and enablers influencing access to CAMHS in the United Kingdom ...............................................</w:t>
      </w:r>
      <w:r w:rsidR="00BE31E7">
        <w:rPr>
          <w:rFonts w:ascii="Arial" w:hAnsi="Arial" w:cs="Arial"/>
          <w:sz w:val="22"/>
          <w:szCs w:val="22"/>
          <w:lang w:val="en-US"/>
        </w:rPr>
        <w:t>............................</w:t>
      </w:r>
      <w:r w:rsidRPr="004106C5">
        <w:rPr>
          <w:rFonts w:ascii="Arial" w:hAnsi="Arial" w:cs="Arial"/>
          <w:sz w:val="22"/>
          <w:szCs w:val="22"/>
          <w:lang w:val="en-US"/>
        </w:rPr>
        <w:t xml:space="preserve">......................................................... </w:t>
      </w:r>
      <w:r w:rsidR="003457C9">
        <w:rPr>
          <w:rFonts w:ascii="Arial" w:hAnsi="Arial" w:cs="Arial"/>
          <w:sz w:val="22"/>
          <w:szCs w:val="22"/>
          <w:lang w:val="en-US"/>
        </w:rPr>
        <w:t>58</w:t>
      </w:r>
    </w:p>
    <w:p w14:paraId="4A30F47D" w14:textId="2E17BB02" w:rsidR="00501C21" w:rsidRPr="00501C21" w:rsidRDefault="00501C21">
      <w:pPr>
        <w:rPr>
          <w:lang w:val="en-US"/>
        </w:rPr>
      </w:pPr>
    </w:p>
    <w:p w14:paraId="5F6DF5B8" w14:textId="77777777" w:rsidR="00501C21" w:rsidRPr="00501C21" w:rsidRDefault="00501C21">
      <w:pPr>
        <w:rPr>
          <w:lang w:val="en-US"/>
        </w:rPr>
      </w:pPr>
      <w:r w:rsidRPr="00501C21">
        <w:rPr>
          <w:lang w:val="en-US"/>
        </w:rPr>
        <w:br w:type="page"/>
      </w:r>
    </w:p>
    <w:p w14:paraId="74DEFA17" w14:textId="77777777" w:rsidR="004106C5" w:rsidRPr="004106C5" w:rsidRDefault="004106C5" w:rsidP="004106C5">
      <w:pPr>
        <w:pStyle w:val="Heading1"/>
        <w:rPr>
          <w:lang w:val="en-US"/>
        </w:rPr>
      </w:pPr>
      <w:bookmarkStart w:id="2" w:name="_Toc233629097"/>
      <w:r w:rsidRPr="004106C5">
        <w:rPr>
          <w:lang w:val="en-US"/>
        </w:rPr>
        <w:lastRenderedPageBreak/>
        <w:t>List of Tables</w:t>
      </w:r>
      <w:bookmarkEnd w:id="2"/>
    </w:p>
    <w:p w14:paraId="572CAC48" w14:textId="77777777" w:rsidR="004106C5" w:rsidRPr="00BE31E7" w:rsidRDefault="004106C5" w:rsidP="004106C5">
      <w:pPr>
        <w:rPr>
          <w:rFonts w:ascii="Arial" w:hAnsi="Arial" w:cs="Arial"/>
          <w:sz w:val="22"/>
          <w:szCs w:val="22"/>
          <w:lang w:val="en-US"/>
        </w:rPr>
      </w:pPr>
    </w:p>
    <w:p w14:paraId="292D4A07" w14:textId="7D5FA4E0" w:rsidR="004106C5" w:rsidRPr="00BE31E7" w:rsidRDefault="004106C5" w:rsidP="004106C5">
      <w:pPr>
        <w:rPr>
          <w:rFonts w:ascii="Arial" w:hAnsi="Arial" w:cs="Arial"/>
          <w:sz w:val="22"/>
          <w:szCs w:val="22"/>
          <w:lang w:val="en-US"/>
        </w:rPr>
      </w:pPr>
      <w:r w:rsidRPr="00BE31E7">
        <w:rPr>
          <w:rFonts w:ascii="Arial" w:hAnsi="Arial" w:cs="Arial"/>
          <w:sz w:val="22"/>
          <w:szCs w:val="22"/>
          <w:lang w:val="en-US"/>
        </w:rPr>
        <w:t xml:space="preserve">Table 1: </w:t>
      </w:r>
      <w:r w:rsidR="00BE31E7" w:rsidRPr="00BE31E7">
        <w:rPr>
          <w:rFonts w:ascii="Arial" w:hAnsi="Arial" w:cs="Arial"/>
          <w:sz w:val="22"/>
          <w:szCs w:val="22"/>
          <w:lang w:val="en-US"/>
        </w:rPr>
        <w:t xml:space="preserve">Application </w:t>
      </w:r>
      <w:r w:rsidR="00B56FD2" w:rsidRPr="00BE31E7">
        <w:rPr>
          <w:rFonts w:ascii="Arial" w:hAnsi="Arial" w:cs="Arial"/>
          <w:sz w:val="22"/>
          <w:szCs w:val="22"/>
          <w:lang w:val="en-US"/>
        </w:rPr>
        <w:t>for</w:t>
      </w:r>
      <w:r w:rsidR="00BE31E7" w:rsidRPr="00BE31E7">
        <w:rPr>
          <w:rFonts w:ascii="Arial" w:hAnsi="Arial" w:cs="Arial"/>
          <w:sz w:val="22"/>
          <w:szCs w:val="22"/>
          <w:lang w:val="en-US"/>
        </w:rPr>
        <w:t xml:space="preserve"> this dissertation</w:t>
      </w:r>
      <w:r w:rsidRPr="00BE31E7">
        <w:rPr>
          <w:rFonts w:ascii="Arial" w:hAnsi="Arial" w:cs="Arial"/>
          <w:sz w:val="22"/>
          <w:szCs w:val="22"/>
          <w:lang w:val="en-US"/>
        </w:rPr>
        <w:t>......................</w:t>
      </w:r>
      <w:r w:rsidR="00BE31E7" w:rsidRPr="00BE31E7">
        <w:rPr>
          <w:rFonts w:ascii="Arial" w:hAnsi="Arial" w:cs="Arial"/>
          <w:sz w:val="22"/>
          <w:szCs w:val="22"/>
          <w:lang w:val="en-US"/>
        </w:rPr>
        <w:t>.....................................................</w:t>
      </w:r>
      <w:r w:rsidRPr="00BE31E7">
        <w:rPr>
          <w:rFonts w:ascii="Arial" w:hAnsi="Arial" w:cs="Arial"/>
          <w:sz w:val="22"/>
          <w:szCs w:val="22"/>
          <w:lang w:val="en-US"/>
        </w:rPr>
        <w:t xml:space="preserve">.......... </w:t>
      </w:r>
      <w:r w:rsidR="003457C9" w:rsidRPr="00BE31E7">
        <w:rPr>
          <w:rFonts w:ascii="Arial" w:hAnsi="Arial" w:cs="Arial"/>
          <w:sz w:val="22"/>
          <w:szCs w:val="22"/>
          <w:lang w:val="en-US"/>
        </w:rPr>
        <w:t>32</w:t>
      </w:r>
    </w:p>
    <w:p w14:paraId="497DCA2E" w14:textId="68289639" w:rsidR="004106C5" w:rsidRPr="00BE31E7" w:rsidRDefault="004106C5" w:rsidP="004106C5">
      <w:pPr>
        <w:rPr>
          <w:rFonts w:ascii="Arial" w:hAnsi="Arial" w:cs="Arial"/>
          <w:sz w:val="22"/>
          <w:szCs w:val="22"/>
          <w:lang w:val="en-US"/>
        </w:rPr>
      </w:pPr>
      <w:r w:rsidRPr="00BE31E7">
        <w:rPr>
          <w:rFonts w:ascii="Arial" w:hAnsi="Arial" w:cs="Arial"/>
          <w:sz w:val="22"/>
          <w:szCs w:val="22"/>
          <w:lang w:val="en-US"/>
        </w:rPr>
        <w:t>Table 2: Search concepts, keywords and Boolean search terms ....................................</w:t>
      </w:r>
      <w:r w:rsidR="00BE31E7" w:rsidRPr="00BE31E7">
        <w:rPr>
          <w:rFonts w:ascii="Arial" w:hAnsi="Arial" w:cs="Arial"/>
          <w:sz w:val="22"/>
          <w:szCs w:val="22"/>
          <w:lang w:val="en-US"/>
        </w:rPr>
        <w:t>.……...</w:t>
      </w:r>
      <w:r w:rsidR="003457C9" w:rsidRPr="00BE31E7">
        <w:rPr>
          <w:rFonts w:ascii="Arial" w:hAnsi="Arial" w:cs="Arial"/>
          <w:sz w:val="22"/>
          <w:szCs w:val="22"/>
          <w:lang w:val="en-US"/>
        </w:rPr>
        <w:t>34</w:t>
      </w:r>
    </w:p>
    <w:p w14:paraId="79C2262B" w14:textId="37F15227" w:rsidR="004106C5" w:rsidRPr="00BE31E7" w:rsidRDefault="004106C5" w:rsidP="004106C5">
      <w:pPr>
        <w:rPr>
          <w:rFonts w:ascii="Arial" w:hAnsi="Arial" w:cs="Arial"/>
          <w:sz w:val="22"/>
          <w:szCs w:val="22"/>
          <w:lang w:val="en-US"/>
        </w:rPr>
      </w:pPr>
      <w:r w:rsidRPr="00BE31E7">
        <w:rPr>
          <w:rFonts w:ascii="Arial" w:hAnsi="Arial" w:cs="Arial"/>
          <w:sz w:val="22"/>
          <w:szCs w:val="22"/>
          <w:lang w:val="en-US"/>
        </w:rPr>
        <w:t>Table 3: Inclusion and exclusion criteria .......................................................................</w:t>
      </w:r>
      <w:r w:rsidR="00BE31E7" w:rsidRPr="00BE31E7">
        <w:rPr>
          <w:rFonts w:ascii="Arial" w:hAnsi="Arial" w:cs="Arial"/>
          <w:sz w:val="22"/>
          <w:szCs w:val="22"/>
          <w:lang w:val="en-US"/>
        </w:rPr>
        <w:t>.............</w:t>
      </w:r>
      <w:r w:rsidRPr="00BE31E7">
        <w:rPr>
          <w:rFonts w:ascii="Arial" w:hAnsi="Arial" w:cs="Arial"/>
          <w:sz w:val="22"/>
          <w:szCs w:val="22"/>
          <w:lang w:val="en-US"/>
        </w:rPr>
        <w:t xml:space="preserve"> </w:t>
      </w:r>
      <w:r w:rsidR="003457C9" w:rsidRPr="00BE31E7">
        <w:rPr>
          <w:rFonts w:ascii="Arial" w:hAnsi="Arial" w:cs="Arial"/>
          <w:sz w:val="22"/>
          <w:szCs w:val="22"/>
          <w:lang w:val="en-US"/>
        </w:rPr>
        <w:t>35</w:t>
      </w:r>
    </w:p>
    <w:p w14:paraId="283F2932" w14:textId="0385C10D" w:rsidR="004106C5" w:rsidRPr="00BE31E7" w:rsidRDefault="004106C5" w:rsidP="004106C5">
      <w:pPr>
        <w:rPr>
          <w:rFonts w:ascii="Arial" w:hAnsi="Arial" w:cs="Arial"/>
          <w:sz w:val="22"/>
          <w:szCs w:val="22"/>
          <w:lang w:val="en-US"/>
        </w:rPr>
      </w:pPr>
      <w:r w:rsidRPr="00BE31E7">
        <w:rPr>
          <w:rFonts w:ascii="Arial" w:hAnsi="Arial" w:cs="Arial"/>
          <w:sz w:val="22"/>
          <w:szCs w:val="22"/>
          <w:lang w:val="en-US"/>
        </w:rPr>
        <w:t xml:space="preserve">Table 4: </w:t>
      </w:r>
      <w:r w:rsidR="00BE31E7" w:rsidRPr="00BE31E7">
        <w:rPr>
          <w:rFonts w:ascii="Arial" w:hAnsi="Arial" w:cs="Arial"/>
          <w:sz w:val="22"/>
          <w:szCs w:val="22"/>
          <w:lang w:val="en-US"/>
        </w:rPr>
        <w:t>Quality Appraisal………………..</w:t>
      </w:r>
      <w:r w:rsidRPr="00BE31E7">
        <w:rPr>
          <w:rFonts w:ascii="Arial" w:hAnsi="Arial" w:cs="Arial"/>
          <w:sz w:val="22"/>
          <w:szCs w:val="22"/>
          <w:lang w:val="en-US"/>
        </w:rPr>
        <w:t xml:space="preserve">................................................................................... </w:t>
      </w:r>
      <w:r w:rsidR="003457C9" w:rsidRPr="00BE31E7">
        <w:rPr>
          <w:rFonts w:ascii="Arial" w:hAnsi="Arial" w:cs="Arial"/>
          <w:sz w:val="22"/>
          <w:szCs w:val="22"/>
          <w:lang w:val="en-US"/>
        </w:rPr>
        <w:t>38</w:t>
      </w:r>
    </w:p>
    <w:p w14:paraId="1A1C3A75" w14:textId="3730C745" w:rsidR="004106C5" w:rsidRPr="00BE31E7" w:rsidRDefault="004106C5" w:rsidP="004106C5">
      <w:pPr>
        <w:rPr>
          <w:rFonts w:ascii="Arial" w:hAnsi="Arial" w:cs="Arial"/>
          <w:sz w:val="22"/>
          <w:szCs w:val="22"/>
          <w:lang w:val="en-US"/>
        </w:rPr>
      </w:pPr>
      <w:r w:rsidRPr="00BE31E7">
        <w:rPr>
          <w:rFonts w:ascii="Arial" w:hAnsi="Arial" w:cs="Arial"/>
          <w:sz w:val="22"/>
          <w:szCs w:val="22"/>
          <w:lang w:val="en-US"/>
        </w:rPr>
        <w:t xml:space="preserve">Table 5: </w:t>
      </w:r>
      <w:r w:rsidR="00BE31E7" w:rsidRPr="00BE31E7">
        <w:rPr>
          <w:rFonts w:ascii="Arial" w:hAnsi="Arial" w:cs="Arial"/>
          <w:sz w:val="22"/>
          <w:szCs w:val="22"/>
          <w:lang w:val="en-US"/>
        </w:rPr>
        <w:t>Data Extraction………………………………..</w:t>
      </w:r>
      <w:r w:rsidRPr="00BE31E7">
        <w:rPr>
          <w:rFonts w:ascii="Arial" w:hAnsi="Arial" w:cs="Arial"/>
          <w:sz w:val="22"/>
          <w:szCs w:val="22"/>
          <w:lang w:val="en-US"/>
        </w:rPr>
        <w:t xml:space="preserve">................................................................ </w:t>
      </w:r>
      <w:r w:rsidR="003457C9" w:rsidRPr="00BE31E7">
        <w:rPr>
          <w:rFonts w:ascii="Arial" w:hAnsi="Arial" w:cs="Arial"/>
          <w:sz w:val="22"/>
          <w:szCs w:val="22"/>
          <w:lang w:val="en-US"/>
        </w:rPr>
        <w:t>39</w:t>
      </w:r>
    </w:p>
    <w:p w14:paraId="47FB656F" w14:textId="10EB5A54" w:rsidR="004106C5" w:rsidRPr="00BE31E7" w:rsidRDefault="004106C5" w:rsidP="004106C5">
      <w:pPr>
        <w:rPr>
          <w:rFonts w:ascii="Arial" w:hAnsi="Arial" w:cs="Arial"/>
          <w:sz w:val="22"/>
          <w:szCs w:val="22"/>
          <w:lang w:val="en-US"/>
        </w:rPr>
      </w:pPr>
      <w:r w:rsidRPr="00BE31E7">
        <w:rPr>
          <w:rFonts w:ascii="Arial" w:hAnsi="Arial" w:cs="Arial"/>
          <w:sz w:val="22"/>
          <w:szCs w:val="22"/>
          <w:lang w:val="en-US"/>
        </w:rPr>
        <w:t xml:space="preserve">Table 6: </w:t>
      </w:r>
      <w:r w:rsidR="00BE31E7" w:rsidRPr="00BE31E7">
        <w:rPr>
          <w:rFonts w:ascii="Arial" w:hAnsi="Arial" w:cs="Arial"/>
          <w:lang w:val="en-US"/>
        </w:rPr>
        <w:t>Overview of Included Evidence….</w:t>
      </w:r>
      <w:r w:rsidRPr="00BE31E7">
        <w:rPr>
          <w:rFonts w:ascii="Arial" w:hAnsi="Arial" w:cs="Arial"/>
          <w:sz w:val="22"/>
          <w:szCs w:val="22"/>
          <w:lang w:val="en-US"/>
        </w:rPr>
        <w:t>..........................................</w:t>
      </w:r>
      <w:r w:rsidR="00BE31E7">
        <w:rPr>
          <w:rFonts w:ascii="Arial" w:hAnsi="Arial" w:cs="Arial"/>
          <w:sz w:val="22"/>
          <w:szCs w:val="22"/>
          <w:lang w:val="en-US"/>
        </w:rPr>
        <w:t>.</w:t>
      </w:r>
      <w:r w:rsidRPr="00BE31E7">
        <w:rPr>
          <w:rFonts w:ascii="Arial" w:hAnsi="Arial" w:cs="Arial"/>
          <w:sz w:val="22"/>
          <w:szCs w:val="22"/>
          <w:lang w:val="en-US"/>
        </w:rPr>
        <w:t xml:space="preserve">................................ </w:t>
      </w:r>
      <w:r w:rsidR="003457C9" w:rsidRPr="00BE31E7">
        <w:rPr>
          <w:rFonts w:ascii="Arial" w:hAnsi="Arial" w:cs="Arial"/>
          <w:sz w:val="22"/>
          <w:szCs w:val="22"/>
          <w:lang w:val="en-US"/>
        </w:rPr>
        <w:t>44</w:t>
      </w:r>
    </w:p>
    <w:p w14:paraId="126F1F61" w14:textId="3DD10E80" w:rsidR="004106C5" w:rsidRPr="00BE31E7" w:rsidRDefault="004106C5" w:rsidP="004106C5">
      <w:pPr>
        <w:rPr>
          <w:rFonts w:ascii="Arial" w:hAnsi="Arial" w:cs="Arial"/>
          <w:sz w:val="22"/>
          <w:szCs w:val="22"/>
          <w:lang w:val="en-US"/>
        </w:rPr>
      </w:pPr>
      <w:r w:rsidRPr="00BE31E7">
        <w:rPr>
          <w:rFonts w:ascii="Arial" w:hAnsi="Arial" w:cs="Arial"/>
          <w:sz w:val="22"/>
          <w:szCs w:val="22"/>
          <w:lang w:val="en-US"/>
        </w:rPr>
        <w:t xml:space="preserve">Table 7: </w:t>
      </w:r>
      <w:r w:rsidR="00BE31E7" w:rsidRPr="00F348FC">
        <w:rPr>
          <w:rFonts w:ascii="Arial" w:hAnsi="Arial" w:cs="Arial"/>
          <w:sz w:val="22"/>
          <w:szCs w:val="22"/>
          <w:lang w:val="en-US"/>
        </w:rPr>
        <w:t>Summary of themes and sub-themes from the review</w:t>
      </w:r>
      <w:r w:rsidRPr="00BE31E7">
        <w:rPr>
          <w:rFonts w:ascii="Arial" w:hAnsi="Arial" w:cs="Arial"/>
          <w:sz w:val="22"/>
          <w:szCs w:val="22"/>
          <w:lang w:val="en-US"/>
        </w:rPr>
        <w:t>....................</w:t>
      </w:r>
      <w:r w:rsidR="00BE31E7">
        <w:rPr>
          <w:rFonts w:ascii="Arial" w:hAnsi="Arial" w:cs="Arial"/>
          <w:sz w:val="22"/>
          <w:szCs w:val="22"/>
          <w:lang w:val="en-US"/>
        </w:rPr>
        <w:t>........</w:t>
      </w:r>
      <w:r w:rsidRPr="00BE31E7">
        <w:rPr>
          <w:rFonts w:ascii="Arial" w:hAnsi="Arial" w:cs="Arial"/>
          <w:sz w:val="22"/>
          <w:szCs w:val="22"/>
          <w:lang w:val="en-US"/>
        </w:rPr>
        <w:t xml:space="preserve">...................... </w:t>
      </w:r>
      <w:r w:rsidR="003457C9" w:rsidRPr="00BE31E7">
        <w:rPr>
          <w:rFonts w:ascii="Arial" w:hAnsi="Arial" w:cs="Arial"/>
          <w:sz w:val="22"/>
          <w:szCs w:val="22"/>
          <w:lang w:val="en-US"/>
        </w:rPr>
        <w:t>57</w:t>
      </w:r>
    </w:p>
    <w:p w14:paraId="0DD1362B" w14:textId="697F969D" w:rsidR="00501C21" w:rsidRPr="00BE31E7" w:rsidRDefault="004106C5">
      <w:pPr>
        <w:rPr>
          <w:rFonts w:ascii="Arial" w:hAnsi="Arial" w:cs="Arial"/>
          <w:sz w:val="22"/>
          <w:szCs w:val="22"/>
          <w:lang w:val="en-US"/>
        </w:rPr>
      </w:pPr>
      <w:r w:rsidRPr="00BE31E7">
        <w:rPr>
          <w:rFonts w:ascii="Arial" w:hAnsi="Arial" w:cs="Arial"/>
          <w:sz w:val="22"/>
          <w:szCs w:val="22"/>
          <w:lang w:val="en-US"/>
        </w:rPr>
        <w:t xml:space="preserve">Table 8: </w:t>
      </w:r>
      <w:r w:rsidR="003457C9" w:rsidRPr="00BE31E7">
        <w:rPr>
          <w:rFonts w:ascii="Arial" w:hAnsi="Arial" w:cs="Arial"/>
          <w:sz w:val="22"/>
          <w:szCs w:val="22"/>
          <w:lang w:val="en-US"/>
        </w:rPr>
        <w:t>Recommendations for policy, practice and future research</w:t>
      </w:r>
      <w:r w:rsidRPr="00BE31E7">
        <w:rPr>
          <w:rFonts w:ascii="Arial" w:hAnsi="Arial" w:cs="Arial"/>
          <w:sz w:val="22"/>
          <w:szCs w:val="22"/>
          <w:lang w:val="en-US"/>
        </w:rPr>
        <w:t>..........</w:t>
      </w:r>
      <w:r w:rsidR="00BE31E7">
        <w:rPr>
          <w:rFonts w:ascii="Arial" w:hAnsi="Arial" w:cs="Arial"/>
          <w:sz w:val="22"/>
          <w:szCs w:val="22"/>
          <w:lang w:val="en-US"/>
        </w:rPr>
        <w:t>......</w:t>
      </w:r>
      <w:r w:rsidRPr="00BE31E7">
        <w:rPr>
          <w:rFonts w:ascii="Arial" w:hAnsi="Arial" w:cs="Arial"/>
          <w:sz w:val="22"/>
          <w:szCs w:val="22"/>
          <w:lang w:val="en-US"/>
        </w:rPr>
        <w:t>........</w:t>
      </w:r>
      <w:r w:rsidR="003457C9" w:rsidRPr="00BE31E7">
        <w:rPr>
          <w:rFonts w:ascii="Arial" w:hAnsi="Arial" w:cs="Arial"/>
          <w:sz w:val="22"/>
          <w:szCs w:val="22"/>
          <w:lang w:val="en-US"/>
        </w:rPr>
        <w:t>.</w:t>
      </w:r>
      <w:r w:rsidRPr="00BE31E7">
        <w:rPr>
          <w:rFonts w:ascii="Arial" w:hAnsi="Arial" w:cs="Arial"/>
          <w:sz w:val="22"/>
          <w:szCs w:val="22"/>
          <w:lang w:val="en-US"/>
        </w:rPr>
        <w:t xml:space="preserve">................. </w:t>
      </w:r>
      <w:r w:rsidR="003457C9" w:rsidRPr="00BE31E7">
        <w:rPr>
          <w:rFonts w:ascii="Arial" w:hAnsi="Arial" w:cs="Arial"/>
          <w:sz w:val="22"/>
          <w:szCs w:val="22"/>
          <w:lang w:val="en-US"/>
        </w:rPr>
        <w:t>64</w:t>
      </w:r>
    </w:p>
    <w:p w14:paraId="657BB540" w14:textId="77777777" w:rsidR="00501C21" w:rsidRPr="00501C21" w:rsidRDefault="00501C21">
      <w:pPr>
        <w:rPr>
          <w:lang w:val="en-US"/>
        </w:rPr>
      </w:pPr>
      <w:r w:rsidRPr="00501C21">
        <w:rPr>
          <w:lang w:val="en-US"/>
        </w:rPr>
        <w:br w:type="page"/>
      </w:r>
    </w:p>
    <w:p w14:paraId="5D4F63BD" w14:textId="77777777" w:rsidR="004106C5" w:rsidRPr="004106C5" w:rsidRDefault="004106C5" w:rsidP="004106C5">
      <w:pPr>
        <w:pStyle w:val="Heading1"/>
        <w:rPr>
          <w:lang w:val="en-US"/>
        </w:rPr>
      </w:pPr>
      <w:bookmarkStart w:id="3" w:name="_Toc233629098"/>
      <w:r w:rsidRPr="004106C5">
        <w:rPr>
          <w:lang w:val="en-US"/>
        </w:rPr>
        <w:lastRenderedPageBreak/>
        <w:t>List of Abbreviations</w:t>
      </w:r>
      <w:bookmarkEnd w:id="3"/>
    </w:p>
    <w:p w14:paraId="36EA9FAB" w14:textId="77777777" w:rsidR="004106C5" w:rsidRDefault="004106C5" w:rsidP="004106C5">
      <w:pPr>
        <w:rPr>
          <w:rFonts w:ascii="Arial" w:hAnsi="Arial" w:cs="Arial"/>
          <w:lang w:val="en-US"/>
        </w:rPr>
      </w:pPr>
    </w:p>
    <w:p w14:paraId="49B23C60" w14:textId="3E9A0CD2"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ACE — Adverse Childhood Experience</w:t>
      </w:r>
    </w:p>
    <w:p w14:paraId="55C30C3C"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CAMHS — Child and Adolescent Mental Health Services</w:t>
      </w:r>
    </w:p>
    <w:p w14:paraId="36B94013"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CASP — Critical Appraisal Skills Programme</w:t>
      </w:r>
    </w:p>
    <w:p w14:paraId="7BDBF06A"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CQC — Care Quality Commission</w:t>
      </w:r>
    </w:p>
    <w:p w14:paraId="3FA318B4"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CYP — Children and Young People</w:t>
      </w:r>
    </w:p>
    <w:p w14:paraId="6EF79784"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DHSC — Department of Health and Social Care</w:t>
      </w:r>
    </w:p>
    <w:p w14:paraId="2B7C92E6"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GP — General Practitioner</w:t>
      </w:r>
    </w:p>
    <w:p w14:paraId="651C436A"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ICB — Integrated Care Board</w:t>
      </w:r>
    </w:p>
    <w:p w14:paraId="08532CC0"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ICS — Integrated Care System</w:t>
      </w:r>
    </w:p>
    <w:p w14:paraId="79E88329"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MHST — Mental Health Support Team</w:t>
      </w:r>
    </w:p>
    <w:p w14:paraId="67FCABAF"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NHS — National Health Service</w:t>
      </w:r>
    </w:p>
    <w:p w14:paraId="63535913"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NICE — National Institute for Health and Care Excellence</w:t>
      </w:r>
    </w:p>
    <w:p w14:paraId="0F8D1B73"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ONS — Office for National Statistics</w:t>
      </w:r>
    </w:p>
    <w:p w14:paraId="3362D3AF"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PEO — Population, Exposure and Outcome</w:t>
      </w:r>
    </w:p>
    <w:p w14:paraId="715FB04C"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PRISMA — Preferred Reporting Items for Systematic Reviews and Meta-Analyses</w:t>
      </w:r>
    </w:p>
    <w:p w14:paraId="7EFB37A3"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SEND — Special Educational Needs and Disabilities</w:t>
      </w:r>
    </w:p>
    <w:p w14:paraId="069254F1"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UK — United Kingdom</w:t>
      </w:r>
    </w:p>
    <w:p w14:paraId="36D1443E" w14:textId="77777777" w:rsidR="004106C5" w:rsidRPr="004106C5" w:rsidRDefault="004106C5" w:rsidP="004106C5">
      <w:pPr>
        <w:rPr>
          <w:rFonts w:ascii="Arial" w:hAnsi="Arial" w:cs="Arial"/>
          <w:sz w:val="22"/>
          <w:szCs w:val="22"/>
          <w:lang w:val="en-US"/>
        </w:rPr>
      </w:pPr>
      <w:r w:rsidRPr="004106C5">
        <w:rPr>
          <w:rFonts w:ascii="Arial" w:hAnsi="Arial" w:cs="Arial"/>
          <w:sz w:val="22"/>
          <w:szCs w:val="22"/>
          <w:lang w:val="en-US"/>
        </w:rPr>
        <w:t>UWTSD — University of Wales Trinity Saint David</w:t>
      </w:r>
    </w:p>
    <w:p w14:paraId="1533DC30" w14:textId="77777777" w:rsidR="004106C5" w:rsidRPr="009E51F8" w:rsidRDefault="004106C5" w:rsidP="004106C5">
      <w:pPr>
        <w:rPr>
          <w:rFonts w:ascii="Arial" w:hAnsi="Arial" w:cs="Arial"/>
          <w:sz w:val="22"/>
          <w:szCs w:val="22"/>
          <w:lang w:val="en-US"/>
        </w:rPr>
      </w:pPr>
      <w:r w:rsidRPr="009E51F8">
        <w:rPr>
          <w:rFonts w:ascii="Arial" w:hAnsi="Arial" w:cs="Arial"/>
          <w:sz w:val="22"/>
          <w:szCs w:val="22"/>
          <w:lang w:val="en-US"/>
        </w:rPr>
        <w:t>WHO — World Health Organization</w:t>
      </w:r>
    </w:p>
    <w:p w14:paraId="6278BD30" w14:textId="0B199CFC" w:rsidR="00501C21" w:rsidRPr="00501C21" w:rsidRDefault="00501C21">
      <w:pPr>
        <w:rPr>
          <w:lang w:val="en-US"/>
        </w:rPr>
      </w:pPr>
    </w:p>
    <w:p w14:paraId="70A82C89" w14:textId="77777777" w:rsidR="00501C21" w:rsidRPr="00501C21" w:rsidRDefault="00501C21">
      <w:pPr>
        <w:rPr>
          <w:lang w:val="en-US"/>
        </w:rPr>
      </w:pPr>
      <w:r w:rsidRPr="00501C21">
        <w:rPr>
          <w:lang w:val="en-US"/>
        </w:rPr>
        <w:br w:type="page"/>
      </w:r>
    </w:p>
    <w:p w14:paraId="1BFBA2F8" w14:textId="4A920E23" w:rsidR="009E51F8" w:rsidRPr="005A016F" w:rsidRDefault="009E51F8" w:rsidP="001B7D33">
      <w:pPr>
        <w:pStyle w:val="Heading1"/>
        <w:spacing w:line="360" w:lineRule="auto"/>
        <w:jc w:val="both"/>
        <w:rPr>
          <w:lang w:val="en-US"/>
        </w:rPr>
      </w:pPr>
      <w:bookmarkStart w:id="4" w:name="_Toc233629099"/>
      <w:r w:rsidRPr="009E51F8">
        <w:rPr>
          <w:lang w:val="en-US"/>
        </w:rPr>
        <w:lastRenderedPageBreak/>
        <w:t>Chapter 1: Introduction</w:t>
      </w:r>
      <w:bookmarkEnd w:id="4"/>
    </w:p>
    <w:p w14:paraId="1FA7BBB1" w14:textId="00806CC9" w:rsidR="009E51F8" w:rsidRPr="009E51F8" w:rsidRDefault="009E51F8" w:rsidP="001B7D33">
      <w:pPr>
        <w:pStyle w:val="Heading2"/>
        <w:spacing w:line="360" w:lineRule="auto"/>
        <w:jc w:val="both"/>
        <w:rPr>
          <w:lang w:val="en-US"/>
        </w:rPr>
      </w:pPr>
      <w:bookmarkStart w:id="5" w:name="_Toc233629100"/>
      <w:r w:rsidRPr="009E51F8">
        <w:rPr>
          <w:lang w:val="en-US"/>
        </w:rPr>
        <w:t>1.1 Background to Study</w:t>
      </w:r>
      <w:bookmarkEnd w:id="5"/>
    </w:p>
    <w:p w14:paraId="00D8469A" w14:textId="77777777" w:rsidR="009E51F8" w:rsidRPr="009E51F8" w:rsidRDefault="009E51F8" w:rsidP="001B7D33">
      <w:pPr>
        <w:spacing w:line="360" w:lineRule="auto"/>
        <w:jc w:val="both"/>
        <w:rPr>
          <w:rFonts w:ascii="Arial" w:hAnsi="Arial" w:cs="Arial"/>
          <w:sz w:val="22"/>
          <w:szCs w:val="22"/>
          <w:lang w:val="en-US"/>
        </w:rPr>
      </w:pPr>
    </w:p>
    <w:p w14:paraId="56991C9B" w14:textId="18339638" w:rsidR="009E51F8" w:rsidRPr="00106C49"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The issue of children and adolescents' mental health has become increasingly relevant as a public health and social welfare issue in the United Kingdom in the last decade, with a rising incidence of mental disorders among the child, youth, and young adult population (NHS Digital, 2023; Parkin and Long, 2024). According to the report published by NHS Digital in 2023, approximately one-fifth of individuals aged 8 to 25 years have been identified as potentially experiencing a mental disorder, including 20.3% of children aged 8 to 16 years, 23.3% of young people aged 17 to 19 years, and 21.7% of young adults aged 20 to 25 years (NHS Digital, 2023). </w:t>
      </w:r>
    </w:p>
    <w:p w14:paraId="3D5D8D34" w14:textId="74D3FEC5" w:rsidR="009E51F8" w:rsidRPr="00106C49"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Child and Adolescent Mental Health Services (CAMHS)</w:t>
      </w:r>
      <w:r w:rsidR="00B56FD2">
        <w:rPr>
          <w:rFonts w:ascii="Arial" w:hAnsi="Arial" w:cs="Arial"/>
          <w:sz w:val="22"/>
          <w:szCs w:val="22"/>
          <w:lang w:val="en-US"/>
        </w:rPr>
        <w:t>,</w:t>
      </w:r>
      <w:r w:rsidRPr="00711DB0">
        <w:rPr>
          <w:rFonts w:ascii="Arial" w:hAnsi="Arial" w:cs="Arial"/>
          <w:sz w:val="22"/>
          <w:szCs w:val="22"/>
          <w:lang w:val="en-US"/>
        </w:rPr>
        <w:t xml:space="preserve"> or alternatively called in NHS and policy sources Children and Young People’s Mental Health Services (CYPMHS)</w:t>
      </w:r>
      <w:r w:rsidR="00B56FD2">
        <w:rPr>
          <w:rFonts w:ascii="Arial" w:hAnsi="Arial" w:cs="Arial"/>
          <w:sz w:val="22"/>
          <w:szCs w:val="22"/>
          <w:lang w:val="en-US"/>
        </w:rPr>
        <w:t>,</w:t>
      </w:r>
      <w:r w:rsidRPr="00711DB0">
        <w:rPr>
          <w:rFonts w:ascii="Arial" w:hAnsi="Arial" w:cs="Arial"/>
          <w:sz w:val="22"/>
          <w:szCs w:val="22"/>
          <w:lang w:val="en-US"/>
        </w:rPr>
        <w:t xml:space="preserve"> offer </w:t>
      </w:r>
      <w:r w:rsidR="00B56FD2">
        <w:rPr>
          <w:rFonts w:ascii="Arial" w:hAnsi="Arial" w:cs="Arial"/>
          <w:sz w:val="22"/>
          <w:szCs w:val="22"/>
          <w:lang w:val="en-US"/>
        </w:rPr>
        <w:t>specialised</w:t>
      </w:r>
      <w:r w:rsidRPr="00711DB0">
        <w:rPr>
          <w:rFonts w:ascii="Arial" w:hAnsi="Arial" w:cs="Arial"/>
          <w:sz w:val="22"/>
          <w:szCs w:val="22"/>
          <w:lang w:val="en-US"/>
        </w:rPr>
        <w:t xml:space="preserve"> assessment, treatments, and support services for children and young people who may be suffering from a variety of mental disorders, such as anxiety disorders, depression, self-harm, eating disorders, traumatic </w:t>
      </w:r>
      <w:r w:rsidR="00B56FD2">
        <w:rPr>
          <w:rFonts w:ascii="Arial" w:hAnsi="Arial" w:cs="Arial"/>
          <w:sz w:val="22"/>
          <w:szCs w:val="22"/>
          <w:lang w:val="en-US"/>
        </w:rPr>
        <w:t>event-induced</w:t>
      </w:r>
      <w:r w:rsidRPr="00711DB0">
        <w:rPr>
          <w:rFonts w:ascii="Arial" w:hAnsi="Arial" w:cs="Arial"/>
          <w:sz w:val="22"/>
          <w:szCs w:val="22"/>
          <w:lang w:val="en-US"/>
        </w:rPr>
        <w:t xml:space="preserve"> distress, </w:t>
      </w:r>
      <w:r w:rsidR="00B56FD2">
        <w:rPr>
          <w:rFonts w:ascii="Arial" w:hAnsi="Arial" w:cs="Arial"/>
          <w:sz w:val="22"/>
          <w:szCs w:val="22"/>
          <w:lang w:val="en-US"/>
        </w:rPr>
        <w:t>behavioural</w:t>
      </w:r>
      <w:r w:rsidRPr="00711DB0">
        <w:rPr>
          <w:rFonts w:ascii="Arial" w:hAnsi="Arial" w:cs="Arial"/>
          <w:sz w:val="22"/>
          <w:szCs w:val="22"/>
          <w:lang w:val="en-US"/>
        </w:rPr>
        <w:t xml:space="preserve"> disorders, and many other types of difficulties (NHS, 2024; Parkin and Long, 2024). Nevertheless, the presence of dedicated services for children and adolescents with mental disorders and difficulties does not guarantee access to those services (Children’s Commissioner, 2024; Appleton et al., 2022).</w:t>
      </w:r>
    </w:p>
    <w:p w14:paraId="0D3D89B2" w14:textId="2FB7C45A" w:rsidR="00A25C0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One can say that accessing CAMHS involves several steps, including recognition of mental health difficulties among children, initiation of contact with services for help, receipt of a referral to CAMHS, passing the referral threshold set by the clinic, waiting for an assessment to take place, attending assessments, starting a treatment </w:t>
      </w:r>
      <w:r w:rsidR="000854D3">
        <w:rPr>
          <w:rFonts w:ascii="Arial" w:hAnsi="Arial" w:cs="Arial"/>
          <w:sz w:val="22"/>
          <w:szCs w:val="22"/>
          <w:lang w:val="en-US"/>
        </w:rPr>
        <w:t>programme</w:t>
      </w:r>
      <w:r w:rsidRPr="00711DB0">
        <w:rPr>
          <w:rFonts w:ascii="Arial" w:hAnsi="Arial" w:cs="Arial"/>
          <w:sz w:val="22"/>
          <w:szCs w:val="22"/>
          <w:lang w:val="en-US"/>
        </w:rPr>
        <w:t xml:space="preserve"> if appropriate, and then adhering to the recommended therapy plan (Reardon et al., 2017; Rades et al., 2021). The access pathway may be determined both by structural factors, such as service capacity and waiting lists, as well as by social ones, such as the presence or lack of </w:t>
      </w:r>
      <w:r w:rsidR="00B56FD2">
        <w:rPr>
          <w:rFonts w:ascii="Arial" w:hAnsi="Arial" w:cs="Arial"/>
          <w:sz w:val="22"/>
          <w:szCs w:val="22"/>
          <w:lang w:val="en-US"/>
        </w:rPr>
        <w:t>stigmatisation</w:t>
      </w:r>
      <w:r w:rsidRPr="00711DB0">
        <w:rPr>
          <w:rFonts w:ascii="Arial" w:hAnsi="Arial" w:cs="Arial"/>
          <w:sz w:val="22"/>
          <w:szCs w:val="22"/>
          <w:lang w:val="en-US"/>
        </w:rPr>
        <w:t xml:space="preserve">, parents' or carers' understanding of mental disorders, poverty and low socio-economic status, school support and bullying, and confidence in professionals (Ed Brooke-Childs and Deighton, 2020; Radez et al., 2021; Appleton et al., 2022). </w:t>
      </w:r>
    </w:p>
    <w:p w14:paraId="51F0B550" w14:textId="77777777" w:rsidR="00A25C00" w:rsidRDefault="00A25C00" w:rsidP="001B7D33">
      <w:pPr>
        <w:spacing w:line="360" w:lineRule="auto"/>
        <w:jc w:val="both"/>
        <w:rPr>
          <w:rFonts w:ascii="Arial" w:hAnsi="Arial" w:cs="Arial"/>
          <w:sz w:val="22"/>
          <w:szCs w:val="22"/>
          <w:lang w:val="en-US"/>
        </w:rPr>
      </w:pPr>
    </w:p>
    <w:p w14:paraId="1AFA0913" w14:textId="77777777" w:rsidR="00A25C00" w:rsidRDefault="00A25C00" w:rsidP="001B7D33">
      <w:pPr>
        <w:spacing w:line="360" w:lineRule="auto"/>
        <w:jc w:val="both"/>
        <w:rPr>
          <w:rFonts w:ascii="Arial" w:hAnsi="Arial" w:cs="Arial"/>
          <w:sz w:val="22"/>
          <w:szCs w:val="22"/>
          <w:lang w:val="en-US"/>
        </w:rPr>
      </w:pPr>
    </w:p>
    <w:p w14:paraId="73799852" w14:textId="77777777" w:rsidR="00A25C00" w:rsidRPr="00A25C00" w:rsidRDefault="00A25C00" w:rsidP="001B7D33">
      <w:pPr>
        <w:spacing w:line="360" w:lineRule="auto"/>
        <w:jc w:val="both"/>
        <w:rPr>
          <w:rFonts w:ascii="Arial" w:hAnsi="Arial" w:cs="Arial"/>
          <w:sz w:val="22"/>
          <w:szCs w:val="22"/>
          <w:lang w:val="en-US"/>
        </w:rPr>
      </w:pPr>
    </w:p>
    <w:p w14:paraId="672EB4DE" w14:textId="507BE37C" w:rsidR="009E51F8" w:rsidRPr="00711DB0" w:rsidRDefault="009E51F8" w:rsidP="001B7D33">
      <w:pPr>
        <w:pStyle w:val="Heading2"/>
        <w:spacing w:line="360" w:lineRule="auto"/>
        <w:jc w:val="both"/>
        <w:rPr>
          <w:rFonts w:ascii="Arial" w:hAnsi="Arial" w:cs="Arial"/>
          <w:lang w:val="en-US"/>
        </w:rPr>
      </w:pPr>
      <w:bookmarkStart w:id="6" w:name="_Toc233629101"/>
      <w:r w:rsidRPr="00711DB0">
        <w:rPr>
          <w:rFonts w:ascii="Arial" w:hAnsi="Arial" w:cs="Arial"/>
          <w:lang w:val="en-US"/>
        </w:rPr>
        <w:lastRenderedPageBreak/>
        <w:t>1.2 Research Problem</w:t>
      </w:r>
      <w:bookmarkEnd w:id="6"/>
    </w:p>
    <w:p w14:paraId="05DD9260" w14:textId="77777777" w:rsidR="009E51F8" w:rsidRPr="00711DB0" w:rsidRDefault="009E51F8" w:rsidP="001B7D33">
      <w:pPr>
        <w:spacing w:line="360" w:lineRule="auto"/>
        <w:jc w:val="both"/>
        <w:rPr>
          <w:rFonts w:ascii="Arial" w:hAnsi="Arial" w:cs="Arial"/>
          <w:sz w:val="22"/>
          <w:szCs w:val="22"/>
          <w:lang w:val="en-US"/>
        </w:rPr>
      </w:pPr>
    </w:p>
    <w:p w14:paraId="20452BAB" w14:textId="3C7B6B55" w:rsidR="009E51F8" w:rsidRPr="00711DB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The research problem in the proposed dissertation is the disparity between the </w:t>
      </w:r>
      <w:r w:rsidR="000F3A29">
        <w:rPr>
          <w:rFonts w:ascii="Arial" w:hAnsi="Arial" w:cs="Arial"/>
          <w:sz w:val="22"/>
          <w:szCs w:val="22"/>
          <w:lang w:val="en-US"/>
        </w:rPr>
        <w:t>needs</w:t>
      </w:r>
      <w:r w:rsidRPr="00711DB0">
        <w:rPr>
          <w:rFonts w:ascii="Arial" w:hAnsi="Arial" w:cs="Arial"/>
          <w:sz w:val="22"/>
          <w:szCs w:val="22"/>
          <w:lang w:val="en-US"/>
        </w:rPr>
        <w:t xml:space="preserve"> of children and adolescents in CAMHS in the United Kingdom and the ability of service access pathways to provide </w:t>
      </w:r>
      <w:r w:rsidR="000F3A29">
        <w:rPr>
          <w:rFonts w:ascii="Arial" w:hAnsi="Arial" w:cs="Arial"/>
          <w:sz w:val="22"/>
          <w:szCs w:val="22"/>
          <w:lang w:val="en-US"/>
        </w:rPr>
        <w:t xml:space="preserve">appropriate access to </w:t>
      </w:r>
      <w:r w:rsidRPr="00711DB0">
        <w:rPr>
          <w:rFonts w:ascii="Arial" w:hAnsi="Arial" w:cs="Arial"/>
          <w:sz w:val="22"/>
          <w:szCs w:val="22"/>
          <w:lang w:val="en-US"/>
        </w:rPr>
        <w:t xml:space="preserve">services and timely referrals (NHS Digital, 2023; Children's Commissioner, 2024). </w:t>
      </w:r>
      <w:r w:rsidR="000854D3">
        <w:rPr>
          <w:rFonts w:ascii="Arial" w:hAnsi="Arial" w:cs="Arial"/>
          <w:sz w:val="22"/>
          <w:szCs w:val="22"/>
          <w:lang w:val="en-US"/>
        </w:rPr>
        <w:t>In 2022/23, 949,200 individuals under 25 years old received</w:t>
      </w:r>
      <w:r w:rsidRPr="00711DB0">
        <w:rPr>
          <w:rFonts w:ascii="Arial" w:hAnsi="Arial" w:cs="Arial"/>
          <w:sz w:val="22"/>
          <w:szCs w:val="22"/>
          <w:lang w:val="en-US"/>
        </w:rPr>
        <w:t xml:space="preserve"> referrals to CAMHS, of whom only 32% received any form of treatment and support (Children's Commissioner, 2024). The Children's Commissioner's figures also indicate that 28% (270,300 individuals) are waiting to receive treatment </w:t>
      </w:r>
      <w:r w:rsidR="00B56FD2">
        <w:rPr>
          <w:rFonts w:ascii="Arial" w:hAnsi="Arial" w:cs="Arial"/>
          <w:sz w:val="22"/>
          <w:szCs w:val="22"/>
          <w:lang w:val="en-US"/>
        </w:rPr>
        <w:t xml:space="preserve">after referral, while 39% (372,800 individuals) have closed referrals without receiving any </w:t>
      </w:r>
      <w:r w:rsidRPr="00711DB0">
        <w:rPr>
          <w:rFonts w:ascii="Arial" w:hAnsi="Arial" w:cs="Arial"/>
          <w:sz w:val="22"/>
          <w:szCs w:val="22"/>
          <w:lang w:val="en-US"/>
        </w:rPr>
        <w:t xml:space="preserve">support from CAMHS (Children's Commissioner, 2024). </w:t>
      </w:r>
      <w:r w:rsidR="00B56FD2">
        <w:rPr>
          <w:rFonts w:ascii="Arial" w:hAnsi="Arial" w:cs="Arial"/>
          <w:sz w:val="22"/>
          <w:szCs w:val="22"/>
          <w:lang w:val="en-US"/>
        </w:rPr>
        <w:t>This data shows that having</w:t>
      </w:r>
      <w:r w:rsidR="000F3A29">
        <w:rPr>
          <w:rFonts w:ascii="Arial" w:hAnsi="Arial" w:cs="Arial"/>
          <w:sz w:val="22"/>
          <w:szCs w:val="22"/>
          <w:lang w:val="en-US"/>
        </w:rPr>
        <w:t xml:space="preserve"> a referral to CAMHS does not necessarily mean timely treatment</w:t>
      </w:r>
      <w:r w:rsidRPr="00711DB0">
        <w:rPr>
          <w:rFonts w:ascii="Arial" w:hAnsi="Arial" w:cs="Arial"/>
          <w:sz w:val="22"/>
          <w:szCs w:val="22"/>
          <w:lang w:val="en-US"/>
        </w:rPr>
        <w:t>.</w:t>
      </w:r>
    </w:p>
    <w:p w14:paraId="7EFD12F7" w14:textId="3607DCC4" w:rsidR="009E51F8" w:rsidRPr="00106C49" w:rsidRDefault="000F3A29" w:rsidP="001B7D33">
      <w:pPr>
        <w:spacing w:line="360" w:lineRule="auto"/>
        <w:jc w:val="both"/>
        <w:rPr>
          <w:rFonts w:ascii="Arial" w:hAnsi="Arial" w:cs="Arial"/>
          <w:sz w:val="22"/>
          <w:szCs w:val="22"/>
          <w:lang w:val="en-US"/>
        </w:rPr>
      </w:pPr>
      <w:r>
        <w:rPr>
          <w:rFonts w:ascii="Arial" w:hAnsi="Arial" w:cs="Arial"/>
          <w:sz w:val="22"/>
          <w:szCs w:val="22"/>
          <w:lang w:val="en-US"/>
        </w:rPr>
        <w:t>Socioeconomic inequalities may affect some children's and adolescents' ability</w:t>
      </w:r>
      <w:r w:rsidR="009E51F8" w:rsidRPr="00711DB0">
        <w:rPr>
          <w:rFonts w:ascii="Arial" w:hAnsi="Arial" w:cs="Arial"/>
          <w:sz w:val="22"/>
          <w:szCs w:val="22"/>
          <w:lang w:val="en-US"/>
        </w:rPr>
        <w:t xml:space="preserve"> to </w:t>
      </w:r>
      <w:r>
        <w:rPr>
          <w:rFonts w:ascii="Arial" w:hAnsi="Arial" w:cs="Arial"/>
          <w:sz w:val="22"/>
          <w:szCs w:val="22"/>
          <w:lang w:val="en-US"/>
        </w:rPr>
        <w:t xml:space="preserve">access </w:t>
      </w:r>
      <w:r w:rsidR="009E51F8" w:rsidRPr="00711DB0">
        <w:rPr>
          <w:rFonts w:ascii="Arial" w:hAnsi="Arial" w:cs="Arial"/>
          <w:sz w:val="22"/>
          <w:szCs w:val="22"/>
          <w:lang w:val="en-US"/>
        </w:rPr>
        <w:t>CAMHS in the United Kingdom (Marmot et al., 2020; Parkin and Long, 2024). More specifically, socioeconomically deprived children and young people tend to be at a higher risk of encountering certain risk factors, which are responsible for poor mental health, such as poverty, homelessness, family difficulties, negative experiences in the past, and reduced access to protective factors (Bellis et al., 2014; Marmot et al., 2020). However, in spite of increased needs, access to CAMHS may prove to be quite problematic since families dealing with socioeconomic deprivation face a series of barriers to access to services, including service navigation difficulties, transport, internet connection issues, parents' inability to seek help during the working day, fear of stigma, and distrust towards public services (Reardon et al., 2017; Radez et al., 2021). Therefore, access barriers are not only related to clinical aspects of service delivery.</w:t>
      </w:r>
    </w:p>
    <w:p w14:paraId="1CDBA85C" w14:textId="28B6919E" w:rsidR="009E51F8" w:rsidRPr="00711DB0" w:rsidRDefault="009E51F8" w:rsidP="001B7D33">
      <w:pPr>
        <w:pStyle w:val="Heading2"/>
        <w:spacing w:line="360" w:lineRule="auto"/>
        <w:jc w:val="both"/>
        <w:rPr>
          <w:rFonts w:ascii="Arial" w:hAnsi="Arial" w:cs="Arial"/>
          <w:lang w:val="en-US"/>
        </w:rPr>
      </w:pPr>
      <w:bookmarkStart w:id="7" w:name="_Toc233629102"/>
      <w:r w:rsidRPr="00711DB0">
        <w:rPr>
          <w:rFonts w:ascii="Arial" w:hAnsi="Arial" w:cs="Arial"/>
          <w:lang w:val="en-US"/>
        </w:rPr>
        <w:t>1.3 Rationale for the Study</w:t>
      </w:r>
      <w:bookmarkEnd w:id="7"/>
    </w:p>
    <w:p w14:paraId="10E59880" w14:textId="04B0E112" w:rsidR="009E51F8" w:rsidRPr="00711DB0" w:rsidRDefault="00437257" w:rsidP="001B7D33">
      <w:pPr>
        <w:spacing w:line="360" w:lineRule="auto"/>
        <w:jc w:val="both"/>
        <w:rPr>
          <w:rFonts w:ascii="Arial" w:hAnsi="Arial" w:cs="Arial"/>
          <w:sz w:val="22"/>
          <w:szCs w:val="22"/>
          <w:lang w:val="en-US"/>
        </w:rPr>
      </w:pPr>
      <w:r>
        <w:rPr>
          <w:rFonts w:ascii="Arial" w:hAnsi="Arial" w:cs="Arial"/>
          <w:sz w:val="22"/>
          <w:szCs w:val="22"/>
          <w:lang w:val="en-US"/>
        </w:rPr>
        <w:t>This dissertation is needed</w:t>
      </w:r>
      <w:r w:rsidR="00B56FD2">
        <w:rPr>
          <w:rFonts w:ascii="Arial" w:hAnsi="Arial" w:cs="Arial"/>
          <w:sz w:val="22"/>
          <w:szCs w:val="22"/>
          <w:lang w:val="en-US"/>
        </w:rPr>
        <w:t xml:space="preserve"> to review qualitative UK evidence on access barriers to CAMHS, as well as potential access enablers (Radez et al., 2021; Appleton et al., 2022; Children's Commissioner, </w:t>
      </w:r>
      <w:r w:rsidR="009E51F8" w:rsidRPr="00711DB0">
        <w:rPr>
          <w:rFonts w:ascii="Arial" w:hAnsi="Arial" w:cs="Arial"/>
          <w:sz w:val="22"/>
          <w:szCs w:val="22"/>
          <w:lang w:val="en-US"/>
        </w:rPr>
        <w:t xml:space="preserve">2024). While quantitative data </w:t>
      </w:r>
      <w:r w:rsidR="000F3A29">
        <w:rPr>
          <w:rFonts w:ascii="Arial" w:hAnsi="Arial" w:cs="Arial"/>
          <w:sz w:val="22"/>
          <w:szCs w:val="22"/>
          <w:lang w:val="en-US"/>
        </w:rPr>
        <w:t xml:space="preserve">can </w:t>
      </w:r>
      <w:r w:rsidR="00B56FD2">
        <w:rPr>
          <w:rFonts w:ascii="Arial" w:hAnsi="Arial" w:cs="Arial"/>
          <w:sz w:val="22"/>
          <w:szCs w:val="22"/>
          <w:lang w:val="en-US"/>
        </w:rPr>
        <w:t xml:space="preserve">show </w:t>
      </w:r>
      <w:r>
        <w:rPr>
          <w:rFonts w:ascii="Arial" w:hAnsi="Arial" w:cs="Arial"/>
          <w:sz w:val="22"/>
          <w:szCs w:val="22"/>
          <w:lang w:val="en-US"/>
        </w:rPr>
        <w:t>referral numbers</w:t>
      </w:r>
      <w:r w:rsidR="00B56FD2">
        <w:rPr>
          <w:rFonts w:ascii="Arial" w:hAnsi="Arial" w:cs="Arial"/>
          <w:sz w:val="22"/>
          <w:szCs w:val="22"/>
          <w:lang w:val="en-US"/>
        </w:rPr>
        <w:t xml:space="preserve"> and the existence of waiting periods, they cannot capture the lived experience of families dealing with these</w:t>
      </w:r>
      <w:r w:rsidR="009E51F8" w:rsidRPr="00711DB0">
        <w:rPr>
          <w:rFonts w:ascii="Arial" w:hAnsi="Arial" w:cs="Arial"/>
          <w:sz w:val="22"/>
          <w:szCs w:val="22"/>
          <w:lang w:val="en-US"/>
        </w:rPr>
        <w:t xml:space="preserve"> problems (Reardon et al., 2017; Appleton et al., 2020). </w:t>
      </w:r>
      <w:r w:rsidR="00B56FD2">
        <w:rPr>
          <w:rFonts w:ascii="Arial" w:hAnsi="Arial" w:cs="Arial"/>
          <w:sz w:val="22"/>
          <w:szCs w:val="22"/>
          <w:lang w:val="en-US"/>
        </w:rPr>
        <w:t>Therefore, a review of qualitative evidence is</w:t>
      </w:r>
      <w:r w:rsidR="009E51F8" w:rsidRPr="00711DB0">
        <w:rPr>
          <w:rFonts w:ascii="Arial" w:hAnsi="Arial" w:cs="Arial"/>
          <w:sz w:val="22"/>
          <w:szCs w:val="22"/>
          <w:lang w:val="en-US"/>
        </w:rPr>
        <w:t xml:space="preserve"> appropriate (Aveyard, 2023).</w:t>
      </w:r>
    </w:p>
    <w:p w14:paraId="616C7DAD" w14:textId="56EC3FCC" w:rsidR="009E51F8" w:rsidRPr="00711DB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The justification for this research can also be based on the fact that there is currently a policy shift in respect of children and adolescents' mental health and access to CAMHS in England and in the United Kingdom as a whole (Department of Health and Department for Education, 2017; NHS England, 2019; Parkin and Long, 2024). For example, according to the Transforming Children and Young People's Mental Health Provision Green Paper, it was planned that young people would receive early support via schools and colleges, such as Mental Health Support Teams </w:t>
      </w:r>
      <w:r w:rsidRPr="00711DB0">
        <w:rPr>
          <w:rFonts w:ascii="Arial" w:hAnsi="Arial" w:cs="Arial"/>
          <w:sz w:val="22"/>
          <w:szCs w:val="22"/>
          <w:lang w:val="en-US"/>
        </w:rPr>
        <w:lastRenderedPageBreak/>
        <w:t xml:space="preserve">(MHSTs), senior mental health leads, and reduced waiting periods for CAMHS treatment (Department of Health and Department for Education, 2017). </w:t>
      </w:r>
      <w:r w:rsidR="00B56FD2">
        <w:rPr>
          <w:rFonts w:ascii="Arial" w:hAnsi="Arial" w:cs="Arial"/>
          <w:sz w:val="22"/>
          <w:szCs w:val="22"/>
          <w:lang w:val="en-US"/>
        </w:rPr>
        <w:t>Currently, NHS England continues to expand mental health services in schools and colleges, and reports indicate that MHSTs are being established to intervene with young people before they reach the threshold for</w:t>
      </w:r>
      <w:r w:rsidRPr="00711DB0">
        <w:rPr>
          <w:rFonts w:ascii="Arial" w:hAnsi="Arial" w:cs="Arial"/>
          <w:sz w:val="22"/>
          <w:szCs w:val="22"/>
          <w:lang w:val="en-US"/>
        </w:rPr>
        <w:t xml:space="preserve"> CAMHS involvement (NHS England, 2025). This policy development implies that schools and primary care could be considered as access enablers.</w:t>
      </w:r>
    </w:p>
    <w:p w14:paraId="1A1E4545" w14:textId="77777777" w:rsidR="009E51F8" w:rsidRPr="00711DB0" w:rsidRDefault="009E51F8" w:rsidP="001B7D33">
      <w:pPr>
        <w:spacing w:line="360" w:lineRule="auto"/>
        <w:jc w:val="both"/>
        <w:rPr>
          <w:rFonts w:ascii="Arial" w:hAnsi="Arial" w:cs="Arial"/>
          <w:sz w:val="22"/>
          <w:szCs w:val="22"/>
          <w:lang w:val="en-US"/>
        </w:rPr>
      </w:pPr>
    </w:p>
    <w:p w14:paraId="6296F276" w14:textId="0025DB4F" w:rsidR="009E51F8" w:rsidRPr="00711DB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Furthermore, </w:t>
      </w:r>
      <w:r w:rsidR="00B56FD2">
        <w:rPr>
          <w:rFonts w:ascii="Arial" w:hAnsi="Arial" w:cs="Arial"/>
          <w:sz w:val="22"/>
          <w:szCs w:val="22"/>
          <w:lang w:val="en-US"/>
        </w:rPr>
        <w:t>we need to consider barriers to and enablers of</w:t>
      </w:r>
      <w:r w:rsidRPr="00711DB0">
        <w:rPr>
          <w:rFonts w:ascii="Arial" w:hAnsi="Arial" w:cs="Arial"/>
          <w:sz w:val="22"/>
          <w:szCs w:val="22"/>
          <w:lang w:val="en-US"/>
        </w:rPr>
        <w:t xml:space="preserve"> CAMHS access (Radez et al., 2021; Appleton et al., 2022). While </w:t>
      </w:r>
      <w:r w:rsidR="00B56FD2">
        <w:rPr>
          <w:rFonts w:ascii="Arial" w:hAnsi="Arial" w:cs="Arial"/>
          <w:sz w:val="22"/>
          <w:szCs w:val="22"/>
          <w:lang w:val="en-US"/>
        </w:rPr>
        <w:t>discussing barriers may describe the problem, analysing potential enablers may</w:t>
      </w:r>
      <w:r w:rsidRPr="00711DB0">
        <w:rPr>
          <w:rFonts w:ascii="Arial" w:hAnsi="Arial" w:cs="Arial"/>
          <w:sz w:val="22"/>
          <w:szCs w:val="22"/>
          <w:lang w:val="en-US"/>
        </w:rPr>
        <w:t xml:space="preserve"> overlook structural barriers that limit </w:t>
      </w:r>
      <w:r w:rsidR="00437257">
        <w:rPr>
          <w:rFonts w:ascii="Arial" w:hAnsi="Arial" w:cs="Arial"/>
          <w:sz w:val="22"/>
          <w:szCs w:val="22"/>
          <w:lang w:val="en-US"/>
        </w:rPr>
        <w:t>access to services</w:t>
      </w:r>
      <w:r w:rsidRPr="00711DB0">
        <w:rPr>
          <w:rFonts w:ascii="Arial" w:hAnsi="Arial" w:cs="Arial"/>
          <w:sz w:val="22"/>
          <w:szCs w:val="22"/>
          <w:lang w:val="en-US"/>
        </w:rPr>
        <w:t xml:space="preserve"> (Children's Commissioner, 2024; Parkin and Long, 2024). A review of qualitative evidence will enable </w:t>
      </w:r>
      <w:r w:rsidR="000F3A29">
        <w:rPr>
          <w:rFonts w:ascii="Arial" w:hAnsi="Arial" w:cs="Arial"/>
          <w:sz w:val="22"/>
          <w:szCs w:val="22"/>
          <w:lang w:val="en-US"/>
        </w:rPr>
        <w:t>recommendations concerning clear referral pathways, early intervention opportunities, communication strategies with families, reducing inequalities, and cooperation between CAMHS and</w:t>
      </w:r>
      <w:r w:rsidRPr="00711DB0">
        <w:rPr>
          <w:rFonts w:ascii="Arial" w:hAnsi="Arial" w:cs="Arial"/>
          <w:sz w:val="22"/>
          <w:szCs w:val="22"/>
          <w:lang w:val="en-US"/>
        </w:rPr>
        <w:t xml:space="preserve"> other providers (NHS England, 2019; Children's Commissioner, 2024).</w:t>
      </w:r>
    </w:p>
    <w:p w14:paraId="7A93338A" w14:textId="77777777" w:rsidR="009E51F8" w:rsidRPr="00106C49" w:rsidRDefault="009E51F8" w:rsidP="001B7D33">
      <w:pPr>
        <w:spacing w:line="360" w:lineRule="auto"/>
        <w:jc w:val="both"/>
        <w:rPr>
          <w:rFonts w:ascii="Arial" w:hAnsi="Arial" w:cs="Arial"/>
          <w:sz w:val="22"/>
          <w:szCs w:val="22"/>
          <w:lang w:val="en-US"/>
        </w:rPr>
      </w:pPr>
    </w:p>
    <w:p w14:paraId="31EFE470" w14:textId="25564B4B" w:rsidR="009E51F8" w:rsidRPr="00711DB0" w:rsidRDefault="009E51F8" w:rsidP="001B7D33">
      <w:pPr>
        <w:pStyle w:val="Heading2"/>
        <w:spacing w:line="360" w:lineRule="auto"/>
        <w:jc w:val="both"/>
        <w:rPr>
          <w:rFonts w:ascii="Arial" w:hAnsi="Arial" w:cs="Arial"/>
          <w:lang w:val="en-US"/>
        </w:rPr>
      </w:pPr>
      <w:bookmarkStart w:id="8" w:name="_Toc233629103"/>
      <w:r w:rsidRPr="00711DB0">
        <w:rPr>
          <w:rFonts w:ascii="Arial" w:hAnsi="Arial" w:cs="Arial"/>
          <w:lang w:val="en-US"/>
        </w:rPr>
        <w:t>1.4 Aim and Objectives</w:t>
      </w:r>
      <w:bookmarkEnd w:id="8"/>
    </w:p>
    <w:p w14:paraId="5B1B57A8" w14:textId="77777777" w:rsidR="009E51F8" w:rsidRPr="00711DB0" w:rsidRDefault="009E51F8" w:rsidP="001B7D33">
      <w:pPr>
        <w:spacing w:line="360" w:lineRule="auto"/>
        <w:jc w:val="both"/>
        <w:rPr>
          <w:rFonts w:ascii="Arial" w:hAnsi="Arial" w:cs="Arial"/>
          <w:sz w:val="22"/>
          <w:szCs w:val="22"/>
          <w:lang w:val="en-US"/>
        </w:rPr>
      </w:pPr>
    </w:p>
    <w:p w14:paraId="42FE9FFF" w14:textId="6D543DCF" w:rsidR="009E51F8" w:rsidRPr="00711DB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The aim of the proposed research is to </w:t>
      </w:r>
      <w:r w:rsidR="00B56FD2">
        <w:rPr>
          <w:rFonts w:ascii="Arial" w:hAnsi="Arial" w:cs="Arial"/>
          <w:sz w:val="22"/>
          <w:szCs w:val="22"/>
          <w:lang w:val="en-US"/>
        </w:rPr>
        <w:t>critically analyse barriers and enablers to access to Child and Adolescent Mental Health Services (CAMHS) in the United Kingdom through a systematic literature review of qualitative and mixed-methods</w:t>
      </w:r>
      <w:r w:rsidRPr="00711DB0">
        <w:rPr>
          <w:rFonts w:ascii="Arial" w:hAnsi="Arial" w:cs="Arial"/>
          <w:sz w:val="22"/>
          <w:szCs w:val="22"/>
          <w:lang w:val="en-US"/>
        </w:rPr>
        <w:t xml:space="preserve"> evidence.</w:t>
      </w:r>
    </w:p>
    <w:p w14:paraId="3D4CDCEB" w14:textId="77777777" w:rsidR="009E51F8" w:rsidRPr="00711DB0" w:rsidRDefault="009E51F8" w:rsidP="001B7D33">
      <w:pPr>
        <w:spacing w:line="360" w:lineRule="auto"/>
        <w:jc w:val="both"/>
        <w:rPr>
          <w:rFonts w:ascii="Arial" w:hAnsi="Arial" w:cs="Arial"/>
          <w:sz w:val="22"/>
          <w:szCs w:val="22"/>
          <w:lang w:val="en-US"/>
        </w:rPr>
      </w:pPr>
    </w:p>
    <w:p w14:paraId="1FF5C7E4" w14:textId="6ED564DD" w:rsidR="009E51F8" w:rsidRPr="00106C49" w:rsidRDefault="009E51F8" w:rsidP="001B7D33">
      <w:pPr>
        <w:spacing w:line="360" w:lineRule="auto"/>
        <w:jc w:val="both"/>
        <w:rPr>
          <w:rFonts w:ascii="Arial" w:hAnsi="Arial" w:cs="Arial"/>
          <w:b/>
          <w:bCs/>
          <w:sz w:val="22"/>
          <w:szCs w:val="22"/>
          <w:lang w:val="en-US"/>
        </w:rPr>
      </w:pPr>
      <w:r w:rsidRPr="001B7D33">
        <w:rPr>
          <w:rFonts w:ascii="Arial" w:hAnsi="Arial" w:cs="Arial"/>
          <w:b/>
          <w:bCs/>
          <w:sz w:val="22"/>
          <w:szCs w:val="22"/>
          <w:lang w:val="en-US"/>
        </w:rPr>
        <w:t>The objectives of this dissertation are as follows:</w:t>
      </w:r>
    </w:p>
    <w:p w14:paraId="33022688" w14:textId="77777777" w:rsidR="009E51F8" w:rsidRPr="00711DB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1. To identify the structural barriers to CAMHS access in the United Kingdom, including long waiting periods, referral thresholds, service capacity, and continuity of treatment.</w:t>
      </w:r>
    </w:p>
    <w:p w14:paraId="748D0BCA" w14:textId="2229C135" w:rsidR="009E51F8" w:rsidRPr="00711DB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2. To </w:t>
      </w:r>
      <w:r w:rsidR="000F3A29">
        <w:rPr>
          <w:rFonts w:ascii="Arial" w:hAnsi="Arial" w:cs="Arial"/>
          <w:sz w:val="22"/>
          <w:szCs w:val="22"/>
          <w:lang w:val="en-US"/>
        </w:rPr>
        <w:t>analyse</w:t>
      </w:r>
      <w:r w:rsidRPr="00711DB0">
        <w:rPr>
          <w:rFonts w:ascii="Arial" w:hAnsi="Arial" w:cs="Arial"/>
          <w:sz w:val="22"/>
          <w:szCs w:val="22"/>
          <w:lang w:val="en-US"/>
        </w:rPr>
        <w:t xml:space="preserve"> the impact of socioeconomic inequalities on children's and adolescents' access to CAMHS in the United Kingdom.</w:t>
      </w:r>
    </w:p>
    <w:p w14:paraId="620A4329" w14:textId="56A5E563" w:rsidR="009E51F8" w:rsidRPr="00711DB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3. To reveal potential enablers of CAMHS access, including education settings, general practitioners, early intervention programs, family support, and services' cooperation.</w:t>
      </w:r>
    </w:p>
    <w:p w14:paraId="3EBF629F" w14:textId="3E9EEC07" w:rsidR="009E51F8" w:rsidRPr="00711DB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4. To </w:t>
      </w:r>
      <w:r w:rsidR="00B56FD2">
        <w:rPr>
          <w:rFonts w:ascii="Arial" w:hAnsi="Arial" w:cs="Arial"/>
          <w:sz w:val="22"/>
          <w:szCs w:val="22"/>
          <w:lang w:val="en-US"/>
        </w:rPr>
        <w:t>synthesise</w:t>
      </w:r>
      <w:r w:rsidR="000F3A29">
        <w:rPr>
          <w:rFonts w:ascii="Arial" w:hAnsi="Arial" w:cs="Arial"/>
          <w:sz w:val="22"/>
          <w:szCs w:val="22"/>
          <w:lang w:val="en-US"/>
        </w:rPr>
        <w:t xml:space="preserve"> the qualitative evidence about barriers and enablers using thematic analysis with the purpose of making</w:t>
      </w:r>
      <w:r w:rsidRPr="00711DB0">
        <w:rPr>
          <w:rFonts w:ascii="Arial" w:hAnsi="Arial" w:cs="Arial"/>
          <w:sz w:val="22"/>
          <w:szCs w:val="22"/>
          <w:lang w:val="en-US"/>
        </w:rPr>
        <w:t xml:space="preserve"> evidence-based recommendations to enhance access and equity in CAMHS.</w:t>
      </w:r>
    </w:p>
    <w:p w14:paraId="62CCD3B9" w14:textId="285D7A1A" w:rsidR="009E51F8" w:rsidRPr="00711DB0" w:rsidRDefault="009E51F8" w:rsidP="001B7D33">
      <w:pPr>
        <w:pStyle w:val="Heading2"/>
        <w:spacing w:line="360" w:lineRule="auto"/>
        <w:jc w:val="both"/>
        <w:rPr>
          <w:rFonts w:ascii="Arial" w:hAnsi="Arial" w:cs="Arial"/>
          <w:lang w:val="en-US"/>
        </w:rPr>
      </w:pPr>
      <w:bookmarkStart w:id="9" w:name="_Toc233629104"/>
      <w:r w:rsidRPr="00711DB0">
        <w:rPr>
          <w:rFonts w:ascii="Arial" w:hAnsi="Arial" w:cs="Arial"/>
          <w:lang w:val="en-US"/>
        </w:rPr>
        <w:lastRenderedPageBreak/>
        <w:t>1.</w:t>
      </w:r>
      <w:r w:rsidR="00A25C00">
        <w:rPr>
          <w:rFonts w:ascii="Arial" w:hAnsi="Arial" w:cs="Arial"/>
          <w:lang w:val="en-US"/>
        </w:rPr>
        <w:t>5</w:t>
      </w:r>
      <w:r w:rsidRPr="00711DB0">
        <w:rPr>
          <w:rFonts w:ascii="Arial" w:hAnsi="Arial" w:cs="Arial"/>
          <w:lang w:val="en-US"/>
        </w:rPr>
        <w:t xml:space="preserve"> Scope of the Study</w:t>
      </w:r>
      <w:bookmarkEnd w:id="9"/>
    </w:p>
    <w:p w14:paraId="66E3449C" w14:textId="77777777" w:rsidR="009E51F8" w:rsidRPr="00711DB0" w:rsidRDefault="009E51F8" w:rsidP="001B7D33">
      <w:pPr>
        <w:spacing w:line="360" w:lineRule="auto"/>
        <w:jc w:val="both"/>
        <w:rPr>
          <w:rFonts w:ascii="Arial" w:hAnsi="Arial" w:cs="Arial"/>
          <w:sz w:val="22"/>
          <w:szCs w:val="22"/>
          <w:lang w:val="en-US"/>
        </w:rPr>
      </w:pPr>
    </w:p>
    <w:p w14:paraId="37CBFDCC" w14:textId="77F577C6" w:rsidR="009E51F8" w:rsidRPr="00711DB0" w:rsidRDefault="00B56FD2" w:rsidP="001B7D33">
      <w:pPr>
        <w:spacing w:line="360" w:lineRule="auto"/>
        <w:jc w:val="both"/>
        <w:rPr>
          <w:rFonts w:ascii="Arial" w:hAnsi="Arial" w:cs="Arial"/>
          <w:sz w:val="22"/>
          <w:szCs w:val="22"/>
          <w:lang w:val="en-US"/>
        </w:rPr>
      </w:pPr>
      <w:r>
        <w:rPr>
          <w:rFonts w:ascii="Arial" w:hAnsi="Arial" w:cs="Arial"/>
          <w:sz w:val="22"/>
          <w:szCs w:val="22"/>
          <w:lang w:val="en-US"/>
        </w:rPr>
        <w:t>This research focuses on UK qualitative and mixed-methods studies published between 2015 and 2025 that investigate access to CAMHS or children's and adolescents'</w:t>
      </w:r>
      <w:r w:rsidR="009E51F8" w:rsidRPr="00711DB0">
        <w:rPr>
          <w:rFonts w:ascii="Arial" w:hAnsi="Arial" w:cs="Arial"/>
          <w:sz w:val="22"/>
          <w:szCs w:val="22"/>
          <w:lang w:val="en-US"/>
        </w:rPr>
        <w:t xml:space="preserve"> mental health services (Page et al., 2021; Aveyard, 2023). The </w:t>
      </w:r>
      <w:r>
        <w:rPr>
          <w:rFonts w:ascii="Arial" w:hAnsi="Arial" w:cs="Arial"/>
          <w:sz w:val="22"/>
          <w:szCs w:val="22"/>
          <w:lang w:val="en-US"/>
        </w:rPr>
        <w:t>literature review will cover</w:t>
      </w:r>
      <w:r w:rsidR="009E51F8" w:rsidRPr="00711DB0">
        <w:rPr>
          <w:rFonts w:ascii="Arial" w:hAnsi="Arial" w:cs="Arial"/>
          <w:sz w:val="22"/>
          <w:szCs w:val="22"/>
          <w:lang w:val="en-US"/>
        </w:rPr>
        <w:t xml:space="preserve"> </w:t>
      </w:r>
      <w:r w:rsidR="00437257">
        <w:rPr>
          <w:rFonts w:ascii="Arial" w:hAnsi="Arial" w:cs="Arial"/>
          <w:sz w:val="22"/>
          <w:szCs w:val="22"/>
          <w:lang w:val="en-US"/>
        </w:rPr>
        <w:t>experiences</w:t>
      </w:r>
      <w:r w:rsidR="009E51F8" w:rsidRPr="00711DB0">
        <w:rPr>
          <w:rFonts w:ascii="Arial" w:hAnsi="Arial" w:cs="Arial"/>
          <w:sz w:val="22"/>
          <w:szCs w:val="22"/>
          <w:lang w:val="en-US"/>
        </w:rPr>
        <w:t xml:space="preserve"> of accessing services, barriers to and facilitators of access, service provision, referral pathways, access thresholds, and related topics (Reardon et al., 2017; Appleton et al., 2022). The geographic area to be reviewed is the United Kingdom</w:t>
      </w:r>
      <w:r w:rsidR="000F3A29">
        <w:rPr>
          <w:rFonts w:ascii="Arial" w:hAnsi="Arial" w:cs="Arial"/>
          <w:sz w:val="22"/>
          <w:szCs w:val="22"/>
          <w:lang w:val="en-US"/>
        </w:rPr>
        <w:t>,</w:t>
      </w:r>
      <w:r w:rsidR="009E51F8" w:rsidRPr="00711DB0">
        <w:rPr>
          <w:rFonts w:ascii="Arial" w:hAnsi="Arial" w:cs="Arial"/>
          <w:sz w:val="22"/>
          <w:szCs w:val="22"/>
          <w:lang w:val="en-US"/>
        </w:rPr>
        <w:t xml:space="preserve"> with particular emphasis on England, where national statistics for referrals and waiting lists are collected regularly (NHS Digital, 2023; Children's Commissioner, 2024).</w:t>
      </w:r>
    </w:p>
    <w:p w14:paraId="16E2EA6D" w14:textId="6BFC61F4" w:rsidR="009E51F8" w:rsidRPr="00711DB0" w:rsidRDefault="009E51F8"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It is appropriate since young people suffering from mental disorders may be regarded as a vulnerable population, while </w:t>
      </w:r>
      <w:r w:rsidR="000F3A29">
        <w:rPr>
          <w:rFonts w:ascii="Arial" w:hAnsi="Arial" w:cs="Arial"/>
          <w:sz w:val="22"/>
          <w:szCs w:val="22"/>
          <w:lang w:val="en-US"/>
        </w:rPr>
        <w:t xml:space="preserve">a </w:t>
      </w:r>
      <w:r w:rsidRPr="00711DB0">
        <w:rPr>
          <w:rFonts w:ascii="Arial" w:hAnsi="Arial" w:cs="Arial"/>
          <w:sz w:val="22"/>
          <w:szCs w:val="22"/>
          <w:lang w:val="en-US"/>
        </w:rPr>
        <w:t>systematic literature review allows assessing existing evidence without posing additional ethical and practical concerns (Aveyard, 2023; Page et al., 2021). The dissertation does not include quantitative evidence, as the task is to understand barriers to service access (Braun and Clarke, 2006; Aveyard, 2023).</w:t>
      </w:r>
    </w:p>
    <w:p w14:paraId="1A482587" w14:textId="77777777" w:rsidR="009E51F8" w:rsidRPr="00711DB0" w:rsidRDefault="009E51F8" w:rsidP="001B7D33">
      <w:pPr>
        <w:spacing w:line="360" w:lineRule="auto"/>
        <w:jc w:val="both"/>
        <w:rPr>
          <w:rFonts w:ascii="Arial" w:hAnsi="Arial" w:cs="Arial"/>
          <w:sz w:val="22"/>
          <w:szCs w:val="22"/>
          <w:lang w:val="en-US"/>
        </w:rPr>
      </w:pPr>
    </w:p>
    <w:p w14:paraId="5CD45BEC" w14:textId="242F4F86" w:rsidR="009E51F8" w:rsidRPr="00711DB0" w:rsidRDefault="009E51F8" w:rsidP="001B7D33">
      <w:pPr>
        <w:pStyle w:val="Heading2"/>
        <w:spacing w:line="360" w:lineRule="auto"/>
        <w:jc w:val="both"/>
        <w:rPr>
          <w:rFonts w:ascii="Arial" w:hAnsi="Arial" w:cs="Arial"/>
          <w:lang w:val="en-US"/>
        </w:rPr>
      </w:pPr>
      <w:bookmarkStart w:id="10" w:name="_Toc233629105"/>
      <w:r w:rsidRPr="00711DB0">
        <w:rPr>
          <w:rFonts w:ascii="Arial" w:hAnsi="Arial" w:cs="Arial"/>
          <w:lang w:val="en-US"/>
        </w:rPr>
        <w:t>1.</w:t>
      </w:r>
      <w:r w:rsidR="00A25C00">
        <w:rPr>
          <w:rFonts w:ascii="Arial" w:hAnsi="Arial" w:cs="Arial"/>
          <w:lang w:val="en-US"/>
        </w:rPr>
        <w:t>6</w:t>
      </w:r>
      <w:r w:rsidRPr="00711DB0">
        <w:rPr>
          <w:rFonts w:ascii="Arial" w:hAnsi="Arial" w:cs="Arial"/>
          <w:lang w:val="en-US"/>
        </w:rPr>
        <w:t xml:space="preserve"> Structure of the Dissertation</w:t>
      </w:r>
      <w:bookmarkEnd w:id="10"/>
    </w:p>
    <w:p w14:paraId="59D74932" w14:textId="77777777" w:rsidR="009E51F8" w:rsidRPr="00711DB0" w:rsidRDefault="009E51F8" w:rsidP="001B7D33">
      <w:pPr>
        <w:spacing w:line="360" w:lineRule="auto"/>
        <w:jc w:val="both"/>
        <w:rPr>
          <w:rFonts w:ascii="Arial" w:hAnsi="Arial" w:cs="Arial"/>
          <w:sz w:val="22"/>
          <w:szCs w:val="22"/>
          <w:lang w:val="en-US"/>
        </w:rPr>
      </w:pPr>
    </w:p>
    <w:p w14:paraId="6B847238" w14:textId="5BBEAE06" w:rsidR="00501C21" w:rsidRPr="002010F1" w:rsidRDefault="002010F1" w:rsidP="001B7D33">
      <w:pPr>
        <w:spacing w:line="360" w:lineRule="auto"/>
        <w:jc w:val="both"/>
        <w:rPr>
          <w:rFonts w:ascii="Arial" w:hAnsi="Arial" w:cs="Arial"/>
          <w:sz w:val="22"/>
          <w:szCs w:val="22"/>
          <w:lang w:val="en-US"/>
        </w:rPr>
      </w:pPr>
      <w:r w:rsidRPr="002010F1">
        <w:rPr>
          <w:rFonts w:ascii="Arial" w:hAnsi="Arial" w:cs="Arial"/>
          <w:sz w:val="22"/>
          <w:szCs w:val="22"/>
          <w:lang w:val="en-US"/>
        </w:rPr>
        <w:t xml:space="preserve">This </w:t>
      </w:r>
      <w:r w:rsidR="00B56FD2">
        <w:rPr>
          <w:rFonts w:ascii="Arial" w:hAnsi="Arial" w:cs="Arial"/>
          <w:sz w:val="22"/>
          <w:szCs w:val="22"/>
          <w:lang w:val="en-US"/>
        </w:rPr>
        <w:t>dissertation is</w:t>
      </w:r>
      <w:r w:rsidRPr="002010F1">
        <w:rPr>
          <w:rFonts w:ascii="Arial" w:hAnsi="Arial" w:cs="Arial"/>
          <w:sz w:val="22"/>
          <w:szCs w:val="22"/>
          <w:lang w:val="en-US"/>
        </w:rPr>
        <w:t xml:space="preserve"> divided into five chapters. The second chapter </w:t>
      </w:r>
      <w:r w:rsidR="00437257">
        <w:rPr>
          <w:rFonts w:ascii="Arial" w:hAnsi="Arial" w:cs="Arial"/>
          <w:sz w:val="22"/>
          <w:szCs w:val="22"/>
          <w:lang w:val="en-US"/>
        </w:rPr>
        <w:t xml:space="preserve">presents the literature review and theoretical framework, the third chapter the research methodology, the fourth chapter the findings and discussion, and the fifth chapter the </w:t>
      </w:r>
      <w:r w:rsidR="00B56FD2">
        <w:rPr>
          <w:rFonts w:ascii="Arial" w:hAnsi="Arial" w:cs="Arial"/>
          <w:sz w:val="22"/>
          <w:szCs w:val="22"/>
          <w:lang w:val="en-US"/>
        </w:rPr>
        <w:t>conclusions and recommendations (</w:t>
      </w:r>
      <w:r w:rsidR="009E51F8" w:rsidRPr="00711DB0">
        <w:rPr>
          <w:rFonts w:ascii="Arial" w:hAnsi="Arial" w:cs="Arial"/>
          <w:sz w:val="22"/>
          <w:szCs w:val="22"/>
          <w:lang w:val="en-US"/>
        </w:rPr>
        <w:t xml:space="preserve">2023). Chapter 4 contains the findings of the literature review (Appleton et al., 2022; Children's Commissioner, 2024). Chapter 5 </w:t>
      </w:r>
      <w:r w:rsidR="00B56FD2">
        <w:rPr>
          <w:rFonts w:ascii="Arial" w:hAnsi="Arial" w:cs="Arial"/>
          <w:sz w:val="22"/>
          <w:szCs w:val="22"/>
          <w:lang w:val="en-US"/>
        </w:rPr>
        <w:t xml:space="preserve">concludes the dissertation by answering the research question, summarising the findings, highlighting </w:t>
      </w:r>
      <w:r w:rsidR="009E51F8" w:rsidRPr="00711DB0">
        <w:rPr>
          <w:rFonts w:ascii="Arial" w:hAnsi="Arial" w:cs="Arial"/>
          <w:sz w:val="22"/>
          <w:szCs w:val="22"/>
          <w:lang w:val="en-US"/>
        </w:rPr>
        <w:t>limitations, and recommending ways forward (Aveyard, 2023).</w:t>
      </w:r>
    </w:p>
    <w:p w14:paraId="5C438600" w14:textId="77777777" w:rsidR="00B56FD2" w:rsidRDefault="005A016F" w:rsidP="001B7D33">
      <w:pPr>
        <w:pStyle w:val="Heading1"/>
        <w:spacing w:line="360" w:lineRule="auto"/>
        <w:rPr>
          <w:rFonts w:ascii="Arial" w:hAnsi="Arial" w:cs="Arial"/>
          <w:lang w:val="en-US"/>
        </w:rPr>
      </w:pPr>
      <w:bookmarkStart w:id="11" w:name="_Toc233629106"/>
      <w:r w:rsidRPr="00711DB0">
        <w:rPr>
          <w:rFonts w:ascii="Arial" w:hAnsi="Arial" w:cs="Arial"/>
          <w:lang w:val="en-US"/>
        </w:rPr>
        <w:lastRenderedPageBreak/>
        <w:t xml:space="preserve">Chapter 2: Literature Review and Theoretical </w:t>
      </w:r>
    </w:p>
    <w:p w14:paraId="278DD112" w14:textId="77777777" w:rsidR="00B56FD2" w:rsidRDefault="00B56FD2" w:rsidP="001B7D33">
      <w:pPr>
        <w:pStyle w:val="Heading1"/>
        <w:spacing w:line="360" w:lineRule="auto"/>
        <w:rPr>
          <w:rFonts w:ascii="Arial" w:hAnsi="Arial" w:cs="Arial"/>
          <w:lang w:val="en-US"/>
        </w:rPr>
      </w:pPr>
    </w:p>
    <w:p w14:paraId="3521E3AF" w14:textId="1CF614EF" w:rsidR="005A016F" w:rsidRPr="00711DB0" w:rsidRDefault="005A016F" w:rsidP="001B7D33">
      <w:pPr>
        <w:pStyle w:val="Heading1"/>
        <w:spacing w:line="360" w:lineRule="auto"/>
        <w:rPr>
          <w:rFonts w:ascii="Arial" w:hAnsi="Arial" w:cs="Arial"/>
          <w:lang w:val="en-US"/>
        </w:rPr>
      </w:pPr>
      <w:r w:rsidRPr="00711DB0">
        <w:rPr>
          <w:rFonts w:ascii="Arial" w:hAnsi="Arial" w:cs="Arial"/>
          <w:lang w:val="en-US"/>
        </w:rPr>
        <w:t>Framework</w:t>
      </w:r>
      <w:bookmarkEnd w:id="11"/>
    </w:p>
    <w:p w14:paraId="6C4D5325" w14:textId="20493FD0" w:rsidR="005A016F" w:rsidRPr="00711DB0" w:rsidRDefault="005A016F" w:rsidP="001B7D33">
      <w:pPr>
        <w:pStyle w:val="Heading2"/>
        <w:spacing w:line="360" w:lineRule="auto"/>
        <w:jc w:val="both"/>
        <w:rPr>
          <w:rFonts w:ascii="Arial" w:hAnsi="Arial" w:cs="Arial"/>
          <w:lang w:val="en-US"/>
        </w:rPr>
      </w:pPr>
      <w:bookmarkStart w:id="12" w:name="_Toc233629107"/>
      <w:r w:rsidRPr="00711DB0">
        <w:rPr>
          <w:rFonts w:ascii="Arial" w:hAnsi="Arial" w:cs="Arial"/>
          <w:lang w:val="en-US"/>
        </w:rPr>
        <w:t>2.1 Introduction</w:t>
      </w:r>
      <w:bookmarkEnd w:id="12"/>
    </w:p>
    <w:p w14:paraId="6D7B9D10" w14:textId="77777777" w:rsidR="005A016F" w:rsidRPr="00711DB0" w:rsidRDefault="005A016F" w:rsidP="001B7D33">
      <w:pPr>
        <w:spacing w:line="360" w:lineRule="auto"/>
        <w:jc w:val="both"/>
        <w:rPr>
          <w:rFonts w:ascii="Arial" w:hAnsi="Arial" w:cs="Arial"/>
          <w:sz w:val="22"/>
          <w:szCs w:val="22"/>
          <w:lang w:val="en-US"/>
        </w:rPr>
      </w:pPr>
    </w:p>
    <w:p w14:paraId="11BE60DD" w14:textId="21E3D4F9" w:rsidR="005A016F" w:rsidRPr="00106C49" w:rsidRDefault="00B56FD2" w:rsidP="001B7D33">
      <w:pPr>
        <w:spacing w:line="360" w:lineRule="auto"/>
        <w:jc w:val="both"/>
        <w:rPr>
          <w:rFonts w:ascii="Arial" w:hAnsi="Arial" w:cs="Arial"/>
          <w:sz w:val="22"/>
          <w:szCs w:val="22"/>
          <w:lang w:val="en-US"/>
        </w:rPr>
      </w:pPr>
      <w:r>
        <w:rPr>
          <w:rFonts w:ascii="Arial" w:hAnsi="Arial" w:cs="Arial"/>
          <w:sz w:val="22"/>
          <w:szCs w:val="22"/>
          <w:lang w:val="en-US"/>
        </w:rPr>
        <w:t>This chapter reviews relevant literature on barriers and facilitators affecting CAMHS access in the United Kingdom</w:t>
      </w:r>
      <w:r w:rsidR="005A016F" w:rsidRPr="00711DB0">
        <w:rPr>
          <w:rFonts w:ascii="Arial" w:hAnsi="Arial" w:cs="Arial"/>
          <w:sz w:val="22"/>
          <w:szCs w:val="22"/>
          <w:lang w:val="en-US"/>
        </w:rPr>
        <w:t xml:space="preserve">. Its main purpose is to outline existing knowledge about child and adolescent mental health </w:t>
      </w:r>
      <w:r w:rsidR="000F3A29" w:rsidRPr="00711DB0">
        <w:rPr>
          <w:rFonts w:ascii="Arial" w:hAnsi="Arial" w:cs="Arial"/>
          <w:sz w:val="22"/>
          <w:szCs w:val="22"/>
          <w:lang w:val="en-US"/>
        </w:rPr>
        <w:t>needs</w:t>
      </w:r>
      <w:r w:rsidR="005A016F" w:rsidRPr="00711DB0">
        <w:rPr>
          <w:rFonts w:ascii="Arial" w:hAnsi="Arial" w:cs="Arial"/>
          <w:sz w:val="22"/>
          <w:szCs w:val="22"/>
          <w:lang w:val="en-US"/>
        </w:rPr>
        <w:t xml:space="preserve">, </w:t>
      </w:r>
      <w:r>
        <w:rPr>
          <w:rFonts w:ascii="Arial" w:hAnsi="Arial" w:cs="Arial"/>
          <w:sz w:val="22"/>
          <w:szCs w:val="22"/>
          <w:lang w:val="en-US"/>
        </w:rPr>
        <w:t>persistent CAMHS access disparities</w:t>
      </w:r>
      <w:r w:rsidR="005A016F" w:rsidRPr="00711DB0">
        <w:rPr>
          <w:rFonts w:ascii="Arial" w:hAnsi="Arial" w:cs="Arial"/>
          <w:sz w:val="22"/>
          <w:szCs w:val="22"/>
          <w:lang w:val="en-US"/>
        </w:rPr>
        <w:t xml:space="preserve">, and potential sources of support that could improve access for children, young people, and families (Parkin and Long, 2024; Children’s Commissioner, 2024). Furthermore, this chapter will identify limitations in existing research on access and justify the choice of </w:t>
      </w:r>
      <w:r w:rsidR="000F3A29" w:rsidRPr="00711DB0">
        <w:rPr>
          <w:rFonts w:ascii="Arial" w:hAnsi="Arial" w:cs="Arial"/>
          <w:sz w:val="22"/>
          <w:szCs w:val="22"/>
          <w:lang w:val="en-US"/>
        </w:rPr>
        <w:t>methodology</w:t>
      </w:r>
      <w:r w:rsidR="005A016F" w:rsidRPr="00711DB0">
        <w:rPr>
          <w:rFonts w:ascii="Arial" w:hAnsi="Arial" w:cs="Arial"/>
          <w:sz w:val="22"/>
          <w:szCs w:val="22"/>
          <w:lang w:val="en-US"/>
        </w:rPr>
        <w:t xml:space="preserve"> (i.e., </w:t>
      </w:r>
      <w:r w:rsidR="000F3A29">
        <w:rPr>
          <w:rFonts w:ascii="Arial" w:hAnsi="Arial" w:cs="Arial"/>
          <w:sz w:val="22"/>
          <w:szCs w:val="22"/>
          <w:lang w:val="en-US"/>
        </w:rPr>
        <w:t>a systematic review of qualitative and mixed-methods</w:t>
      </w:r>
      <w:r w:rsidR="005A016F" w:rsidRPr="00711DB0">
        <w:rPr>
          <w:rFonts w:ascii="Arial" w:hAnsi="Arial" w:cs="Arial"/>
          <w:sz w:val="22"/>
          <w:szCs w:val="22"/>
          <w:lang w:val="en-US"/>
        </w:rPr>
        <w:t xml:space="preserve"> papers) adopted for this dissertation (Aveyard, 2023; Page et al., 2021).</w:t>
      </w:r>
    </w:p>
    <w:p w14:paraId="62F1FA3A" w14:textId="0A2B8AE1" w:rsidR="005A016F" w:rsidRPr="00106C49" w:rsidRDefault="000F3A29" w:rsidP="001B7D33">
      <w:pPr>
        <w:spacing w:line="360" w:lineRule="auto"/>
        <w:jc w:val="both"/>
        <w:rPr>
          <w:rFonts w:ascii="Arial" w:hAnsi="Arial" w:cs="Arial"/>
          <w:sz w:val="22"/>
          <w:szCs w:val="22"/>
          <w:lang w:val="en-US"/>
        </w:rPr>
      </w:pPr>
      <w:r>
        <w:rPr>
          <w:rFonts w:ascii="Arial" w:hAnsi="Arial" w:cs="Arial"/>
          <w:sz w:val="22"/>
          <w:szCs w:val="22"/>
          <w:lang w:val="en-US"/>
        </w:rPr>
        <w:t>The literature review indicates that CAMHS access involves multiple stages,</w:t>
      </w:r>
      <w:r w:rsidR="005A016F" w:rsidRPr="00711DB0">
        <w:rPr>
          <w:rFonts w:ascii="Arial" w:hAnsi="Arial" w:cs="Arial"/>
          <w:sz w:val="22"/>
          <w:szCs w:val="22"/>
          <w:lang w:val="en-US"/>
        </w:rPr>
        <w:t xml:space="preserve"> including identification of mental health need, help-seeking </w:t>
      </w:r>
      <w:r>
        <w:rPr>
          <w:rFonts w:ascii="Arial" w:hAnsi="Arial" w:cs="Arial"/>
          <w:sz w:val="22"/>
          <w:szCs w:val="22"/>
          <w:lang w:val="en-US"/>
        </w:rPr>
        <w:t>behaviour</w:t>
      </w:r>
      <w:r w:rsidR="005A016F" w:rsidRPr="00711DB0">
        <w:rPr>
          <w:rFonts w:ascii="Arial" w:hAnsi="Arial" w:cs="Arial"/>
          <w:sz w:val="22"/>
          <w:szCs w:val="22"/>
          <w:lang w:val="en-US"/>
        </w:rPr>
        <w:t xml:space="preserve">, referral, admission to CAMHS, waiting, assessment, treatment, and continuity of care (Reardon et al., 2017; Radez et al., 2021). Barriers might emerge at any of these stages and imply that although a child suffers from mental health difficulties, he/she might be unable to access the appropriate CAMHS due to barriers. Equally, a child or young person who has been </w:t>
      </w:r>
      <w:r w:rsidR="000854D3" w:rsidRPr="00711DB0">
        <w:rPr>
          <w:rFonts w:ascii="Arial" w:hAnsi="Arial" w:cs="Arial"/>
          <w:sz w:val="22"/>
          <w:szCs w:val="22"/>
          <w:lang w:val="en-US"/>
        </w:rPr>
        <w:t>referred to</w:t>
      </w:r>
      <w:r w:rsidRPr="00711DB0">
        <w:rPr>
          <w:rFonts w:ascii="Arial" w:hAnsi="Arial" w:cs="Arial"/>
          <w:sz w:val="22"/>
          <w:szCs w:val="22"/>
          <w:lang w:val="en-US"/>
        </w:rPr>
        <w:t xml:space="preserve"> </w:t>
      </w:r>
      <w:r w:rsidR="005A016F" w:rsidRPr="00711DB0">
        <w:rPr>
          <w:rFonts w:ascii="Arial" w:hAnsi="Arial" w:cs="Arial"/>
          <w:sz w:val="22"/>
          <w:szCs w:val="22"/>
          <w:lang w:val="en-US"/>
        </w:rPr>
        <w:t xml:space="preserve">might have no access to mental health support because of long waiting lists (Children’s Commissioner, 2024). </w:t>
      </w:r>
      <w:r>
        <w:rPr>
          <w:rFonts w:ascii="Arial" w:hAnsi="Arial" w:cs="Arial"/>
          <w:sz w:val="22"/>
          <w:szCs w:val="22"/>
          <w:lang w:val="en-US"/>
        </w:rPr>
        <w:t>Beyond</w:t>
      </w:r>
      <w:r w:rsidR="005A016F" w:rsidRPr="00711DB0">
        <w:rPr>
          <w:rFonts w:ascii="Arial" w:hAnsi="Arial" w:cs="Arial"/>
          <w:sz w:val="22"/>
          <w:szCs w:val="22"/>
          <w:lang w:val="en-US"/>
        </w:rPr>
        <w:t xml:space="preserve"> managing CAMHS services, addressing access issues matters in public health, safeguarding, and equality contexts (Marmot et al., 2020; Parkin and Long, 2024).</w:t>
      </w:r>
    </w:p>
    <w:p w14:paraId="69443594" w14:textId="77777777" w:rsidR="009B041E" w:rsidRPr="00106C49" w:rsidRDefault="009B041E" w:rsidP="009B041E">
      <w:pPr>
        <w:spacing w:line="360" w:lineRule="auto"/>
        <w:jc w:val="both"/>
        <w:rPr>
          <w:rFonts w:ascii="Arial" w:hAnsi="Arial" w:cs="Arial"/>
          <w:sz w:val="22"/>
          <w:szCs w:val="22"/>
          <w:lang w:val="en-US"/>
        </w:rPr>
      </w:pPr>
    </w:p>
    <w:p w14:paraId="128F393A" w14:textId="12F91F08" w:rsidR="005A016F" w:rsidRPr="00711DB0" w:rsidRDefault="005A016F" w:rsidP="001B7D33">
      <w:pPr>
        <w:pStyle w:val="Heading2"/>
        <w:spacing w:line="360" w:lineRule="auto"/>
        <w:jc w:val="both"/>
        <w:rPr>
          <w:rFonts w:ascii="Arial" w:hAnsi="Arial" w:cs="Arial"/>
          <w:lang w:val="en-US"/>
        </w:rPr>
      </w:pPr>
      <w:bookmarkStart w:id="13" w:name="_Toc233629108"/>
      <w:r w:rsidRPr="00711DB0">
        <w:rPr>
          <w:rFonts w:ascii="Arial" w:hAnsi="Arial" w:cs="Arial"/>
          <w:lang w:val="en-US"/>
        </w:rPr>
        <w:t>2.2 Child and Adolescent Mental Health in the United Kingdom</w:t>
      </w:r>
      <w:bookmarkEnd w:id="13"/>
    </w:p>
    <w:p w14:paraId="1B931D5F" w14:textId="77777777" w:rsidR="005A016F" w:rsidRPr="00711DB0" w:rsidRDefault="005A016F" w:rsidP="001B7D33">
      <w:pPr>
        <w:spacing w:line="360" w:lineRule="auto"/>
        <w:jc w:val="both"/>
        <w:rPr>
          <w:rFonts w:ascii="Arial" w:hAnsi="Arial" w:cs="Arial"/>
          <w:sz w:val="22"/>
          <w:szCs w:val="22"/>
          <w:lang w:val="en-US"/>
        </w:rPr>
      </w:pPr>
    </w:p>
    <w:p w14:paraId="7681ECDF" w14:textId="059FDE3D"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Child and adolescent mental health needs have gained attention in recent years because of the relatively high prevalence of children and young people with mental health difficulties (NHS Digital, 2023; Parkin and Long, 2024). According to NHS Digital statistics, in 2023 in England, one in five children and young people aged 8 to 25 years experienced </w:t>
      </w:r>
      <w:r w:rsidR="000F3A29">
        <w:rPr>
          <w:rFonts w:ascii="Arial" w:hAnsi="Arial" w:cs="Arial"/>
          <w:sz w:val="22"/>
          <w:szCs w:val="22"/>
          <w:lang w:val="en-US"/>
        </w:rPr>
        <w:t xml:space="preserve">a </w:t>
      </w:r>
      <w:r w:rsidRPr="00711DB0">
        <w:rPr>
          <w:rFonts w:ascii="Arial" w:hAnsi="Arial" w:cs="Arial"/>
          <w:sz w:val="22"/>
          <w:szCs w:val="22"/>
          <w:lang w:val="en-US"/>
        </w:rPr>
        <w:t xml:space="preserve">mental disorder (NHS Digital, 2023). Specifically, it has been observed that 20.3% of children aged 8 to 16 years, 23.3% of young people aged 17 to 19 years, and 21.7% of young adults aged 20 to 25 years exhibited </w:t>
      </w:r>
      <w:r w:rsidRPr="00711DB0">
        <w:rPr>
          <w:rFonts w:ascii="Arial" w:hAnsi="Arial" w:cs="Arial"/>
          <w:sz w:val="22"/>
          <w:szCs w:val="22"/>
          <w:lang w:val="en-US"/>
        </w:rPr>
        <w:lastRenderedPageBreak/>
        <w:t>mental problems (NHS Digital, 2023). These figures show the scale of child and adolescent mental health need in contemporary society, thereby suggesting that demands for support are not temporary and marginal (NHS Digital, 2023; Children’s Commissioner, 2024).</w:t>
      </w:r>
    </w:p>
    <w:p w14:paraId="716917ED" w14:textId="469A3544"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Social determinants of health play an especially important role in </w:t>
      </w:r>
      <w:r w:rsidR="00B56FD2">
        <w:rPr>
          <w:rFonts w:ascii="Arial" w:hAnsi="Arial" w:cs="Arial"/>
          <w:sz w:val="22"/>
          <w:szCs w:val="22"/>
          <w:lang w:val="en-US"/>
        </w:rPr>
        <w:t>analysing</w:t>
      </w:r>
      <w:r w:rsidRPr="00711DB0">
        <w:rPr>
          <w:rFonts w:ascii="Arial" w:hAnsi="Arial" w:cs="Arial"/>
          <w:sz w:val="22"/>
          <w:szCs w:val="22"/>
          <w:lang w:val="en-US"/>
        </w:rPr>
        <w:t xml:space="preserve"> child and adolescent mental health in the United Kingdom. As Marmot et al. (2020) </w:t>
      </w:r>
      <w:r w:rsidR="00B56FD2">
        <w:rPr>
          <w:rFonts w:ascii="Arial" w:hAnsi="Arial" w:cs="Arial"/>
          <w:sz w:val="22"/>
          <w:szCs w:val="22"/>
          <w:lang w:val="en-US"/>
        </w:rPr>
        <w:t>highlight,</w:t>
      </w:r>
      <w:r w:rsidRPr="00711DB0">
        <w:rPr>
          <w:rFonts w:ascii="Arial" w:hAnsi="Arial" w:cs="Arial"/>
          <w:sz w:val="22"/>
          <w:szCs w:val="22"/>
          <w:lang w:val="en-US"/>
        </w:rPr>
        <w:t xml:space="preserve"> health inequalities in England arise </w:t>
      </w:r>
      <w:r w:rsidR="000F3A29">
        <w:rPr>
          <w:rFonts w:ascii="Arial" w:hAnsi="Arial" w:cs="Arial"/>
          <w:sz w:val="22"/>
          <w:szCs w:val="22"/>
          <w:lang w:val="en-US"/>
        </w:rPr>
        <w:t xml:space="preserve">from inequalities in the </w:t>
      </w:r>
      <w:r w:rsidRPr="00711DB0">
        <w:rPr>
          <w:rFonts w:ascii="Arial" w:hAnsi="Arial" w:cs="Arial"/>
          <w:sz w:val="22"/>
          <w:szCs w:val="22"/>
          <w:lang w:val="en-US"/>
        </w:rPr>
        <w:t xml:space="preserve">living conditions under which individuals are born, grow up, live, work, and get older. Social determinants of health among children and young people include family income, housing quality, </w:t>
      </w:r>
      <w:r w:rsidR="00B56FD2">
        <w:rPr>
          <w:rFonts w:ascii="Arial" w:hAnsi="Arial" w:cs="Arial"/>
          <w:sz w:val="22"/>
          <w:szCs w:val="22"/>
          <w:lang w:val="en-US"/>
        </w:rPr>
        <w:t xml:space="preserve">parental employment, school environment, neighbourhood safety, access to community services, and </w:t>
      </w:r>
      <w:r w:rsidRPr="00711DB0">
        <w:rPr>
          <w:rFonts w:ascii="Arial" w:hAnsi="Arial" w:cs="Arial"/>
          <w:sz w:val="22"/>
          <w:szCs w:val="22"/>
          <w:lang w:val="en-US"/>
        </w:rPr>
        <w:t xml:space="preserve">adverse experiences (Marmot et al., 2020). Being poorer or having adverse experiences in childhood means that a child/young person may be more prone to experience emotional and </w:t>
      </w:r>
      <w:r w:rsidR="000F3A29">
        <w:rPr>
          <w:rFonts w:ascii="Arial" w:hAnsi="Arial" w:cs="Arial"/>
          <w:sz w:val="22"/>
          <w:szCs w:val="22"/>
          <w:lang w:val="en-US"/>
        </w:rPr>
        <w:t>behavioural</w:t>
      </w:r>
      <w:r w:rsidRPr="00711DB0">
        <w:rPr>
          <w:rFonts w:ascii="Arial" w:hAnsi="Arial" w:cs="Arial"/>
          <w:sz w:val="22"/>
          <w:szCs w:val="22"/>
          <w:lang w:val="en-US"/>
        </w:rPr>
        <w:t xml:space="preserve"> problems and may have fewer resources to seek early help (Bellis et al., 2014; Marmot et al., 2020). This </w:t>
      </w:r>
      <w:r w:rsidR="00B56FD2">
        <w:rPr>
          <w:rFonts w:ascii="Arial" w:hAnsi="Arial" w:cs="Arial"/>
          <w:sz w:val="22"/>
          <w:szCs w:val="22"/>
          <w:lang w:val="en-US"/>
        </w:rPr>
        <w:t xml:space="preserve">creates a critical CAMHS access problem, as those </w:t>
      </w:r>
      <w:r w:rsidRPr="00711DB0">
        <w:rPr>
          <w:rFonts w:ascii="Arial" w:hAnsi="Arial" w:cs="Arial"/>
          <w:sz w:val="22"/>
          <w:szCs w:val="22"/>
          <w:lang w:val="en-US"/>
        </w:rPr>
        <w:t xml:space="preserve">with higher </w:t>
      </w:r>
      <w:r w:rsidR="00B56FD2" w:rsidRPr="00711DB0">
        <w:rPr>
          <w:rFonts w:ascii="Arial" w:hAnsi="Arial" w:cs="Arial"/>
          <w:sz w:val="22"/>
          <w:szCs w:val="22"/>
          <w:lang w:val="en-US"/>
        </w:rPr>
        <w:t>needs</w:t>
      </w:r>
      <w:r w:rsidRPr="00711DB0">
        <w:rPr>
          <w:rFonts w:ascii="Arial" w:hAnsi="Arial" w:cs="Arial"/>
          <w:sz w:val="22"/>
          <w:szCs w:val="22"/>
          <w:lang w:val="en-US"/>
        </w:rPr>
        <w:t xml:space="preserve"> also face more barriers (Reardon et al., 2017; Radez et al., 2021).</w:t>
      </w:r>
    </w:p>
    <w:p w14:paraId="67AC5812" w14:textId="77777777" w:rsidR="005A016F" w:rsidRPr="00711DB0" w:rsidRDefault="005A016F" w:rsidP="001B7D33">
      <w:pPr>
        <w:spacing w:line="360" w:lineRule="auto"/>
        <w:jc w:val="both"/>
        <w:rPr>
          <w:rFonts w:ascii="Arial" w:hAnsi="Arial" w:cs="Arial"/>
          <w:sz w:val="22"/>
          <w:szCs w:val="22"/>
          <w:lang w:val="en-US"/>
        </w:rPr>
      </w:pPr>
    </w:p>
    <w:p w14:paraId="59BB8E91" w14:textId="77777777" w:rsidR="005A016F" w:rsidRPr="00711DB0" w:rsidRDefault="005A016F" w:rsidP="001B7D33">
      <w:pPr>
        <w:pStyle w:val="Heading2"/>
        <w:spacing w:line="360" w:lineRule="auto"/>
        <w:jc w:val="both"/>
        <w:rPr>
          <w:rFonts w:ascii="Arial" w:hAnsi="Arial" w:cs="Arial"/>
          <w:lang w:val="en-US"/>
        </w:rPr>
      </w:pPr>
      <w:bookmarkStart w:id="14" w:name="_Toc233629109"/>
      <w:r w:rsidRPr="00711DB0">
        <w:rPr>
          <w:rFonts w:ascii="Arial" w:hAnsi="Arial" w:cs="Arial"/>
          <w:lang w:val="en-US"/>
        </w:rPr>
        <w:t>2.3 Overview of CAMHS in the United Kingdom</w:t>
      </w:r>
      <w:bookmarkEnd w:id="14"/>
    </w:p>
    <w:p w14:paraId="0B593D53" w14:textId="77777777" w:rsidR="005A016F" w:rsidRPr="00711DB0" w:rsidRDefault="005A016F" w:rsidP="001B7D33">
      <w:pPr>
        <w:spacing w:line="360" w:lineRule="auto"/>
        <w:jc w:val="both"/>
        <w:rPr>
          <w:rFonts w:ascii="Arial" w:hAnsi="Arial" w:cs="Arial"/>
          <w:sz w:val="22"/>
          <w:szCs w:val="22"/>
          <w:lang w:val="en-US"/>
        </w:rPr>
      </w:pPr>
    </w:p>
    <w:p w14:paraId="79925B29" w14:textId="552989FC" w:rsidR="005A016F" w:rsidRPr="00711DB0" w:rsidRDefault="000F3A29" w:rsidP="001B7D33">
      <w:pPr>
        <w:spacing w:line="360" w:lineRule="auto"/>
        <w:jc w:val="both"/>
        <w:rPr>
          <w:rFonts w:ascii="Arial" w:hAnsi="Arial" w:cs="Arial"/>
          <w:sz w:val="22"/>
          <w:szCs w:val="22"/>
          <w:lang w:val="en-US"/>
        </w:rPr>
      </w:pPr>
      <w:r w:rsidRPr="00711DB0">
        <w:rPr>
          <w:rFonts w:ascii="Arial" w:hAnsi="Arial" w:cs="Arial"/>
          <w:sz w:val="22"/>
          <w:szCs w:val="22"/>
          <w:lang w:val="en-US"/>
        </w:rPr>
        <w:t>Child</w:t>
      </w:r>
      <w:r w:rsidR="005A016F" w:rsidRPr="00711DB0">
        <w:rPr>
          <w:rFonts w:ascii="Arial" w:hAnsi="Arial" w:cs="Arial"/>
          <w:sz w:val="22"/>
          <w:szCs w:val="22"/>
          <w:lang w:val="en-US"/>
        </w:rPr>
        <w:t xml:space="preserve"> and Adolescent Mental Health Services refer to specialist services that aim to assess and treat children and young people with mental health difficulties (NHS, 2024; Parkin and Long, 2024). Despite its broad meaning, CAMHS </w:t>
      </w:r>
      <w:r w:rsidR="00B56FD2">
        <w:rPr>
          <w:rFonts w:ascii="Arial" w:hAnsi="Arial" w:cs="Arial"/>
          <w:sz w:val="22"/>
          <w:szCs w:val="22"/>
          <w:lang w:val="en-US"/>
        </w:rPr>
        <w:t>still refers</w:t>
      </w:r>
      <w:r w:rsidR="005A016F" w:rsidRPr="00711DB0">
        <w:rPr>
          <w:rFonts w:ascii="Arial" w:hAnsi="Arial" w:cs="Arial"/>
          <w:sz w:val="22"/>
          <w:szCs w:val="22"/>
          <w:lang w:val="en-US"/>
        </w:rPr>
        <w:t xml:space="preserve"> to specialist </w:t>
      </w:r>
      <w:r w:rsidR="00B56FD2" w:rsidRPr="00B56FD2">
        <w:rPr>
          <w:rFonts w:ascii="Arial" w:hAnsi="Arial" w:cs="Arial"/>
          <w:sz w:val="22"/>
          <w:szCs w:val="22"/>
          <w:lang w:val="en-US"/>
        </w:rPr>
        <w:t>NHS mental health services when families or professionals discuss</w:t>
      </w:r>
      <w:r w:rsidR="005A016F" w:rsidRPr="00711DB0">
        <w:rPr>
          <w:rFonts w:ascii="Arial" w:hAnsi="Arial" w:cs="Arial"/>
          <w:sz w:val="22"/>
          <w:szCs w:val="22"/>
          <w:lang w:val="en-US"/>
        </w:rPr>
        <w:t xml:space="preserve"> access to services (Parkin and Long, 2024). At the same time, policy literature increasingly uses a wider notion of Children and Young People's Mental Health Services (CYPMHS) (NHS, 2024; Parkin and Long, 2024). CYPMHS includes NHS services but also </w:t>
      </w:r>
      <w:r w:rsidRPr="00711DB0">
        <w:rPr>
          <w:rFonts w:ascii="Arial" w:hAnsi="Arial" w:cs="Arial"/>
          <w:sz w:val="22"/>
          <w:szCs w:val="22"/>
          <w:lang w:val="en-US"/>
        </w:rPr>
        <w:t>considers</w:t>
      </w:r>
      <w:r w:rsidR="005A016F" w:rsidRPr="00711DB0">
        <w:rPr>
          <w:rFonts w:ascii="Arial" w:hAnsi="Arial" w:cs="Arial"/>
          <w:sz w:val="22"/>
          <w:szCs w:val="22"/>
          <w:lang w:val="en-US"/>
        </w:rPr>
        <w:t xml:space="preserve"> voluntary </w:t>
      </w:r>
      <w:r>
        <w:rPr>
          <w:rFonts w:ascii="Arial" w:hAnsi="Arial" w:cs="Arial"/>
          <w:sz w:val="22"/>
          <w:szCs w:val="22"/>
          <w:lang w:val="en-US"/>
        </w:rPr>
        <w:t>organisations</w:t>
      </w:r>
      <w:r w:rsidR="005A016F" w:rsidRPr="00711DB0">
        <w:rPr>
          <w:rFonts w:ascii="Arial" w:hAnsi="Arial" w:cs="Arial"/>
          <w:sz w:val="22"/>
          <w:szCs w:val="22"/>
          <w:lang w:val="en-US"/>
        </w:rPr>
        <w:t>, schools, social care, early intervention services, and crisis teams that provide support (Department of Health and Department for Education, 2017; NHS England, 2019).</w:t>
      </w:r>
    </w:p>
    <w:p w14:paraId="1C463FCC" w14:textId="77777777" w:rsidR="005A016F" w:rsidRPr="00711DB0" w:rsidRDefault="005A016F" w:rsidP="001B7D33">
      <w:pPr>
        <w:spacing w:line="360" w:lineRule="auto"/>
        <w:jc w:val="both"/>
        <w:rPr>
          <w:rFonts w:ascii="Arial" w:hAnsi="Arial" w:cs="Arial"/>
          <w:sz w:val="22"/>
          <w:szCs w:val="22"/>
          <w:lang w:val="en-US"/>
        </w:rPr>
      </w:pPr>
    </w:p>
    <w:p w14:paraId="4E0A4223" w14:textId="0FEFC4F2"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Despite all these positive developments, access remains a key issue (Children's Commissioner, 2024; Parkin and Long, 2024). In 2022-23, the Children's Commissioner stated that almost one million children and young people in England were subject to active referrals to children and young people's mental health services (Children's Commissioner, 2024). Only 32% </w:t>
      </w:r>
      <w:r w:rsidR="00B56FD2">
        <w:rPr>
          <w:rFonts w:ascii="Arial" w:hAnsi="Arial" w:cs="Arial"/>
          <w:sz w:val="22"/>
          <w:szCs w:val="22"/>
          <w:lang w:val="en-US"/>
        </w:rPr>
        <w:t>contacted</w:t>
      </w:r>
      <w:r w:rsidR="000F3A29">
        <w:rPr>
          <w:rFonts w:ascii="Arial" w:hAnsi="Arial" w:cs="Arial"/>
          <w:sz w:val="22"/>
          <w:szCs w:val="22"/>
          <w:lang w:val="en-US"/>
        </w:rPr>
        <w:t xml:space="preserve"> the service twice, 28% waited to receive help, and 39% had their referrals terminated without receiving</w:t>
      </w:r>
      <w:r w:rsidRPr="00711DB0">
        <w:rPr>
          <w:rFonts w:ascii="Arial" w:hAnsi="Arial" w:cs="Arial"/>
          <w:sz w:val="22"/>
          <w:szCs w:val="22"/>
          <w:lang w:val="en-US"/>
        </w:rPr>
        <w:t xml:space="preserve"> assistance (Children's Commissioner, 2024). Thus, </w:t>
      </w:r>
      <w:r w:rsidR="00B56FD2" w:rsidRPr="00B56FD2">
        <w:rPr>
          <w:rFonts w:ascii="Arial" w:hAnsi="Arial" w:cs="Arial"/>
          <w:sz w:val="22"/>
          <w:szCs w:val="22"/>
          <w:lang w:val="en-US"/>
        </w:rPr>
        <w:t xml:space="preserve">mere referral activity is not enough to evaluate access, since many children join the queue but never </w:t>
      </w:r>
      <w:r w:rsidRPr="00711DB0">
        <w:rPr>
          <w:rFonts w:ascii="Arial" w:hAnsi="Arial" w:cs="Arial"/>
          <w:sz w:val="22"/>
          <w:szCs w:val="22"/>
          <w:lang w:val="en-US"/>
        </w:rPr>
        <w:t>receive help (Children's Commissioner, 2024).</w:t>
      </w:r>
    </w:p>
    <w:p w14:paraId="7A980810" w14:textId="77777777" w:rsidR="005A016F" w:rsidRPr="00711DB0" w:rsidRDefault="005A016F" w:rsidP="001B7D33">
      <w:pPr>
        <w:spacing w:line="360" w:lineRule="auto"/>
        <w:jc w:val="both"/>
        <w:rPr>
          <w:rFonts w:ascii="Arial" w:hAnsi="Arial" w:cs="Arial"/>
          <w:sz w:val="22"/>
          <w:szCs w:val="22"/>
          <w:lang w:val="en-US"/>
        </w:rPr>
      </w:pPr>
    </w:p>
    <w:p w14:paraId="2C5E0BD3" w14:textId="77777777" w:rsidR="005A016F" w:rsidRPr="00711DB0" w:rsidRDefault="005A016F" w:rsidP="001B7D33">
      <w:pPr>
        <w:spacing w:line="360" w:lineRule="auto"/>
        <w:jc w:val="both"/>
        <w:rPr>
          <w:rFonts w:ascii="Arial" w:hAnsi="Arial" w:cs="Arial"/>
          <w:sz w:val="22"/>
          <w:szCs w:val="22"/>
          <w:lang w:val="en-US"/>
        </w:rPr>
      </w:pPr>
    </w:p>
    <w:p w14:paraId="2EF86BBB" w14:textId="77777777" w:rsidR="005A016F" w:rsidRPr="00711DB0" w:rsidRDefault="005A016F" w:rsidP="001B7D33">
      <w:pPr>
        <w:pStyle w:val="Heading2"/>
        <w:spacing w:line="360" w:lineRule="auto"/>
        <w:jc w:val="both"/>
        <w:rPr>
          <w:rFonts w:ascii="Arial" w:hAnsi="Arial" w:cs="Arial"/>
          <w:lang w:val="en-US"/>
        </w:rPr>
      </w:pPr>
      <w:bookmarkStart w:id="15" w:name="_Toc233629110"/>
      <w:r w:rsidRPr="00711DB0">
        <w:rPr>
          <w:rFonts w:ascii="Arial" w:hAnsi="Arial" w:cs="Arial"/>
          <w:lang w:val="en-US"/>
        </w:rPr>
        <w:t>2.4 Theoretical and Conceptual Framework</w:t>
      </w:r>
      <w:bookmarkEnd w:id="15"/>
    </w:p>
    <w:p w14:paraId="0B49A2C1" w14:textId="77777777" w:rsidR="005A016F" w:rsidRPr="00711DB0" w:rsidRDefault="005A016F" w:rsidP="001B7D33">
      <w:pPr>
        <w:spacing w:line="360" w:lineRule="auto"/>
        <w:jc w:val="both"/>
        <w:rPr>
          <w:rFonts w:ascii="Arial" w:hAnsi="Arial" w:cs="Arial"/>
          <w:sz w:val="22"/>
          <w:szCs w:val="22"/>
          <w:lang w:val="en-US"/>
        </w:rPr>
      </w:pPr>
    </w:p>
    <w:p w14:paraId="22F573F9" w14:textId="206D1F5E" w:rsidR="005A016F" w:rsidRPr="00711DB0" w:rsidRDefault="00B56FD2" w:rsidP="001B7D33">
      <w:pPr>
        <w:spacing w:line="360" w:lineRule="auto"/>
        <w:jc w:val="both"/>
        <w:rPr>
          <w:rFonts w:ascii="Arial" w:hAnsi="Arial" w:cs="Arial"/>
          <w:sz w:val="22"/>
          <w:szCs w:val="22"/>
          <w:lang w:val="en-US"/>
        </w:rPr>
      </w:pPr>
      <w:r>
        <w:rPr>
          <w:rFonts w:ascii="Arial" w:hAnsi="Arial" w:cs="Arial"/>
          <w:sz w:val="22"/>
          <w:szCs w:val="22"/>
          <w:lang w:val="en-US"/>
        </w:rPr>
        <w:t>This dissertation draws on two theoretical perspectives:</w:t>
      </w:r>
      <w:r w:rsidR="005A016F" w:rsidRPr="00711DB0">
        <w:rPr>
          <w:rFonts w:ascii="Arial" w:hAnsi="Arial" w:cs="Arial"/>
          <w:sz w:val="22"/>
          <w:szCs w:val="22"/>
          <w:lang w:val="en-US"/>
        </w:rPr>
        <w:t xml:space="preserve"> the social determinants of health and the access-to-care pathway. The social determinants perspective is relevant to studying CAMHS access because child and adolescent mental health needs should always be viewed within a wider context of social, economic, and environmental factors (Marmot et al., 2020; World Health </w:t>
      </w:r>
      <w:r w:rsidR="000854D3">
        <w:rPr>
          <w:rFonts w:ascii="Arial" w:hAnsi="Arial" w:cs="Arial"/>
          <w:sz w:val="22"/>
          <w:szCs w:val="22"/>
          <w:lang w:val="en-US"/>
        </w:rPr>
        <w:t>Organisation</w:t>
      </w:r>
      <w:r w:rsidR="005A016F" w:rsidRPr="00711DB0">
        <w:rPr>
          <w:rFonts w:ascii="Arial" w:hAnsi="Arial" w:cs="Arial"/>
          <w:sz w:val="22"/>
          <w:szCs w:val="22"/>
          <w:lang w:val="en-US"/>
        </w:rPr>
        <w:t xml:space="preserve">, 2022). </w:t>
      </w:r>
      <w:r>
        <w:rPr>
          <w:rFonts w:ascii="Arial" w:hAnsi="Arial" w:cs="Arial"/>
          <w:sz w:val="22"/>
          <w:szCs w:val="22"/>
          <w:lang w:val="en-US"/>
        </w:rPr>
        <w:t>In the UK CAMHS context, this</w:t>
      </w:r>
      <w:r w:rsidR="005A016F" w:rsidRPr="00711DB0">
        <w:rPr>
          <w:rFonts w:ascii="Arial" w:hAnsi="Arial" w:cs="Arial"/>
          <w:sz w:val="22"/>
          <w:szCs w:val="22"/>
          <w:lang w:val="en-US"/>
        </w:rPr>
        <w:t xml:space="preserve"> means </w:t>
      </w:r>
      <w:r w:rsidR="000854D3" w:rsidRPr="00711DB0">
        <w:rPr>
          <w:rFonts w:ascii="Arial" w:hAnsi="Arial" w:cs="Arial"/>
          <w:sz w:val="22"/>
          <w:szCs w:val="22"/>
          <w:lang w:val="en-US"/>
        </w:rPr>
        <w:t>considering</w:t>
      </w:r>
      <w:r w:rsidR="005A016F" w:rsidRPr="00711DB0">
        <w:rPr>
          <w:rFonts w:ascii="Arial" w:hAnsi="Arial" w:cs="Arial"/>
          <w:sz w:val="22"/>
          <w:szCs w:val="22"/>
          <w:lang w:val="en-US"/>
        </w:rPr>
        <w:t xml:space="preserve"> poverty, family circumstances, housing, schooling, ethnicity, disability, local service provision, and geographic disparities (Bellis et al., 2014; Marmot et al., 2020). This </w:t>
      </w:r>
      <w:r>
        <w:rPr>
          <w:rFonts w:ascii="Arial" w:hAnsi="Arial" w:cs="Arial"/>
          <w:sz w:val="22"/>
          <w:szCs w:val="22"/>
          <w:lang w:val="en-US"/>
        </w:rPr>
        <w:t xml:space="preserve">perspective prevents over-interpreting mental health difficulties as purely individual problems and allows us to view child wellbeing within </w:t>
      </w:r>
      <w:r w:rsidR="005A016F" w:rsidRPr="00711DB0">
        <w:rPr>
          <w:rFonts w:ascii="Arial" w:hAnsi="Arial" w:cs="Arial"/>
          <w:sz w:val="22"/>
          <w:szCs w:val="22"/>
          <w:lang w:val="en-US"/>
        </w:rPr>
        <w:t>broader living conditions (Marmot et al., 2020).</w:t>
      </w:r>
    </w:p>
    <w:p w14:paraId="20101458" w14:textId="77777777" w:rsidR="005A016F" w:rsidRPr="00711DB0" w:rsidRDefault="005A016F" w:rsidP="001B7D33">
      <w:pPr>
        <w:spacing w:line="360" w:lineRule="auto"/>
        <w:jc w:val="both"/>
        <w:rPr>
          <w:rFonts w:ascii="Arial" w:hAnsi="Arial" w:cs="Arial"/>
          <w:sz w:val="22"/>
          <w:szCs w:val="22"/>
          <w:lang w:val="en-US"/>
        </w:rPr>
      </w:pPr>
    </w:p>
    <w:p w14:paraId="23E93B4D" w14:textId="1465C661"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The </w:t>
      </w:r>
      <w:r w:rsidR="00B56FD2">
        <w:rPr>
          <w:rFonts w:ascii="Arial" w:hAnsi="Arial" w:cs="Arial"/>
          <w:sz w:val="22"/>
          <w:szCs w:val="22"/>
          <w:lang w:val="en-US"/>
        </w:rPr>
        <w:t>access-to-care pathway is</w:t>
      </w:r>
      <w:r w:rsidRPr="00711DB0">
        <w:rPr>
          <w:rFonts w:ascii="Arial" w:hAnsi="Arial" w:cs="Arial"/>
          <w:sz w:val="22"/>
          <w:szCs w:val="22"/>
          <w:lang w:val="en-US"/>
        </w:rPr>
        <w:t xml:space="preserve"> another theoretical framework. This model shows that help-seeking precedes access to services</w:t>
      </w:r>
      <w:r w:rsidR="000F3A29">
        <w:rPr>
          <w:rFonts w:ascii="Arial" w:hAnsi="Arial" w:cs="Arial"/>
          <w:sz w:val="22"/>
          <w:szCs w:val="22"/>
          <w:lang w:val="en-US"/>
        </w:rPr>
        <w:t xml:space="preserve">, since a child needs to recognise mental distress as a need and seek professional help </w:t>
      </w:r>
      <w:r w:rsidRPr="00711DB0">
        <w:rPr>
          <w:rFonts w:ascii="Arial" w:hAnsi="Arial" w:cs="Arial"/>
          <w:sz w:val="22"/>
          <w:szCs w:val="22"/>
          <w:lang w:val="en-US"/>
        </w:rPr>
        <w:t xml:space="preserve">from CAMHS services (Reardon et al., 2017; Radez et al., 2021). Adolescents may hesitate to seek help due to </w:t>
      </w:r>
      <w:r w:rsidR="000F3A29">
        <w:rPr>
          <w:rFonts w:ascii="Arial" w:hAnsi="Arial" w:cs="Arial"/>
          <w:sz w:val="22"/>
          <w:szCs w:val="22"/>
          <w:lang w:val="en-US"/>
        </w:rPr>
        <w:t>stigmatisation</w:t>
      </w:r>
      <w:r w:rsidRPr="00711DB0">
        <w:rPr>
          <w:rFonts w:ascii="Arial" w:hAnsi="Arial" w:cs="Arial"/>
          <w:sz w:val="22"/>
          <w:szCs w:val="22"/>
          <w:lang w:val="en-US"/>
        </w:rPr>
        <w:t xml:space="preserve"> of mental health issues, confidentiality concerns, fear that their problems would not be properly understood, past experiences with services, and lack of awareness of available services (Gulliver et al., 2010; Radez et al., 2021). Parents may also face obstacles related to their ability to </w:t>
      </w:r>
      <w:r w:rsidR="000F3A29">
        <w:rPr>
          <w:rFonts w:ascii="Arial" w:hAnsi="Arial" w:cs="Arial"/>
          <w:sz w:val="22"/>
          <w:szCs w:val="22"/>
          <w:lang w:val="en-US"/>
        </w:rPr>
        <w:t>recognise</w:t>
      </w:r>
      <w:r w:rsidRPr="00711DB0">
        <w:rPr>
          <w:rFonts w:ascii="Arial" w:hAnsi="Arial" w:cs="Arial"/>
          <w:sz w:val="22"/>
          <w:szCs w:val="22"/>
          <w:lang w:val="en-US"/>
        </w:rPr>
        <w:t xml:space="preserve"> problems</w:t>
      </w:r>
      <w:r w:rsidR="000854D3">
        <w:rPr>
          <w:rFonts w:ascii="Arial" w:hAnsi="Arial" w:cs="Arial"/>
          <w:sz w:val="22"/>
          <w:szCs w:val="22"/>
          <w:lang w:val="en-US"/>
        </w:rPr>
        <w:t>, make proper referrals,</w:t>
      </w:r>
      <w:r w:rsidRPr="00711DB0">
        <w:rPr>
          <w:rFonts w:ascii="Arial" w:hAnsi="Arial" w:cs="Arial"/>
          <w:sz w:val="22"/>
          <w:szCs w:val="22"/>
          <w:lang w:val="en-US"/>
        </w:rPr>
        <w:t xml:space="preserve"> and seek help (Reardon et al., 2017; Crouch et al., 2019).</w:t>
      </w:r>
    </w:p>
    <w:p w14:paraId="7581168F" w14:textId="77777777" w:rsidR="005A016F" w:rsidRPr="00711DB0" w:rsidRDefault="005A016F" w:rsidP="001B7D33">
      <w:pPr>
        <w:spacing w:line="360" w:lineRule="auto"/>
        <w:jc w:val="both"/>
        <w:rPr>
          <w:rFonts w:ascii="Arial" w:hAnsi="Arial" w:cs="Arial"/>
          <w:sz w:val="22"/>
          <w:szCs w:val="22"/>
          <w:lang w:val="en-US"/>
        </w:rPr>
      </w:pPr>
    </w:p>
    <w:p w14:paraId="601C02C6" w14:textId="19536EAC" w:rsidR="00501C21"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Access to CAMHS can be </w:t>
      </w:r>
      <w:r w:rsidR="000F3A29">
        <w:rPr>
          <w:rFonts w:ascii="Arial" w:hAnsi="Arial" w:cs="Arial"/>
          <w:sz w:val="22"/>
          <w:szCs w:val="22"/>
          <w:lang w:val="en-US"/>
        </w:rPr>
        <w:t>conceptualised</w:t>
      </w:r>
      <w:r w:rsidRPr="00711DB0">
        <w:rPr>
          <w:rFonts w:ascii="Arial" w:hAnsi="Arial" w:cs="Arial"/>
          <w:sz w:val="22"/>
          <w:szCs w:val="22"/>
          <w:lang w:val="en-US"/>
        </w:rPr>
        <w:t xml:space="preserve"> within a theoretical framework which comprises the interaction between three levels of barriers. The first level </w:t>
      </w:r>
      <w:r w:rsidR="00B56FD2">
        <w:rPr>
          <w:rFonts w:ascii="Arial" w:hAnsi="Arial" w:cs="Arial"/>
          <w:sz w:val="22"/>
          <w:szCs w:val="22"/>
          <w:lang w:val="en-US"/>
        </w:rPr>
        <w:t>includes individual- and family-level barriers, such as awareness, stigma, trust, parental support, confidence in help-seeking, and the ability to attend</w:t>
      </w:r>
      <w:r w:rsidRPr="00711DB0">
        <w:rPr>
          <w:rFonts w:ascii="Arial" w:hAnsi="Arial" w:cs="Arial"/>
          <w:sz w:val="22"/>
          <w:szCs w:val="22"/>
          <w:lang w:val="en-US"/>
        </w:rPr>
        <w:t xml:space="preserve"> appointments (Reardon et al., 2017; Radez et al., 2021). The second level </w:t>
      </w:r>
      <w:r w:rsidR="000F3A29">
        <w:rPr>
          <w:rFonts w:ascii="Arial" w:hAnsi="Arial" w:cs="Arial"/>
          <w:sz w:val="22"/>
          <w:szCs w:val="22"/>
          <w:lang w:val="en-US"/>
        </w:rPr>
        <w:t>relates to service barriers, including referral thresholds, waiting times, assessment procedures</w:t>
      </w:r>
      <w:r w:rsidRPr="00711DB0">
        <w:rPr>
          <w:rFonts w:ascii="Arial" w:hAnsi="Arial" w:cs="Arial"/>
          <w:sz w:val="22"/>
          <w:szCs w:val="22"/>
          <w:lang w:val="en-US"/>
        </w:rPr>
        <w:t xml:space="preserve">, communication, workforce capacity, and continuity of service (Edbrooke-Childs and Deighton, 2020; Appleton et al., 2022). The third level covers </w:t>
      </w:r>
      <w:r w:rsidR="000854D3" w:rsidRPr="00711DB0">
        <w:rPr>
          <w:rFonts w:ascii="Arial" w:hAnsi="Arial" w:cs="Arial"/>
          <w:sz w:val="22"/>
          <w:szCs w:val="22"/>
          <w:lang w:val="en-US"/>
        </w:rPr>
        <w:t>structural</w:t>
      </w:r>
      <w:r w:rsidRPr="00711DB0">
        <w:rPr>
          <w:rFonts w:ascii="Arial" w:hAnsi="Arial" w:cs="Arial"/>
          <w:sz w:val="22"/>
          <w:szCs w:val="22"/>
          <w:lang w:val="en-US"/>
        </w:rPr>
        <w:t xml:space="preserve"> and </w:t>
      </w:r>
      <w:r w:rsidR="00B56FD2">
        <w:rPr>
          <w:rFonts w:ascii="Arial" w:hAnsi="Arial" w:cs="Arial"/>
          <w:sz w:val="22"/>
          <w:szCs w:val="22"/>
          <w:lang w:val="en-US"/>
        </w:rPr>
        <w:t>policy-level</w:t>
      </w:r>
      <w:r w:rsidRPr="00711DB0">
        <w:rPr>
          <w:rFonts w:ascii="Arial" w:hAnsi="Arial" w:cs="Arial"/>
          <w:sz w:val="22"/>
          <w:szCs w:val="22"/>
          <w:lang w:val="en-US"/>
        </w:rPr>
        <w:t xml:space="preserve"> factors such as funding, commissioning, local variations, school provision, national policies, and social inequality (Department of Health and Department for Education, 2017; NHS England, 2019; Parkin and Long, 2024).</w:t>
      </w:r>
    </w:p>
    <w:p w14:paraId="73AE776F" w14:textId="77777777" w:rsidR="005A016F" w:rsidRPr="00711DB0" w:rsidRDefault="005A016F" w:rsidP="001B7D33">
      <w:pPr>
        <w:spacing w:line="360" w:lineRule="auto"/>
        <w:jc w:val="both"/>
        <w:rPr>
          <w:rFonts w:ascii="Arial" w:hAnsi="Arial" w:cs="Arial"/>
          <w:sz w:val="22"/>
          <w:szCs w:val="22"/>
          <w:lang w:val="en-US"/>
        </w:rPr>
      </w:pPr>
    </w:p>
    <w:p w14:paraId="2E7DBA2B" w14:textId="7D104185" w:rsidR="005A016F" w:rsidRPr="00711DB0" w:rsidRDefault="005A016F" w:rsidP="001B7D33">
      <w:pPr>
        <w:pStyle w:val="Heading2"/>
        <w:spacing w:line="360" w:lineRule="auto"/>
        <w:jc w:val="both"/>
        <w:rPr>
          <w:rFonts w:ascii="Arial" w:hAnsi="Arial" w:cs="Arial"/>
          <w:lang w:val="en-US"/>
        </w:rPr>
      </w:pPr>
      <w:bookmarkStart w:id="16" w:name="_Toc233629111"/>
      <w:r w:rsidRPr="00711DB0">
        <w:rPr>
          <w:rFonts w:ascii="Arial" w:hAnsi="Arial" w:cs="Arial"/>
          <w:lang w:val="en-US"/>
        </w:rPr>
        <w:lastRenderedPageBreak/>
        <w:t>2.5 Structural Barriers to CAMHS Access</w:t>
      </w:r>
      <w:bookmarkEnd w:id="16"/>
    </w:p>
    <w:p w14:paraId="285BDC43" w14:textId="77777777" w:rsidR="005A016F" w:rsidRPr="00711DB0" w:rsidRDefault="005A016F" w:rsidP="001B7D33">
      <w:pPr>
        <w:spacing w:line="360" w:lineRule="auto"/>
        <w:jc w:val="both"/>
        <w:rPr>
          <w:rFonts w:ascii="Arial" w:hAnsi="Arial" w:cs="Arial"/>
          <w:sz w:val="22"/>
          <w:szCs w:val="22"/>
          <w:lang w:val="en-US"/>
        </w:rPr>
      </w:pPr>
    </w:p>
    <w:p w14:paraId="671DCB9B" w14:textId="6BA71475"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As the most consistently reported impediments to accessing specialist CAMHS, structural barriers </w:t>
      </w:r>
      <w:r w:rsidR="000F3A29">
        <w:rPr>
          <w:rFonts w:ascii="Arial" w:hAnsi="Arial" w:cs="Arial"/>
          <w:sz w:val="22"/>
          <w:szCs w:val="22"/>
          <w:lang w:val="en-US"/>
        </w:rPr>
        <w:t>concern</w:t>
      </w:r>
      <w:r w:rsidRPr="00711DB0">
        <w:rPr>
          <w:rFonts w:ascii="Arial" w:hAnsi="Arial" w:cs="Arial"/>
          <w:sz w:val="22"/>
          <w:szCs w:val="22"/>
          <w:lang w:val="en-US"/>
        </w:rPr>
        <w:t xml:space="preserve"> the </w:t>
      </w:r>
      <w:r w:rsidR="000F3A29">
        <w:rPr>
          <w:rFonts w:ascii="Arial" w:hAnsi="Arial" w:cs="Arial"/>
          <w:sz w:val="22"/>
          <w:szCs w:val="22"/>
          <w:lang w:val="en-US"/>
        </w:rPr>
        <w:t>organisation</w:t>
      </w:r>
      <w:r w:rsidRPr="00711DB0">
        <w:rPr>
          <w:rFonts w:ascii="Arial" w:hAnsi="Arial" w:cs="Arial"/>
          <w:sz w:val="22"/>
          <w:szCs w:val="22"/>
          <w:lang w:val="en-US"/>
        </w:rPr>
        <w:t xml:space="preserve">, financing, staffing, and accessibility of mental health support (Children’s Commissioner, 2024; Parkin and Long, 2024). The most prominent structural barrier is waiting time; however, studies show that waiting time is often associated with additional pressures, such as increased referral volumes, lack of workforce capacity, restrictive eligibility criteria, fragmented pathways, and uneven provision of services across regions (Edbrooke-Childs and Deighton, 2020; Appleton et al., 2022; Children’s Commissioner, 2024). Thus, </w:t>
      </w:r>
      <w:r w:rsidR="000854D3" w:rsidRPr="000854D3">
        <w:rPr>
          <w:rFonts w:ascii="Arial" w:hAnsi="Arial" w:cs="Arial"/>
          <w:sz w:val="22"/>
          <w:szCs w:val="22"/>
          <w:lang w:val="en-US"/>
        </w:rPr>
        <w:t>waiting time should be interpreted as a symptom of a broader</w:t>
      </w:r>
      <w:r w:rsidRPr="00711DB0">
        <w:rPr>
          <w:rFonts w:ascii="Arial" w:hAnsi="Arial" w:cs="Arial"/>
          <w:sz w:val="22"/>
          <w:szCs w:val="22"/>
          <w:lang w:val="en-US"/>
        </w:rPr>
        <w:t xml:space="preserve"> issue in the service system (Frith, 2017; Parkin and Long, 2024).</w:t>
      </w:r>
    </w:p>
    <w:p w14:paraId="7D18EE45" w14:textId="77777777" w:rsidR="005A016F" w:rsidRPr="00711DB0" w:rsidRDefault="005A016F" w:rsidP="001B7D33">
      <w:pPr>
        <w:spacing w:line="360" w:lineRule="auto"/>
        <w:jc w:val="both"/>
        <w:rPr>
          <w:rFonts w:ascii="Arial" w:hAnsi="Arial" w:cs="Arial"/>
          <w:sz w:val="22"/>
          <w:szCs w:val="22"/>
          <w:lang w:val="en-US"/>
        </w:rPr>
      </w:pPr>
    </w:p>
    <w:p w14:paraId="4079BBA9" w14:textId="53DDD348"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Lengthy wait time for CAMHS poses risks to children's, young people's, and families' well-being as the mental health problems of young individuals may worsen when left unsupported (Frith, 2017; Children’s Commissioner, 2024). According to the report by the Children's Commissioner, in 2022–23, about 28% of children and young people referred to children and young people's mental health services in England waited for their mental health needs to be addressed, with almost 40,000 young patients facing waits for more than two years (Children’s Commissioner, 2024). Therefore, the evidence shows that lengthy waits are a common feature that impacts many families rather than an isolated experience (Children’s Commissioner, 2024). Moreover, lengthy waits may </w:t>
      </w:r>
      <w:r w:rsidR="000854D3" w:rsidRPr="000854D3">
        <w:rPr>
          <w:rFonts w:ascii="Arial" w:hAnsi="Arial" w:cs="Arial"/>
          <w:sz w:val="22"/>
          <w:szCs w:val="22"/>
          <w:lang w:val="en-US"/>
        </w:rPr>
        <w:t>place additional strain on schools, parents and carers, GPs, and emergency services when no specialists are available to support</w:t>
      </w:r>
      <w:r w:rsidRPr="00711DB0">
        <w:rPr>
          <w:rFonts w:ascii="Arial" w:hAnsi="Arial" w:cs="Arial"/>
          <w:sz w:val="22"/>
          <w:szCs w:val="22"/>
          <w:lang w:val="en-US"/>
        </w:rPr>
        <w:t xml:space="preserve"> young patients (Parkin and Long, 2024).</w:t>
      </w:r>
    </w:p>
    <w:p w14:paraId="19212022" w14:textId="77777777" w:rsidR="005A016F" w:rsidRPr="00711DB0" w:rsidRDefault="005A016F" w:rsidP="001B7D33">
      <w:pPr>
        <w:spacing w:line="360" w:lineRule="auto"/>
        <w:jc w:val="both"/>
        <w:rPr>
          <w:rFonts w:ascii="Arial" w:hAnsi="Arial" w:cs="Arial"/>
          <w:sz w:val="22"/>
          <w:szCs w:val="22"/>
          <w:lang w:val="en-US"/>
        </w:rPr>
      </w:pPr>
    </w:p>
    <w:p w14:paraId="26DA74BF" w14:textId="7070B3E8"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Referral criteria also emerge as a significant barrier to accessing specialist CAMHS since young individuals may receive the required level of care only if their difficulties reach certain levels of severity and complexity (Appleton et al., 2020; Children’s Commissioner, 2024). Although using criteria to ensure </w:t>
      </w:r>
      <w:r w:rsidR="000854D3" w:rsidRPr="000854D3">
        <w:rPr>
          <w:rFonts w:ascii="Arial" w:hAnsi="Arial" w:cs="Arial"/>
          <w:sz w:val="22"/>
          <w:szCs w:val="22"/>
          <w:lang w:val="en-US"/>
        </w:rPr>
        <w:t>that patients with severe mental disorders are prioritised is necessary, the process results in the creation of a gap for young individuals with considerable problems that have not yet reached the level required to be recognised</w:t>
      </w:r>
      <w:r w:rsidRPr="00711DB0">
        <w:rPr>
          <w:rFonts w:ascii="Arial" w:hAnsi="Arial" w:cs="Arial"/>
          <w:sz w:val="22"/>
          <w:szCs w:val="22"/>
          <w:lang w:val="en-US"/>
        </w:rPr>
        <w:t xml:space="preserve"> as requiring specialist intervention (Appleton et al., 2020; Parkin and Long, 2024). As a result, some young people face long wait times before they meet the referral criteria and can be considered in urgent need of help (Frith, 2017; Children’s Commissioner, 2024).</w:t>
      </w:r>
    </w:p>
    <w:p w14:paraId="25BD864D" w14:textId="77777777" w:rsidR="005A016F" w:rsidRPr="00711DB0" w:rsidRDefault="005A016F" w:rsidP="001B7D33">
      <w:pPr>
        <w:spacing w:line="360" w:lineRule="auto"/>
        <w:jc w:val="both"/>
        <w:rPr>
          <w:rFonts w:ascii="Arial" w:hAnsi="Arial" w:cs="Arial"/>
          <w:sz w:val="22"/>
          <w:szCs w:val="22"/>
          <w:lang w:val="en-US"/>
        </w:rPr>
      </w:pPr>
    </w:p>
    <w:p w14:paraId="72D5F350" w14:textId="0E4829E8"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Rejected or closed referrals also signal </w:t>
      </w:r>
      <w:r w:rsidR="00B56FD2" w:rsidRPr="00B56FD2">
        <w:rPr>
          <w:rFonts w:ascii="Arial" w:hAnsi="Arial" w:cs="Arial"/>
          <w:sz w:val="22"/>
          <w:szCs w:val="22"/>
          <w:lang w:val="en-US"/>
        </w:rPr>
        <w:t xml:space="preserve">access barriers to specialist care, as the process shows </w:t>
      </w:r>
      <w:r w:rsidRPr="00711DB0">
        <w:rPr>
          <w:rFonts w:ascii="Arial" w:hAnsi="Arial" w:cs="Arial"/>
          <w:sz w:val="22"/>
          <w:szCs w:val="22"/>
          <w:lang w:val="en-US"/>
        </w:rPr>
        <w:t xml:space="preserve">significant obstacles even after making a referral (Children’s Commissioner, 2024). In 2022–23, </w:t>
      </w:r>
      <w:r w:rsidR="00B56FD2">
        <w:rPr>
          <w:rFonts w:ascii="Arial" w:hAnsi="Arial" w:cs="Arial"/>
          <w:sz w:val="22"/>
          <w:szCs w:val="22"/>
          <w:lang w:val="en-US"/>
        </w:rPr>
        <w:lastRenderedPageBreak/>
        <w:t>the Children's Commissioner's report found that 39% of children and young people with active referrals had their referrals</w:t>
      </w:r>
      <w:r w:rsidRPr="00711DB0">
        <w:rPr>
          <w:rFonts w:ascii="Arial" w:hAnsi="Arial" w:cs="Arial"/>
          <w:sz w:val="22"/>
          <w:szCs w:val="22"/>
          <w:lang w:val="en-US"/>
        </w:rPr>
        <w:t xml:space="preserve"> closed without receiving mental health services (Children’s Commissioner, 2024). </w:t>
      </w:r>
      <w:r w:rsidR="000854D3" w:rsidRPr="000854D3">
        <w:rPr>
          <w:rFonts w:ascii="Arial" w:hAnsi="Arial" w:cs="Arial"/>
          <w:sz w:val="22"/>
          <w:szCs w:val="22"/>
          <w:lang w:val="en-US"/>
        </w:rPr>
        <w:t xml:space="preserve">This evidence shows that access to treatment fails </w:t>
      </w:r>
      <w:r w:rsidR="00B56FD2">
        <w:rPr>
          <w:rFonts w:ascii="Arial" w:hAnsi="Arial" w:cs="Arial"/>
          <w:sz w:val="22"/>
          <w:szCs w:val="22"/>
          <w:lang w:val="en-US"/>
        </w:rPr>
        <w:t>even after families contact</w:t>
      </w:r>
      <w:r w:rsidR="000854D3" w:rsidRPr="000854D3">
        <w:rPr>
          <w:rFonts w:ascii="Arial" w:hAnsi="Arial" w:cs="Arial"/>
          <w:sz w:val="22"/>
          <w:szCs w:val="22"/>
          <w:lang w:val="en-US"/>
        </w:rPr>
        <w:t xml:space="preserve"> services, causing frustration and repeated help-seeking efforts</w:t>
      </w:r>
      <w:r w:rsidRPr="00711DB0">
        <w:rPr>
          <w:rFonts w:ascii="Arial" w:hAnsi="Arial" w:cs="Arial"/>
          <w:sz w:val="22"/>
          <w:szCs w:val="22"/>
          <w:lang w:val="en-US"/>
        </w:rPr>
        <w:t xml:space="preserve"> (Children’s Commissioner, 2024). </w:t>
      </w:r>
      <w:r w:rsidR="000854D3" w:rsidRPr="000854D3">
        <w:rPr>
          <w:rFonts w:ascii="Arial" w:hAnsi="Arial" w:cs="Arial"/>
          <w:sz w:val="22"/>
          <w:szCs w:val="22"/>
          <w:lang w:val="en-US"/>
        </w:rPr>
        <w:t>A lack of clarity about the decision-making behind closing referrals likely contributes to these</w:t>
      </w:r>
      <w:r w:rsidRPr="00711DB0">
        <w:rPr>
          <w:rFonts w:ascii="Arial" w:hAnsi="Arial" w:cs="Arial"/>
          <w:sz w:val="22"/>
          <w:szCs w:val="22"/>
          <w:lang w:val="en-US"/>
        </w:rPr>
        <w:t xml:space="preserve"> problems (Appleton et al., 2020; Appleton et al., 2022).</w:t>
      </w:r>
    </w:p>
    <w:p w14:paraId="14E43EDF" w14:textId="77777777" w:rsidR="005A016F" w:rsidRPr="00711DB0" w:rsidRDefault="005A016F" w:rsidP="001B7D33">
      <w:pPr>
        <w:spacing w:line="360" w:lineRule="auto"/>
        <w:jc w:val="both"/>
        <w:rPr>
          <w:rFonts w:ascii="Arial" w:hAnsi="Arial" w:cs="Arial"/>
          <w:sz w:val="22"/>
          <w:szCs w:val="22"/>
          <w:lang w:val="en-US"/>
        </w:rPr>
      </w:pPr>
    </w:p>
    <w:p w14:paraId="134CBFC4" w14:textId="5EB792E6"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Another aspect of service accessibility to </w:t>
      </w:r>
      <w:r w:rsidR="00B56FD2">
        <w:rPr>
          <w:rFonts w:ascii="Arial" w:hAnsi="Arial" w:cs="Arial"/>
          <w:sz w:val="22"/>
          <w:szCs w:val="22"/>
          <w:lang w:val="en-US"/>
        </w:rPr>
        <w:t>analyse is fragmentation in the CAMHS system</w:t>
      </w:r>
      <w:r w:rsidRPr="00711DB0">
        <w:rPr>
          <w:rFonts w:ascii="Arial" w:hAnsi="Arial" w:cs="Arial"/>
          <w:sz w:val="22"/>
          <w:szCs w:val="22"/>
          <w:lang w:val="en-US"/>
        </w:rPr>
        <w:t xml:space="preserve">. Many young individuals receive mental health support from various agencies, such as schools, GPs, social care, voluntary sector </w:t>
      </w:r>
      <w:r w:rsidR="00B56FD2">
        <w:rPr>
          <w:rFonts w:ascii="Arial" w:hAnsi="Arial" w:cs="Arial"/>
          <w:sz w:val="22"/>
          <w:szCs w:val="22"/>
          <w:lang w:val="en-US"/>
        </w:rPr>
        <w:t>organisations</w:t>
      </w:r>
      <w:r w:rsidRPr="00711DB0">
        <w:rPr>
          <w:rFonts w:ascii="Arial" w:hAnsi="Arial" w:cs="Arial"/>
          <w:sz w:val="22"/>
          <w:szCs w:val="22"/>
          <w:lang w:val="en-US"/>
        </w:rPr>
        <w:t xml:space="preserve">, EDs, and specialist CAMHS. Yet, </w:t>
      </w:r>
      <w:r w:rsidR="00B56FD2">
        <w:rPr>
          <w:rFonts w:ascii="Arial" w:hAnsi="Arial" w:cs="Arial"/>
          <w:sz w:val="22"/>
          <w:szCs w:val="22"/>
          <w:lang w:val="en-US"/>
        </w:rPr>
        <w:t>because inter-service cooperation is insufficient</w:t>
      </w:r>
      <w:r w:rsidRPr="00711DB0">
        <w:rPr>
          <w:rFonts w:ascii="Arial" w:hAnsi="Arial" w:cs="Arial"/>
          <w:sz w:val="22"/>
          <w:szCs w:val="22"/>
          <w:lang w:val="en-US"/>
        </w:rPr>
        <w:t xml:space="preserve">, services may fail to communicate, </w:t>
      </w:r>
      <w:r w:rsidR="000854D3" w:rsidRPr="000854D3">
        <w:rPr>
          <w:rFonts w:ascii="Arial" w:hAnsi="Arial" w:cs="Arial"/>
          <w:sz w:val="22"/>
          <w:szCs w:val="22"/>
          <w:lang w:val="en-US"/>
        </w:rPr>
        <w:t>share relevant data, or agree on how to provide</w:t>
      </w:r>
      <w:r w:rsidRPr="00711DB0">
        <w:rPr>
          <w:rFonts w:ascii="Arial" w:hAnsi="Arial" w:cs="Arial"/>
          <w:sz w:val="22"/>
          <w:szCs w:val="22"/>
          <w:lang w:val="en-US"/>
        </w:rPr>
        <w:t xml:space="preserve"> help (Crouch et al., 2019; Appleton et al., 2022). In addition, parents and carers may </w:t>
      </w:r>
      <w:r w:rsidR="00B56FD2">
        <w:rPr>
          <w:rFonts w:ascii="Arial" w:hAnsi="Arial" w:cs="Arial"/>
          <w:sz w:val="22"/>
          <w:szCs w:val="22"/>
          <w:lang w:val="en-US"/>
        </w:rPr>
        <w:t>struggle to navigate services, as each may have</w:t>
      </w:r>
      <w:r w:rsidR="000854D3" w:rsidRPr="000854D3">
        <w:rPr>
          <w:rFonts w:ascii="Arial" w:hAnsi="Arial" w:cs="Arial"/>
          <w:sz w:val="22"/>
          <w:szCs w:val="22"/>
          <w:lang w:val="en-US"/>
        </w:rPr>
        <w:t xml:space="preserve"> different views on eligibility criteria, risk levels</w:t>
      </w:r>
      <w:r w:rsidRPr="00711DB0">
        <w:rPr>
          <w:rFonts w:ascii="Arial" w:hAnsi="Arial" w:cs="Arial"/>
          <w:sz w:val="22"/>
          <w:szCs w:val="22"/>
          <w:lang w:val="en-US"/>
        </w:rPr>
        <w:t xml:space="preserve">, referral requirements, and appropriate treatments (Reardon et al., 2017; Appleton et al., 2020). Therefore, fragmentation is a major barrier to CAMHS access </w:t>
      </w:r>
      <w:r w:rsidR="000854D3" w:rsidRPr="000854D3">
        <w:rPr>
          <w:rFonts w:ascii="Arial" w:hAnsi="Arial" w:cs="Arial"/>
          <w:sz w:val="22"/>
          <w:szCs w:val="22"/>
          <w:lang w:val="en-US"/>
        </w:rPr>
        <w:t>because it makes it difficult for families to access relevant services, even when they</w:t>
      </w:r>
      <w:r w:rsidRPr="00711DB0">
        <w:rPr>
          <w:rFonts w:ascii="Arial" w:hAnsi="Arial" w:cs="Arial"/>
          <w:sz w:val="22"/>
          <w:szCs w:val="22"/>
          <w:lang w:val="en-US"/>
        </w:rPr>
        <w:t xml:space="preserve"> are available.</w:t>
      </w:r>
    </w:p>
    <w:p w14:paraId="02EB46F6" w14:textId="77777777" w:rsidR="005A016F" w:rsidRPr="00711DB0" w:rsidRDefault="005A016F" w:rsidP="001B7D33">
      <w:pPr>
        <w:spacing w:line="360" w:lineRule="auto"/>
        <w:jc w:val="both"/>
        <w:rPr>
          <w:rFonts w:ascii="Arial" w:hAnsi="Arial" w:cs="Arial"/>
          <w:sz w:val="22"/>
          <w:szCs w:val="22"/>
          <w:lang w:val="en-US"/>
        </w:rPr>
      </w:pPr>
    </w:p>
    <w:p w14:paraId="170DFBEC" w14:textId="77777777" w:rsidR="005A016F" w:rsidRPr="00711DB0" w:rsidRDefault="005A016F" w:rsidP="001B7D33">
      <w:pPr>
        <w:pStyle w:val="Heading2"/>
        <w:spacing w:line="360" w:lineRule="auto"/>
        <w:jc w:val="both"/>
        <w:rPr>
          <w:rFonts w:ascii="Arial" w:hAnsi="Arial" w:cs="Arial"/>
          <w:lang w:val="en-US"/>
        </w:rPr>
      </w:pPr>
      <w:bookmarkStart w:id="17" w:name="_Toc233629112"/>
      <w:r w:rsidRPr="00711DB0">
        <w:rPr>
          <w:rFonts w:ascii="Arial" w:hAnsi="Arial" w:cs="Arial"/>
          <w:lang w:val="en-US"/>
        </w:rPr>
        <w:t>2.6 Socioeconomic Inequalities and CAMHS Access</w:t>
      </w:r>
      <w:bookmarkEnd w:id="17"/>
    </w:p>
    <w:p w14:paraId="0E865B31" w14:textId="77777777" w:rsidR="005A016F" w:rsidRPr="00711DB0" w:rsidRDefault="005A016F" w:rsidP="001B7D33">
      <w:pPr>
        <w:spacing w:line="360" w:lineRule="auto"/>
        <w:jc w:val="both"/>
        <w:rPr>
          <w:rFonts w:ascii="Arial" w:hAnsi="Arial" w:cs="Arial"/>
          <w:sz w:val="22"/>
          <w:szCs w:val="22"/>
          <w:lang w:val="en-US"/>
        </w:rPr>
      </w:pPr>
    </w:p>
    <w:p w14:paraId="536511BC" w14:textId="54E855A6"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Socioeconomic inequality is a central issue in CAMHS access as mental health problems and access to help depend on living conditions and environments (Marmot et al., 2020; World Health </w:t>
      </w:r>
      <w:r w:rsidR="00B56FD2">
        <w:rPr>
          <w:rFonts w:ascii="Arial" w:hAnsi="Arial" w:cs="Arial"/>
          <w:sz w:val="22"/>
          <w:szCs w:val="22"/>
          <w:lang w:val="en-US"/>
        </w:rPr>
        <w:t>Organisation</w:t>
      </w:r>
      <w:r w:rsidRPr="00711DB0">
        <w:rPr>
          <w:rFonts w:ascii="Arial" w:hAnsi="Arial" w:cs="Arial"/>
          <w:sz w:val="22"/>
          <w:szCs w:val="22"/>
          <w:lang w:val="en-US"/>
        </w:rPr>
        <w:t xml:space="preserve">, 2022). In the UK, children living under conditions of poverty or disadvantage are likely to be exposed to numerous risk factors, such as family problems, housing insecurity, mental disorders of caregivers, </w:t>
      </w:r>
      <w:r w:rsidR="000854D3">
        <w:rPr>
          <w:rFonts w:ascii="Arial" w:hAnsi="Arial" w:cs="Arial"/>
          <w:sz w:val="22"/>
          <w:szCs w:val="22"/>
          <w:lang w:val="en-US"/>
        </w:rPr>
        <w:t>neighbourhood</w:t>
      </w:r>
      <w:r w:rsidRPr="00711DB0">
        <w:rPr>
          <w:rFonts w:ascii="Arial" w:hAnsi="Arial" w:cs="Arial"/>
          <w:sz w:val="22"/>
          <w:szCs w:val="22"/>
          <w:lang w:val="en-US"/>
        </w:rPr>
        <w:t xml:space="preserve"> deprivation, and adverse childhood experiences (Bellis et al., 2014; Marmot et al., 2020). Thus, socioeconomically disadvantaged groups are vulnerable to poor mental well-being and less capable of accessing care compared to wealthier families (Reardon et al., 2017; Radez et al., 2021). The discussion of CAMHS access therefore needs to go beyond service issues and focus on social problems as well (Marmot et al., 2020).</w:t>
      </w:r>
    </w:p>
    <w:p w14:paraId="67663635" w14:textId="77777777" w:rsidR="005A016F" w:rsidRPr="00711DB0" w:rsidRDefault="005A016F" w:rsidP="001B7D33">
      <w:pPr>
        <w:spacing w:line="360" w:lineRule="auto"/>
        <w:jc w:val="both"/>
        <w:rPr>
          <w:rFonts w:ascii="Arial" w:hAnsi="Arial" w:cs="Arial"/>
          <w:sz w:val="22"/>
          <w:szCs w:val="22"/>
          <w:lang w:val="en-US"/>
        </w:rPr>
      </w:pPr>
    </w:p>
    <w:p w14:paraId="573A7215" w14:textId="2F303834"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The relationship between deprivation and access to CAMHS is complex</w:t>
      </w:r>
      <w:r w:rsidR="000854D3">
        <w:rPr>
          <w:rFonts w:ascii="Arial" w:hAnsi="Arial" w:cs="Arial"/>
          <w:sz w:val="22"/>
          <w:szCs w:val="22"/>
          <w:lang w:val="en-US"/>
        </w:rPr>
        <w:t>, as increased need does</w:t>
      </w:r>
      <w:r w:rsidRPr="00711DB0">
        <w:rPr>
          <w:rFonts w:ascii="Arial" w:hAnsi="Arial" w:cs="Arial"/>
          <w:sz w:val="22"/>
          <w:szCs w:val="22"/>
          <w:lang w:val="en-US"/>
        </w:rPr>
        <w:t xml:space="preserve"> not necessarily mean more access (Marmot et al., 2020; Children’s Commissioner, 2024). Families experiencing poverty face practical barriers when accessing services, including high travel costs, unpredictable working patterns, caregiver responsibilities, lack of internet, and inability to schedule appointments outside of working hours (Reardon et al., 2017; Radez et al., 2021). </w:t>
      </w:r>
      <w:r w:rsidR="000854D3" w:rsidRPr="000854D3">
        <w:rPr>
          <w:rFonts w:ascii="Arial" w:hAnsi="Arial" w:cs="Arial"/>
          <w:sz w:val="22"/>
          <w:szCs w:val="22"/>
          <w:lang w:val="en-US"/>
        </w:rPr>
        <w:t xml:space="preserve">These issues impede engagement with services, including completing referral forms, </w:t>
      </w:r>
      <w:r w:rsidR="000854D3" w:rsidRPr="000854D3">
        <w:rPr>
          <w:rFonts w:ascii="Arial" w:hAnsi="Arial" w:cs="Arial"/>
          <w:sz w:val="22"/>
          <w:szCs w:val="22"/>
          <w:lang w:val="en-US"/>
        </w:rPr>
        <w:lastRenderedPageBreak/>
        <w:t xml:space="preserve">participating in assessments, scheduling multiple appointments, and appealing </w:t>
      </w:r>
      <w:r w:rsidRPr="00711DB0">
        <w:rPr>
          <w:rFonts w:ascii="Arial" w:hAnsi="Arial" w:cs="Arial"/>
          <w:sz w:val="22"/>
          <w:szCs w:val="22"/>
          <w:lang w:val="en-US"/>
        </w:rPr>
        <w:t>rejected referrals (Appleton et al., 2020; Appleton et al., 2022). In this way, socioeconomic inequalities determine every stage of accessing care (Reardon et al., 2017; Marmot et al., 2020).</w:t>
      </w:r>
    </w:p>
    <w:p w14:paraId="78377FDE" w14:textId="77777777" w:rsidR="005A016F" w:rsidRPr="00711DB0" w:rsidRDefault="005A016F" w:rsidP="001B7D33">
      <w:pPr>
        <w:spacing w:line="360" w:lineRule="auto"/>
        <w:jc w:val="both"/>
        <w:rPr>
          <w:rFonts w:ascii="Arial" w:hAnsi="Arial" w:cs="Arial"/>
          <w:sz w:val="22"/>
          <w:szCs w:val="22"/>
          <w:lang w:val="en-US"/>
        </w:rPr>
      </w:pPr>
    </w:p>
    <w:p w14:paraId="04316B9A" w14:textId="558CE442"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Adverse childhood experiences are crucial for considering access to CAMHS as they contribute to increased risk of developing mental health problems in the future (Bellis et al., 2014). According to Bellis et al. (2014), childhood experiences of neglect, abuse, domestic violence, parental substance use, and family instability correlated positively with negative health outcomes and well-being of individuals during childhood and adulthood. Hence, children who have had traumatic experiences in their lives may need to seek help with mental health issues; </w:t>
      </w:r>
      <w:r w:rsidR="000854D3" w:rsidRPr="00711DB0">
        <w:rPr>
          <w:rFonts w:ascii="Arial" w:hAnsi="Arial" w:cs="Arial"/>
          <w:sz w:val="22"/>
          <w:szCs w:val="22"/>
          <w:lang w:val="en-US"/>
        </w:rPr>
        <w:t>yet</w:t>
      </w:r>
      <w:r w:rsidRPr="00711DB0">
        <w:rPr>
          <w:rFonts w:ascii="Arial" w:hAnsi="Arial" w:cs="Arial"/>
          <w:sz w:val="22"/>
          <w:szCs w:val="22"/>
          <w:lang w:val="en-US"/>
        </w:rPr>
        <w:t xml:space="preserve"> the events may lead to </w:t>
      </w:r>
      <w:r w:rsidR="00B56FD2">
        <w:rPr>
          <w:rFonts w:ascii="Arial" w:hAnsi="Arial" w:cs="Arial"/>
          <w:sz w:val="22"/>
          <w:szCs w:val="22"/>
          <w:lang w:val="en-US"/>
        </w:rPr>
        <w:t>a lack of trust towards health organisations</w:t>
      </w:r>
      <w:r w:rsidRPr="00711DB0">
        <w:rPr>
          <w:rFonts w:ascii="Arial" w:hAnsi="Arial" w:cs="Arial"/>
          <w:sz w:val="22"/>
          <w:szCs w:val="22"/>
          <w:lang w:val="en-US"/>
        </w:rPr>
        <w:t xml:space="preserve"> or safeguarding intervention (Bellis et al., 2014; Marmot et al., 2020). This means </w:t>
      </w:r>
      <w:r w:rsidR="000854D3" w:rsidRPr="000854D3">
        <w:rPr>
          <w:rFonts w:ascii="Arial" w:hAnsi="Arial" w:cs="Arial"/>
          <w:sz w:val="22"/>
          <w:szCs w:val="22"/>
          <w:lang w:val="en-US"/>
        </w:rPr>
        <w:t>children with complex needs must receive interdisciplinary, coordinated support</w:t>
      </w:r>
      <w:r w:rsidRPr="00711DB0">
        <w:rPr>
          <w:rFonts w:ascii="Arial" w:hAnsi="Arial" w:cs="Arial"/>
          <w:sz w:val="22"/>
          <w:szCs w:val="22"/>
          <w:lang w:val="en-US"/>
        </w:rPr>
        <w:t xml:space="preserve"> (Parkin and Long, 2024).</w:t>
      </w:r>
    </w:p>
    <w:p w14:paraId="76F9A179" w14:textId="77777777" w:rsidR="005A016F" w:rsidRPr="00711DB0" w:rsidRDefault="005A016F" w:rsidP="001B7D33">
      <w:pPr>
        <w:spacing w:line="360" w:lineRule="auto"/>
        <w:jc w:val="both"/>
        <w:rPr>
          <w:rFonts w:ascii="Arial" w:hAnsi="Arial" w:cs="Arial"/>
          <w:sz w:val="22"/>
          <w:szCs w:val="22"/>
          <w:lang w:val="en-US"/>
        </w:rPr>
      </w:pPr>
    </w:p>
    <w:p w14:paraId="61B49771" w14:textId="308B698B"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Special educational needs and disabilities are an area of interest when discussing potential barriers to accessing CAMHS</w:t>
      </w:r>
      <w:r w:rsidR="000854D3">
        <w:rPr>
          <w:rFonts w:ascii="Arial" w:hAnsi="Arial" w:cs="Arial"/>
          <w:sz w:val="22"/>
          <w:szCs w:val="22"/>
          <w:lang w:val="en-US"/>
        </w:rPr>
        <w:t>,</w:t>
      </w:r>
      <w:r w:rsidRPr="00711DB0">
        <w:rPr>
          <w:rFonts w:ascii="Arial" w:hAnsi="Arial" w:cs="Arial"/>
          <w:sz w:val="22"/>
          <w:szCs w:val="22"/>
          <w:lang w:val="en-US"/>
        </w:rPr>
        <w:t xml:space="preserve"> as mental problems are often ignored or regarded as minor or secondary compared to educational and developmental concerns (Parkin and Long, 2024; Children’s Commissioner, 2024). Children's families </w:t>
      </w:r>
      <w:r w:rsidR="00B56FD2">
        <w:rPr>
          <w:rFonts w:ascii="Arial" w:hAnsi="Arial" w:cs="Arial"/>
          <w:sz w:val="22"/>
          <w:szCs w:val="22"/>
          <w:lang w:val="en-US"/>
        </w:rPr>
        <w:t>often</w:t>
      </w:r>
      <w:r w:rsidRPr="00711DB0">
        <w:rPr>
          <w:rFonts w:ascii="Arial" w:hAnsi="Arial" w:cs="Arial"/>
          <w:sz w:val="22"/>
          <w:szCs w:val="22"/>
          <w:lang w:val="en-US"/>
        </w:rPr>
        <w:t xml:space="preserve"> face challenges </w:t>
      </w:r>
      <w:r w:rsidR="000854D3">
        <w:rPr>
          <w:rFonts w:ascii="Arial" w:hAnsi="Arial" w:cs="Arial"/>
          <w:sz w:val="22"/>
          <w:szCs w:val="22"/>
          <w:lang w:val="en-US"/>
        </w:rPr>
        <w:t xml:space="preserve">interacting with </w:t>
      </w:r>
      <w:r w:rsidRPr="00711DB0">
        <w:rPr>
          <w:rFonts w:ascii="Arial" w:hAnsi="Arial" w:cs="Arial"/>
          <w:sz w:val="22"/>
          <w:szCs w:val="22"/>
          <w:lang w:val="en-US"/>
        </w:rPr>
        <w:t>education, health, and social care systems and receiving support through a single point of contact (Department for Education and Department of Health, 2015; Parkin and Long, 2024). Siloed services can cause additional stress and delay access</w:t>
      </w:r>
      <w:r w:rsidR="00B56FD2">
        <w:rPr>
          <w:rFonts w:ascii="Arial" w:hAnsi="Arial" w:cs="Arial"/>
          <w:sz w:val="22"/>
          <w:szCs w:val="22"/>
          <w:lang w:val="en-US"/>
        </w:rPr>
        <w:t>,</w:t>
      </w:r>
      <w:r w:rsidRPr="00711DB0">
        <w:rPr>
          <w:rFonts w:ascii="Arial" w:hAnsi="Arial" w:cs="Arial"/>
          <w:sz w:val="22"/>
          <w:szCs w:val="22"/>
          <w:lang w:val="en-US"/>
        </w:rPr>
        <w:t xml:space="preserve"> as the same assessment of children's needs would occur repeatedly (Appleton et al., 2022). Notably, mental health support for children with SEND should be accessible to all children in need (NICE, 2019; Parkin and Long, 2024).</w:t>
      </w:r>
    </w:p>
    <w:p w14:paraId="6822A6E3" w14:textId="77777777" w:rsidR="005A016F" w:rsidRPr="00711DB0" w:rsidRDefault="005A016F" w:rsidP="001B7D33">
      <w:pPr>
        <w:spacing w:line="360" w:lineRule="auto"/>
        <w:jc w:val="both"/>
        <w:rPr>
          <w:rFonts w:ascii="Arial" w:hAnsi="Arial" w:cs="Arial"/>
          <w:sz w:val="22"/>
          <w:szCs w:val="22"/>
          <w:lang w:val="en-US"/>
        </w:rPr>
      </w:pPr>
    </w:p>
    <w:p w14:paraId="6F6B633E" w14:textId="08092942" w:rsidR="001B7D33" w:rsidRPr="00106C49"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Ethnic and cultural inequalities can </w:t>
      </w:r>
      <w:r w:rsidR="000854D3">
        <w:rPr>
          <w:rFonts w:ascii="Arial" w:hAnsi="Arial" w:cs="Arial"/>
          <w:sz w:val="22"/>
          <w:szCs w:val="22"/>
          <w:lang w:val="en-US"/>
        </w:rPr>
        <w:t xml:space="preserve">affect CAMHS access in </w:t>
      </w:r>
      <w:r w:rsidRPr="00711DB0">
        <w:rPr>
          <w:rFonts w:ascii="Arial" w:hAnsi="Arial" w:cs="Arial"/>
          <w:sz w:val="22"/>
          <w:szCs w:val="22"/>
          <w:lang w:val="en-US"/>
        </w:rPr>
        <w:t>the UK (Gurpinar-Morgan et al., 2014; Radez et al., 2021). Minority groups of adolescents and families may encounter barriers due to cultural stigma, lack of culturally competent services, mistrust in statutory services, language barriers, and the lack of minority representation in services (Gurpinar-Morgan et al., 2014; Radez et al., 2021). Nevertheless, the role of ethnicity should not be exaggerated because it interacts with other aspects of children's lives, such as poverty, racism, local provision of services, migration experiences, and school experiences (Marmot et al., 2020). Therefore, ethnic and cultural barriers require a nuanced investigation (Gurpinar-Morgan et al., 2014; Marmot et al., 2020).</w:t>
      </w:r>
    </w:p>
    <w:p w14:paraId="37BD172A" w14:textId="54BE7225" w:rsidR="005A016F" w:rsidRPr="00711DB0" w:rsidRDefault="005A016F" w:rsidP="001B7D33">
      <w:pPr>
        <w:pStyle w:val="Heading2"/>
        <w:spacing w:line="360" w:lineRule="auto"/>
        <w:jc w:val="both"/>
        <w:rPr>
          <w:rFonts w:ascii="Arial" w:hAnsi="Arial" w:cs="Arial"/>
          <w:lang w:val="en-US"/>
        </w:rPr>
      </w:pPr>
      <w:bookmarkStart w:id="18" w:name="_Toc233629113"/>
      <w:r w:rsidRPr="00711DB0">
        <w:rPr>
          <w:rFonts w:ascii="Arial" w:hAnsi="Arial" w:cs="Arial"/>
          <w:lang w:val="en-US"/>
        </w:rPr>
        <w:t>2.7 Stigma, Help-Seeking, and Family-Level Barriers</w:t>
      </w:r>
      <w:bookmarkEnd w:id="18"/>
    </w:p>
    <w:p w14:paraId="6C2E7E99" w14:textId="77777777" w:rsidR="005A016F" w:rsidRPr="00711DB0" w:rsidRDefault="005A016F" w:rsidP="001B7D33">
      <w:pPr>
        <w:spacing w:line="360" w:lineRule="auto"/>
        <w:jc w:val="both"/>
        <w:rPr>
          <w:rFonts w:ascii="Arial" w:hAnsi="Arial" w:cs="Arial"/>
          <w:sz w:val="22"/>
          <w:szCs w:val="22"/>
          <w:lang w:val="en-US"/>
        </w:rPr>
      </w:pPr>
    </w:p>
    <w:p w14:paraId="4EBB9357" w14:textId="2FAB13CD" w:rsidR="005A016F" w:rsidRPr="00711DB0" w:rsidRDefault="000854D3" w:rsidP="001B7D33">
      <w:pPr>
        <w:spacing w:line="360" w:lineRule="auto"/>
        <w:jc w:val="both"/>
        <w:rPr>
          <w:rFonts w:ascii="Arial" w:hAnsi="Arial" w:cs="Arial"/>
          <w:sz w:val="22"/>
          <w:szCs w:val="22"/>
          <w:lang w:val="en-US"/>
        </w:rPr>
      </w:pPr>
      <w:r w:rsidRPr="000854D3">
        <w:rPr>
          <w:rFonts w:ascii="Arial" w:hAnsi="Arial" w:cs="Arial"/>
          <w:sz w:val="22"/>
          <w:szCs w:val="22"/>
          <w:lang w:val="en-US"/>
        </w:rPr>
        <w:lastRenderedPageBreak/>
        <w:t>Despite growing public awareness, stigma remains a significant barrier</w:t>
      </w:r>
      <w:r w:rsidR="005A016F" w:rsidRPr="00711DB0">
        <w:rPr>
          <w:rFonts w:ascii="Arial" w:hAnsi="Arial" w:cs="Arial"/>
          <w:sz w:val="22"/>
          <w:szCs w:val="22"/>
          <w:lang w:val="en-US"/>
        </w:rPr>
        <w:t xml:space="preserve"> to help-seeking among children and adolescents (Gulliver et al., 2010; Radez et al., 2021). Due to fear of discrimination and being judged, misinterpretation of their issues, and potential differential treatment by peers, family members, and professionals, many adolescents hesitate to seek help (Gulliver et al., 2010; Radez et al., 2021). </w:t>
      </w:r>
      <w:r w:rsidRPr="000854D3">
        <w:rPr>
          <w:rFonts w:ascii="Arial" w:hAnsi="Arial" w:cs="Arial"/>
          <w:sz w:val="22"/>
          <w:szCs w:val="22"/>
          <w:lang w:val="en-US"/>
        </w:rPr>
        <w:t>Given the importance of peer relationships and identity formation during adolescence, hesitation is expected, as adolescents</w:t>
      </w:r>
      <w:r w:rsidR="005A016F" w:rsidRPr="00711DB0">
        <w:rPr>
          <w:rFonts w:ascii="Arial" w:hAnsi="Arial" w:cs="Arial"/>
          <w:sz w:val="22"/>
          <w:szCs w:val="22"/>
          <w:lang w:val="en-US"/>
        </w:rPr>
        <w:t xml:space="preserve"> want to maintain their image in front of others (Radez et al., 2021). Thus, stigma results in delayed help-seeking and delayed access</w:t>
      </w:r>
      <w:r w:rsidR="00B56FD2">
        <w:rPr>
          <w:rFonts w:ascii="Arial" w:hAnsi="Arial" w:cs="Arial"/>
          <w:sz w:val="22"/>
          <w:szCs w:val="22"/>
          <w:lang w:val="en-US"/>
        </w:rPr>
        <w:t>, as mental problems remain unaddressed until they become</w:t>
      </w:r>
      <w:r w:rsidR="005A016F" w:rsidRPr="00711DB0">
        <w:rPr>
          <w:rFonts w:ascii="Arial" w:hAnsi="Arial" w:cs="Arial"/>
          <w:sz w:val="22"/>
          <w:szCs w:val="22"/>
          <w:lang w:val="en-US"/>
        </w:rPr>
        <w:t xml:space="preserve"> more serious (Gulliver et al., 2010; Reardon et al., 2017).</w:t>
      </w:r>
    </w:p>
    <w:p w14:paraId="0D104FD8" w14:textId="77777777" w:rsidR="005A016F" w:rsidRPr="00711DB0" w:rsidRDefault="005A016F" w:rsidP="001B7D33">
      <w:pPr>
        <w:spacing w:line="360" w:lineRule="auto"/>
        <w:jc w:val="both"/>
        <w:rPr>
          <w:rFonts w:ascii="Arial" w:hAnsi="Arial" w:cs="Arial"/>
          <w:sz w:val="22"/>
          <w:szCs w:val="22"/>
          <w:lang w:val="en-US"/>
        </w:rPr>
      </w:pPr>
    </w:p>
    <w:p w14:paraId="45D3BFC6" w14:textId="52FF4F7E"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Confidentiality is an issue </w:t>
      </w:r>
      <w:r w:rsidR="00B56FD2">
        <w:rPr>
          <w:rFonts w:ascii="Arial" w:hAnsi="Arial" w:cs="Arial"/>
          <w:sz w:val="22"/>
          <w:szCs w:val="22"/>
          <w:lang w:val="en-US"/>
        </w:rPr>
        <w:t>to consider</w:t>
      </w:r>
      <w:r w:rsidRPr="00711DB0">
        <w:rPr>
          <w:rFonts w:ascii="Arial" w:hAnsi="Arial" w:cs="Arial"/>
          <w:sz w:val="22"/>
          <w:szCs w:val="22"/>
          <w:lang w:val="en-US"/>
        </w:rPr>
        <w:t xml:space="preserve"> in mental health help-seeking among young people (Gulliver et al., 2010; Radez et al., 2021). Adolescents' reluctance to seek help may be fueled by concerns that their discussions with professionals are shared with parents, schools, and other professionals, especially in cases of self-harm, conflict in families, trauma experiences, and safety concerns (Radez et al., 2021). While safeguarding is important, the lack of clarification can prevent adolescents from communicating about the issues troubling them (Gulliver et al., 2010). Therefore, access to mental health services does not mean that adolescents would be willing to talk about the issues they face.</w:t>
      </w:r>
    </w:p>
    <w:p w14:paraId="6770F282" w14:textId="77777777" w:rsidR="005A016F" w:rsidRPr="00711DB0" w:rsidRDefault="005A016F" w:rsidP="001B7D33">
      <w:pPr>
        <w:spacing w:line="360" w:lineRule="auto"/>
        <w:jc w:val="both"/>
        <w:rPr>
          <w:rFonts w:ascii="Arial" w:hAnsi="Arial" w:cs="Arial"/>
          <w:sz w:val="22"/>
          <w:szCs w:val="22"/>
          <w:lang w:val="en-US"/>
        </w:rPr>
      </w:pPr>
    </w:p>
    <w:p w14:paraId="73144E6C" w14:textId="433E19D4" w:rsidR="005A016F" w:rsidRPr="00711DB0" w:rsidRDefault="008527CF" w:rsidP="001B7D33">
      <w:pPr>
        <w:spacing w:line="360" w:lineRule="auto"/>
        <w:jc w:val="both"/>
        <w:rPr>
          <w:rFonts w:ascii="Arial" w:hAnsi="Arial" w:cs="Arial"/>
          <w:sz w:val="22"/>
          <w:szCs w:val="22"/>
          <w:lang w:val="en-US"/>
        </w:rPr>
      </w:pPr>
      <w:r w:rsidRPr="008527CF">
        <w:rPr>
          <w:rFonts w:ascii="Arial" w:hAnsi="Arial" w:cs="Arial"/>
          <w:sz w:val="22"/>
          <w:szCs w:val="22"/>
          <w:lang w:val="en-US"/>
        </w:rPr>
        <w:t>Parents and carers play an important role in seeking help from CAMHS by recognising and responding to young people's mental health problems, referring them to GPs, and seeking</w:t>
      </w:r>
      <w:r w:rsidR="005A016F" w:rsidRPr="00711DB0">
        <w:rPr>
          <w:rFonts w:ascii="Arial" w:hAnsi="Arial" w:cs="Arial"/>
          <w:sz w:val="22"/>
          <w:szCs w:val="22"/>
          <w:lang w:val="en-US"/>
        </w:rPr>
        <w:t xml:space="preserve"> their help (Reardon et al., 2017; Crouch et al., 2019). Nonetheless, parents often struggle with </w:t>
      </w:r>
      <w:r w:rsidRPr="008527CF">
        <w:rPr>
          <w:rFonts w:ascii="Arial" w:hAnsi="Arial" w:cs="Arial"/>
          <w:sz w:val="22"/>
          <w:szCs w:val="22"/>
          <w:lang w:val="en-US"/>
        </w:rPr>
        <w:t xml:space="preserve">recognising and understanding the nature of mental problems, as symptoms of disorders may be gradual, hidden, </w:t>
      </w:r>
      <w:r w:rsidR="00B56FD2">
        <w:rPr>
          <w:rFonts w:ascii="Arial" w:hAnsi="Arial" w:cs="Arial"/>
          <w:sz w:val="22"/>
          <w:szCs w:val="22"/>
          <w:lang w:val="en-US"/>
        </w:rPr>
        <w:t>internalised</w:t>
      </w:r>
      <w:r w:rsidR="005A016F" w:rsidRPr="00711DB0">
        <w:rPr>
          <w:rFonts w:ascii="Arial" w:hAnsi="Arial" w:cs="Arial"/>
          <w:sz w:val="22"/>
          <w:szCs w:val="22"/>
          <w:lang w:val="en-US"/>
        </w:rPr>
        <w:t xml:space="preserve">, or misinterpreted as normal child development (Reardon et al., 2017). Furthermore, parents may be blamed, disregarded, and dismissed in response to their concerns regarding mental problems in children (Appleton et al., 2020; Appleton et al., 2022). Consequently, </w:t>
      </w:r>
      <w:r w:rsidRPr="008527CF">
        <w:rPr>
          <w:rFonts w:ascii="Arial" w:hAnsi="Arial" w:cs="Arial"/>
          <w:sz w:val="22"/>
          <w:szCs w:val="22"/>
          <w:lang w:val="en-US"/>
        </w:rPr>
        <w:t xml:space="preserve">blame undermines parents' willingness </w:t>
      </w:r>
      <w:r w:rsidR="00B56FD2">
        <w:rPr>
          <w:rFonts w:ascii="Arial" w:hAnsi="Arial" w:cs="Arial"/>
          <w:sz w:val="22"/>
          <w:szCs w:val="22"/>
          <w:lang w:val="en-US"/>
        </w:rPr>
        <w:t>to seek help actively</w:t>
      </w:r>
      <w:r w:rsidR="005A016F" w:rsidRPr="00711DB0">
        <w:rPr>
          <w:rFonts w:ascii="Arial" w:hAnsi="Arial" w:cs="Arial"/>
          <w:sz w:val="22"/>
          <w:szCs w:val="22"/>
          <w:lang w:val="en-US"/>
        </w:rPr>
        <w:t>.</w:t>
      </w:r>
    </w:p>
    <w:p w14:paraId="6D118655" w14:textId="77777777" w:rsidR="005A016F" w:rsidRPr="00711DB0" w:rsidRDefault="005A016F" w:rsidP="001B7D33">
      <w:pPr>
        <w:spacing w:line="360" w:lineRule="auto"/>
        <w:jc w:val="both"/>
        <w:rPr>
          <w:rFonts w:ascii="Arial" w:hAnsi="Arial" w:cs="Arial"/>
          <w:sz w:val="22"/>
          <w:szCs w:val="22"/>
          <w:lang w:val="en-US"/>
        </w:rPr>
      </w:pPr>
    </w:p>
    <w:p w14:paraId="545B69E2" w14:textId="4071BC8C"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Another important barrier </w:t>
      </w:r>
      <w:r w:rsidR="008527CF">
        <w:rPr>
          <w:rFonts w:ascii="Arial" w:hAnsi="Arial" w:cs="Arial"/>
          <w:sz w:val="22"/>
          <w:szCs w:val="22"/>
          <w:lang w:val="en-US"/>
        </w:rPr>
        <w:t>to help-seeking among children is a</w:t>
      </w:r>
      <w:r w:rsidRPr="00711DB0">
        <w:rPr>
          <w:rFonts w:ascii="Arial" w:hAnsi="Arial" w:cs="Arial"/>
          <w:sz w:val="22"/>
          <w:szCs w:val="22"/>
          <w:lang w:val="en-US"/>
        </w:rPr>
        <w:t xml:space="preserve"> lack of information about services. Parents may find it difficult to understand what mental disorder their children suffer from, who should be contacted for help, the referral process, or alternative services while waiting (Crouch et al., 2019; Appleton et al., 2020). The complexity stems from the variety of names and practices </w:t>
      </w:r>
      <w:r w:rsidR="008527CF">
        <w:rPr>
          <w:rFonts w:ascii="Arial" w:hAnsi="Arial" w:cs="Arial"/>
          <w:sz w:val="22"/>
          <w:szCs w:val="22"/>
          <w:lang w:val="en-US"/>
        </w:rPr>
        <w:t>across</w:t>
      </w:r>
      <w:r w:rsidRPr="00711DB0">
        <w:rPr>
          <w:rFonts w:ascii="Arial" w:hAnsi="Arial" w:cs="Arial"/>
          <w:sz w:val="22"/>
          <w:szCs w:val="22"/>
          <w:lang w:val="en-US"/>
        </w:rPr>
        <w:t xml:space="preserve"> the country. Therefore, help-seeking often relies on professionals, such as GPs, teachers, and pastoral care services (Sayal et al., 2010; Reardon et al., 2017). Thus, </w:t>
      </w:r>
      <w:r w:rsidR="008527CF">
        <w:rPr>
          <w:rFonts w:ascii="Arial" w:hAnsi="Arial" w:cs="Arial"/>
          <w:sz w:val="22"/>
          <w:szCs w:val="22"/>
          <w:lang w:val="en-US"/>
        </w:rPr>
        <w:t xml:space="preserve">access depends on </w:t>
      </w:r>
      <w:r w:rsidRPr="00711DB0">
        <w:rPr>
          <w:rFonts w:ascii="Arial" w:hAnsi="Arial" w:cs="Arial"/>
          <w:sz w:val="22"/>
          <w:szCs w:val="22"/>
          <w:lang w:val="en-US"/>
        </w:rPr>
        <w:t>parents' ability to obtain information from professionals.</w:t>
      </w:r>
    </w:p>
    <w:p w14:paraId="5F6F21A8" w14:textId="77777777" w:rsidR="005A016F" w:rsidRPr="00711DB0" w:rsidRDefault="005A016F" w:rsidP="001B7D33">
      <w:pPr>
        <w:spacing w:line="360" w:lineRule="auto"/>
        <w:jc w:val="both"/>
        <w:rPr>
          <w:rFonts w:ascii="Arial" w:hAnsi="Arial" w:cs="Arial"/>
          <w:sz w:val="22"/>
          <w:szCs w:val="22"/>
          <w:lang w:val="en-US"/>
        </w:rPr>
      </w:pPr>
    </w:p>
    <w:p w14:paraId="456B0837" w14:textId="77777777" w:rsidR="005A016F" w:rsidRPr="00711DB0" w:rsidRDefault="005A016F" w:rsidP="001B7D33">
      <w:pPr>
        <w:pStyle w:val="Heading2"/>
        <w:spacing w:line="360" w:lineRule="auto"/>
        <w:jc w:val="both"/>
        <w:rPr>
          <w:rFonts w:ascii="Arial" w:hAnsi="Arial" w:cs="Arial"/>
          <w:lang w:val="en-US"/>
        </w:rPr>
      </w:pPr>
      <w:bookmarkStart w:id="19" w:name="_Toc233629114"/>
      <w:r w:rsidRPr="00711DB0">
        <w:rPr>
          <w:rFonts w:ascii="Arial" w:hAnsi="Arial" w:cs="Arial"/>
          <w:lang w:val="en-US"/>
        </w:rPr>
        <w:t>2.8 Enablers of CAMHS Access</w:t>
      </w:r>
      <w:bookmarkEnd w:id="19"/>
    </w:p>
    <w:p w14:paraId="36270C2F" w14:textId="77777777" w:rsidR="005A016F" w:rsidRPr="00711DB0" w:rsidRDefault="005A016F" w:rsidP="001B7D33">
      <w:pPr>
        <w:spacing w:line="360" w:lineRule="auto"/>
        <w:jc w:val="both"/>
        <w:rPr>
          <w:rFonts w:ascii="Arial" w:hAnsi="Arial" w:cs="Arial"/>
          <w:sz w:val="22"/>
          <w:szCs w:val="22"/>
          <w:lang w:val="en-US"/>
        </w:rPr>
      </w:pPr>
    </w:p>
    <w:p w14:paraId="130B37A0" w14:textId="08948514"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While identifying multiple barriers to access, </w:t>
      </w:r>
      <w:r w:rsidR="00B56FD2">
        <w:rPr>
          <w:rFonts w:ascii="Arial" w:hAnsi="Arial" w:cs="Arial"/>
          <w:sz w:val="22"/>
          <w:szCs w:val="22"/>
          <w:lang w:val="en-US"/>
        </w:rPr>
        <w:t xml:space="preserve">the literature also identifies several enablers that improve young people's ability </w:t>
      </w:r>
      <w:r w:rsidRPr="00711DB0">
        <w:rPr>
          <w:rFonts w:ascii="Arial" w:hAnsi="Arial" w:cs="Arial"/>
          <w:sz w:val="22"/>
          <w:szCs w:val="22"/>
          <w:lang w:val="en-US"/>
        </w:rPr>
        <w:t xml:space="preserve">to access CAMHS (Department of Health and Department for Education, 2017; NHS England, 2019; Parkin and Long, 2024). Enablers </w:t>
      </w:r>
      <w:r w:rsidR="00B56FD2">
        <w:rPr>
          <w:rFonts w:ascii="Arial" w:hAnsi="Arial" w:cs="Arial"/>
          <w:sz w:val="22"/>
          <w:szCs w:val="22"/>
          <w:lang w:val="en-US"/>
        </w:rPr>
        <w:t xml:space="preserve">matter because they show how to improve access rather than focusing only on </w:t>
      </w:r>
      <w:r w:rsidRPr="00711DB0">
        <w:rPr>
          <w:rFonts w:ascii="Arial" w:hAnsi="Arial" w:cs="Arial"/>
          <w:sz w:val="22"/>
          <w:szCs w:val="22"/>
          <w:lang w:val="en-US"/>
        </w:rPr>
        <w:t>barriers to accessing support (Radez et al., 2021; Appleton et al., 2022). The main enablers in the UK include early identification of problems, trusted relationships, school-based mental health support, efficient GP involvement, clear referral pathways, clear communication with families, flexible service provision, and coordinated inter-agency work (Reardon et al., 2017; Appleton et al., 2022; Parkin and Long, 2024).</w:t>
      </w:r>
    </w:p>
    <w:p w14:paraId="3061B2B8" w14:textId="77777777" w:rsidR="005A016F" w:rsidRPr="00711DB0" w:rsidRDefault="005A016F" w:rsidP="001B7D33">
      <w:pPr>
        <w:spacing w:line="360" w:lineRule="auto"/>
        <w:jc w:val="both"/>
        <w:rPr>
          <w:rFonts w:ascii="Arial" w:hAnsi="Arial" w:cs="Arial"/>
          <w:sz w:val="22"/>
          <w:szCs w:val="22"/>
          <w:lang w:val="en-US"/>
        </w:rPr>
      </w:pPr>
    </w:p>
    <w:p w14:paraId="60037707" w14:textId="10DC9EC6"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Schools are important sources of help-seeking since children and young people spend much time studying in school (Department of Health and Department for Education, 2017; NHS England, 2025). School staff, including teachers and pastoral workers, </w:t>
      </w:r>
      <w:r w:rsidR="00B56FD2">
        <w:rPr>
          <w:rFonts w:ascii="Arial" w:hAnsi="Arial" w:cs="Arial"/>
          <w:sz w:val="22"/>
          <w:szCs w:val="22"/>
          <w:lang w:val="en-US"/>
        </w:rPr>
        <w:t>often notice children's emotional and behavioural changes first and refer</w:t>
      </w:r>
      <w:r w:rsidRPr="00711DB0">
        <w:rPr>
          <w:rFonts w:ascii="Arial" w:hAnsi="Arial" w:cs="Arial"/>
          <w:sz w:val="22"/>
          <w:szCs w:val="22"/>
          <w:lang w:val="en-US"/>
        </w:rPr>
        <w:t xml:space="preserve"> them to CAMHS (Department of Health and Department for Education, 2017; GOV.UK, 2024). To </w:t>
      </w:r>
      <w:r w:rsidR="00B56FD2">
        <w:rPr>
          <w:rFonts w:ascii="Arial" w:hAnsi="Arial" w:cs="Arial"/>
          <w:sz w:val="22"/>
          <w:szCs w:val="22"/>
          <w:lang w:val="en-US"/>
        </w:rPr>
        <w:t>ease pressure on specialised mental health services, the Mental Health Support Teams (MHSTs) policy funds</w:t>
      </w:r>
      <w:r w:rsidRPr="00711DB0">
        <w:rPr>
          <w:rFonts w:ascii="Arial" w:hAnsi="Arial" w:cs="Arial"/>
          <w:sz w:val="22"/>
          <w:szCs w:val="22"/>
          <w:lang w:val="en-US"/>
        </w:rPr>
        <w:t xml:space="preserve"> schools to address mild to moderate mental </w:t>
      </w:r>
      <w:r w:rsidR="00B56FD2">
        <w:rPr>
          <w:rFonts w:ascii="Arial" w:hAnsi="Arial" w:cs="Arial"/>
          <w:sz w:val="22"/>
          <w:szCs w:val="22"/>
          <w:lang w:val="en-US"/>
        </w:rPr>
        <w:t xml:space="preserve">health </w:t>
      </w:r>
      <w:r w:rsidRPr="00711DB0">
        <w:rPr>
          <w:rFonts w:ascii="Arial" w:hAnsi="Arial" w:cs="Arial"/>
          <w:sz w:val="22"/>
          <w:szCs w:val="22"/>
          <w:lang w:val="en-US"/>
        </w:rPr>
        <w:t>problems (Department of Health and Department for Education, 2017; NHS England, 2025). As of spring 2025, NHS England reports over 600 MHSTs operating in more than 10,000 settings accessible to over 52% of the pupil population (NHS England, 2025).</w:t>
      </w:r>
    </w:p>
    <w:p w14:paraId="7FFA21FA" w14:textId="50306E24"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As an integral part of the UK National Health Service, GPs </w:t>
      </w:r>
      <w:r w:rsidR="00B56FD2">
        <w:rPr>
          <w:rFonts w:ascii="Arial" w:hAnsi="Arial" w:cs="Arial"/>
          <w:sz w:val="22"/>
          <w:szCs w:val="22"/>
          <w:lang w:val="en-US"/>
        </w:rPr>
        <w:t xml:space="preserve">provide a route to </w:t>
      </w:r>
      <w:r w:rsidR="008527CF" w:rsidRPr="008527CF">
        <w:rPr>
          <w:rFonts w:ascii="Arial" w:hAnsi="Arial" w:cs="Arial"/>
          <w:sz w:val="22"/>
          <w:szCs w:val="22"/>
          <w:lang w:val="en-US"/>
        </w:rPr>
        <w:t>CAMHS, as they usually serve as the first point of contact</w:t>
      </w:r>
      <w:r w:rsidRPr="00711DB0">
        <w:rPr>
          <w:rFonts w:ascii="Arial" w:hAnsi="Arial" w:cs="Arial"/>
          <w:sz w:val="22"/>
          <w:szCs w:val="22"/>
          <w:lang w:val="en-US"/>
        </w:rPr>
        <w:t xml:space="preserve"> for children, young people, and families (Sayal et al., 2010; Reardon et al., 2017). Specialists can diagnose mental </w:t>
      </w:r>
      <w:r w:rsidR="008527CF" w:rsidRPr="008527CF">
        <w:rPr>
          <w:rFonts w:ascii="Arial" w:hAnsi="Arial" w:cs="Arial"/>
          <w:sz w:val="22"/>
          <w:szCs w:val="22"/>
          <w:lang w:val="en-US"/>
        </w:rPr>
        <w:t>health problems, advise on them, conduct initial risk screening</w:t>
      </w:r>
      <w:r w:rsidRPr="00711DB0">
        <w:rPr>
          <w:rFonts w:ascii="Arial" w:hAnsi="Arial" w:cs="Arial"/>
          <w:sz w:val="22"/>
          <w:szCs w:val="22"/>
          <w:lang w:val="en-US"/>
        </w:rPr>
        <w:t xml:space="preserve">, refer young people to CAMHS, and direct parents and carers to local services (NHS, 2024; Parkin and Long, 2024). </w:t>
      </w:r>
      <w:r w:rsidR="00B56FD2">
        <w:rPr>
          <w:rFonts w:ascii="Arial" w:hAnsi="Arial" w:cs="Arial"/>
          <w:sz w:val="22"/>
          <w:szCs w:val="22"/>
          <w:lang w:val="en-US"/>
        </w:rPr>
        <w:t xml:space="preserve">Clear referral pathways, feedback, and sufficient time and information about services strengthen GP involvement as a key enabler </w:t>
      </w:r>
      <w:r w:rsidRPr="00711DB0">
        <w:rPr>
          <w:rFonts w:ascii="Arial" w:hAnsi="Arial" w:cs="Arial"/>
          <w:sz w:val="22"/>
          <w:szCs w:val="22"/>
          <w:lang w:val="en-US"/>
        </w:rPr>
        <w:t>(Sayal et al., 2010; Parkin and Long, 2024).</w:t>
      </w:r>
    </w:p>
    <w:p w14:paraId="39F67D3D" w14:textId="77777777" w:rsidR="005A016F" w:rsidRPr="00711DB0" w:rsidRDefault="005A016F" w:rsidP="001B7D33">
      <w:pPr>
        <w:spacing w:line="360" w:lineRule="auto"/>
        <w:jc w:val="both"/>
        <w:rPr>
          <w:rFonts w:ascii="Arial" w:hAnsi="Arial" w:cs="Arial"/>
          <w:sz w:val="22"/>
          <w:szCs w:val="22"/>
          <w:lang w:val="en-US"/>
        </w:rPr>
      </w:pPr>
    </w:p>
    <w:p w14:paraId="402F6C18" w14:textId="1027694C"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Communication with families is crucial for improving access to mental health services (Appleton et al., 2020; Appleton et al., 2022). Parents must receive clear explanations </w:t>
      </w:r>
      <w:r w:rsidR="00B56FD2">
        <w:rPr>
          <w:rFonts w:ascii="Arial" w:hAnsi="Arial" w:cs="Arial"/>
          <w:sz w:val="22"/>
          <w:szCs w:val="22"/>
          <w:lang w:val="en-US"/>
        </w:rPr>
        <w:t>of eligibility criteria for referrals, wait times, possible alternatives, crisis procedures, expectations for assessment and treatment, and so on</w:t>
      </w:r>
      <w:r w:rsidRPr="00711DB0">
        <w:rPr>
          <w:rFonts w:ascii="Arial" w:hAnsi="Arial" w:cs="Arial"/>
          <w:sz w:val="22"/>
          <w:szCs w:val="22"/>
          <w:lang w:val="en-US"/>
        </w:rPr>
        <w:t xml:space="preserve"> (Reardon et al., 2017; Children’s Commissioner, 2024). After </w:t>
      </w:r>
      <w:r w:rsidR="00B56FD2">
        <w:rPr>
          <w:rFonts w:ascii="Arial" w:hAnsi="Arial" w:cs="Arial"/>
          <w:sz w:val="22"/>
          <w:szCs w:val="22"/>
          <w:lang w:val="en-US"/>
        </w:rPr>
        <w:t xml:space="preserve">referrals are rejected or closed, families should receive detailed explanations and be directed to alternative </w:t>
      </w:r>
      <w:r w:rsidR="00B56FD2">
        <w:rPr>
          <w:rFonts w:ascii="Arial" w:hAnsi="Arial" w:cs="Arial"/>
          <w:sz w:val="22"/>
          <w:szCs w:val="22"/>
          <w:lang w:val="en-US"/>
        </w:rPr>
        <w:lastRenderedPageBreak/>
        <w:t>options for</w:t>
      </w:r>
      <w:r w:rsidRPr="00711DB0">
        <w:rPr>
          <w:rFonts w:ascii="Arial" w:hAnsi="Arial" w:cs="Arial"/>
          <w:sz w:val="22"/>
          <w:szCs w:val="22"/>
          <w:lang w:val="en-US"/>
        </w:rPr>
        <w:t xml:space="preserve"> addressing their concerns (Appleton et al., 2020; Children’s Commissioner, 2024). Effective communication increases the likelihood of positive </w:t>
      </w:r>
      <w:r w:rsidR="008527CF">
        <w:rPr>
          <w:rFonts w:ascii="Arial" w:hAnsi="Arial" w:cs="Arial"/>
          <w:sz w:val="22"/>
          <w:szCs w:val="22"/>
          <w:lang w:val="en-US"/>
        </w:rPr>
        <w:t>family engagement</w:t>
      </w:r>
      <w:r w:rsidRPr="00711DB0">
        <w:rPr>
          <w:rFonts w:ascii="Arial" w:hAnsi="Arial" w:cs="Arial"/>
          <w:sz w:val="22"/>
          <w:szCs w:val="22"/>
          <w:lang w:val="en-US"/>
        </w:rPr>
        <w:t xml:space="preserve"> with specialists throughout the wait time (Appleton et al., 2022).</w:t>
      </w:r>
    </w:p>
    <w:p w14:paraId="7652B3E0" w14:textId="77777777" w:rsidR="005A016F" w:rsidRPr="00711DB0" w:rsidRDefault="005A016F" w:rsidP="001B7D33">
      <w:pPr>
        <w:spacing w:line="360" w:lineRule="auto"/>
        <w:jc w:val="both"/>
        <w:rPr>
          <w:rFonts w:ascii="Arial" w:hAnsi="Arial" w:cs="Arial"/>
          <w:sz w:val="22"/>
          <w:szCs w:val="22"/>
          <w:lang w:val="en-US"/>
        </w:rPr>
      </w:pPr>
    </w:p>
    <w:p w14:paraId="5DCB8C70" w14:textId="3BE90EE9"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Interagency cooperation plays an essential role in providing adequate care </w:t>
      </w:r>
      <w:r w:rsidR="008527CF" w:rsidRPr="00711DB0">
        <w:rPr>
          <w:rFonts w:ascii="Arial" w:hAnsi="Arial" w:cs="Arial"/>
          <w:sz w:val="22"/>
          <w:szCs w:val="22"/>
          <w:lang w:val="en-US"/>
        </w:rPr>
        <w:t>for</w:t>
      </w:r>
      <w:r w:rsidRPr="00711DB0">
        <w:rPr>
          <w:rFonts w:ascii="Arial" w:hAnsi="Arial" w:cs="Arial"/>
          <w:sz w:val="22"/>
          <w:szCs w:val="22"/>
          <w:lang w:val="en-US"/>
        </w:rPr>
        <w:t xml:space="preserve"> children with mental health problems since young people often face problems beyond health needs (Parkin and Long, 2024). Coordination among CAMHS, schools, GPs, social care services, and voluntary </w:t>
      </w:r>
      <w:r w:rsidR="008527CF">
        <w:rPr>
          <w:rFonts w:ascii="Arial" w:hAnsi="Arial" w:cs="Arial"/>
          <w:sz w:val="22"/>
          <w:szCs w:val="22"/>
          <w:lang w:val="en-US"/>
        </w:rPr>
        <w:t>organisations</w:t>
      </w:r>
      <w:r w:rsidRPr="00711DB0">
        <w:rPr>
          <w:rFonts w:ascii="Arial" w:hAnsi="Arial" w:cs="Arial"/>
          <w:sz w:val="22"/>
          <w:szCs w:val="22"/>
          <w:lang w:val="en-US"/>
        </w:rPr>
        <w:t xml:space="preserve"> can </w:t>
      </w:r>
      <w:r w:rsidR="008527CF" w:rsidRPr="008527CF">
        <w:rPr>
          <w:rFonts w:ascii="Arial" w:hAnsi="Arial" w:cs="Arial"/>
          <w:sz w:val="22"/>
          <w:szCs w:val="22"/>
          <w:lang w:val="en-US"/>
        </w:rPr>
        <w:t xml:space="preserve">improve recognition of children's mental health issues, reduce duplication, and ensure consistent </w:t>
      </w:r>
      <w:r w:rsidRPr="00711DB0">
        <w:rPr>
          <w:rFonts w:ascii="Arial" w:hAnsi="Arial" w:cs="Arial"/>
          <w:sz w:val="22"/>
          <w:szCs w:val="22"/>
          <w:lang w:val="en-US"/>
        </w:rPr>
        <w:t>care (Department of Health and Department for Education, 2017; NHS England, 2019). Collaborative work is particularly important for children with complex needs, such as those in care, children with SEND, those with a history of trauma, and children affected by family disadvantage and poverty (Bellis et al., 2014; Marmot et al., 2020; Parkin and Long, 2024).</w:t>
      </w:r>
    </w:p>
    <w:p w14:paraId="6725C791" w14:textId="77777777" w:rsidR="005A016F" w:rsidRPr="00106C49" w:rsidRDefault="005A016F" w:rsidP="001B7D33">
      <w:pPr>
        <w:spacing w:line="360" w:lineRule="auto"/>
        <w:jc w:val="both"/>
        <w:rPr>
          <w:rFonts w:ascii="Arial" w:hAnsi="Arial" w:cs="Arial"/>
          <w:sz w:val="22"/>
          <w:szCs w:val="22"/>
          <w:lang w:val="en-US"/>
        </w:rPr>
      </w:pPr>
    </w:p>
    <w:p w14:paraId="44527F89" w14:textId="76BDB716" w:rsidR="005A016F" w:rsidRPr="00711DB0" w:rsidRDefault="005A016F" w:rsidP="001B7D33">
      <w:pPr>
        <w:pStyle w:val="Heading2"/>
        <w:spacing w:line="360" w:lineRule="auto"/>
        <w:jc w:val="both"/>
        <w:rPr>
          <w:rFonts w:ascii="Arial" w:hAnsi="Arial" w:cs="Arial"/>
          <w:lang w:val="en-US"/>
        </w:rPr>
      </w:pPr>
      <w:bookmarkStart w:id="20" w:name="_Toc233629115"/>
      <w:r w:rsidRPr="00711DB0">
        <w:rPr>
          <w:rFonts w:ascii="Arial" w:hAnsi="Arial" w:cs="Arial"/>
          <w:lang w:val="en-US"/>
        </w:rPr>
        <w:t>2.9 Synthesis of the Literature and Conceptual Framework</w:t>
      </w:r>
      <w:bookmarkEnd w:id="20"/>
    </w:p>
    <w:p w14:paraId="2BF371F4" w14:textId="77777777" w:rsidR="005A016F" w:rsidRPr="00711DB0" w:rsidRDefault="005A016F" w:rsidP="001B7D33">
      <w:pPr>
        <w:spacing w:line="360" w:lineRule="auto"/>
        <w:jc w:val="both"/>
        <w:rPr>
          <w:rFonts w:ascii="Arial" w:hAnsi="Arial" w:cs="Arial"/>
          <w:sz w:val="22"/>
          <w:szCs w:val="22"/>
          <w:lang w:val="en-US"/>
        </w:rPr>
      </w:pPr>
    </w:p>
    <w:p w14:paraId="5AD5D895" w14:textId="3241E943" w:rsidR="005A016F" w:rsidRPr="00106C49" w:rsidRDefault="00B56FD2" w:rsidP="001B7D33">
      <w:pPr>
        <w:spacing w:line="360" w:lineRule="auto"/>
        <w:jc w:val="both"/>
        <w:rPr>
          <w:rFonts w:ascii="Arial" w:hAnsi="Arial" w:cs="Arial"/>
          <w:sz w:val="22"/>
          <w:szCs w:val="22"/>
          <w:lang w:val="en-US"/>
        </w:rPr>
      </w:pPr>
      <w:r>
        <w:rPr>
          <w:rFonts w:ascii="Arial" w:hAnsi="Arial" w:cs="Arial"/>
          <w:sz w:val="22"/>
          <w:szCs w:val="22"/>
          <w:lang w:val="en-US"/>
        </w:rPr>
        <w:t>This chapter's findings show that</w:t>
      </w:r>
      <w:r w:rsidR="008527CF" w:rsidRPr="008527CF">
        <w:rPr>
          <w:rFonts w:ascii="Arial" w:hAnsi="Arial" w:cs="Arial"/>
          <w:sz w:val="22"/>
          <w:szCs w:val="22"/>
          <w:lang w:val="en-US"/>
        </w:rPr>
        <w:t xml:space="preserve"> access to CAMHS in the United Kingdom involves the intersection of </w:t>
      </w:r>
      <w:r>
        <w:rPr>
          <w:rFonts w:ascii="Arial" w:hAnsi="Arial" w:cs="Arial"/>
          <w:sz w:val="22"/>
          <w:szCs w:val="22"/>
          <w:lang w:val="en-US"/>
        </w:rPr>
        <w:t>individual, familial, service-level, and structural factors</w:t>
      </w:r>
      <w:r w:rsidR="005A016F" w:rsidRPr="00711DB0">
        <w:rPr>
          <w:rFonts w:ascii="Arial" w:hAnsi="Arial" w:cs="Arial"/>
          <w:sz w:val="22"/>
          <w:szCs w:val="22"/>
          <w:lang w:val="en-US"/>
        </w:rPr>
        <w:t xml:space="preserve"> (Reardon et al., 2017; Radez et al., 2021; Appleton et al., 2022). Barriers are not limited to the referral stage, as they may occur at pre-referral, referral, waiting period, and post-entry stages (Children's Commissioner, 2024). This implies that understanding CAMHS access should view it as a pathway rather than a single decision by professionals or services (Reardon et al., 2017; Appleton et al., 2020).</w:t>
      </w:r>
    </w:p>
    <w:p w14:paraId="58E2B028" w14:textId="5536CDA8"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On an individual/familial level, barriers include stigma, uncertainty, lack of awareness regarding available services, confidentiality issues, and difficulty in identifying mental health issues (Gulliver et al., 2010; Reardon et al., 2017; Radez et al., 2021). </w:t>
      </w:r>
      <w:r w:rsidR="008527CF">
        <w:rPr>
          <w:rFonts w:ascii="Arial" w:hAnsi="Arial" w:cs="Arial"/>
          <w:sz w:val="22"/>
          <w:szCs w:val="22"/>
          <w:lang w:val="en-US"/>
        </w:rPr>
        <w:t>At the service level, barriers include</w:t>
      </w:r>
      <w:r w:rsidRPr="00711DB0">
        <w:rPr>
          <w:rFonts w:ascii="Arial" w:hAnsi="Arial" w:cs="Arial"/>
          <w:sz w:val="22"/>
          <w:szCs w:val="22"/>
          <w:lang w:val="en-US"/>
        </w:rPr>
        <w:t xml:space="preserve"> long waiting times, referral thresholds, refusal to accept referrals, poor communication, and fragmented referral pathways between CAMHS, schools, general practice, and social care (Edbrooke-Childs and Deighton, 2020; Appleton et al., 2020; Children's Commissioner, 2024). Finally, </w:t>
      </w:r>
      <w:r w:rsidR="008527CF" w:rsidRPr="008527CF">
        <w:rPr>
          <w:rFonts w:ascii="Arial" w:hAnsi="Arial" w:cs="Arial"/>
          <w:sz w:val="22"/>
          <w:szCs w:val="22"/>
          <w:lang w:val="en-US"/>
        </w:rPr>
        <w:t>structural-level barriers include insufficient workforce capacity, local variation</w:t>
      </w:r>
      <w:r w:rsidRPr="00711DB0">
        <w:rPr>
          <w:rFonts w:ascii="Arial" w:hAnsi="Arial" w:cs="Arial"/>
          <w:sz w:val="22"/>
          <w:szCs w:val="22"/>
          <w:lang w:val="en-US"/>
        </w:rPr>
        <w:t xml:space="preserve">, commissioning arrangements, poverty, social inequalities, and other factors (Marmot et al., 2020; Parkin and Long, 2024). All these aspects intersect, since socioeconomically disadvantaged families may have </w:t>
      </w:r>
      <w:r w:rsidR="008527CF">
        <w:rPr>
          <w:rFonts w:ascii="Arial" w:hAnsi="Arial" w:cs="Arial"/>
          <w:sz w:val="22"/>
          <w:szCs w:val="22"/>
          <w:lang w:val="en-US"/>
        </w:rPr>
        <w:t>fewer</w:t>
      </w:r>
      <w:r w:rsidRPr="00711DB0">
        <w:rPr>
          <w:rFonts w:ascii="Arial" w:hAnsi="Arial" w:cs="Arial"/>
          <w:sz w:val="22"/>
          <w:szCs w:val="22"/>
          <w:lang w:val="en-US"/>
        </w:rPr>
        <w:t xml:space="preserve"> resources to overcome barriers and access CAMHS while having more mental health needs (Bellis et al., 2014; Marmot et al., 2020).</w:t>
      </w:r>
    </w:p>
    <w:p w14:paraId="6D8F63E7" w14:textId="00C44428" w:rsidR="003457C9" w:rsidRPr="00485F83" w:rsidRDefault="00DB01CC" w:rsidP="001B7D33">
      <w:pPr>
        <w:spacing w:line="360" w:lineRule="auto"/>
        <w:jc w:val="both"/>
        <w:rPr>
          <w:rFonts w:ascii="Arial" w:hAnsi="Arial" w:cs="Arial"/>
          <w:sz w:val="22"/>
          <w:szCs w:val="22"/>
        </w:rPr>
      </w:pPr>
      <w:r>
        <w:rPr>
          <w:rFonts w:ascii="Arial" w:hAnsi="Arial" w:cs="Arial"/>
          <w:noProof/>
          <w:sz w:val="22"/>
          <w:szCs w:val="22"/>
          <w:lang w:val="en-US"/>
        </w:rPr>
        <w:lastRenderedPageBreak/>
        <w:drawing>
          <wp:inline distT="0" distB="0" distL="0" distR="0" wp14:anchorId="11BFAD76" wp14:editId="199399FF">
            <wp:extent cx="6052185" cy="3724275"/>
            <wp:effectExtent l="0" t="0" r="5715" b="9525"/>
            <wp:docPr id="1630112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5216" cy="3726140"/>
                    </a:xfrm>
                    <a:prstGeom prst="rect">
                      <a:avLst/>
                    </a:prstGeom>
                    <a:noFill/>
                    <a:ln>
                      <a:noFill/>
                    </a:ln>
                  </pic:spPr>
                </pic:pic>
              </a:graphicData>
            </a:graphic>
          </wp:inline>
        </w:drawing>
      </w:r>
    </w:p>
    <w:p w14:paraId="678E2EED" w14:textId="340B075B" w:rsidR="000F2650" w:rsidRDefault="000F2650" w:rsidP="001B7D33">
      <w:pPr>
        <w:spacing w:line="360" w:lineRule="auto"/>
        <w:jc w:val="both"/>
        <w:rPr>
          <w:rFonts w:ascii="Arial" w:hAnsi="Arial" w:cs="Arial"/>
          <w:sz w:val="22"/>
          <w:szCs w:val="22"/>
          <w:lang w:val="en-US"/>
        </w:rPr>
      </w:pPr>
      <w:r>
        <w:rPr>
          <w:rFonts w:ascii="Arial" w:hAnsi="Arial" w:cs="Arial"/>
          <w:sz w:val="22"/>
          <w:szCs w:val="22"/>
          <w:lang w:val="en-US"/>
        </w:rPr>
        <w:t>Figure 1</w:t>
      </w:r>
    </w:p>
    <w:p w14:paraId="1D6934A3" w14:textId="54DFA67E" w:rsidR="00AC2E6F" w:rsidRPr="00106C49" w:rsidRDefault="00AC2E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The conceptual model used in this thesis focuses on the </w:t>
      </w:r>
      <w:r w:rsidR="008527CF">
        <w:rPr>
          <w:rFonts w:ascii="Arial" w:hAnsi="Arial" w:cs="Arial"/>
          <w:sz w:val="22"/>
          <w:szCs w:val="22"/>
          <w:lang w:val="en-US"/>
        </w:rPr>
        <w:t>child/young person’s position</w:t>
      </w:r>
      <w:r w:rsidRPr="00711DB0">
        <w:rPr>
          <w:rFonts w:ascii="Arial" w:hAnsi="Arial" w:cs="Arial"/>
          <w:sz w:val="22"/>
          <w:szCs w:val="22"/>
          <w:lang w:val="en-US"/>
        </w:rPr>
        <w:t xml:space="preserve"> in relation to access to CAMHS services. It shows that the access process </w:t>
      </w:r>
      <w:r w:rsidR="008527CF" w:rsidRPr="008527CF">
        <w:rPr>
          <w:rFonts w:ascii="Arial" w:hAnsi="Arial" w:cs="Arial"/>
          <w:sz w:val="22"/>
          <w:szCs w:val="22"/>
          <w:lang w:val="en-US"/>
        </w:rPr>
        <w:t xml:space="preserve">depends on the interplay between individual, family, service, socio-economic, and political factors, rather than solely </w:t>
      </w:r>
      <w:r w:rsidRPr="00711DB0">
        <w:rPr>
          <w:rFonts w:ascii="Arial" w:hAnsi="Arial" w:cs="Arial"/>
          <w:sz w:val="22"/>
          <w:szCs w:val="22"/>
          <w:lang w:val="en-US"/>
        </w:rPr>
        <w:t xml:space="preserve">on clinical need (Reardon et al., 2017; Radez et al., 2021; Appleton et al., 2022). </w:t>
      </w:r>
      <w:r w:rsidR="008527CF" w:rsidRPr="008527CF">
        <w:rPr>
          <w:rFonts w:ascii="Arial" w:hAnsi="Arial" w:cs="Arial"/>
          <w:sz w:val="22"/>
          <w:szCs w:val="22"/>
          <w:lang w:val="en-US"/>
        </w:rPr>
        <w:t>This conceptual model draws on UK literature on access to CAMHS services</w:t>
      </w:r>
      <w:r w:rsidRPr="00711DB0">
        <w:rPr>
          <w:rFonts w:ascii="Arial" w:hAnsi="Arial" w:cs="Arial"/>
          <w:sz w:val="22"/>
          <w:szCs w:val="22"/>
          <w:lang w:val="en-US"/>
        </w:rPr>
        <w:t xml:space="preserve"> and the THRIVE model for supporting children and young people’s mental health needs.</w:t>
      </w:r>
      <w:r w:rsidRPr="00711DB0">
        <w:rPr>
          <w:rFonts w:ascii="Arial" w:hAnsi="Arial" w:cs="Arial"/>
          <w:noProof/>
          <w:sz w:val="22"/>
          <w:szCs w:val="22"/>
          <w:lang w:val="en-US"/>
        </w:rPr>
        <w:t xml:space="preserve"> </w:t>
      </w:r>
    </w:p>
    <w:p w14:paraId="62970059" w14:textId="0C0FA597" w:rsidR="005A016F" w:rsidRPr="00711DB0" w:rsidRDefault="00B56FD2" w:rsidP="001B7D33">
      <w:pPr>
        <w:spacing w:line="360" w:lineRule="auto"/>
        <w:jc w:val="both"/>
        <w:rPr>
          <w:rFonts w:ascii="Arial" w:hAnsi="Arial" w:cs="Arial"/>
          <w:sz w:val="22"/>
          <w:szCs w:val="22"/>
          <w:lang w:val="en-US"/>
        </w:rPr>
      </w:pPr>
      <w:r>
        <w:rPr>
          <w:rFonts w:ascii="Arial" w:hAnsi="Arial" w:cs="Arial"/>
          <w:sz w:val="22"/>
          <w:szCs w:val="22"/>
          <w:lang w:val="en-US"/>
        </w:rPr>
        <w:t>This discussion leads to a conceptual framework for</w:t>
      </w:r>
      <w:r w:rsidR="005A016F" w:rsidRPr="00711DB0">
        <w:rPr>
          <w:rFonts w:ascii="Arial" w:hAnsi="Arial" w:cs="Arial"/>
          <w:sz w:val="22"/>
          <w:szCs w:val="22"/>
          <w:lang w:val="en-US"/>
        </w:rPr>
        <w:t xml:space="preserve"> the topic. </w:t>
      </w:r>
      <w:r w:rsidR="008527CF" w:rsidRPr="008527CF">
        <w:rPr>
          <w:rFonts w:ascii="Arial" w:hAnsi="Arial" w:cs="Arial"/>
          <w:sz w:val="22"/>
          <w:szCs w:val="22"/>
          <w:lang w:val="en-US"/>
        </w:rPr>
        <w:t xml:space="preserve">In this approach, the child/youth is the central focus, with four overlapping spheres around them: individual and family factors, service-level factors, structural and socioeconomic factors, and </w:t>
      </w:r>
      <w:r w:rsidR="005A016F" w:rsidRPr="00711DB0">
        <w:rPr>
          <w:rFonts w:ascii="Arial" w:hAnsi="Arial" w:cs="Arial"/>
          <w:sz w:val="22"/>
          <w:szCs w:val="22"/>
          <w:lang w:val="en-US"/>
        </w:rPr>
        <w:t xml:space="preserve">policy/system-level factors. </w:t>
      </w:r>
      <w:r w:rsidR="00AC2E6F" w:rsidRPr="00711DB0">
        <w:rPr>
          <w:rFonts w:ascii="Arial" w:hAnsi="Arial" w:cs="Arial"/>
          <w:sz w:val="22"/>
          <w:szCs w:val="22"/>
          <w:lang w:val="en-US"/>
        </w:rPr>
        <w:t>Individual/family</w:t>
      </w:r>
      <w:r w:rsidR="005A016F" w:rsidRPr="00711DB0">
        <w:rPr>
          <w:rFonts w:ascii="Arial" w:hAnsi="Arial" w:cs="Arial"/>
          <w:sz w:val="22"/>
          <w:szCs w:val="22"/>
          <w:lang w:val="en-US"/>
        </w:rPr>
        <w:t xml:space="preserve"> factors include stigma, parents' knowledge about mental disorders, their trust, confidentiality problems, and willingness to seek assistance (Gulliver et al., 2010; Reardon et al., 2017). Service-level factors </w:t>
      </w:r>
      <w:r w:rsidR="008527CF">
        <w:rPr>
          <w:rFonts w:ascii="Arial" w:hAnsi="Arial" w:cs="Arial"/>
          <w:sz w:val="22"/>
          <w:szCs w:val="22"/>
          <w:lang w:val="en-US"/>
        </w:rPr>
        <w:t>include</w:t>
      </w:r>
      <w:r w:rsidR="005A016F" w:rsidRPr="00711DB0">
        <w:rPr>
          <w:rFonts w:ascii="Arial" w:hAnsi="Arial" w:cs="Arial"/>
          <w:sz w:val="22"/>
          <w:szCs w:val="22"/>
          <w:lang w:val="en-US"/>
        </w:rPr>
        <w:t xml:space="preserve"> referral thresholds, waiting periods, communication, staff capacity, and continuity of care (Edbrooke-Childs and Deighton, 2020; Appleton et al., 2022). Structural and socioeconomic factors </w:t>
      </w:r>
      <w:r w:rsidR="008527CF" w:rsidRPr="008527CF">
        <w:rPr>
          <w:rFonts w:ascii="Arial" w:hAnsi="Arial" w:cs="Arial"/>
          <w:sz w:val="22"/>
          <w:szCs w:val="22"/>
          <w:lang w:val="en-US"/>
        </w:rPr>
        <w:t>include poverty, adverse childhood experiences, SEND, ethnicity-related issues</w:t>
      </w:r>
      <w:r w:rsidR="005A016F" w:rsidRPr="00711DB0">
        <w:rPr>
          <w:rFonts w:ascii="Arial" w:hAnsi="Arial" w:cs="Arial"/>
          <w:sz w:val="22"/>
          <w:szCs w:val="22"/>
          <w:lang w:val="en-US"/>
        </w:rPr>
        <w:t xml:space="preserve">, housing instability, and regional variation (Bellis et al., 2014; Marmot et al., 2020). Policy/system-level factors </w:t>
      </w:r>
      <w:r w:rsidR="008527CF" w:rsidRPr="008527CF">
        <w:rPr>
          <w:rFonts w:ascii="Arial" w:hAnsi="Arial" w:cs="Arial"/>
          <w:sz w:val="22"/>
          <w:szCs w:val="22"/>
          <w:lang w:val="en-US"/>
        </w:rPr>
        <w:t>include NHS funding, commissioning mechanisms, use of MHST, schools' mental health initiatives</w:t>
      </w:r>
      <w:r w:rsidR="005A016F" w:rsidRPr="00711DB0">
        <w:rPr>
          <w:rFonts w:ascii="Arial" w:hAnsi="Arial" w:cs="Arial"/>
          <w:sz w:val="22"/>
          <w:szCs w:val="22"/>
          <w:lang w:val="en-US"/>
        </w:rPr>
        <w:t>, and integration of education and healthcare services (Department of Health and Department for Education, 2017; NHS England, 2019; Parkin and Long, 2024). The conceptual framework will guide the methodology and data analysis presented in further chapters.</w:t>
      </w:r>
    </w:p>
    <w:p w14:paraId="55F546E0" w14:textId="77777777" w:rsidR="005A016F" w:rsidRPr="00711DB0" w:rsidRDefault="005A016F" w:rsidP="001B7D33">
      <w:pPr>
        <w:spacing w:line="360" w:lineRule="auto"/>
        <w:jc w:val="both"/>
        <w:rPr>
          <w:rFonts w:ascii="Arial" w:hAnsi="Arial" w:cs="Arial"/>
          <w:sz w:val="22"/>
          <w:szCs w:val="22"/>
          <w:lang w:val="en-US"/>
        </w:rPr>
      </w:pPr>
    </w:p>
    <w:p w14:paraId="2A13304B" w14:textId="2283A7D9" w:rsidR="005A016F" w:rsidRPr="00106C49" w:rsidRDefault="005A016F" w:rsidP="001B7D33">
      <w:pPr>
        <w:pStyle w:val="Heading2"/>
        <w:spacing w:line="360" w:lineRule="auto"/>
        <w:jc w:val="both"/>
        <w:rPr>
          <w:rFonts w:ascii="Arial" w:hAnsi="Arial" w:cs="Arial"/>
          <w:lang w:val="en-US"/>
        </w:rPr>
      </w:pPr>
      <w:bookmarkStart w:id="21" w:name="_Toc233629116"/>
      <w:r w:rsidRPr="00711DB0">
        <w:rPr>
          <w:rFonts w:ascii="Arial" w:hAnsi="Arial" w:cs="Arial"/>
          <w:lang w:val="en-US"/>
        </w:rPr>
        <w:t>2.10 Gaps in Literature</w:t>
      </w:r>
      <w:bookmarkEnd w:id="21"/>
    </w:p>
    <w:p w14:paraId="1750CA6C" w14:textId="77777777" w:rsidR="001B7D33" w:rsidRPr="00106C49" w:rsidRDefault="001B7D33" w:rsidP="001B7D33">
      <w:pPr>
        <w:rPr>
          <w:lang w:val="en-US"/>
        </w:rPr>
      </w:pPr>
    </w:p>
    <w:p w14:paraId="07C13F6E" w14:textId="22696E02" w:rsidR="005A016F" w:rsidRPr="00106C49" w:rsidRDefault="00B56FD2" w:rsidP="001B7D33">
      <w:pPr>
        <w:spacing w:line="360" w:lineRule="auto"/>
        <w:jc w:val="both"/>
        <w:rPr>
          <w:rFonts w:ascii="Arial" w:hAnsi="Arial" w:cs="Arial"/>
          <w:sz w:val="22"/>
          <w:szCs w:val="22"/>
          <w:lang w:val="en-US"/>
        </w:rPr>
      </w:pPr>
      <w:r>
        <w:rPr>
          <w:rFonts w:ascii="Arial" w:hAnsi="Arial" w:cs="Arial"/>
          <w:sz w:val="22"/>
          <w:szCs w:val="22"/>
          <w:lang w:val="en-US"/>
        </w:rPr>
        <w:t>Literature provides</w:t>
      </w:r>
      <w:r w:rsidR="005A016F" w:rsidRPr="00711DB0">
        <w:rPr>
          <w:rFonts w:ascii="Arial" w:hAnsi="Arial" w:cs="Arial"/>
          <w:sz w:val="22"/>
          <w:szCs w:val="22"/>
          <w:lang w:val="en-US"/>
        </w:rPr>
        <w:t xml:space="preserve"> a solid basis for understanding the scale of </w:t>
      </w:r>
      <w:r>
        <w:rPr>
          <w:rFonts w:ascii="Arial" w:hAnsi="Arial" w:cs="Arial"/>
          <w:sz w:val="22"/>
          <w:szCs w:val="22"/>
          <w:lang w:val="en-US"/>
        </w:rPr>
        <w:t>CAMHS</w:t>
      </w:r>
      <w:r w:rsidR="005A016F" w:rsidRPr="00711DB0">
        <w:rPr>
          <w:rFonts w:ascii="Arial" w:hAnsi="Arial" w:cs="Arial"/>
          <w:sz w:val="22"/>
          <w:szCs w:val="22"/>
          <w:lang w:val="en-US"/>
        </w:rPr>
        <w:t xml:space="preserve"> problems, waiting times in CAMHS, policy challenges, and barriers experienced by young people/families (NHS Digital, 2023; Children's Commissioner, 2024; Parkin and Long, 2024). However, several issues </w:t>
      </w:r>
      <w:r>
        <w:rPr>
          <w:rFonts w:ascii="Arial" w:hAnsi="Arial" w:cs="Arial"/>
          <w:sz w:val="22"/>
          <w:szCs w:val="22"/>
          <w:lang w:val="en-US"/>
        </w:rPr>
        <w:t>warrant discussion, the first of which is the focus on quantitative measures such as</w:t>
      </w:r>
      <w:r w:rsidR="005A016F" w:rsidRPr="00711DB0">
        <w:rPr>
          <w:rFonts w:ascii="Arial" w:hAnsi="Arial" w:cs="Arial"/>
          <w:sz w:val="22"/>
          <w:szCs w:val="22"/>
          <w:lang w:val="en-US"/>
        </w:rPr>
        <w:t xml:space="preserve"> prevalence, number of referrals, waiting lists, and service activities. Although they are important </w:t>
      </w:r>
      <w:r w:rsidR="008527CF" w:rsidRPr="008527CF">
        <w:rPr>
          <w:rFonts w:ascii="Arial" w:hAnsi="Arial" w:cs="Arial"/>
          <w:sz w:val="22"/>
          <w:szCs w:val="22"/>
          <w:lang w:val="en-US"/>
        </w:rPr>
        <w:t>for estimating scale, they are not informative enough about</w:t>
      </w:r>
      <w:r w:rsidR="005A016F" w:rsidRPr="00711DB0">
        <w:rPr>
          <w:rFonts w:ascii="Arial" w:hAnsi="Arial" w:cs="Arial"/>
          <w:sz w:val="22"/>
          <w:szCs w:val="22"/>
          <w:lang w:val="en-US"/>
        </w:rPr>
        <w:t xml:space="preserve"> the lived experiences of children, young people, parents, and professionals (Appleton et al., 2020; Appleton et al., 2022).</w:t>
      </w:r>
    </w:p>
    <w:p w14:paraId="0C53EB59" w14:textId="6E46D84B" w:rsidR="005A016F" w:rsidRPr="00106C49"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Another issue </w:t>
      </w:r>
      <w:r w:rsidR="008527CF" w:rsidRPr="008527CF">
        <w:rPr>
          <w:rFonts w:ascii="Arial" w:hAnsi="Arial" w:cs="Arial"/>
          <w:sz w:val="22"/>
          <w:szCs w:val="22"/>
          <w:lang w:val="en-US"/>
        </w:rPr>
        <w:t xml:space="preserve">is the need </w:t>
      </w:r>
      <w:r w:rsidR="00B56FD2">
        <w:rPr>
          <w:rFonts w:ascii="Arial" w:hAnsi="Arial" w:cs="Arial"/>
          <w:sz w:val="22"/>
          <w:szCs w:val="22"/>
          <w:lang w:val="en-US"/>
        </w:rPr>
        <w:t>to synthesise</w:t>
      </w:r>
      <w:r w:rsidR="008527CF" w:rsidRPr="008527CF">
        <w:rPr>
          <w:rFonts w:ascii="Arial" w:hAnsi="Arial" w:cs="Arial"/>
          <w:sz w:val="22"/>
          <w:szCs w:val="22"/>
          <w:lang w:val="en-US"/>
        </w:rPr>
        <w:t xml:space="preserve"> existing UK-based qualitative and mixed-methods</w:t>
      </w:r>
      <w:r w:rsidRPr="00711DB0">
        <w:rPr>
          <w:rFonts w:ascii="Arial" w:hAnsi="Arial" w:cs="Arial"/>
          <w:sz w:val="22"/>
          <w:szCs w:val="22"/>
          <w:lang w:val="en-US"/>
        </w:rPr>
        <w:t xml:space="preserve"> studies exploring barriers/enablers of access (Reardon et al., 2017; Radez et al., 2021). </w:t>
      </w:r>
      <w:r w:rsidR="00B56FD2">
        <w:rPr>
          <w:rFonts w:ascii="Arial" w:hAnsi="Arial" w:cs="Arial"/>
          <w:sz w:val="22"/>
          <w:szCs w:val="22"/>
          <w:lang w:val="en-US"/>
        </w:rPr>
        <w:t xml:space="preserve">Literature reviews often include non-UK-based evidence and/or compare health systems in terms of </w:t>
      </w:r>
      <w:r w:rsidRPr="00711DB0">
        <w:rPr>
          <w:rFonts w:ascii="Arial" w:hAnsi="Arial" w:cs="Arial"/>
          <w:sz w:val="22"/>
          <w:szCs w:val="22"/>
          <w:lang w:val="en-US"/>
        </w:rPr>
        <w:t xml:space="preserve">effectiveness (Department of Health and Department for Education, 2017; Parkin and Long, 2024). Therefore, </w:t>
      </w:r>
      <w:r w:rsidR="008527CF" w:rsidRPr="008527CF">
        <w:rPr>
          <w:rFonts w:ascii="Arial" w:hAnsi="Arial" w:cs="Arial"/>
          <w:sz w:val="22"/>
          <w:szCs w:val="22"/>
          <w:lang w:val="en-US"/>
        </w:rPr>
        <w:t xml:space="preserve">a UK-specific synthesis of qualitative evidence is </w:t>
      </w:r>
      <w:r w:rsidR="00B56FD2">
        <w:rPr>
          <w:rFonts w:ascii="Arial" w:hAnsi="Arial" w:cs="Arial"/>
          <w:sz w:val="22"/>
          <w:szCs w:val="22"/>
          <w:lang w:val="en-US"/>
        </w:rPr>
        <w:t>needed to avoid concluding</w:t>
      </w:r>
      <w:r w:rsidR="008527CF" w:rsidRPr="008527CF">
        <w:rPr>
          <w:rFonts w:ascii="Arial" w:hAnsi="Arial" w:cs="Arial"/>
          <w:sz w:val="22"/>
          <w:szCs w:val="22"/>
          <w:lang w:val="en-US"/>
        </w:rPr>
        <w:t xml:space="preserve"> </w:t>
      </w:r>
      <w:r w:rsidR="00B56FD2">
        <w:rPr>
          <w:rFonts w:ascii="Arial" w:hAnsi="Arial" w:cs="Arial"/>
          <w:sz w:val="22"/>
          <w:szCs w:val="22"/>
          <w:lang w:val="en-US"/>
        </w:rPr>
        <w:t xml:space="preserve">that different systems are comparable </w:t>
      </w:r>
      <w:r w:rsidRPr="00711DB0">
        <w:rPr>
          <w:rFonts w:ascii="Arial" w:hAnsi="Arial" w:cs="Arial"/>
          <w:sz w:val="22"/>
          <w:szCs w:val="22"/>
          <w:lang w:val="en-US"/>
        </w:rPr>
        <w:t>(Aveyard, 2023).</w:t>
      </w:r>
    </w:p>
    <w:p w14:paraId="47232CD7" w14:textId="2ED15ED0" w:rsidR="005A016F" w:rsidRPr="00106C49"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A third problem refers to the interaction between social inequality and access barriers. </w:t>
      </w:r>
      <w:r w:rsidR="008527CF" w:rsidRPr="008527CF">
        <w:rPr>
          <w:rFonts w:ascii="Arial" w:hAnsi="Arial" w:cs="Arial"/>
          <w:sz w:val="22"/>
          <w:szCs w:val="22"/>
          <w:lang w:val="en-US"/>
        </w:rPr>
        <w:t>Although the literature on social determinants shows that poverty significantly influences</w:t>
      </w:r>
      <w:r w:rsidRPr="00711DB0">
        <w:rPr>
          <w:rFonts w:ascii="Arial" w:hAnsi="Arial" w:cs="Arial"/>
          <w:sz w:val="22"/>
          <w:szCs w:val="22"/>
          <w:lang w:val="en-US"/>
        </w:rPr>
        <w:t xml:space="preserve"> child mental well-being, literature on CAMHS access fails to address this issue (Bellis et al., 2014; Marmot et al., 2020; Radez et al., 2021). The issue is crucial because high-needs individuals face more complicated barriers on their pathway to CAMHS (Marmot et al., 2020; Children's Commissioner, 2024).</w:t>
      </w:r>
    </w:p>
    <w:p w14:paraId="2B7BFE36" w14:textId="4A91FA32" w:rsidR="005A016F" w:rsidRPr="00711DB0" w:rsidRDefault="005A016F" w:rsidP="001B7D33">
      <w:pPr>
        <w:spacing w:line="360" w:lineRule="auto"/>
        <w:jc w:val="both"/>
        <w:rPr>
          <w:rFonts w:ascii="Arial" w:hAnsi="Arial" w:cs="Arial"/>
          <w:sz w:val="22"/>
          <w:szCs w:val="22"/>
          <w:lang w:val="en-US"/>
        </w:rPr>
      </w:pPr>
      <w:r w:rsidRPr="00711DB0">
        <w:rPr>
          <w:rFonts w:ascii="Arial" w:hAnsi="Arial" w:cs="Arial"/>
          <w:sz w:val="22"/>
          <w:szCs w:val="22"/>
          <w:lang w:val="en-US"/>
        </w:rPr>
        <w:t xml:space="preserve">Finally, </w:t>
      </w:r>
      <w:r w:rsidR="008527CF">
        <w:rPr>
          <w:rFonts w:ascii="Arial" w:hAnsi="Arial" w:cs="Arial"/>
          <w:sz w:val="22"/>
          <w:szCs w:val="22"/>
          <w:lang w:val="en-US"/>
        </w:rPr>
        <w:t xml:space="preserve">more emphasis should be placed on </w:t>
      </w:r>
      <w:r w:rsidRPr="00711DB0">
        <w:rPr>
          <w:rFonts w:ascii="Arial" w:hAnsi="Arial" w:cs="Arial"/>
          <w:sz w:val="22"/>
          <w:szCs w:val="22"/>
          <w:lang w:val="en-US"/>
        </w:rPr>
        <w:t xml:space="preserve">facilitators of access. While CAMHS access literature tends to stress the significance of waiting times, service thresholds, and unmet need, </w:t>
      </w:r>
      <w:r w:rsidR="008527CF" w:rsidRPr="008527CF">
        <w:rPr>
          <w:rFonts w:ascii="Arial" w:hAnsi="Arial" w:cs="Arial"/>
          <w:sz w:val="22"/>
          <w:szCs w:val="22"/>
          <w:lang w:val="en-US"/>
        </w:rPr>
        <w:t>it does not thoroughly examine factors that</w:t>
      </w:r>
      <w:r w:rsidRPr="00711DB0">
        <w:rPr>
          <w:rFonts w:ascii="Arial" w:hAnsi="Arial" w:cs="Arial"/>
          <w:sz w:val="22"/>
          <w:szCs w:val="22"/>
          <w:lang w:val="en-US"/>
        </w:rPr>
        <w:t xml:space="preserve"> would make access easier (Department of Health and Department for Education, 2017; NHS England, 2025). This dissertation seeks to fill these gaps through </w:t>
      </w:r>
      <w:r w:rsidR="008527CF">
        <w:rPr>
          <w:rFonts w:ascii="Arial" w:hAnsi="Arial" w:cs="Arial"/>
          <w:sz w:val="22"/>
          <w:szCs w:val="22"/>
          <w:lang w:val="en-US"/>
        </w:rPr>
        <w:t xml:space="preserve">a </w:t>
      </w:r>
      <w:r w:rsidRPr="00711DB0">
        <w:rPr>
          <w:rFonts w:ascii="Arial" w:hAnsi="Arial" w:cs="Arial"/>
          <w:sz w:val="22"/>
          <w:szCs w:val="22"/>
          <w:lang w:val="en-US"/>
        </w:rPr>
        <w:t>systematic review of the UK-based qualitative evidence on barriers and facilitators.</w:t>
      </w:r>
    </w:p>
    <w:p w14:paraId="4ED429BE" w14:textId="77777777" w:rsidR="005A016F" w:rsidRPr="00711DB0" w:rsidRDefault="005A016F" w:rsidP="001B7D33">
      <w:pPr>
        <w:spacing w:line="360" w:lineRule="auto"/>
        <w:jc w:val="both"/>
        <w:rPr>
          <w:rFonts w:ascii="Arial" w:hAnsi="Arial" w:cs="Arial"/>
          <w:sz w:val="22"/>
          <w:szCs w:val="22"/>
          <w:lang w:val="en-US"/>
        </w:rPr>
      </w:pPr>
    </w:p>
    <w:p w14:paraId="3C524CD8" w14:textId="7F469F51" w:rsidR="005A016F" w:rsidRPr="00711DB0" w:rsidRDefault="005A016F" w:rsidP="001B7D33">
      <w:pPr>
        <w:pStyle w:val="Heading2"/>
        <w:spacing w:line="360" w:lineRule="auto"/>
        <w:jc w:val="both"/>
        <w:rPr>
          <w:rFonts w:ascii="Arial" w:hAnsi="Arial" w:cs="Arial"/>
          <w:lang w:val="en-US"/>
        </w:rPr>
      </w:pPr>
      <w:bookmarkStart w:id="22" w:name="_Toc233629117"/>
      <w:r w:rsidRPr="00711DB0">
        <w:rPr>
          <w:rFonts w:ascii="Arial" w:hAnsi="Arial" w:cs="Arial"/>
          <w:lang w:val="en-US"/>
        </w:rPr>
        <w:t>2.11 Chapter Summary</w:t>
      </w:r>
      <w:bookmarkEnd w:id="22"/>
    </w:p>
    <w:p w14:paraId="6CB9C906" w14:textId="77777777" w:rsidR="00DB01CC" w:rsidRPr="00DB01CC" w:rsidRDefault="00DB01CC" w:rsidP="00DB01CC">
      <w:pPr>
        <w:spacing w:line="360" w:lineRule="auto"/>
        <w:jc w:val="both"/>
        <w:rPr>
          <w:rFonts w:ascii="Arial" w:hAnsi="Arial" w:cs="Arial"/>
          <w:sz w:val="22"/>
          <w:szCs w:val="22"/>
          <w:lang w:val="en-US"/>
        </w:rPr>
      </w:pPr>
    </w:p>
    <w:p w14:paraId="54434879" w14:textId="7C8DF837" w:rsidR="00501C21" w:rsidRPr="00711DB0" w:rsidRDefault="008527CF" w:rsidP="00DB01CC">
      <w:pPr>
        <w:spacing w:line="360" w:lineRule="auto"/>
        <w:jc w:val="both"/>
        <w:rPr>
          <w:rFonts w:ascii="Arial" w:hAnsi="Arial" w:cs="Arial"/>
          <w:sz w:val="22"/>
          <w:szCs w:val="22"/>
          <w:lang w:val="en-US"/>
        </w:rPr>
      </w:pPr>
      <w:r w:rsidRPr="008527CF">
        <w:rPr>
          <w:rFonts w:ascii="Arial" w:hAnsi="Arial" w:cs="Arial"/>
          <w:sz w:val="22"/>
          <w:szCs w:val="22"/>
          <w:lang w:val="en-US"/>
        </w:rPr>
        <w:t>This chapter reviews literature on access to CAMHS services in the United Kingdom, indicating that access is influenced by a range of factors,</w:t>
      </w:r>
      <w:r w:rsidR="00DB01CC" w:rsidRPr="00DB01CC">
        <w:rPr>
          <w:rFonts w:ascii="Arial" w:hAnsi="Arial" w:cs="Arial"/>
          <w:sz w:val="22"/>
          <w:szCs w:val="22"/>
          <w:lang w:val="en-US"/>
        </w:rPr>
        <w:t xml:space="preserve"> including personal, familial, service-related, socio-economic, and policy-related considerations. From the reviewed literature, it becomes apparent that barriers such as long waiting lists, stringent referral criteria, refusal of referrals, socio-</w:t>
      </w:r>
      <w:r w:rsidR="00DB01CC" w:rsidRPr="00DB01CC">
        <w:rPr>
          <w:rFonts w:ascii="Arial" w:hAnsi="Arial" w:cs="Arial"/>
          <w:sz w:val="22"/>
          <w:szCs w:val="22"/>
          <w:lang w:val="en-US"/>
        </w:rPr>
        <w:lastRenderedPageBreak/>
        <w:t>economic disparities, stigma, poor pathways, and transition issues may limit access, while facilitators such as schools, GP referrals, MHSTs, early intervention, effective communication, and integration may enable access.</w:t>
      </w:r>
      <w:r w:rsidR="00501C21" w:rsidRPr="00711DB0">
        <w:rPr>
          <w:rFonts w:ascii="Arial" w:hAnsi="Arial" w:cs="Arial"/>
          <w:sz w:val="22"/>
          <w:szCs w:val="22"/>
          <w:lang w:val="en-US"/>
        </w:rPr>
        <w:br w:type="page"/>
      </w:r>
    </w:p>
    <w:p w14:paraId="751C5072" w14:textId="77777777" w:rsidR="00711DB0" w:rsidRPr="00106C49" w:rsidRDefault="00711DB0" w:rsidP="001B7D33">
      <w:pPr>
        <w:pStyle w:val="Heading1"/>
        <w:spacing w:line="360" w:lineRule="auto"/>
        <w:jc w:val="both"/>
        <w:rPr>
          <w:lang w:val="en-US"/>
        </w:rPr>
      </w:pPr>
      <w:bookmarkStart w:id="23" w:name="_Toc233629118"/>
      <w:r w:rsidRPr="00106C49">
        <w:rPr>
          <w:lang w:val="en-US"/>
        </w:rPr>
        <w:lastRenderedPageBreak/>
        <w:t>Chapter 3: Research Methodology</w:t>
      </w:r>
      <w:bookmarkEnd w:id="23"/>
    </w:p>
    <w:p w14:paraId="2D59FF7A" w14:textId="771B2531" w:rsidR="00711DB0" w:rsidRPr="00364982" w:rsidRDefault="00711DB0" w:rsidP="00485F83">
      <w:pPr>
        <w:pStyle w:val="Heading2"/>
        <w:spacing w:line="360" w:lineRule="auto"/>
        <w:jc w:val="both"/>
        <w:rPr>
          <w:lang w:val="en-US"/>
        </w:rPr>
      </w:pPr>
      <w:bookmarkStart w:id="24" w:name="_Toc233629119"/>
      <w:r w:rsidRPr="00106C49">
        <w:rPr>
          <w:lang w:val="en-US"/>
        </w:rPr>
        <w:t>3.1 Introduction</w:t>
      </w:r>
      <w:bookmarkEnd w:id="24"/>
    </w:p>
    <w:p w14:paraId="70AAA889" w14:textId="20BEA63A" w:rsidR="00711DB0" w:rsidRPr="008B6D04" w:rsidRDefault="00B56FD2" w:rsidP="001B7D33">
      <w:pPr>
        <w:spacing w:line="360" w:lineRule="auto"/>
        <w:jc w:val="both"/>
        <w:rPr>
          <w:rFonts w:ascii="Arial" w:hAnsi="Arial" w:cs="Arial"/>
          <w:sz w:val="22"/>
          <w:szCs w:val="22"/>
          <w:lang w:val="en-US"/>
        </w:rPr>
      </w:pPr>
      <w:r>
        <w:rPr>
          <w:rFonts w:ascii="Arial" w:hAnsi="Arial" w:cs="Arial"/>
          <w:sz w:val="22"/>
          <w:szCs w:val="22"/>
          <w:lang w:val="en-US"/>
        </w:rPr>
        <w:t xml:space="preserve">As part of this project, the dissertation conducts a systematic literature review. The dissertation focuses on UK-based literature published between 2015 and 2025, including qualitative and mixed-methods evidence on barriers and enablers that influence access to CAMHS. </w:t>
      </w:r>
      <w:r w:rsidR="008527CF" w:rsidRPr="008527CF">
        <w:rPr>
          <w:rFonts w:ascii="Arial" w:hAnsi="Arial" w:cs="Arial"/>
          <w:sz w:val="22"/>
          <w:szCs w:val="22"/>
          <w:lang w:val="en-US"/>
        </w:rPr>
        <w:t>This methodological choice is justified because the research question focuses primarily on existing evidence rather than primary data collection</w:t>
      </w:r>
      <w:r>
        <w:rPr>
          <w:rFonts w:ascii="Arial" w:hAnsi="Arial" w:cs="Arial"/>
          <w:sz w:val="22"/>
          <w:szCs w:val="22"/>
          <w:lang w:val="en-US"/>
        </w:rPr>
        <w:t xml:space="preserve"> and therefore requires</w:t>
      </w:r>
      <w:r w:rsidR="008527CF" w:rsidRPr="008527CF">
        <w:rPr>
          <w:rFonts w:ascii="Arial" w:hAnsi="Arial" w:cs="Arial"/>
          <w:sz w:val="22"/>
          <w:szCs w:val="22"/>
          <w:lang w:val="en-US"/>
        </w:rPr>
        <w:t xml:space="preserve"> </w:t>
      </w:r>
      <w:r w:rsidR="00711DB0" w:rsidRPr="008B6D04">
        <w:rPr>
          <w:rFonts w:ascii="Arial" w:hAnsi="Arial" w:cs="Arial"/>
          <w:sz w:val="22"/>
          <w:szCs w:val="22"/>
          <w:lang w:val="en-US"/>
        </w:rPr>
        <w:t xml:space="preserve">a systematic literature review (Page et al., 2021; Aveyard, 2023). In addition, the review </w:t>
      </w:r>
      <w:r w:rsidR="008527CF">
        <w:rPr>
          <w:rFonts w:ascii="Arial" w:hAnsi="Arial" w:cs="Arial"/>
          <w:sz w:val="22"/>
          <w:szCs w:val="22"/>
          <w:lang w:val="en-US"/>
        </w:rPr>
        <w:t>followed</w:t>
      </w:r>
      <w:r w:rsidR="00711DB0" w:rsidRPr="008B6D04">
        <w:rPr>
          <w:rFonts w:ascii="Arial" w:hAnsi="Arial" w:cs="Arial"/>
          <w:sz w:val="22"/>
          <w:szCs w:val="22"/>
          <w:lang w:val="en-US"/>
        </w:rPr>
        <w:t xml:space="preserve"> PRISMA 2020 guidelines, which enable transparent reporting of evidence identification, screening, eligibility, and selection in systematic reviews (Page et al., 2021). Evidence was </w:t>
      </w:r>
      <w:r w:rsidR="008527CF" w:rsidRPr="008527CF">
        <w:rPr>
          <w:rFonts w:ascii="Arial" w:hAnsi="Arial" w:cs="Arial"/>
          <w:sz w:val="22"/>
          <w:szCs w:val="22"/>
          <w:lang w:val="en-US"/>
        </w:rPr>
        <w:t>analysed using thematic analysis, which allows themes to be identified, organised</w:t>
      </w:r>
      <w:r w:rsidR="00711DB0" w:rsidRPr="008B6D04">
        <w:rPr>
          <w:rFonts w:ascii="Arial" w:hAnsi="Arial" w:cs="Arial"/>
          <w:sz w:val="22"/>
          <w:szCs w:val="22"/>
          <w:lang w:val="en-US"/>
        </w:rPr>
        <w:t>, and interpreted within the context of qualitative evidence related to the research question (Braun and Clarke, 2006; Saunders et al., 2023).</w:t>
      </w:r>
    </w:p>
    <w:p w14:paraId="5E1078F8" w14:textId="77777777" w:rsidR="00711DB0" w:rsidRPr="008B6D04" w:rsidRDefault="00711DB0" w:rsidP="001B7D33">
      <w:pPr>
        <w:spacing w:line="360" w:lineRule="auto"/>
        <w:jc w:val="both"/>
        <w:rPr>
          <w:rFonts w:ascii="Arial" w:hAnsi="Arial" w:cs="Arial"/>
          <w:sz w:val="22"/>
          <w:szCs w:val="22"/>
          <w:lang w:val="en-US"/>
        </w:rPr>
      </w:pPr>
    </w:p>
    <w:p w14:paraId="38FD9CD5" w14:textId="77777777" w:rsidR="00711DB0" w:rsidRPr="00485F83" w:rsidRDefault="00711DB0" w:rsidP="001B7D33">
      <w:pPr>
        <w:pStyle w:val="Heading2"/>
        <w:spacing w:line="360" w:lineRule="auto"/>
        <w:jc w:val="both"/>
        <w:rPr>
          <w:rFonts w:ascii="Arial" w:hAnsi="Arial" w:cs="Arial"/>
          <w:sz w:val="28"/>
          <w:szCs w:val="28"/>
          <w:lang w:val="en-US"/>
        </w:rPr>
      </w:pPr>
      <w:bookmarkStart w:id="25" w:name="_Toc233629120"/>
      <w:r w:rsidRPr="00485F83">
        <w:rPr>
          <w:rFonts w:ascii="Arial" w:hAnsi="Arial" w:cs="Arial"/>
          <w:sz w:val="28"/>
          <w:szCs w:val="28"/>
          <w:lang w:val="en-US"/>
        </w:rPr>
        <w:t>3.2 Research Philosophy and Approach</w:t>
      </w:r>
      <w:bookmarkEnd w:id="25"/>
    </w:p>
    <w:p w14:paraId="74766FF1" w14:textId="77777777" w:rsidR="00711DB0" w:rsidRPr="008B6D04" w:rsidRDefault="00711DB0" w:rsidP="001B7D33">
      <w:pPr>
        <w:spacing w:line="360" w:lineRule="auto"/>
        <w:jc w:val="both"/>
        <w:rPr>
          <w:rFonts w:ascii="Arial" w:hAnsi="Arial" w:cs="Arial"/>
          <w:sz w:val="22"/>
          <w:szCs w:val="22"/>
          <w:lang w:val="en-US"/>
        </w:rPr>
      </w:pPr>
    </w:p>
    <w:p w14:paraId="7EB16536" w14:textId="269C9EF0" w:rsidR="00711DB0" w:rsidRPr="008B6D04" w:rsidRDefault="00711DB0" w:rsidP="001B7D33">
      <w:pPr>
        <w:spacing w:line="360" w:lineRule="auto"/>
        <w:jc w:val="both"/>
        <w:rPr>
          <w:rFonts w:ascii="Arial" w:hAnsi="Arial" w:cs="Arial"/>
          <w:sz w:val="22"/>
          <w:szCs w:val="22"/>
          <w:lang w:val="en-US"/>
        </w:rPr>
      </w:pPr>
      <w:r w:rsidRPr="008B6D04">
        <w:rPr>
          <w:rFonts w:ascii="Arial" w:hAnsi="Arial" w:cs="Arial"/>
          <w:sz w:val="22"/>
          <w:szCs w:val="22"/>
          <w:lang w:val="en-US"/>
        </w:rPr>
        <w:t xml:space="preserve">Interpretivism </w:t>
      </w:r>
      <w:r w:rsidR="008527CF" w:rsidRPr="008527CF">
        <w:rPr>
          <w:rFonts w:ascii="Arial" w:hAnsi="Arial" w:cs="Arial"/>
          <w:sz w:val="22"/>
          <w:szCs w:val="22"/>
          <w:lang w:val="en-US"/>
        </w:rPr>
        <w:t>underpins this dissertation because the research focuses on understanding experiences, meanings, and perceptions of</w:t>
      </w:r>
      <w:r w:rsidRPr="008B6D04">
        <w:rPr>
          <w:rFonts w:ascii="Arial" w:hAnsi="Arial" w:cs="Arial"/>
          <w:sz w:val="22"/>
          <w:szCs w:val="22"/>
          <w:lang w:val="en-US"/>
        </w:rPr>
        <w:t xml:space="preserve"> CAMHS access rather than testing numerical hypotheses or collecting data on the effectiveness of treatment interventions (Creswell and Creswell, 2018; Aveyard, 2023). Access to CAMHS is not </w:t>
      </w:r>
      <w:r w:rsidR="008527CF">
        <w:rPr>
          <w:rFonts w:ascii="Arial" w:hAnsi="Arial" w:cs="Arial"/>
          <w:sz w:val="22"/>
          <w:szCs w:val="22"/>
          <w:lang w:val="en-US"/>
        </w:rPr>
        <w:t>purely technical</w:t>
      </w:r>
      <w:r w:rsidR="00B56FD2">
        <w:rPr>
          <w:rFonts w:ascii="Arial" w:hAnsi="Arial" w:cs="Arial"/>
          <w:sz w:val="22"/>
          <w:szCs w:val="22"/>
          <w:lang w:val="en-US"/>
        </w:rPr>
        <w:t>; it involves</w:t>
      </w:r>
      <w:r w:rsidRPr="008B6D04">
        <w:rPr>
          <w:rFonts w:ascii="Arial" w:hAnsi="Arial" w:cs="Arial"/>
          <w:sz w:val="22"/>
          <w:szCs w:val="22"/>
          <w:lang w:val="en-US"/>
        </w:rPr>
        <w:t xml:space="preserve"> referral and appointment allocation. Instead, </w:t>
      </w:r>
      <w:r w:rsidR="00B56FD2">
        <w:rPr>
          <w:rFonts w:ascii="Arial" w:hAnsi="Arial" w:cs="Arial"/>
          <w:sz w:val="22"/>
          <w:szCs w:val="22"/>
          <w:lang w:val="en-US"/>
        </w:rPr>
        <w:t xml:space="preserve">family knowledge, stigma, professional assessment, service thresholds, waiting times, and socioeconomic circumstances also shape access </w:t>
      </w:r>
      <w:r w:rsidRPr="008B6D04">
        <w:rPr>
          <w:rFonts w:ascii="Arial" w:hAnsi="Arial" w:cs="Arial"/>
          <w:sz w:val="22"/>
          <w:szCs w:val="22"/>
          <w:lang w:val="en-US"/>
        </w:rPr>
        <w:t>(Reardon et al., 2017; Radez et al., 2021; Appleton et al., 2022).</w:t>
      </w:r>
    </w:p>
    <w:p w14:paraId="5D2F41FA" w14:textId="77777777" w:rsidR="00711DB0" w:rsidRPr="00364982" w:rsidRDefault="00711DB0" w:rsidP="001B7D33">
      <w:pPr>
        <w:spacing w:line="360" w:lineRule="auto"/>
        <w:jc w:val="both"/>
        <w:rPr>
          <w:rFonts w:ascii="Arial" w:hAnsi="Arial" w:cs="Arial"/>
          <w:sz w:val="22"/>
          <w:szCs w:val="22"/>
          <w:lang w:val="en-US"/>
        </w:rPr>
      </w:pPr>
    </w:p>
    <w:p w14:paraId="79030E66" w14:textId="51A0D26F" w:rsidR="00711DB0" w:rsidRPr="008B6D04" w:rsidRDefault="00711DB0" w:rsidP="001B7D33">
      <w:pPr>
        <w:spacing w:line="360" w:lineRule="auto"/>
        <w:jc w:val="both"/>
        <w:rPr>
          <w:rFonts w:ascii="Arial" w:hAnsi="Arial" w:cs="Arial"/>
          <w:sz w:val="22"/>
          <w:szCs w:val="22"/>
          <w:lang w:val="en-US"/>
        </w:rPr>
      </w:pPr>
      <w:r w:rsidRPr="008B6D04">
        <w:rPr>
          <w:rFonts w:ascii="Arial" w:hAnsi="Arial" w:cs="Arial"/>
          <w:sz w:val="22"/>
          <w:szCs w:val="22"/>
          <w:lang w:val="en-US"/>
        </w:rPr>
        <w:t xml:space="preserve">Therefore, this research followed an inductive approach to the analysis. This means </w:t>
      </w:r>
      <w:r w:rsidR="008527CF" w:rsidRPr="008527CF">
        <w:rPr>
          <w:rFonts w:ascii="Arial" w:hAnsi="Arial" w:cs="Arial"/>
          <w:sz w:val="22"/>
          <w:szCs w:val="22"/>
          <w:lang w:val="en-US"/>
        </w:rPr>
        <w:t xml:space="preserve">the research allowed themes to emerge from the evidence rather than fitting the </w:t>
      </w:r>
      <w:r w:rsidRPr="008B6D04">
        <w:rPr>
          <w:rFonts w:ascii="Arial" w:hAnsi="Arial" w:cs="Arial"/>
          <w:sz w:val="22"/>
          <w:szCs w:val="22"/>
          <w:lang w:val="en-US"/>
        </w:rPr>
        <w:t xml:space="preserve">evidence to a particular theoretical model (Braun and Clarke, 2006; Saunders et al., 2023). </w:t>
      </w:r>
      <w:r w:rsidR="008527CF">
        <w:rPr>
          <w:rFonts w:ascii="Arial" w:hAnsi="Arial" w:cs="Arial"/>
          <w:sz w:val="22"/>
          <w:szCs w:val="22"/>
          <w:lang w:val="en-US"/>
        </w:rPr>
        <w:t>An inductive</w:t>
      </w:r>
      <w:r w:rsidRPr="008B6D04">
        <w:rPr>
          <w:rFonts w:ascii="Arial" w:hAnsi="Arial" w:cs="Arial"/>
          <w:sz w:val="22"/>
          <w:szCs w:val="22"/>
          <w:lang w:val="en-US"/>
        </w:rPr>
        <w:t xml:space="preserve"> approach was appropriate </w:t>
      </w:r>
      <w:r w:rsidR="00B56FD2">
        <w:rPr>
          <w:rFonts w:ascii="Arial" w:hAnsi="Arial" w:cs="Arial"/>
          <w:sz w:val="22"/>
          <w:szCs w:val="22"/>
          <w:lang w:val="en-US"/>
        </w:rPr>
        <w:t>because the analysis aimed to identify key barriers and enablers highlighted in UK-based literature,</w:t>
      </w:r>
      <w:r w:rsidRPr="008B6D04">
        <w:rPr>
          <w:rFonts w:ascii="Arial" w:hAnsi="Arial" w:cs="Arial"/>
          <w:sz w:val="22"/>
          <w:szCs w:val="22"/>
          <w:lang w:val="en-US"/>
        </w:rPr>
        <w:t xml:space="preserve"> while being guided by the conceptual framework outlined in Chapter 2. Thus, the review balanced open-mindedness in theme development with consideration of the broader topic of social determinants of health, access pathways, and health service-level inequality (Marmot et al., 2020; Radez et al., 2021).</w:t>
      </w:r>
    </w:p>
    <w:p w14:paraId="054C658E" w14:textId="77777777" w:rsidR="00711DB0" w:rsidRPr="008B6D04" w:rsidRDefault="00711DB0" w:rsidP="001B7D33">
      <w:pPr>
        <w:spacing w:line="360" w:lineRule="auto"/>
        <w:jc w:val="both"/>
        <w:rPr>
          <w:rFonts w:ascii="Arial" w:hAnsi="Arial" w:cs="Arial"/>
          <w:sz w:val="22"/>
          <w:szCs w:val="22"/>
          <w:lang w:val="en-US"/>
        </w:rPr>
      </w:pPr>
    </w:p>
    <w:p w14:paraId="5EE0ADDC" w14:textId="77777777" w:rsidR="00711DB0" w:rsidRPr="00485F83" w:rsidRDefault="00711DB0" w:rsidP="001B7D33">
      <w:pPr>
        <w:pStyle w:val="Heading2"/>
        <w:spacing w:line="360" w:lineRule="auto"/>
        <w:jc w:val="both"/>
        <w:rPr>
          <w:rFonts w:ascii="Arial" w:hAnsi="Arial" w:cs="Arial"/>
          <w:sz w:val="28"/>
          <w:szCs w:val="28"/>
          <w:lang w:val="en-US"/>
        </w:rPr>
      </w:pPr>
      <w:bookmarkStart w:id="26" w:name="_Toc233629121"/>
      <w:r w:rsidRPr="00485F83">
        <w:rPr>
          <w:rFonts w:ascii="Arial" w:hAnsi="Arial" w:cs="Arial"/>
          <w:sz w:val="28"/>
          <w:szCs w:val="28"/>
          <w:lang w:val="en-US"/>
        </w:rPr>
        <w:lastRenderedPageBreak/>
        <w:t>3.3 Research Design</w:t>
      </w:r>
      <w:bookmarkEnd w:id="26"/>
    </w:p>
    <w:p w14:paraId="6C7AB061" w14:textId="77777777" w:rsidR="00711DB0" w:rsidRPr="008B6D04" w:rsidRDefault="00711DB0" w:rsidP="001B7D33">
      <w:pPr>
        <w:spacing w:line="360" w:lineRule="auto"/>
        <w:jc w:val="both"/>
        <w:rPr>
          <w:rFonts w:ascii="Arial" w:hAnsi="Arial" w:cs="Arial"/>
          <w:sz w:val="22"/>
          <w:szCs w:val="22"/>
          <w:lang w:val="en-US"/>
        </w:rPr>
      </w:pPr>
    </w:p>
    <w:p w14:paraId="39CD62D0" w14:textId="7B51413B" w:rsidR="00711DB0" w:rsidRPr="008B6D04" w:rsidRDefault="00711DB0" w:rsidP="001B7D33">
      <w:pPr>
        <w:spacing w:line="360" w:lineRule="auto"/>
        <w:jc w:val="both"/>
        <w:rPr>
          <w:rFonts w:ascii="Arial" w:hAnsi="Arial" w:cs="Arial"/>
          <w:sz w:val="22"/>
          <w:szCs w:val="22"/>
          <w:lang w:val="en-US"/>
        </w:rPr>
      </w:pPr>
      <w:r w:rsidRPr="008B6D04">
        <w:rPr>
          <w:rFonts w:ascii="Arial" w:hAnsi="Arial" w:cs="Arial"/>
          <w:sz w:val="22"/>
          <w:szCs w:val="22"/>
          <w:lang w:val="en-US"/>
        </w:rPr>
        <w:t xml:space="preserve">As explained above, the research design included a secondary qualitative systematic literature review. This </w:t>
      </w:r>
      <w:r w:rsidR="008527CF" w:rsidRPr="008B6D04">
        <w:rPr>
          <w:rFonts w:ascii="Arial" w:hAnsi="Arial" w:cs="Arial"/>
          <w:sz w:val="22"/>
          <w:szCs w:val="22"/>
          <w:lang w:val="en-US"/>
        </w:rPr>
        <w:t>methodology</w:t>
      </w:r>
      <w:r w:rsidRPr="008B6D04">
        <w:rPr>
          <w:rFonts w:ascii="Arial" w:hAnsi="Arial" w:cs="Arial"/>
          <w:sz w:val="22"/>
          <w:szCs w:val="22"/>
          <w:lang w:val="en-US"/>
        </w:rPr>
        <w:t xml:space="preserve"> </w:t>
      </w:r>
      <w:r w:rsidR="008527CF" w:rsidRPr="008527CF">
        <w:rPr>
          <w:rFonts w:ascii="Arial" w:hAnsi="Arial" w:cs="Arial"/>
          <w:sz w:val="22"/>
          <w:szCs w:val="22"/>
          <w:lang w:val="en-US"/>
        </w:rPr>
        <w:t>was used because the dissertation is based on secondary data from academic studies and does not include primary data collected by the researcher from</w:t>
      </w:r>
      <w:r w:rsidRPr="008B6D04">
        <w:rPr>
          <w:rFonts w:ascii="Arial" w:hAnsi="Arial" w:cs="Arial"/>
          <w:sz w:val="22"/>
          <w:szCs w:val="22"/>
          <w:lang w:val="en-US"/>
        </w:rPr>
        <w:t xml:space="preserve"> children, young people, parents, carers, and professionals (Aveyard, 2023; Page et al., 2021). </w:t>
      </w:r>
    </w:p>
    <w:p w14:paraId="17549CDB" w14:textId="77777777" w:rsidR="00711DB0" w:rsidRPr="008B6D04" w:rsidRDefault="00711DB0" w:rsidP="001B7D33">
      <w:pPr>
        <w:spacing w:line="360" w:lineRule="auto"/>
        <w:jc w:val="both"/>
        <w:rPr>
          <w:rFonts w:ascii="Arial" w:hAnsi="Arial" w:cs="Arial"/>
          <w:sz w:val="22"/>
          <w:szCs w:val="22"/>
          <w:lang w:val="en-US"/>
        </w:rPr>
      </w:pPr>
    </w:p>
    <w:p w14:paraId="2412487D" w14:textId="045DCBBC" w:rsidR="00711DB0" w:rsidRPr="008B6D04" w:rsidRDefault="008527CF" w:rsidP="001B7D33">
      <w:pPr>
        <w:spacing w:line="360" w:lineRule="auto"/>
        <w:jc w:val="both"/>
        <w:rPr>
          <w:rFonts w:ascii="Arial" w:hAnsi="Arial" w:cs="Arial"/>
          <w:sz w:val="22"/>
          <w:szCs w:val="22"/>
          <w:lang w:val="en-US"/>
        </w:rPr>
      </w:pPr>
      <w:r w:rsidRPr="008527CF">
        <w:rPr>
          <w:rFonts w:ascii="Arial" w:hAnsi="Arial" w:cs="Arial"/>
          <w:sz w:val="22"/>
          <w:szCs w:val="22"/>
          <w:lang w:val="en-US"/>
        </w:rPr>
        <w:t xml:space="preserve">A systematic literature review design was used because it involves a structured process of identifying, selecting, and analysing </w:t>
      </w:r>
      <w:r w:rsidR="00711DB0" w:rsidRPr="008B6D04">
        <w:rPr>
          <w:rFonts w:ascii="Arial" w:hAnsi="Arial" w:cs="Arial"/>
          <w:sz w:val="22"/>
          <w:szCs w:val="22"/>
          <w:lang w:val="en-US"/>
        </w:rPr>
        <w:t xml:space="preserve">evidence relevant to the research question (Page et al., 2021). Unlike a narrative literature review, a systematic literature review requires clear inclusion and exclusion criteria, search terms, reasons for </w:t>
      </w:r>
      <w:r w:rsidRPr="008527CF">
        <w:rPr>
          <w:rFonts w:ascii="Arial" w:hAnsi="Arial" w:cs="Arial"/>
          <w:sz w:val="22"/>
          <w:szCs w:val="22"/>
          <w:lang w:val="en-US"/>
        </w:rPr>
        <w:t>including or excluding evidence, and a reproducible evidence-selection</w:t>
      </w:r>
      <w:r w:rsidR="00711DB0" w:rsidRPr="008B6D04">
        <w:rPr>
          <w:rFonts w:ascii="Arial" w:hAnsi="Arial" w:cs="Arial"/>
          <w:sz w:val="22"/>
          <w:szCs w:val="22"/>
          <w:lang w:val="en-US"/>
        </w:rPr>
        <w:t xml:space="preserve"> procedure (Page et al., 2021; Aveyard, 2023). </w:t>
      </w:r>
      <w:r w:rsidRPr="008527CF">
        <w:rPr>
          <w:rFonts w:ascii="Arial" w:hAnsi="Arial" w:cs="Arial"/>
          <w:sz w:val="22"/>
          <w:szCs w:val="22"/>
          <w:lang w:val="en-US"/>
        </w:rPr>
        <w:t xml:space="preserve">This approach was necessary for the current research, as the topic is broad and requires a </w:t>
      </w:r>
      <w:r w:rsidR="00711DB0" w:rsidRPr="008B6D04">
        <w:rPr>
          <w:rFonts w:ascii="Arial" w:hAnsi="Arial" w:cs="Arial"/>
          <w:sz w:val="22"/>
          <w:szCs w:val="22"/>
          <w:lang w:val="en-US"/>
        </w:rPr>
        <w:t>focus on UK-based qualitative and mixed-methods literature on CAMHS access issues rather than children's mental health care</w:t>
      </w:r>
      <w:r>
        <w:rPr>
          <w:rFonts w:ascii="Arial" w:hAnsi="Arial" w:cs="Arial"/>
          <w:sz w:val="22"/>
          <w:szCs w:val="22"/>
          <w:lang w:val="en-US"/>
        </w:rPr>
        <w:t>.</w:t>
      </w:r>
    </w:p>
    <w:p w14:paraId="2B48B48B" w14:textId="77777777" w:rsidR="008B6D04" w:rsidRPr="008B6D04" w:rsidRDefault="008B6D04" w:rsidP="001B7D33">
      <w:pPr>
        <w:spacing w:line="360" w:lineRule="auto"/>
        <w:jc w:val="both"/>
        <w:rPr>
          <w:rFonts w:ascii="Arial" w:hAnsi="Arial" w:cs="Arial"/>
          <w:sz w:val="22"/>
          <w:szCs w:val="22"/>
          <w:lang w:val="en-US"/>
        </w:rPr>
      </w:pPr>
    </w:p>
    <w:tbl>
      <w:tblPr>
        <w:tblStyle w:val="TableGrid"/>
        <w:tblW w:w="0" w:type="auto"/>
        <w:tblLook w:val="04A0" w:firstRow="1" w:lastRow="0" w:firstColumn="1" w:lastColumn="0" w:noHBand="0" w:noVBand="1"/>
      </w:tblPr>
      <w:tblGrid>
        <w:gridCol w:w="1555"/>
        <w:gridCol w:w="7790"/>
      </w:tblGrid>
      <w:tr w:rsidR="00711DB0" w:rsidRPr="008B6D04" w14:paraId="14501592" w14:textId="77777777" w:rsidTr="00711DB0">
        <w:tc>
          <w:tcPr>
            <w:tcW w:w="1555" w:type="dxa"/>
          </w:tcPr>
          <w:p w14:paraId="415FD14D" w14:textId="20AEC081" w:rsidR="00711DB0" w:rsidRPr="00B7158F" w:rsidRDefault="00711DB0" w:rsidP="00B7158F">
            <w:pPr>
              <w:spacing w:line="360" w:lineRule="auto"/>
              <w:rPr>
                <w:rFonts w:ascii="Arial" w:hAnsi="Arial" w:cs="Arial"/>
                <w:b/>
                <w:bCs/>
                <w:sz w:val="22"/>
                <w:szCs w:val="22"/>
                <w:lang w:val="en-US"/>
              </w:rPr>
            </w:pPr>
            <w:r w:rsidRPr="00B7158F">
              <w:rPr>
                <w:rFonts w:ascii="Arial" w:hAnsi="Arial" w:cs="Arial"/>
                <w:b/>
                <w:bCs/>
                <w:sz w:val="22"/>
                <w:szCs w:val="22"/>
                <w:lang w:val="en-US"/>
              </w:rPr>
              <w:t>Peo element</w:t>
            </w:r>
          </w:p>
        </w:tc>
        <w:tc>
          <w:tcPr>
            <w:tcW w:w="7790" w:type="dxa"/>
          </w:tcPr>
          <w:p w14:paraId="13ED5E87" w14:textId="49BB6E65" w:rsidR="00711DB0" w:rsidRPr="00B7158F" w:rsidRDefault="00711DB0" w:rsidP="00B7158F">
            <w:pPr>
              <w:spacing w:line="360" w:lineRule="auto"/>
              <w:rPr>
                <w:rFonts w:ascii="Arial" w:hAnsi="Arial" w:cs="Arial"/>
                <w:b/>
                <w:bCs/>
                <w:sz w:val="22"/>
                <w:szCs w:val="22"/>
                <w:lang w:val="en-US"/>
              </w:rPr>
            </w:pPr>
            <w:r w:rsidRPr="00B7158F">
              <w:rPr>
                <w:rFonts w:ascii="Arial" w:hAnsi="Arial" w:cs="Arial"/>
                <w:b/>
                <w:bCs/>
                <w:sz w:val="22"/>
                <w:szCs w:val="22"/>
              </w:rPr>
              <w:t>Application to this dissertation</w:t>
            </w:r>
          </w:p>
        </w:tc>
      </w:tr>
      <w:tr w:rsidR="00711DB0" w:rsidRPr="00437257" w14:paraId="1F90ED0A" w14:textId="77777777" w:rsidTr="00711DB0">
        <w:tc>
          <w:tcPr>
            <w:tcW w:w="1555" w:type="dxa"/>
          </w:tcPr>
          <w:p w14:paraId="5F58422D" w14:textId="239843EA" w:rsidR="00711DB0" w:rsidRPr="00B7158F" w:rsidRDefault="00711DB0" w:rsidP="00B7158F">
            <w:pPr>
              <w:spacing w:line="360" w:lineRule="auto"/>
              <w:rPr>
                <w:rFonts w:ascii="Arial" w:hAnsi="Arial" w:cs="Arial"/>
                <w:b/>
                <w:bCs/>
                <w:sz w:val="22"/>
                <w:szCs w:val="22"/>
                <w:lang w:val="en-US"/>
              </w:rPr>
            </w:pPr>
            <w:r w:rsidRPr="00B7158F">
              <w:rPr>
                <w:rFonts w:ascii="Arial" w:hAnsi="Arial" w:cs="Arial"/>
                <w:b/>
                <w:bCs/>
                <w:sz w:val="22"/>
                <w:szCs w:val="22"/>
                <w:lang w:val="en-US"/>
              </w:rPr>
              <w:t>Population</w:t>
            </w:r>
          </w:p>
        </w:tc>
        <w:tc>
          <w:tcPr>
            <w:tcW w:w="7790" w:type="dxa"/>
          </w:tcPr>
          <w:p w14:paraId="57EFA4C5" w14:textId="042FC45D" w:rsidR="00711DB0" w:rsidRPr="008B6D04" w:rsidRDefault="00506BAE" w:rsidP="00B7158F">
            <w:pPr>
              <w:spacing w:line="360" w:lineRule="auto"/>
              <w:rPr>
                <w:rFonts w:ascii="Arial" w:hAnsi="Arial" w:cs="Arial"/>
                <w:sz w:val="22"/>
                <w:szCs w:val="22"/>
                <w:lang w:val="en-US"/>
              </w:rPr>
            </w:pPr>
            <w:r w:rsidRPr="008B6D04">
              <w:rPr>
                <w:rFonts w:ascii="Arial" w:hAnsi="Arial" w:cs="Arial"/>
                <w:sz w:val="22"/>
                <w:szCs w:val="22"/>
                <w:lang w:val="en-US"/>
              </w:rPr>
              <w:t xml:space="preserve">UK children and young people need to seek, </w:t>
            </w:r>
            <w:r w:rsidR="008527CF">
              <w:rPr>
                <w:rFonts w:ascii="Arial" w:hAnsi="Arial" w:cs="Arial"/>
                <w:sz w:val="22"/>
                <w:szCs w:val="22"/>
                <w:lang w:val="en-US"/>
              </w:rPr>
              <w:t>be referred to, or use</w:t>
            </w:r>
            <w:r w:rsidRPr="008B6D04">
              <w:rPr>
                <w:rFonts w:ascii="Arial" w:hAnsi="Arial" w:cs="Arial"/>
                <w:sz w:val="22"/>
                <w:szCs w:val="22"/>
                <w:lang w:val="en-US"/>
              </w:rPr>
              <w:t xml:space="preserve"> CAMHS or any other similar services to address their mental health issues.</w:t>
            </w:r>
          </w:p>
        </w:tc>
      </w:tr>
      <w:tr w:rsidR="00711DB0" w:rsidRPr="00437257" w14:paraId="188C9B66" w14:textId="77777777" w:rsidTr="00711DB0">
        <w:tc>
          <w:tcPr>
            <w:tcW w:w="1555" w:type="dxa"/>
          </w:tcPr>
          <w:p w14:paraId="15E25973" w14:textId="0F8FDBBA" w:rsidR="00711DB0" w:rsidRPr="00B7158F" w:rsidRDefault="00711DB0" w:rsidP="00B7158F">
            <w:pPr>
              <w:spacing w:line="360" w:lineRule="auto"/>
              <w:rPr>
                <w:rFonts w:ascii="Arial" w:hAnsi="Arial" w:cs="Arial"/>
                <w:b/>
                <w:bCs/>
                <w:sz w:val="22"/>
                <w:szCs w:val="22"/>
                <w:lang w:val="en-US"/>
              </w:rPr>
            </w:pPr>
            <w:r w:rsidRPr="00B7158F">
              <w:rPr>
                <w:rFonts w:ascii="Arial" w:hAnsi="Arial" w:cs="Arial"/>
                <w:b/>
                <w:bCs/>
                <w:sz w:val="22"/>
                <w:szCs w:val="22"/>
                <w:lang w:val="en-US"/>
              </w:rPr>
              <w:t>Exposure</w:t>
            </w:r>
          </w:p>
        </w:tc>
        <w:tc>
          <w:tcPr>
            <w:tcW w:w="7790" w:type="dxa"/>
          </w:tcPr>
          <w:p w14:paraId="278E48D3" w14:textId="1EC24740" w:rsidR="00711DB0" w:rsidRPr="008B6D04" w:rsidRDefault="00506BAE" w:rsidP="00B7158F">
            <w:pPr>
              <w:spacing w:line="360" w:lineRule="auto"/>
              <w:rPr>
                <w:rFonts w:ascii="Arial" w:hAnsi="Arial" w:cs="Arial"/>
                <w:sz w:val="22"/>
                <w:szCs w:val="22"/>
                <w:lang w:val="en-US"/>
              </w:rPr>
            </w:pPr>
            <w:r w:rsidRPr="008B6D04">
              <w:rPr>
                <w:rFonts w:ascii="Arial" w:hAnsi="Arial" w:cs="Arial"/>
                <w:sz w:val="22"/>
                <w:szCs w:val="22"/>
                <w:lang w:val="en-US"/>
              </w:rPr>
              <w:t xml:space="preserve">Facilitators and barriers that </w:t>
            </w:r>
            <w:r w:rsidR="008527CF">
              <w:rPr>
                <w:rFonts w:ascii="Arial" w:hAnsi="Arial" w:cs="Arial"/>
                <w:sz w:val="22"/>
                <w:szCs w:val="22"/>
                <w:lang w:val="en-US"/>
              </w:rPr>
              <w:t>affect</w:t>
            </w:r>
            <w:r w:rsidRPr="008B6D04">
              <w:rPr>
                <w:rFonts w:ascii="Arial" w:hAnsi="Arial" w:cs="Arial"/>
                <w:sz w:val="22"/>
                <w:szCs w:val="22"/>
                <w:lang w:val="en-US"/>
              </w:rPr>
              <w:t xml:space="preserve"> use of CAMHS services, such as waiting time, referral criteria, socioeconomic differences, stigma, schools, GPs, MHSTs, and service capacity.</w:t>
            </w:r>
          </w:p>
        </w:tc>
      </w:tr>
      <w:tr w:rsidR="00711DB0" w:rsidRPr="00437257" w14:paraId="7DE38045" w14:textId="77777777" w:rsidTr="00711DB0">
        <w:tc>
          <w:tcPr>
            <w:tcW w:w="1555" w:type="dxa"/>
          </w:tcPr>
          <w:p w14:paraId="65325C3D" w14:textId="12C4AE44" w:rsidR="00711DB0" w:rsidRPr="00B7158F" w:rsidRDefault="00711DB0" w:rsidP="00B7158F">
            <w:pPr>
              <w:spacing w:line="360" w:lineRule="auto"/>
              <w:rPr>
                <w:rFonts w:ascii="Arial" w:hAnsi="Arial" w:cs="Arial"/>
                <w:b/>
                <w:bCs/>
                <w:sz w:val="22"/>
                <w:szCs w:val="22"/>
                <w:lang w:val="en-US"/>
              </w:rPr>
            </w:pPr>
            <w:r w:rsidRPr="00B7158F">
              <w:rPr>
                <w:rFonts w:ascii="Arial" w:hAnsi="Arial" w:cs="Arial"/>
                <w:b/>
                <w:bCs/>
                <w:sz w:val="22"/>
                <w:szCs w:val="22"/>
                <w:lang w:val="en-US"/>
              </w:rPr>
              <w:t>Outcome</w:t>
            </w:r>
          </w:p>
        </w:tc>
        <w:tc>
          <w:tcPr>
            <w:tcW w:w="7790" w:type="dxa"/>
          </w:tcPr>
          <w:p w14:paraId="5809753D" w14:textId="7D968DF8" w:rsidR="00711DB0" w:rsidRPr="008B6D04" w:rsidRDefault="00506BAE" w:rsidP="00B7158F">
            <w:pPr>
              <w:spacing w:line="360" w:lineRule="auto"/>
              <w:rPr>
                <w:rFonts w:ascii="Arial" w:hAnsi="Arial" w:cs="Arial"/>
                <w:sz w:val="22"/>
                <w:szCs w:val="22"/>
                <w:lang w:val="en-US"/>
              </w:rPr>
            </w:pPr>
            <w:r w:rsidRPr="008B6D04">
              <w:rPr>
                <w:rFonts w:ascii="Arial" w:hAnsi="Arial" w:cs="Arial"/>
                <w:sz w:val="22"/>
                <w:szCs w:val="22"/>
                <w:lang w:val="en-US"/>
              </w:rPr>
              <w:t xml:space="preserve">Improved knowledge regarding the process of access to CAMHS services, from </w:t>
            </w:r>
            <w:r w:rsidR="008527CF">
              <w:rPr>
                <w:rFonts w:ascii="Arial" w:hAnsi="Arial" w:cs="Arial"/>
                <w:sz w:val="22"/>
                <w:szCs w:val="22"/>
                <w:lang w:val="en-US"/>
              </w:rPr>
              <w:t>help-seeking and referrals to</w:t>
            </w:r>
            <w:r w:rsidRPr="008B6D04">
              <w:rPr>
                <w:rFonts w:ascii="Arial" w:hAnsi="Arial" w:cs="Arial"/>
                <w:sz w:val="22"/>
                <w:szCs w:val="22"/>
                <w:lang w:val="en-US"/>
              </w:rPr>
              <w:t xml:space="preserve"> assessment, treatment, engagement, and service continuity.</w:t>
            </w:r>
          </w:p>
        </w:tc>
      </w:tr>
    </w:tbl>
    <w:p w14:paraId="5A85BA4E" w14:textId="77777777" w:rsidR="00506BAE" w:rsidRPr="008B6D04" w:rsidRDefault="00506BAE" w:rsidP="001B7D33">
      <w:pPr>
        <w:spacing w:line="360" w:lineRule="auto"/>
        <w:jc w:val="both"/>
        <w:rPr>
          <w:rFonts w:ascii="Arial" w:hAnsi="Arial" w:cs="Arial"/>
          <w:sz w:val="22"/>
          <w:szCs w:val="22"/>
          <w:lang w:val="en-US"/>
        </w:rPr>
      </w:pPr>
    </w:p>
    <w:p w14:paraId="7E56AEB9" w14:textId="44F235A6" w:rsidR="00506BAE" w:rsidRPr="008B6D04" w:rsidRDefault="00506BAE" w:rsidP="001B7D33">
      <w:pPr>
        <w:spacing w:line="360" w:lineRule="auto"/>
        <w:jc w:val="both"/>
        <w:rPr>
          <w:rFonts w:ascii="Arial" w:hAnsi="Arial" w:cs="Arial"/>
          <w:sz w:val="22"/>
          <w:szCs w:val="22"/>
          <w:lang w:val="en-US"/>
        </w:rPr>
      </w:pPr>
      <w:r w:rsidRPr="008B6D04">
        <w:rPr>
          <w:rFonts w:ascii="Arial" w:hAnsi="Arial" w:cs="Arial"/>
          <w:sz w:val="22"/>
          <w:szCs w:val="22"/>
          <w:lang w:val="en-US"/>
        </w:rPr>
        <w:t xml:space="preserve">The PEO research framework is </w:t>
      </w:r>
      <w:r w:rsidR="00B56FD2">
        <w:rPr>
          <w:rFonts w:ascii="Arial" w:hAnsi="Arial" w:cs="Arial"/>
          <w:sz w:val="22"/>
          <w:szCs w:val="22"/>
          <w:lang w:val="en-US"/>
        </w:rPr>
        <w:t>more suitable than PICO, as</w:t>
      </w:r>
      <w:r w:rsidRPr="008B6D04">
        <w:rPr>
          <w:rFonts w:ascii="Arial" w:hAnsi="Arial" w:cs="Arial"/>
          <w:sz w:val="22"/>
          <w:szCs w:val="22"/>
          <w:lang w:val="en-US"/>
        </w:rPr>
        <w:t xml:space="preserve"> the dissertation does not evaluate an intervention or its impact against a comparison group but rather the factors and barriers influencing access to child and adolescent mental health services. </w:t>
      </w:r>
    </w:p>
    <w:p w14:paraId="5E79DA81" w14:textId="77777777" w:rsidR="00506BAE" w:rsidRPr="00364982" w:rsidRDefault="00506BAE" w:rsidP="001B7D33">
      <w:pPr>
        <w:spacing w:line="360" w:lineRule="auto"/>
        <w:jc w:val="both"/>
        <w:rPr>
          <w:rFonts w:ascii="Arial" w:hAnsi="Arial" w:cs="Arial"/>
          <w:sz w:val="22"/>
          <w:szCs w:val="22"/>
          <w:lang w:val="en-US"/>
        </w:rPr>
      </w:pPr>
    </w:p>
    <w:p w14:paraId="025F95D2" w14:textId="77777777" w:rsidR="00485F83" w:rsidRPr="00364982" w:rsidRDefault="00485F83" w:rsidP="001B7D33">
      <w:pPr>
        <w:spacing w:line="360" w:lineRule="auto"/>
        <w:jc w:val="both"/>
        <w:rPr>
          <w:rFonts w:ascii="Arial" w:hAnsi="Arial" w:cs="Arial"/>
          <w:sz w:val="22"/>
          <w:szCs w:val="22"/>
          <w:lang w:val="en-US"/>
        </w:rPr>
      </w:pPr>
    </w:p>
    <w:p w14:paraId="5118FC5B" w14:textId="77777777" w:rsidR="003457C9" w:rsidRPr="008B6D04" w:rsidRDefault="003457C9" w:rsidP="001B7D33">
      <w:pPr>
        <w:spacing w:line="360" w:lineRule="auto"/>
        <w:jc w:val="both"/>
        <w:rPr>
          <w:rFonts w:ascii="Arial" w:hAnsi="Arial" w:cs="Arial"/>
          <w:sz w:val="22"/>
          <w:szCs w:val="22"/>
          <w:lang w:val="en-US"/>
        </w:rPr>
      </w:pPr>
    </w:p>
    <w:p w14:paraId="03C064E7" w14:textId="77777777" w:rsidR="00506BAE" w:rsidRPr="008B6D04" w:rsidRDefault="00506BAE" w:rsidP="001B7D33">
      <w:pPr>
        <w:pStyle w:val="Heading2"/>
        <w:spacing w:line="360" w:lineRule="auto"/>
        <w:jc w:val="both"/>
        <w:rPr>
          <w:lang w:val="en-US"/>
        </w:rPr>
      </w:pPr>
      <w:bookmarkStart w:id="27" w:name="_Toc233629122"/>
      <w:r w:rsidRPr="008B6D04">
        <w:rPr>
          <w:lang w:val="en-US"/>
        </w:rPr>
        <w:lastRenderedPageBreak/>
        <w:t>3.4 Search Strategy</w:t>
      </w:r>
      <w:bookmarkEnd w:id="27"/>
    </w:p>
    <w:p w14:paraId="11894A79" w14:textId="77777777" w:rsidR="00506BAE" w:rsidRPr="008B6D04" w:rsidRDefault="00506BAE" w:rsidP="001B7D33">
      <w:pPr>
        <w:spacing w:line="360" w:lineRule="auto"/>
        <w:jc w:val="both"/>
        <w:rPr>
          <w:rFonts w:ascii="Arial" w:hAnsi="Arial" w:cs="Arial"/>
          <w:sz w:val="22"/>
          <w:szCs w:val="22"/>
          <w:lang w:val="en-US"/>
        </w:rPr>
      </w:pPr>
    </w:p>
    <w:p w14:paraId="5AFACA50" w14:textId="4CB30CDB" w:rsidR="00506BAE" w:rsidRPr="008B6D04" w:rsidRDefault="00B56FD2" w:rsidP="001B7D33">
      <w:pPr>
        <w:spacing w:line="360" w:lineRule="auto"/>
        <w:jc w:val="both"/>
        <w:rPr>
          <w:rFonts w:ascii="Arial" w:hAnsi="Arial" w:cs="Arial"/>
          <w:sz w:val="22"/>
          <w:szCs w:val="22"/>
          <w:lang w:val="en-US"/>
        </w:rPr>
      </w:pPr>
      <w:r>
        <w:rPr>
          <w:rFonts w:ascii="Arial" w:hAnsi="Arial" w:cs="Arial"/>
          <w:sz w:val="22"/>
          <w:szCs w:val="22"/>
          <w:lang w:val="en-US"/>
        </w:rPr>
        <w:t>Major academic databases used for literature searching include</w:t>
      </w:r>
      <w:r w:rsidR="00506BAE" w:rsidRPr="008B6D04">
        <w:rPr>
          <w:rFonts w:ascii="Arial" w:hAnsi="Arial" w:cs="Arial"/>
          <w:sz w:val="22"/>
          <w:szCs w:val="22"/>
          <w:lang w:val="en-US"/>
        </w:rPr>
        <w:t xml:space="preserve"> PubMed, PsycINFO, CINAHL, Scopus, and Google Scholar. </w:t>
      </w:r>
      <w:r>
        <w:rPr>
          <w:rFonts w:ascii="Arial" w:hAnsi="Arial" w:cs="Arial"/>
          <w:sz w:val="22"/>
          <w:szCs w:val="22"/>
          <w:lang w:val="en-US"/>
        </w:rPr>
        <w:t xml:space="preserve">These databases were chosen because they include literature in health, psychology, nursing, social care, public health, and multidisciplinary areas </w:t>
      </w:r>
      <w:r w:rsidR="00506BAE" w:rsidRPr="008B6D04">
        <w:rPr>
          <w:rFonts w:ascii="Arial" w:hAnsi="Arial" w:cs="Arial"/>
          <w:sz w:val="22"/>
          <w:szCs w:val="22"/>
          <w:lang w:val="en-US"/>
        </w:rPr>
        <w:t>relevant to children and young people's mental health issues (Aveyard, 2023). Supplementary searches have been conducted through NHS England, NHS Digital, NICE, GOV.</w:t>
      </w:r>
      <w:r>
        <w:rPr>
          <w:rFonts w:ascii="Arial" w:hAnsi="Arial" w:cs="Arial"/>
          <w:sz w:val="22"/>
          <w:szCs w:val="22"/>
          <w:lang w:val="en-US"/>
        </w:rPr>
        <w:t xml:space="preserve"> </w:t>
      </w:r>
      <w:r w:rsidR="008527CF">
        <w:rPr>
          <w:rFonts w:ascii="Arial" w:hAnsi="Arial" w:cs="Arial"/>
          <w:sz w:val="22"/>
          <w:szCs w:val="22"/>
          <w:lang w:val="en-US"/>
        </w:rPr>
        <w:t xml:space="preserve">UK, </w:t>
      </w:r>
      <w:r w:rsidR="00506BAE" w:rsidRPr="008B6D04">
        <w:rPr>
          <w:rFonts w:ascii="Arial" w:hAnsi="Arial" w:cs="Arial"/>
          <w:sz w:val="22"/>
          <w:szCs w:val="22"/>
          <w:lang w:val="en-US"/>
        </w:rPr>
        <w:t xml:space="preserve">Children's Commissioner, House of Commons Library, and UWTSD Library. </w:t>
      </w:r>
      <w:r w:rsidR="008527CF">
        <w:rPr>
          <w:rFonts w:ascii="Arial" w:hAnsi="Arial" w:cs="Arial"/>
          <w:sz w:val="22"/>
          <w:szCs w:val="22"/>
          <w:lang w:val="en-US"/>
        </w:rPr>
        <w:t>These sources are included because the dissertation focuses on the UK and requires policy and service-provision</w:t>
      </w:r>
      <w:r w:rsidR="00506BAE" w:rsidRPr="008B6D04">
        <w:rPr>
          <w:rFonts w:ascii="Arial" w:hAnsi="Arial" w:cs="Arial"/>
          <w:sz w:val="22"/>
          <w:szCs w:val="22"/>
          <w:lang w:val="en-US"/>
        </w:rPr>
        <w:t xml:space="preserve"> information directly linked to CAMHS in the UK (NHS Digital, 2023; Children's Commissioner, 2024; Parkin &amp; Long, 2024).</w:t>
      </w:r>
    </w:p>
    <w:p w14:paraId="62304E67" w14:textId="77777777" w:rsidR="00506BAE" w:rsidRPr="008B6D04" w:rsidRDefault="00506BAE" w:rsidP="001B7D33">
      <w:pPr>
        <w:spacing w:line="360" w:lineRule="auto"/>
        <w:jc w:val="both"/>
        <w:rPr>
          <w:rFonts w:ascii="Arial" w:hAnsi="Arial" w:cs="Arial"/>
          <w:sz w:val="22"/>
          <w:szCs w:val="22"/>
          <w:lang w:val="en-US"/>
        </w:rPr>
      </w:pPr>
    </w:p>
    <w:p w14:paraId="21F720D8" w14:textId="598F3060" w:rsidR="00506BAE" w:rsidRPr="00106C49" w:rsidRDefault="00506BAE" w:rsidP="001B7D33">
      <w:pPr>
        <w:spacing w:line="360" w:lineRule="auto"/>
        <w:jc w:val="both"/>
        <w:rPr>
          <w:rFonts w:ascii="Arial" w:hAnsi="Arial" w:cs="Arial"/>
          <w:sz w:val="22"/>
          <w:szCs w:val="22"/>
          <w:lang w:val="en-US"/>
        </w:rPr>
      </w:pPr>
      <w:r w:rsidRPr="008B6D04">
        <w:rPr>
          <w:rFonts w:ascii="Arial" w:hAnsi="Arial" w:cs="Arial"/>
          <w:sz w:val="22"/>
          <w:szCs w:val="22"/>
          <w:lang w:val="en-US"/>
        </w:rPr>
        <w:t xml:space="preserve">Keywords have been derived from the dissertation title, RQ, and literature review. </w:t>
      </w:r>
      <w:r w:rsidR="00B56FD2">
        <w:rPr>
          <w:rFonts w:ascii="Arial" w:hAnsi="Arial" w:cs="Arial"/>
          <w:sz w:val="22"/>
          <w:szCs w:val="22"/>
          <w:lang w:val="en-US"/>
        </w:rPr>
        <w:t>We used Boolean operators</w:t>
      </w:r>
      <w:r w:rsidR="008527CF">
        <w:rPr>
          <w:rFonts w:ascii="Arial" w:hAnsi="Arial" w:cs="Arial"/>
          <w:sz w:val="22"/>
          <w:szCs w:val="22"/>
          <w:lang w:val="en-US"/>
        </w:rPr>
        <w:t xml:space="preserve"> to combine synonyms and narrow</w:t>
      </w:r>
      <w:r w:rsidRPr="008B6D04">
        <w:rPr>
          <w:rFonts w:ascii="Arial" w:hAnsi="Arial" w:cs="Arial"/>
          <w:sz w:val="22"/>
          <w:szCs w:val="22"/>
          <w:lang w:val="en-US"/>
        </w:rPr>
        <w:t xml:space="preserve"> the search results. When </w:t>
      </w:r>
      <w:r w:rsidR="00B56FD2">
        <w:rPr>
          <w:rFonts w:ascii="Arial" w:hAnsi="Arial" w:cs="Arial"/>
          <w:sz w:val="22"/>
          <w:szCs w:val="22"/>
          <w:lang w:val="en-US"/>
        </w:rPr>
        <w:t>the database allowed</w:t>
      </w:r>
      <w:r w:rsidRPr="008B6D04">
        <w:rPr>
          <w:rFonts w:ascii="Arial" w:hAnsi="Arial" w:cs="Arial"/>
          <w:sz w:val="22"/>
          <w:szCs w:val="22"/>
          <w:lang w:val="en-US"/>
        </w:rPr>
        <w:t xml:space="preserve">, </w:t>
      </w:r>
      <w:r w:rsidR="00B56FD2">
        <w:rPr>
          <w:rFonts w:ascii="Arial" w:hAnsi="Arial" w:cs="Arial"/>
          <w:sz w:val="22"/>
          <w:szCs w:val="22"/>
          <w:lang w:val="en-US"/>
        </w:rPr>
        <w:t>we used truncation and phrase searching</w:t>
      </w:r>
      <w:r w:rsidRPr="008B6D04">
        <w:rPr>
          <w:rFonts w:ascii="Arial" w:hAnsi="Arial" w:cs="Arial"/>
          <w:sz w:val="22"/>
          <w:szCs w:val="22"/>
          <w:lang w:val="en-US"/>
        </w:rPr>
        <w:t>. Major concepts include CAMHS, access, barriers, enablers, inequalities, children and young people, and UK.</w:t>
      </w:r>
    </w:p>
    <w:p w14:paraId="26F7CBD0" w14:textId="4D4AFC83" w:rsidR="001B7D33" w:rsidRPr="008B6D04" w:rsidRDefault="001B7D33" w:rsidP="001B7D33">
      <w:pPr>
        <w:spacing w:line="360" w:lineRule="auto"/>
        <w:jc w:val="both"/>
        <w:rPr>
          <w:rFonts w:ascii="Arial" w:hAnsi="Arial" w:cs="Arial"/>
          <w:sz w:val="22"/>
          <w:szCs w:val="22"/>
          <w:lang w:val="en-US"/>
        </w:rPr>
      </w:pPr>
      <w:r w:rsidRPr="008B6D04">
        <w:rPr>
          <w:rFonts w:ascii="Arial" w:hAnsi="Arial" w:cs="Arial"/>
          <w:sz w:val="22"/>
          <w:szCs w:val="22"/>
          <w:lang w:val="en-US"/>
        </w:rPr>
        <w:t>("CAMHS" OR "Child and Adolescent Mental Health Services" OR "children and young people’s mental health services") AND (access OR referral OR "waiting times" OR "help-seeking") AND (barrier OR enabler</w:t>
      </w:r>
      <w:r w:rsidR="008527CF">
        <w:rPr>
          <w:rFonts w:ascii="Arial" w:hAnsi="Arial" w:cs="Arial"/>
          <w:sz w:val="22"/>
          <w:szCs w:val="22"/>
          <w:lang w:val="en-US"/>
        </w:rPr>
        <w:t xml:space="preserve"> </w:t>
      </w:r>
      <w:r w:rsidRPr="008B6D04">
        <w:rPr>
          <w:rFonts w:ascii="Arial" w:hAnsi="Arial" w:cs="Arial"/>
          <w:sz w:val="22"/>
          <w:szCs w:val="22"/>
          <w:lang w:val="en-US"/>
        </w:rPr>
        <w:t>OR facilitator OR threshold</w:t>
      </w:r>
      <w:r w:rsidR="008527CF">
        <w:rPr>
          <w:rFonts w:ascii="Arial" w:hAnsi="Arial" w:cs="Arial"/>
          <w:sz w:val="22"/>
          <w:szCs w:val="22"/>
          <w:lang w:val="en-US"/>
        </w:rPr>
        <w:t xml:space="preserve"> </w:t>
      </w:r>
      <w:r w:rsidRPr="008B6D04">
        <w:rPr>
          <w:rFonts w:ascii="Arial" w:hAnsi="Arial" w:cs="Arial"/>
          <w:sz w:val="22"/>
          <w:szCs w:val="22"/>
          <w:lang w:val="en-US"/>
        </w:rPr>
        <w:t xml:space="preserve">OR </w:t>
      </w:r>
      <w:r w:rsidR="008527CF" w:rsidRPr="008B6D04">
        <w:rPr>
          <w:rFonts w:ascii="Arial" w:hAnsi="Arial" w:cs="Arial"/>
          <w:sz w:val="22"/>
          <w:szCs w:val="22"/>
          <w:lang w:val="en-US"/>
        </w:rPr>
        <w:t>inequality</w:t>
      </w:r>
      <w:r w:rsidRPr="008B6D04">
        <w:rPr>
          <w:rFonts w:ascii="Arial" w:hAnsi="Arial" w:cs="Arial"/>
          <w:sz w:val="22"/>
          <w:szCs w:val="22"/>
          <w:lang w:val="en-US"/>
        </w:rPr>
        <w:t>) AND ("United Kingdom" OR UK OR England OR Scotland OR Wales OR "Northern Ireland").</w:t>
      </w:r>
    </w:p>
    <w:p w14:paraId="6A00EBF9" w14:textId="77777777" w:rsidR="008B6D04" w:rsidRPr="00106C49" w:rsidRDefault="008B6D04" w:rsidP="001B7D33">
      <w:pPr>
        <w:spacing w:line="360" w:lineRule="auto"/>
        <w:jc w:val="both"/>
        <w:rPr>
          <w:rFonts w:ascii="Arial" w:hAnsi="Arial" w:cs="Arial"/>
          <w:sz w:val="22"/>
          <w:szCs w:val="22"/>
          <w:lang w:val="en-US"/>
        </w:rPr>
      </w:pPr>
    </w:p>
    <w:tbl>
      <w:tblPr>
        <w:tblStyle w:val="TableGrid"/>
        <w:tblW w:w="9643" w:type="dxa"/>
        <w:tblLook w:val="04A0" w:firstRow="1" w:lastRow="0" w:firstColumn="1" w:lastColumn="0" w:noHBand="0" w:noVBand="1"/>
      </w:tblPr>
      <w:tblGrid>
        <w:gridCol w:w="2189"/>
        <w:gridCol w:w="7454"/>
      </w:tblGrid>
      <w:tr w:rsidR="00506BAE" w:rsidRPr="008B6D04" w14:paraId="7FD39980" w14:textId="77777777" w:rsidTr="008B6D04">
        <w:trPr>
          <w:trHeight w:val="366"/>
        </w:trPr>
        <w:tc>
          <w:tcPr>
            <w:tcW w:w="2189" w:type="dxa"/>
          </w:tcPr>
          <w:p w14:paraId="37447914" w14:textId="5AAC5D39" w:rsidR="00506BAE" w:rsidRPr="008B6D04" w:rsidRDefault="00506BAE" w:rsidP="00B7158F">
            <w:pPr>
              <w:spacing w:line="360" w:lineRule="auto"/>
              <w:rPr>
                <w:rFonts w:ascii="Arial" w:hAnsi="Arial" w:cs="Arial"/>
                <w:b/>
                <w:bCs/>
                <w:sz w:val="22"/>
                <w:szCs w:val="22"/>
                <w:lang w:val="en-US"/>
              </w:rPr>
            </w:pPr>
            <w:r w:rsidRPr="008B6D04">
              <w:rPr>
                <w:rFonts w:ascii="Arial" w:hAnsi="Arial" w:cs="Arial"/>
                <w:b/>
                <w:bCs/>
                <w:sz w:val="22"/>
                <w:szCs w:val="22"/>
              </w:rPr>
              <w:t>Search concept</w:t>
            </w:r>
          </w:p>
        </w:tc>
        <w:tc>
          <w:tcPr>
            <w:tcW w:w="7454" w:type="dxa"/>
          </w:tcPr>
          <w:p w14:paraId="58E5B813" w14:textId="2B5706AB" w:rsidR="00506BAE" w:rsidRPr="008B6D04" w:rsidRDefault="00506BAE" w:rsidP="00B7158F">
            <w:pPr>
              <w:spacing w:line="360" w:lineRule="auto"/>
              <w:rPr>
                <w:rFonts w:ascii="Arial" w:hAnsi="Arial" w:cs="Arial"/>
                <w:b/>
                <w:bCs/>
                <w:sz w:val="22"/>
                <w:szCs w:val="22"/>
                <w:lang w:val="en-US"/>
              </w:rPr>
            </w:pPr>
            <w:r w:rsidRPr="008B6D04">
              <w:rPr>
                <w:rFonts w:ascii="Arial" w:hAnsi="Arial" w:cs="Arial"/>
                <w:b/>
                <w:bCs/>
                <w:sz w:val="22"/>
                <w:szCs w:val="22"/>
              </w:rPr>
              <w:t>Keywords and search terms</w:t>
            </w:r>
          </w:p>
        </w:tc>
      </w:tr>
      <w:tr w:rsidR="00506BAE" w:rsidRPr="00437257" w14:paraId="6609F933" w14:textId="77777777" w:rsidTr="008B6D04">
        <w:trPr>
          <w:trHeight w:val="712"/>
        </w:trPr>
        <w:tc>
          <w:tcPr>
            <w:tcW w:w="2189" w:type="dxa"/>
          </w:tcPr>
          <w:p w14:paraId="73B4B337" w14:textId="514299A1" w:rsidR="00506BAE" w:rsidRPr="008B6D04" w:rsidRDefault="00506BAE" w:rsidP="00B7158F">
            <w:pPr>
              <w:spacing w:line="360" w:lineRule="auto"/>
              <w:rPr>
                <w:rFonts w:ascii="Arial" w:hAnsi="Arial" w:cs="Arial"/>
                <w:b/>
                <w:bCs/>
                <w:sz w:val="22"/>
                <w:szCs w:val="22"/>
                <w:lang w:val="en-US"/>
              </w:rPr>
            </w:pPr>
            <w:r w:rsidRPr="008B6D04">
              <w:rPr>
                <w:rFonts w:ascii="Arial" w:hAnsi="Arial" w:cs="Arial"/>
                <w:b/>
                <w:bCs/>
                <w:sz w:val="22"/>
                <w:szCs w:val="22"/>
              </w:rPr>
              <w:t>CAMHS / services</w:t>
            </w:r>
          </w:p>
        </w:tc>
        <w:tc>
          <w:tcPr>
            <w:tcW w:w="7454" w:type="dxa"/>
          </w:tcPr>
          <w:p w14:paraId="764C3E96" w14:textId="72C1B61E" w:rsidR="00506BAE" w:rsidRPr="008B6D04" w:rsidRDefault="00506BAE" w:rsidP="00B7158F">
            <w:pPr>
              <w:spacing w:line="360" w:lineRule="auto"/>
              <w:rPr>
                <w:rFonts w:ascii="Arial" w:hAnsi="Arial" w:cs="Arial"/>
                <w:sz w:val="22"/>
                <w:szCs w:val="22"/>
                <w:lang w:val="en-US"/>
              </w:rPr>
            </w:pPr>
            <w:r w:rsidRPr="008B6D04">
              <w:rPr>
                <w:rFonts w:ascii="Arial" w:hAnsi="Arial" w:cs="Arial"/>
                <w:sz w:val="22"/>
                <w:szCs w:val="22"/>
                <w:lang w:val="en-US"/>
              </w:rPr>
              <w:t>(CAMHS) OR (“Child and Adolescent Mental Health Services”) OR (“Children and Young People’s Mental Health Services”) OR (CYPMHS)</w:t>
            </w:r>
          </w:p>
        </w:tc>
      </w:tr>
      <w:tr w:rsidR="00506BAE" w:rsidRPr="00437257" w14:paraId="341764B1" w14:textId="77777777" w:rsidTr="008B6D04">
        <w:trPr>
          <w:trHeight w:val="712"/>
        </w:trPr>
        <w:tc>
          <w:tcPr>
            <w:tcW w:w="2189" w:type="dxa"/>
          </w:tcPr>
          <w:p w14:paraId="27AA0B58" w14:textId="51701831" w:rsidR="00506BAE" w:rsidRPr="008B6D04" w:rsidRDefault="00506BAE" w:rsidP="00B7158F">
            <w:pPr>
              <w:spacing w:line="360" w:lineRule="auto"/>
              <w:rPr>
                <w:rFonts w:ascii="Arial" w:hAnsi="Arial" w:cs="Arial"/>
                <w:b/>
                <w:bCs/>
                <w:sz w:val="22"/>
                <w:szCs w:val="22"/>
                <w:lang w:val="en-US"/>
              </w:rPr>
            </w:pPr>
            <w:r w:rsidRPr="008B6D04">
              <w:rPr>
                <w:rFonts w:ascii="Arial" w:hAnsi="Arial" w:cs="Arial"/>
                <w:b/>
                <w:bCs/>
                <w:sz w:val="22"/>
                <w:szCs w:val="22"/>
              </w:rPr>
              <w:t>Access</w:t>
            </w:r>
          </w:p>
        </w:tc>
        <w:tc>
          <w:tcPr>
            <w:tcW w:w="7454" w:type="dxa"/>
          </w:tcPr>
          <w:p w14:paraId="41820570" w14:textId="2E593017" w:rsidR="00506BAE" w:rsidRPr="008B6D04" w:rsidRDefault="00506BAE" w:rsidP="00B7158F">
            <w:pPr>
              <w:spacing w:line="360" w:lineRule="auto"/>
              <w:rPr>
                <w:rFonts w:ascii="Arial" w:hAnsi="Arial" w:cs="Arial"/>
                <w:sz w:val="22"/>
                <w:szCs w:val="22"/>
                <w:lang w:val="en-US"/>
              </w:rPr>
            </w:pPr>
            <w:r w:rsidRPr="008B6D04">
              <w:rPr>
                <w:rFonts w:ascii="Arial" w:hAnsi="Arial" w:cs="Arial"/>
                <w:sz w:val="22"/>
                <w:szCs w:val="22"/>
                <w:lang w:val="en-US"/>
              </w:rPr>
              <w:t>access OR referral OR (“service access”) OR help-seeking OR pathway OR waiting time*</w:t>
            </w:r>
          </w:p>
        </w:tc>
      </w:tr>
      <w:tr w:rsidR="00506BAE" w:rsidRPr="00437257" w14:paraId="2C22ED18" w14:textId="77777777" w:rsidTr="008B6D04">
        <w:trPr>
          <w:trHeight w:val="733"/>
        </w:trPr>
        <w:tc>
          <w:tcPr>
            <w:tcW w:w="2189" w:type="dxa"/>
          </w:tcPr>
          <w:p w14:paraId="007EAD53" w14:textId="6FEB779D" w:rsidR="00506BAE" w:rsidRPr="008B6D04" w:rsidRDefault="00506BAE" w:rsidP="00B7158F">
            <w:pPr>
              <w:spacing w:line="360" w:lineRule="auto"/>
              <w:rPr>
                <w:rFonts w:ascii="Arial" w:hAnsi="Arial" w:cs="Arial"/>
                <w:b/>
                <w:bCs/>
                <w:sz w:val="22"/>
                <w:szCs w:val="22"/>
                <w:lang w:val="en-US"/>
              </w:rPr>
            </w:pPr>
            <w:r w:rsidRPr="008B6D04">
              <w:rPr>
                <w:rFonts w:ascii="Arial" w:hAnsi="Arial" w:cs="Arial"/>
                <w:b/>
                <w:bCs/>
                <w:sz w:val="22"/>
                <w:szCs w:val="22"/>
              </w:rPr>
              <w:t>Barriers</w:t>
            </w:r>
          </w:p>
        </w:tc>
        <w:tc>
          <w:tcPr>
            <w:tcW w:w="7454" w:type="dxa"/>
          </w:tcPr>
          <w:p w14:paraId="16CC0685" w14:textId="517EB5EC" w:rsidR="00506BAE" w:rsidRPr="008B6D04" w:rsidRDefault="00506BAE" w:rsidP="00B7158F">
            <w:pPr>
              <w:spacing w:line="360" w:lineRule="auto"/>
              <w:rPr>
                <w:rFonts w:ascii="Arial" w:hAnsi="Arial" w:cs="Arial"/>
                <w:sz w:val="22"/>
                <w:szCs w:val="22"/>
                <w:lang w:val="en-US"/>
              </w:rPr>
            </w:pPr>
            <w:r w:rsidRPr="008B6D04">
              <w:rPr>
                <w:rFonts w:ascii="Arial" w:hAnsi="Arial" w:cs="Arial"/>
                <w:sz w:val="22"/>
                <w:szCs w:val="22"/>
                <w:lang w:val="en-US"/>
              </w:rPr>
              <w:t>barrier*) OR challenge*) OR threshold*) OR delay*) OR “Rejected Referrals” OR “Unmet Need”</w:t>
            </w:r>
          </w:p>
        </w:tc>
      </w:tr>
      <w:tr w:rsidR="00506BAE" w:rsidRPr="00437257" w14:paraId="5649E006" w14:textId="77777777" w:rsidTr="008B6D04">
        <w:trPr>
          <w:trHeight w:val="712"/>
        </w:trPr>
        <w:tc>
          <w:tcPr>
            <w:tcW w:w="2189" w:type="dxa"/>
          </w:tcPr>
          <w:p w14:paraId="52EE695A" w14:textId="2036BB03" w:rsidR="00506BAE" w:rsidRPr="008B6D04" w:rsidRDefault="00506BAE" w:rsidP="00B7158F">
            <w:pPr>
              <w:spacing w:line="360" w:lineRule="auto"/>
              <w:rPr>
                <w:rFonts w:ascii="Arial" w:hAnsi="Arial" w:cs="Arial"/>
                <w:b/>
                <w:bCs/>
                <w:sz w:val="22"/>
                <w:szCs w:val="22"/>
                <w:lang w:val="en-US"/>
              </w:rPr>
            </w:pPr>
            <w:r w:rsidRPr="008B6D04">
              <w:rPr>
                <w:rFonts w:ascii="Arial" w:hAnsi="Arial" w:cs="Arial"/>
                <w:b/>
                <w:bCs/>
                <w:sz w:val="22"/>
                <w:szCs w:val="22"/>
              </w:rPr>
              <w:t>Enablers</w:t>
            </w:r>
          </w:p>
        </w:tc>
        <w:tc>
          <w:tcPr>
            <w:tcW w:w="7454" w:type="dxa"/>
          </w:tcPr>
          <w:p w14:paraId="1F4C89A9" w14:textId="1904AC10" w:rsidR="00506BAE" w:rsidRPr="008B6D04" w:rsidRDefault="00506BAE" w:rsidP="00B7158F">
            <w:pPr>
              <w:spacing w:line="360" w:lineRule="auto"/>
              <w:rPr>
                <w:rFonts w:ascii="Arial" w:hAnsi="Arial" w:cs="Arial"/>
                <w:sz w:val="22"/>
                <w:szCs w:val="22"/>
                <w:lang w:val="en-US"/>
              </w:rPr>
            </w:pPr>
            <w:r w:rsidRPr="008B6D04">
              <w:rPr>
                <w:rFonts w:ascii="Arial" w:hAnsi="Arial" w:cs="Arial"/>
                <w:sz w:val="22"/>
                <w:szCs w:val="22"/>
                <w:lang w:val="en-US"/>
              </w:rPr>
              <w:t>enabler*) OR facilitators*) OR early intervention OR “school-based service” OR “GP Referral” OR “Mental Health Support Teams”</w:t>
            </w:r>
          </w:p>
        </w:tc>
      </w:tr>
      <w:tr w:rsidR="00506BAE" w:rsidRPr="00437257" w14:paraId="20E1B5A7" w14:textId="77777777" w:rsidTr="008B6D04">
        <w:trPr>
          <w:trHeight w:val="733"/>
        </w:trPr>
        <w:tc>
          <w:tcPr>
            <w:tcW w:w="2189" w:type="dxa"/>
          </w:tcPr>
          <w:p w14:paraId="6B2438E5" w14:textId="5E247F7E" w:rsidR="00506BAE" w:rsidRPr="008B6D04" w:rsidRDefault="00506BAE" w:rsidP="00B7158F">
            <w:pPr>
              <w:spacing w:line="360" w:lineRule="auto"/>
              <w:rPr>
                <w:rFonts w:ascii="Arial" w:hAnsi="Arial" w:cs="Arial"/>
                <w:b/>
                <w:bCs/>
                <w:sz w:val="22"/>
                <w:szCs w:val="22"/>
                <w:lang w:val="en-US"/>
              </w:rPr>
            </w:pPr>
            <w:r w:rsidRPr="008B6D04">
              <w:rPr>
                <w:rFonts w:ascii="Arial" w:hAnsi="Arial" w:cs="Arial"/>
                <w:b/>
                <w:bCs/>
                <w:sz w:val="22"/>
                <w:szCs w:val="22"/>
              </w:rPr>
              <w:t>Inequalities</w:t>
            </w:r>
          </w:p>
        </w:tc>
        <w:tc>
          <w:tcPr>
            <w:tcW w:w="7454" w:type="dxa"/>
          </w:tcPr>
          <w:p w14:paraId="67A7868D" w14:textId="40B350B5" w:rsidR="00506BAE" w:rsidRPr="008B6D04" w:rsidRDefault="00506BAE" w:rsidP="00B7158F">
            <w:pPr>
              <w:spacing w:line="360" w:lineRule="auto"/>
              <w:rPr>
                <w:rFonts w:ascii="Arial" w:hAnsi="Arial" w:cs="Arial"/>
                <w:sz w:val="22"/>
                <w:szCs w:val="22"/>
                <w:lang w:val="en-US"/>
              </w:rPr>
            </w:pPr>
            <w:r w:rsidRPr="008B6D04">
              <w:rPr>
                <w:rFonts w:ascii="Arial" w:hAnsi="Arial" w:cs="Arial"/>
                <w:sz w:val="22"/>
                <w:szCs w:val="22"/>
                <w:lang w:val="en-US"/>
              </w:rPr>
              <w:t>inequality*) OR deprivation OR poverty OR socio-economic OR ethnicity OR SEND OR regional variation</w:t>
            </w:r>
          </w:p>
        </w:tc>
      </w:tr>
      <w:tr w:rsidR="00506BAE" w:rsidRPr="00437257" w14:paraId="08EEAAFB" w14:textId="77777777" w:rsidTr="008B6D04">
        <w:trPr>
          <w:trHeight w:val="712"/>
        </w:trPr>
        <w:tc>
          <w:tcPr>
            <w:tcW w:w="2189" w:type="dxa"/>
          </w:tcPr>
          <w:p w14:paraId="0E0286C3" w14:textId="71406457" w:rsidR="00506BAE" w:rsidRPr="008B6D04" w:rsidRDefault="00506BAE" w:rsidP="00B7158F">
            <w:pPr>
              <w:spacing w:line="360" w:lineRule="auto"/>
              <w:rPr>
                <w:rFonts w:ascii="Arial" w:hAnsi="Arial" w:cs="Arial"/>
                <w:b/>
                <w:bCs/>
                <w:sz w:val="22"/>
                <w:szCs w:val="22"/>
                <w:lang w:val="en-US"/>
              </w:rPr>
            </w:pPr>
            <w:r w:rsidRPr="008B6D04">
              <w:rPr>
                <w:rFonts w:ascii="Arial" w:hAnsi="Arial" w:cs="Arial"/>
                <w:b/>
                <w:bCs/>
                <w:sz w:val="22"/>
                <w:szCs w:val="22"/>
              </w:rPr>
              <w:t>Location</w:t>
            </w:r>
          </w:p>
        </w:tc>
        <w:tc>
          <w:tcPr>
            <w:tcW w:w="7454" w:type="dxa"/>
          </w:tcPr>
          <w:p w14:paraId="11F89812" w14:textId="3298C570" w:rsidR="00506BAE" w:rsidRPr="008B6D04" w:rsidRDefault="00506BAE" w:rsidP="00B7158F">
            <w:pPr>
              <w:spacing w:line="360" w:lineRule="auto"/>
              <w:rPr>
                <w:rFonts w:ascii="Arial" w:hAnsi="Arial" w:cs="Arial"/>
                <w:sz w:val="22"/>
                <w:szCs w:val="22"/>
                <w:lang w:val="en-US"/>
              </w:rPr>
            </w:pPr>
            <w:r w:rsidRPr="008B6D04">
              <w:rPr>
                <w:rFonts w:ascii="Arial" w:hAnsi="Arial" w:cs="Arial"/>
                <w:sz w:val="22"/>
                <w:szCs w:val="22"/>
                <w:lang w:val="en-US"/>
              </w:rPr>
              <w:t>(United Kingdom) OR (UK) OR England OR Scotland OR Wales OR “Northern Ireland”</w:t>
            </w:r>
          </w:p>
        </w:tc>
      </w:tr>
    </w:tbl>
    <w:p w14:paraId="0960E229" w14:textId="77777777" w:rsidR="00506BAE" w:rsidRPr="008B6D04" w:rsidRDefault="00506BAE" w:rsidP="001B7D33">
      <w:pPr>
        <w:spacing w:line="360" w:lineRule="auto"/>
        <w:jc w:val="both"/>
        <w:rPr>
          <w:rFonts w:ascii="Arial" w:hAnsi="Arial" w:cs="Arial"/>
          <w:sz w:val="22"/>
          <w:szCs w:val="22"/>
          <w:lang w:val="en-US"/>
        </w:rPr>
      </w:pPr>
    </w:p>
    <w:p w14:paraId="41E2F62C" w14:textId="1A38F67D" w:rsidR="00506BAE" w:rsidRPr="00364982" w:rsidRDefault="00B56FD2" w:rsidP="008527CF">
      <w:pPr>
        <w:spacing w:line="360" w:lineRule="auto"/>
        <w:jc w:val="both"/>
        <w:rPr>
          <w:rFonts w:ascii="Arial" w:hAnsi="Arial" w:cs="Arial"/>
          <w:sz w:val="22"/>
          <w:szCs w:val="22"/>
          <w:lang w:val="en-US"/>
        </w:rPr>
      </w:pPr>
      <w:r>
        <w:rPr>
          <w:rFonts w:ascii="Arial" w:hAnsi="Arial" w:cs="Arial"/>
          <w:sz w:val="22"/>
          <w:szCs w:val="22"/>
          <w:lang w:val="en-US"/>
        </w:rPr>
        <w:lastRenderedPageBreak/>
        <w:t>The search</w:t>
      </w:r>
      <w:r w:rsidR="00485F83" w:rsidRPr="00485F83">
        <w:rPr>
          <w:rFonts w:ascii="Arial" w:hAnsi="Arial" w:cs="Arial"/>
          <w:sz w:val="22"/>
          <w:szCs w:val="22"/>
          <w:lang w:val="en-US"/>
        </w:rPr>
        <w:t xml:space="preserve"> was confined to articles </w:t>
      </w:r>
      <w:r>
        <w:rPr>
          <w:rFonts w:ascii="Arial" w:hAnsi="Arial" w:cs="Arial"/>
          <w:sz w:val="22"/>
          <w:szCs w:val="22"/>
          <w:lang w:val="en-US"/>
        </w:rPr>
        <w:t>published between 2015 and 2025, as</w:t>
      </w:r>
      <w:r w:rsidR="00485F83" w:rsidRPr="00485F83">
        <w:rPr>
          <w:rFonts w:ascii="Arial" w:hAnsi="Arial" w:cs="Arial"/>
          <w:sz w:val="22"/>
          <w:szCs w:val="22"/>
          <w:lang w:val="en-US"/>
        </w:rPr>
        <w:t xml:space="preserve"> this period encompasses current UK policies and changes related to CAMHS access. </w:t>
      </w:r>
      <w:r>
        <w:rPr>
          <w:rFonts w:ascii="Arial" w:hAnsi="Arial" w:cs="Arial"/>
          <w:sz w:val="22"/>
          <w:szCs w:val="22"/>
          <w:lang w:val="en-US"/>
        </w:rPr>
        <w:t>Methodological sources, such as PRISMA and guidelines for thematic analysis, were not limited by date because they</w:t>
      </w:r>
      <w:r w:rsidR="00485F83" w:rsidRPr="00485F83">
        <w:rPr>
          <w:rFonts w:ascii="Arial" w:hAnsi="Arial" w:cs="Arial"/>
          <w:sz w:val="22"/>
          <w:szCs w:val="22"/>
          <w:lang w:val="en-US"/>
        </w:rPr>
        <w:t xml:space="preserve"> guide the literature review rather than provide substantive information about CAMHS access.</w:t>
      </w:r>
    </w:p>
    <w:p w14:paraId="0976BB7C" w14:textId="77777777" w:rsidR="00485F83" w:rsidRPr="00364982" w:rsidRDefault="00485F83" w:rsidP="001B7D33">
      <w:pPr>
        <w:jc w:val="both"/>
        <w:rPr>
          <w:rFonts w:ascii="Arial" w:hAnsi="Arial" w:cs="Arial"/>
          <w:sz w:val="22"/>
          <w:szCs w:val="22"/>
          <w:lang w:val="en-US"/>
        </w:rPr>
      </w:pPr>
    </w:p>
    <w:p w14:paraId="274F94C9" w14:textId="2ED7F9B4" w:rsidR="00506BAE" w:rsidRPr="00106C49" w:rsidRDefault="00506BAE" w:rsidP="001B7D33">
      <w:pPr>
        <w:pStyle w:val="Heading2"/>
        <w:jc w:val="both"/>
        <w:rPr>
          <w:rFonts w:ascii="Arial" w:hAnsi="Arial" w:cs="Arial"/>
          <w:sz w:val="28"/>
          <w:szCs w:val="28"/>
          <w:lang w:val="en-US"/>
        </w:rPr>
      </w:pPr>
      <w:bookmarkStart w:id="28" w:name="_Toc233629123"/>
      <w:r w:rsidRPr="00B7158F">
        <w:rPr>
          <w:rFonts w:ascii="Arial" w:hAnsi="Arial" w:cs="Arial"/>
          <w:sz w:val="28"/>
          <w:szCs w:val="28"/>
          <w:lang w:val="en-US"/>
        </w:rPr>
        <w:t>3.5 Inclusion and Exclusion Criteria</w:t>
      </w:r>
      <w:bookmarkEnd w:id="28"/>
    </w:p>
    <w:p w14:paraId="6410080D" w14:textId="77777777" w:rsidR="001B7D33" w:rsidRPr="00106C49" w:rsidRDefault="001B7D33" w:rsidP="001B7D33">
      <w:pPr>
        <w:spacing w:line="360" w:lineRule="auto"/>
        <w:jc w:val="both"/>
        <w:rPr>
          <w:rFonts w:ascii="Arial" w:hAnsi="Arial" w:cs="Arial"/>
          <w:sz w:val="22"/>
          <w:szCs w:val="22"/>
          <w:lang w:val="en-US"/>
        </w:rPr>
      </w:pPr>
    </w:p>
    <w:p w14:paraId="77D0EADD" w14:textId="1FCCCA94" w:rsidR="001B7D33" w:rsidRPr="00364982" w:rsidRDefault="00506BAE" w:rsidP="001B7D33">
      <w:pPr>
        <w:spacing w:line="360" w:lineRule="auto"/>
        <w:jc w:val="both"/>
        <w:rPr>
          <w:rFonts w:ascii="Arial" w:hAnsi="Arial" w:cs="Arial"/>
          <w:sz w:val="22"/>
          <w:szCs w:val="22"/>
          <w:lang w:val="en-US"/>
        </w:rPr>
      </w:pPr>
      <w:r w:rsidRPr="008B6D04">
        <w:rPr>
          <w:rFonts w:ascii="Arial" w:hAnsi="Arial" w:cs="Arial"/>
          <w:sz w:val="22"/>
          <w:szCs w:val="22"/>
          <w:lang w:val="en-US"/>
        </w:rPr>
        <w:t xml:space="preserve">The inclusion and exclusion criteria were set before screening </w:t>
      </w:r>
      <w:r w:rsidR="008527CF">
        <w:rPr>
          <w:rFonts w:ascii="Arial" w:hAnsi="Arial" w:cs="Arial"/>
          <w:sz w:val="22"/>
          <w:szCs w:val="22"/>
          <w:lang w:val="en-US"/>
        </w:rPr>
        <w:t>to ensure</w:t>
      </w:r>
      <w:r w:rsidRPr="008B6D04">
        <w:rPr>
          <w:rFonts w:ascii="Arial" w:hAnsi="Arial" w:cs="Arial"/>
          <w:sz w:val="22"/>
          <w:szCs w:val="22"/>
          <w:lang w:val="en-US"/>
        </w:rPr>
        <w:t xml:space="preserve"> focus and clarity in the review process. Eligibility criteria are necessary in systematic reviews </w:t>
      </w:r>
      <w:r w:rsidR="008527CF" w:rsidRPr="008B6D04">
        <w:rPr>
          <w:rFonts w:ascii="Arial" w:hAnsi="Arial" w:cs="Arial"/>
          <w:sz w:val="22"/>
          <w:szCs w:val="22"/>
          <w:lang w:val="en-US"/>
        </w:rPr>
        <w:t>to</w:t>
      </w:r>
      <w:r w:rsidRPr="008B6D04">
        <w:rPr>
          <w:rFonts w:ascii="Arial" w:hAnsi="Arial" w:cs="Arial"/>
          <w:sz w:val="22"/>
          <w:szCs w:val="22"/>
          <w:lang w:val="en-US"/>
        </w:rPr>
        <w:t xml:space="preserve"> </w:t>
      </w:r>
      <w:r w:rsidR="008527CF">
        <w:rPr>
          <w:rFonts w:ascii="Arial" w:hAnsi="Arial" w:cs="Arial"/>
          <w:sz w:val="22"/>
          <w:szCs w:val="22"/>
          <w:lang w:val="en-US"/>
        </w:rPr>
        <w:t>minimise</w:t>
      </w:r>
      <w:r w:rsidRPr="008B6D04">
        <w:rPr>
          <w:rFonts w:ascii="Arial" w:hAnsi="Arial" w:cs="Arial"/>
          <w:sz w:val="22"/>
          <w:szCs w:val="22"/>
          <w:lang w:val="en-US"/>
        </w:rPr>
        <w:t xml:space="preserve"> selection bias and </w:t>
      </w:r>
      <w:r w:rsidR="008527CF">
        <w:rPr>
          <w:rFonts w:ascii="Arial" w:hAnsi="Arial" w:cs="Arial"/>
          <w:sz w:val="22"/>
          <w:szCs w:val="22"/>
          <w:lang w:val="en-US"/>
        </w:rPr>
        <w:t>help readers</w:t>
      </w:r>
      <w:r w:rsidRPr="008B6D04">
        <w:rPr>
          <w:rFonts w:ascii="Arial" w:hAnsi="Arial" w:cs="Arial"/>
          <w:sz w:val="22"/>
          <w:szCs w:val="22"/>
          <w:lang w:val="en-US"/>
        </w:rPr>
        <w:t xml:space="preserve"> understand the reasoning behind study inclusion/exclusion decisions (Page et al., 2021; Aveyard, 2023). They were developed according to the research question and criteria set by the dissertation.</w:t>
      </w:r>
    </w:p>
    <w:p w14:paraId="60D9E5B2" w14:textId="77777777" w:rsidR="00485F83" w:rsidRPr="00364982" w:rsidRDefault="00485F83" w:rsidP="001B7D33">
      <w:pPr>
        <w:spacing w:line="360" w:lineRule="auto"/>
        <w:jc w:val="both"/>
        <w:rPr>
          <w:rFonts w:ascii="Arial" w:hAnsi="Arial" w:cs="Arial"/>
          <w:sz w:val="22"/>
          <w:szCs w:val="22"/>
          <w:lang w:val="en-US"/>
        </w:rPr>
      </w:pPr>
    </w:p>
    <w:p w14:paraId="18CDB91D" w14:textId="77777777" w:rsidR="00B7158F" w:rsidRPr="00106C49" w:rsidRDefault="00B7158F" w:rsidP="001B7D33">
      <w:pPr>
        <w:spacing w:line="360" w:lineRule="auto"/>
        <w:jc w:val="both"/>
        <w:rPr>
          <w:rFonts w:ascii="Arial" w:hAnsi="Arial" w:cs="Arial"/>
          <w:sz w:val="22"/>
          <w:szCs w:val="22"/>
          <w:lang w:val="en-US"/>
        </w:rPr>
      </w:pPr>
    </w:p>
    <w:tbl>
      <w:tblPr>
        <w:tblStyle w:val="TableGrid"/>
        <w:tblW w:w="0" w:type="auto"/>
        <w:tblLook w:val="04A0" w:firstRow="1" w:lastRow="0" w:firstColumn="1" w:lastColumn="0" w:noHBand="0" w:noVBand="1"/>
      </w:tblPr>
      <w:tblGrid>
        <w:gridCol w:w="1585"/>
        <w:gridCol w:w="3808"/>
        <w:gridCol w:w="3952"/>
      </w:tblGrid>
      <w:tr w:rsidR="008B6D04" w:rsidRPr="008B6D04" w14:paraId="19F34797" w14:textId="77777777" w:rsidTr="001B7D33">
        <w:tc>
          <w:tcPr>
            <w:tcW w:w="1585" w:type="dxa"/>
          </w:tcPr>
          <w:p w14:paraId="648BF41C" w14:textId="4A0A57C6"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Criteria</w:t>
            </w:r>
          </w:p>
        </w:tc>
        <w:tc>
          <w:tcPr>
            <w:tcW w:w="3808" w:type="dxa"/>
          </w:tcPr>
          <w:p w14:paraId="6820CD3B" w14:textId="16933DFE"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Inclusion criteria</w:t>
            </w:r>
          </w:p>
        </w:tc>
        <w:tc>
          <w:tcPr>
            <w:tcW w:w="3952" w:type="dxa"/>
          </w:tcPr>
          <w:p w14:paraId="4D6E4253" w14:textId="3A75FEBA"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Exclusion criteria</w:t>
            </w:r>
          </w:p>
        </w:tc>
      </w:tr>
      <w:tr w:rsidR="008B6D04" w:rsidRPr="00437257" w14:paraId="3D3264C7" w14:textId="77777777" w:rsidTr="001B7D33">
        <w:tc>
          <w:tcPr>
            <w:tcW w:w="1585" w:type="dxa"/>
          </w:tcPr>
          <w:p w14:paraId="250E32BD" w14:textId="74341AB8"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Location</w:t>
            </w:r>
          </w:p>
        </w:tc>
        <w:tc>
          <w:tcPr>
            <w:tcW w:w="3808" w:type="dxa"/>
          </w:tcPr>
          <w:p w14:paraId="2CBD500F" w14:textId="0F4B2608"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Studies undertaken in the UK or in the individual component nations of the UK (England, Scotland, Wales, or Northern Ireland).</w:t>
            </w:r>
          </w:p>
        </w:tc>
        <w:tc>
          <w:tcPr>
            <w:tcW w:w="3952" w:type="dxa"/>
          </w:tcPr>
          <w:p w14:paraId="75B5094A" w14:textId="70F60CA0"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Studies undertaken only in foreign countries or foreign international systems, where no UK evidence exists.</w:t>
            </w:r>
          </w:p>
        </w:tc>
      </w:tr>
      <w:tr w:rsidR="008B6D04" w:rsidRPr="00437257" w14:paraId="7B6C3DA9" w14:textId="77777777" w:rsidTr="001B7D33">
        <w:tc>
          <w:tcPr>
            <w:tcW w:w="1585" w:type="dxa"/>
          </w:tcPr>
          <w:p w14:paraId="5150FABD" w14:textId="402F1A7A"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Topic</w:t>
            </w:r>
          </w:p>
        </w:tc>
        <w:tc>
          <w:tcPr>
            <w:tcW w:w="3808" w:type="dxa"/>
          </w:tcPr>
          <w:p w14:paraId="2AAFF356" w14:textId="03FE719E"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Studies concerned with accessing CAMHS (child and adolescent mental health services) or mental health services for children/young people.</w:t>
            </w:r>
          </w:p>
        </w:tc>
        <w:tc>
          <w:tcPr>
            <w:tcW w:w="3952" w:type="dxa"/>
          </w:tcPr>
          <w:p w14:paraId="3B16F971" w14:textId="4B4A1EE0"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Studies focused only on accessing adult mental health services or child health services that do not relate to mental health.</w:t>
            </w:r>
          </w:p>
        </w:tc>
      </w:tr>
      <w:tr w:rsidR="008B6D04" w:rsidRPr="00437257" w14:paraId="597D8CB3" w14:textId="77777777" w:rsidTr="001B7D33">
        <w:tc>
          <w:tcPr>
            <w:tcW w:w="1585" w:type="dxa"/>
          </w:tcPr>
          <w:p w14:paraId="028685E4" w14:textId="4D5E163F"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Population</w:t>
            </w:r>
          </w:p>
        </w:tc>
        <w:tc>
          <w:tcPr>
            <w:tcW w:w="3808" w:type="dxa"/>
          </w:tcPr>
          <w:p w14:paraId="7DCB3B4A" w14:textId="16F8A4EA"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Areas of interest: Children/young people; their parents or carers; GPs; schools; CAMHS professionals; or professionals more generally engaged in the access pathway.</w:t>
            </w:r>
          </w:p>
        </w:tc>
        <w:tc>
          <w:tcPr>
            <w:tcW w:w="3952" w:type="dxa"/>
          </w:tcPr>
          <w:p w14:paraId="0C81B4D2" w14:textId="5C1AEF65"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 xml:space="preserve">Studies focused only on adults, </w:t>
            </w:r>
            <w:r w:rsidR="00B56FD2" w:rsidRPr="008B6D04">
              <w:rPr>
                <w:rFonts w:ascii="Arial" w:hAnsi="Arial" w:cs="Arial"/>
                <w:sz w:val="22"/>
                <w:szCs w:val="22"/>
                <w:lang w:val="en-US"/>
              </w:rPr>
              <w:t>except for</w:t>
            </w:r>
            <w:r w:rsidRPr="008B6D04">
              <w:rPr>
                <w:rFonts w:ascii="Arial" w:hAnsi="Arial" w:cs="Arial"/>
                <w:sz w:val="22"/>
                <w:szCs w:val="22"/>
                <w:lang w:val="en-US"/>
              </w:rPr>
              <w:t xml:space="preserve"> studies considering parents/carers and professionals </w:t>
            </w:r>
            <w:r w:rsidR="00B56FD2">
              <w:rPr>
                <w:rFonts w:ascii="Arial" w:hAnsi="Arial" w:cs="Arial"/>
                <w:sz w:val="22"/>
                <w:szCs w:val="22"/>
                <w:lang w:val="en-US"/>
              </w:rPr>
              <w:t>about</w:t>
            </w:r>
            <w:r w:rsidRPr="008B6D04">
              <w:rPr>
                <w:rFonts w:ascii="Arial" w:hAnsi="Arial" w:cs="Arial"/>
                <w:sz w:val="22"/>
                <w:szCs w:val="22"/>
                <w:lang w:val="en-US"/>
              </w:rPr>
              <w:t xml:space="preserve"> mental health access for children.</w:t>
            </w:r>
          </w:p>
          <w:p w14:paraId="78AE8051" w14:textId="77777777" w:rsidR="008B6D04" w:rsidRPr="008B6D04" w:rsidRDefault="008B6D04" w:rsidP="00B7158F">
            <w:pPr>
              <w:ind w:firstLine="708"/>
              <w:rPr>
                <w:rFonts w:ascii="Arial" w:hAnsi="Arial" w:cs="Arial"/>
                <w:sz w:val="22"/>
                <w:szCs w:val="22"/>
                <w:lang w:val="en-US"/>
              </w:rPr>
            </w:pPr>
          </w:p>
        </w:tc>
      </w:tr>
      <w:tr w:rsidR="008B6D04" w:rsidRPr="00437257" w14:paraId="30678D6E" w14:textId="77777777" w:rsidTr="001B7D33">
        <w:tc>
          <w:tcPr>
            <w:tcW w:w="1585" w:type="dxa"/>
          </w:tcPr>
          <w:p w14:paraId="408B90CF" w14:textId="7349D1F9"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Methodology</w:t>
            </w:r>
          </w:p>
        </w:tc>
        <w:tc>
          <w:tcPr>
            <w:tcW w:w="3808" w:type="dxa"/>
          </w:tcPr>
          <w:p w14:paraId="453F309D" w14:textId="01B8C760"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Qualitative studies and mixed-method studies that provide qualitative data.</w:t>
            </w:r>
          </w:p>
        </w:tc>
        <w:tc>
          <w:tcPr>
            <w:tcW w:w="3952" w:type="dxa"/>
          </w:tcPr>
          <w:p w14:paraId="2438C197" w14:textId="259CDB32"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Studies with quantitative data only.</w:t>
            </w:r>
          </w:p>
        </w:tc>
      </w:tr>
      <w:tr w:rsidR="008B6D04" w:rsidRPr="00437257" w14:paraId="461C838A" w14:textId="77777777" w:rsidTr="001B7D33">
        <w:tc>
          <w:tcPr>
            <w:tcW w:w="1585" w:type="dxa"/>
          </w:tcPr>
          <w:p w14:paraId="0FA98B0F" w14:textId="16FB801B"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Date</w:t>
            </w:r>
          </w:p>
        </w:tc>
        <w:tc>
          <w:tcPr>
            <w:tcW w:w="3808" w:type="dxa"/>
          </w:tcPr>
          <w:p w14:paraId="7648669C" w14:textId="6BDEA2F4"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Data from studies and systematic reviews published between 2015 and 2025 are included.</w:t>
            </w:r>
          </w:p>
        </w:tc>
        <w:tc>
          <w:tcPr>
            <w:tcW w:w="3952" w:type="dxa"/>
          </w:tcPr>
          <w:p w14:paraId="5295564C" w14:textId="355C06D0"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 xml:space="preserve">Studies published </w:t>
            </w:r>
            <w:r w:rsidR="00B56FD2">
              <w:rPr>
                <w:rFonts w:ascii="Arial" w:hAnsi="Arial" w:cs="Arial"/>
                <w:sz w:val="22"/>
                <w:szCs w:val="22"/>
                <w:lang w:val="en-US"/>
              </w:rPr>
              <w:t>before</w:t>
            </w:r>
            <w:r w:rsidRPr="008B6D04">
              <w:rPr>
                <w:rFonts w:ascii="Arial" w:hAnsi="Arial" w:cs="Arial"/>
                <w:sz w:val="22"/>
                <w:szCs w:val="22"/>
                <w:lang w:val="en-US"/>
              </w:rPr>
              <w:t xml:space="preserve"> 2015 are excluded, except </w:t>
            </w:r>
            <w:r w:rsidR="00B56FD2">
              <w:rPr>
                <w:rFonts w:ascii="Arial" w:hAnsi="Arial" w:cs="Arial"/>
                <w:sz w:val="22"/>
                <w:szCs w:val="22"/>
                <w:lang w:val="en-US"/>
              </w:rPr>
              <w:t>for</w:t>
            </w:r>
            <w:r w:rsidRPr="008B6D04">
              <w:rPr>
                <w:rFonts w:ascii="Arial" w:hAnsi="Arial" w:cs="Arial"/>
                <w:sz w:val="22"/>
                <w:szCs w:val="22"/>
                <w:lang w:val="en-US"/>
              </w:rPr>
              <w:t xml:space="preserve"> background or methodological literature.</w:t>
            </w:r>
          </w:p>
        </w:tc>
      </w:tr>
      <w:tr w:rsidR="008B6D04" w:rsidRPr="008B6D04" w14:paraId="0EFB3870" w14:textId="77777777" w:rsidTr="001B7D33">
        <w:trPr>
          <w:trHeight w:val="483"/>
        </w:trPr>
        <w:tc>
          <w:tcPr>
            <w:tcW w:w="1585" w:type="dxa"/>
          </w:tcPr>
          <w:p w14:paraId="4EEF2E7B" w14:textId="6858E58F"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Language</w:t>
            </w:r>
          </w:p>
        </w:tc>
        <w:tc>
          <w:tcPr>
            <w:tcW w:w="3808" w:type="dxa"/>
          </w:tcPr>
          <w:p w14:paraId="48D70D5C" w14:textId="08146463" w:rsidR="008B6D04" w:rsidRPr="008B6D04" w:rsidRDefault="008B6D04" w:rsidP="00B7158F">
            <w:pPr>
              <w:rPr>
                <w:rFonts w:ascii="Arial" w:hAnsi="Arial" w:cs="Arial"/>
                <w:sz w:val="22"/>
                <w:szCs w:val="22"/>
                <w:lang w:val="en-US"/>
              </w:rPr>
            </w:pPr>
            <w:r w:rsidRPr="008B6D04">
              <w:rPr>
                <w:rFonts w:ascii="Arial" w:hAnsi="Arial" w:cs="Arial"/>
                <w:sz w:val="22"/>
                <w:szCs w:val="22"/>
              </w:rPr>
              <w:t>English-language publications.</w:t>
            </w:r>
          </w:p>
        </w:tc>
        <w:tc>
          <w:tcPr>
            <w:tcW w:w="3952" w:type="dxa"/>
          </w:tcPr>
          <w:p w14:paraId="7D2852BE" w14:textId="31271DE6" w:rsidR="008B6D04" w:rsidRPr="008B6D04" w:rsidRDefault="008B6D04" w:rsidP="00B7158F">
            <w:pPr>
              <w:tabs>
                <w:tab w:val="left" w:pos="1125"/>
              </w:tabs>
              <w:rPr>
                <w:rFonts w:ascii="Arial" w:hAnsi="Arial" w:cs="Arial"/>
                <w:sz w:val="22"/>
                <w:szCs w:val="22"/>
                <w:lang w:val="en-US"/>
              </w:rPr>
            </w:pPr>
            <w:r w:rsidRPr="008B6D04">
              <w:rPr>
                <w:rFonts w:ascii="Arial" w:hAnsi="Arial" w:cs="Arial"/>
                <w:sz w:val="22"/>
                <w:szCs w:val="22"/>
              </w:rPr>
              <w:t>Non-English publications.</w:t>
            </w:r>
          </w:p>
        </w:tc>
      </w:tr>
      <w:tr w:rsidR="008B6D04" w:rsidRPr="00437257" w14:paraId="3095B21E" w14:textId="77777777" w:rsidTr="001B7D33">
        <w:tc>
          <w:tcPr>
            <w:tcW w:w="1585" w:type="dxa"/>
          </w:tcPr>
          <w:p w14:paraId="56B0EC70" w14:textId="59ECA286" w:rsidR="008B6D04" w:rsidRPr="008B6D04" w:rsidRDefault="008B6D04" w:rsidP="00B7158F">
            <w:pPr>
              <w:rPr>
                <w:rFonts w:ascii="Arial" w:hAnsi="Arial" w:cs="Arial"/>
                <w:b/>
                <w:bCs/>
                <w:sz w:val="22"/>
                <w:szCs w:val="22"/>
                <w:lang w:val="en-US"/>
              </w:rPr>
            </w:pPr>
            <w:r w:rsidRPr="008B6D04">
              <w:rPr>
                <w:rFonts w:ascii="Arial" w:hAnsi="Arial" w:cs="Arial"/>
                <w:b/>
                <w:bCs/>
                <w:sz w:val="22"/>
                <w:szCs w:val="22"/>
              </w:rPr>
              <w:t>Evidence type</w:t>
            </w:r>
          </w:p>
        </w:tc>
        <w:tc>
          <w:tcPr>
            <w:tcW w:w="3808" w:type="dxa"/>
          </w:tcPr>
          <w:p w14:paraId="5C6B7707" w14:textId="2D39F1C1"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 xml:space="preserve">Peer-reviewed papers; NHS documentation; UK government reports/policy; and </w:t>
            </w:r>
            <w:r w:rsidR="00B56FD2">
              <w:rPr>
                <w:rFonts w:ascii="Arial" w:hAnsi="Arial" w:cs="Arial"/>
                <w:sz w:val="22"/>
                <w:szCs w:val="22"/>
                <w:lang w:val="en-US"/>
              </w:rPr>
              <w:t>grey</w:t>
            </w:r>
            <w:r w:rsidRPr="008B6D04">
              <w:rPr>
                <w:rFonts w:ascii="Arial" w:hAnsi="Arial" w:cs="Arial"/>
                <w:sz w:val="22"/>
                <w:szCs w:val="22"/>
                <w:lang w:val="en-US"/>
              </w:rPr>
              <w:t xml:space="preserve"> literature.</w:t>
            </w:r>
          </w:p>
        </w:tc>
        <w:tc>
          <w:tcPr>
            <w:tcW w:w="3952" w:type="dxa"/>
          </w:tcPr>
          <w:p w14:paraId="21C2286D" w14:textId="033530B7" w:rsidR="008B6D04" w:rsidRPr="008B6D04" w:rsidRDefault="008B6D04" w:rsidP="00B7158F">
            <w:pPr>
              <w:rPr>
                <w:rFonts w:ascii="Arial" w:hAnsi="Arial" w:cs="Arial"/>
                <w:sz w:val="22"/>
                <w:szCs w:val="22"/>
                <w:lang w:val="en-US"/>
              </w:rPr>
            </w:pPr>
            <w:r w:rsidRPr="008B6D04">
              <w:rPr>
                <w:rFonts w:ascii="Arial" w:hAnsi="Arial" w:cs="Arial"/>
                <w:sz w:val="22"/>
                <w:szCs w:val="22"/>
                <w:lang w:val="en-US"/>
              </w:rPr>
              <w:t>Not included: Opinion pieces, blogs, and media articles that lack evidential value.</w:t>
            </w:r>
          </w:p>
        </w:tc>
      </w:tr>
    </w:tbl>
    <w:p w14:paraId="508A5F39" w14:textId="77777777" w:rsidR="001B7D33" w:rsidRPr="00364982" w:rsidRDefault="001B7D33" w:rsidP="001B7D33">
      <w:pPr>
        <w:jc w:val="both"/>
        <w:rPr>
          <w:lang w:val="en-US"/>
        </w:rPr>
      </w:pPr>
    </w:p>
    <w:p w14:paraId="6774F5C6" w14:textId="0C3369EC" w:rsidR="001B7D33" w:rsidRPr="00106C49" w:rsidRDefault="001B7D33" w:rsidP="00B7158F">
      <w:pPr>
        <w:pStyle w:val="Heading2"/>
        <w:jc w:val="both"/>
        <w:rPr>
          <w:lang w:val="en-US"/>
        </w:rPr>
      </w:pPr>
      <w:bookmarkStart w:id="29" w:name="_Toc233629124"/>
      <w:r w:rsidRPr="001B7D33">
        <w:rPr>
          <w:lang w:val="en-US"/>
        </w:rPr>
        <w:t>3.6 Study Selection Process</w:t>
      </w:r>
      <w:bookmarkEnd w:id="29"/>
    </w:p>
    <w:p w14:paraId="000FEEFB" w14:textId="77777777" w:rsidR="00B7158F" w:rsidRPr="00106C49" w:rsidRDefault="00B7158F" w:rsidP="00B7158F">
      <w:pPr>
        <w:rPr>
          <w:lang w:val="en-US"/>
        </w:rPr>
      </w:pPr>
    </w:p>
    <w:p w14:paraId="61C63FD0" w14:textId="56AC5982" w:rsidR="00B56FD2" w:rsidRDefault="00B56FD2" w:rsidP="00B56FD2">
      <w:pPr>
        <w:spacing w:line="360" w:lineRule="auto"/>
        <w:jc w:val="both"/>
        <w:rPr>
          <w:rFonts w:ascii="Arial" w:hAnsi="Arial" w:cs="Arial"/>
          <w:sz w:val="22"/>
          <w:szCs w:val="22"/>
          <w:lang w:val="en-US"/>
        </w:rPr>
      </w:pPr>
      <w:r w:rsidRPr="00B56FD2">
        <w:rPr>
          <w:rFonts w:ascii="Arial" w:hAnsi="Arial" w:cs="Arial"/>
          <w:sz w:val="22"/>
          <w:szCs w:val="22"/>
          <w:lang w:val="en-US"/>
        </w:rPr>
        <w:lastRenderedPageBreak/>
        <w:t>The study selection process followed the key stages outlined in the PRISMA 2020 framework</w:t>
      </w:r>
      <w:r>
        <w:rPr>
          <w:rFonts w:ascii="Arial" w:hAnsi="Arial" w:cs="Arial"/>
          <w:sz w:val="22"/>
          <w:szCs w:val="22"/>
          <w:lang w:val="en-US"/>
        </w:rPr>
        <w:t>: identification, screening, eligibility assessment,</w:t>
      </w:r>
      <w:r w:rsidRPr="00B56FD2">
        <w:rPr>
          <w:rFonts w:ascii="Arial" w:hAnsi="Arial" w:cs="Arial"/>
          <w:sz w:val="22"/>
          <w:szCs w:val="22"/>
          <w:lang w:val="en-US"/>
        </w:rPr>
        <w:t xml:space="preserve"> and inclusion (Page et al., 2021). Relevant databases and UK grey literature sources were systematically searched, and duplicate records were removed before the titles and abstracts were screened. The remaining studies were assessed against predetermined inclusion and exclusion criteria, with eligibility restricted to UK-based studies employing qualitative or mixed-methods approaches that examined access to Child and Adolescent Mental Health Services (CAMHS) (Page et al., 2021; Aveyard, 2023).</w:t>
      </w:r>
    </w:p>
    <w:p w14:paraId="7D6B609C" w14:textId="77777777" w:rsidR="00B56FD2" w:rsidRDefault="00B56FD2" w:rsidP="00B56FD2">
      <w:pPr>
        <w:spacing w:line="360" w:lineRule="auto"/>
        <w:jc w:val="both"/>
        <w:rPr>
          <w:rFonts w:ascii="Arial" w:hAnsi="Arial" w:cs="Arial"/>
          <w:sz w:val="22"/>
          <w:szCs w:val="22"/>
          <w:lang w:val="en-US"/>
        </w:rPr>
      </w:pPr>
    </w:p>
    <w:p w14:paraId="5A10A289" w14:textId="66B14D44" w:rsidR="00B7158F" w:rsidRPr="00B56FD2" w:rsidRDefault="00B56FD2" w:rsidP="00B56FD2">
      <w:pPr>
        <w:spacing w:line="360" w:lineRule="auto"/>
        <w:jc w:val="both"/>
        <w:rPr>
          <w:rFonts w:ascii="Arial" w:hAnsi="Arial" w:cs="Arial"/>
          <w:sz w:val="22"/>
          <w:szCs w:val="22"/>
          <w:lang w:val="en-US"/>
        </w:rPr>
      </w:pPr>
      <w:r>
        <w:rPr>
          <w:rFonts w:ascii="Arial" w:hAnsi="Arial" w:cs="Arial"/>
          <w:sz w:val="22"/>
          <w:szCs w:val="22"/>
          <w:lang w:val="en-US"/>
        </w:rPr>
        <w:t>The primary screening criterion was relevance to access issues. Therefore, studies that addressed child mental health more broadly but did not specifically examine access, referrals, barriers, facilitators, or service pathways were excluded. Additionally, studies conducted outside the UK were not considered, as this dissertation focuses on CAMHS access within the United Kingdom. A PRISMA flow diagram illustrating the selection process can be found in Chapter 3, Figure [insert figure number].</w:t>
      </w:r>
      <w:r w:rsidRPr="00B56FD2">
        <w:rPr>
          <w:rFonts w:ascii="Arial" w:hAnsi="Arial" w:cs="Arial"/>
          <w:sz w:val="22"/>
          <w:szCs w:val="22"/>
          <w:lang w:val="en-US"/>
        </w:rPr>
        <w:t>2.</w:t>
      </w:r>
    </w:p>
    <w:p w14:paraId="3F1EE8A5" w14:textId="60E81ECE" w:rsidR="00B7158F" w:rsidRPr="00106C49" w:rsidRDefault="00B7158F" w:rsidP="00B7158F">
      <w:pPr>
        <w:spacing w:line="360" w:lineRule="auto"/>
        <w:jc w:val="both"/>
        <w:rPr>
          <w:rFonts w:ascii="Arial" w:hAnsi="Arial" w:cs="Arial"/>
          <w:sz w:val="22"/>
          <w:szCs w:val="22"/>
          <w:lang w:val="en-US"/>
        </w:rPr>
      </w:pPr>
    </w:p>
    <w:p w14:paraId="6D94C7D8" w14:textId="43ABAC92" w:rsidR="00B7158F" w:rsidRPr="00485F83" w:rsidRDefault="00B7158F" w:rsidP="00485F83">
      <w:pPr>
        <w:pStyle w:val="Heading2"/>
        <w:jc w:val="both"/>
        <w:rPr>
          <w:lang w:val="en-US"/>
        </w:rPr>
      </w:pPr>
      <w:bookmarkStart w:id="30" w:name="_Toc233629125"/>
      <w:r w:rsidRPr="00B7158F">
        <w:rPr>
          <w:lang w:val="en-US"/>
        </w:rPr>
        <w:t>3.7 PRISMA Flow Diagram</w:t>
      </w:r>
      <w:bookmarkEnd w:id="30"/>
    </w:p>
    <w:p w14:paraId="10D8173B" w14:textId="2C083109" w:rsidR="00B7158F" w:rsidRPr="00106C49" w:rsidRDefault="00485F83" w:rsidP="00B7158F">
      <w:pPr>
        <w:spacing w:line="360" w:lineRule="auto"/>
        <w:jc w:val="both"/>
        <w:rPr>
          <w:rFonts w:ascii="Arial" w:hAnsi="Arial" w:cs="Arial"/>
          <w:sz w:val="22"/>
          <w:szCs w:val="22"/>
          <w:lang w:val="en-US"/>
        </w:rPr>
      </w:pPr>
      <w:r>
        <w:rPr>
          <w:rFonts w:ascii="Arial" w:hAnsi="Arial" w:cs="Arial"/>
          <w:noProof/>
          <w:sz w:val="22"/>
          <w:szCs w:val="22"/>
        </w:rPr>
        <w:drawing>
          <wp:anchor distT="0" distB="0" distL="114300" distR="114300" simplePos="0" relativeHeight="251665408" behindDoc="0" locked="0" layoutInCell="1" allowOverlap="1" wp14:anchorId="017816CD" wp14:editId="7E643B94">
            <wp:simplePos x="0" y="0"/>
            <wp:positionH relativeFrom="margin">
              <wp:align>left</wp:align>
            </wp:positionH>
            <wp:positionV relativeFrom="paragraph">
              <wp:posOffset>53340</wp:posOffset>
            </wp:positionV>
            <wp:extent cx="5765843" cy="3248025"/>
            <wp:effectExtent l="0" t="0" r="6350" b="0"/>
            <wp:wrapNone/>
            <wp:docPr id="5463076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5843" cy="3248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1BBF6E" w14:textId="1D5F8391" w:rsidR="00B7158F" w:rsidRPr="00106C49" w:rsidRDefault="00B7158F" w:rsidP="00B7158F">
      <w:pPr>
        <w:spacing w:line="360" w:lineRule="auto"/>
        <w:jc w:val="both"/>
        <w:rPr>
          <w:rFonts w:ascii="Arial" w:hAnsi="Arial" w:cs="Arial"/>
          <w:sz w:val="22"/>
          <w:szCs w:val="22"/>
          <w:lang w:val="en-US"/>
        </w:rPr>
      </w:pPr>
    </w:p>
    <w:p w14:paraId="2F3D7245" w14:textId="4BA1FE99" w:rsidR="00B7158F" w:rsidRPr="00106C49" w:rsidRDefault="00B7158F" w:rsidP="00B7158F">
      <w:pPr>
        <w:spacing w:line="360" w:lineRule="auto"/>
        <w:jc w:val="both"/>
        <w:rPr>
          <w:rFonts w:ascii="Arial" w:hAnsi="Arial" w:cs="Arial"/>
          <w:sz w:val="22"/>
          <w:szCs w:val="22"/>
          <w:lang w:val="en-US"/>
        </w:rPr>
      </w:pPr>
    </w:p>
    <w:p w14:paraId="6316AB21" w14:textId="77777777" w:rsidR="00B7158F" w:rsidRPr="00106C49" w:rsidRDefault="00B7158F" w:rsidP="00B7158F">
      <w:pPr>
        <w:spacing w:line="360" w:lineRule="auto"/>
        <w:jc w:val="both"/>
        <w:rPr>
          <w:rFonts w:ascii="Arial" w:hAnsi="Arial" w:cs="Arial"/>
          <w:sz w:val="22"/>
          <w:szCs w:val="22"/>
          <w:lang w:val="en-US"/>
        </w:rPr>
      </w:pPr>
    </w:p>
    <w:p w14:paraId="34014AFB" w14:textId="0EADD5CE" w:rsidR="00B7158F" w:rsidRPr="00106C49" w:rsidRDefault="00B7158F" w:rsidP="00B7158F">
      <w:pPr>
        <w:spacing w:line="360" w:lineRule="auto"/>
        <w:jc w:val="both"/>
        <w:rPr>
          <w:rFonts w:ascii="Arial" w:hAnsi="Arial" w:cs="Arial"/>
          <w:sz w:val="22"/>
          <w:szCs w:val="22"/>
          <w:lang w:val="en-US"/>
        </w:rPr>
      </w:pPr>
    </w:p>
    <w:p w14:paraId="7667A73B" w14:textId="77777777" w:rsidR="00B7158F" w:rsidRPr="00106C49" w:rsidRDefault="00B7158F" w:rsidP="00B7158F">
      <w:pPr>
        <w:spacing w:line="360" w:lineRule="auto"/>
        <w:jc w:val="both"/>
        <w:rPr>
          <w:rFonts w:ascii="Arial" w:hAnsi="Arial" w:cs="Arial"/>
          <w:sz w:val="22"/>
          <w:szCs w:val="22"/>
          <w:lang w:val="en-US"/>
        </w:rPr>
      </w:pPr>
    </w:p>
    <w:p w14:paraId="4446A93A" w14:textId="77777777" w:rsidR="00B7158F" w:rsidRPr="00106C49" w:rsidRDefault="00B7158F" w:rsidP="00B7158F">
      <w:pPr>
        <w:spacing w:line="360" w:lineRule="auto"/>
        <w:jc w:val="both"/>
        <w:rPr>
          <w:rFonts w:ascii="Arial" w:hAnsi="Arial" w:cs="Arial"/>
          <w:sz w:val="22"/>
          <w:szCs w:val="22"/>
          <w:lang w:val="en-US"/>
        </w:rPr>
      </w:pPr>
    </w:p>
    <w:p w14:paraId="0003E33D" w14:textId="77777777" w:rsidR="00B7158F" w:rsidRPr="00106C49" w:rsidRDefault="00B7158F" w:rsidP="00B7158F">
      <w:pPr>
        <w:spacing w:line="360" w:lineRule="auto"/>
        <w:jc w:val="both"/>
        <w:rPr>
          <w:rFonts w:ascii="Arial" w:hAnsi="Arial" w:cs="Arial"/>
          <w:sz w:val="22"/>
          <w:szCs w:val="22"/>
          <w:lang w:val="en-US"/>
        </w:rPr>
      </w:pPr>
    </w:p>
    <w:p w14:paraId="6BF0B3ED" w14:textId="77777777" w:rsidR="00B7158F" w:rsidRPr="00106C49" w:rsidRDefault="00B7158F" w:rsidP="00B7158F">
      <w:pPr>
        <w:spacing w:line="360" w:lineRule="auto"/>
        <w:jc w:val="both"/>
        <w:rPr>
          <w:rFonts w:ascii="Arial" w:hAnsi="Arial" w:cs="Arial"/>
          <w:sz w:val="22"/>
          <w:szCs w:val="22"/>
          <w:lang w:val="en-US"/>
        </w:rPr>
      </w:pPr>
    </w:p>
    <w:p w14:paraId="1355B27A" w14:textId="77777777" w:rsidR="00485F83" w:rsidRPr="00364982" w:rsidRDefault="00485F83" w:rsidP="00B7158F">
      <w:pPr>
        <w:spacing w:line="360" w:lineRule="auto"/>
        <w:jc w:val="both"/>
        <w:rPr>
          <w:rFonts w:ascii="Arial" w:hAnsi="Arial" w:cs="Arial"/>
          <w:sz w:val="22"/>
          <w:szCs w:val="22"/>
          <w:lang w:val="en-US"/>
        </w:rPr>
      </w:pPr>
    </w:p>
    <w:p w14:paraId="4CFFF199" w14:textId="2F3159FB" w:rsidR="00B7158F" w:rsidRPr="00B7158F" w:rsidRDefault="00B7158F" w:rsidP="00B7158F">
      <w:pPr>
        <w:spacing w:line="360" w:lineRule="auto"/>
        <w:jc w:val="both"/>
        <w:rPr>
          <w:rFonts w:ascii="Arial" w:hAnsi="Arial" w:cs="Arial"/>
          <w:sz w:val="22"/>
          <w:szCs w:val="22"/>
          <w:lang w:val="en-US"/>
        </w:rPr>
      </w:pPr>
      <w:r w:rsidRPr="00B7158F">
        <w:rPr>
          <w:rFonts w:ascii="Arial" w:hAnsi="Arial" w:cs="Arial"/>
          <w:sz w:val="22"/>
          <w:szCs w:val="22"/>
          <w:lang w:val="en-US"/>
        </w:rPr>
        <w:t>Figure 2: PRISMA 2020 flow diagram identifying, screening, including, and excluding studies.</w:t>
      </w:r>
    </w:p>
    <w:p w14:paraId="3056A0C9" w14:textId="77777777" w:rsidR="00B7158F" w:rsidRPr="00364982" w:rsidRDefault="00B7158F" w:rsidP="00B7158F">
      <w:pPr>
        <w:spacing w:line="360" w:lineRule="auto"/>
        <w:jc w:val="both"/>
        <w:rPr>
          <w:rFonts w:ascii="Arial" w:hAnsi="Arial" w:cs="Arial"/>
          <w:sz w:val="22"/>
          <w:szCs w:val="22"/>
          <w:lang w:val="en-US"/>
        </w:rPr>
      </w:pPr>
    </w:p>
    <w:p w14:paraId="0662FE7D" w14:textId="77777777" w:rsidR="00B7158F" w:rsidRPr="00B7158F" w:rsidRDefault="00B7158F" w:rsidP="00B7158F">
      <w:pPr>
        <w:pStyle w:val="Heading2"/>
        <w:rPr>
          <w:lang w:val="en-US"/>
        </w:rPr>
      </w:pPr>
      <w:bookmarkStart w:id="31" w:name="_Toc233629126"/>
      <w:r w:rsidRPr="00B7158F">
        <w:rPr>
          <w:lang w:val="en-US"/>
        </w:rPr>
        <w:t>3.8 Quality Appraisal</w:t>
      </w:r>
      <w:bookmarkEnd w:id="31"/>
    </w:p>
    <w:p w14:paraId="1EC9BD81" w14:textId="77777777" w:rsidR="00B7158F" w:rsidRPr="00B7158F" w:rsidRDefault="00B7158F" w:rsidP="00B7158F">
      <w:pPr>
        <w:spacing w:line="360" w:lineRule="auto"/>
        <w:jc w:val="both"/>
        <w:rPr>
          <w:rFonts w:ascii="Arial" w:hAnsi="Arial" w:cs="Arial"/>
          <w:sz w:val="22"/>
          <w:szCs w:val="22"/>
          <w:lang w:val="en-US"/>
        </w:rPr>
      </w:pPr>
    </w:p>
    <w:p w14:paraId="5ABDBB87" w14:textId="218D67A2" w:rsidR="00B7158F" w:rsidRPr="00364982" w:rsidRDefault="008527CF" w:rsidP="00B7158F">
      <w:pPr>
        <w:spacing w:line="360" w:lineRule="auto"/>
        <w:jc w:val="both"/>
        <w:rPr>
          <w:rFonts w:ascii="Arial" w:hAnsi="Arial" w:cs="Arial"/>
          <w:sz w:val="22"/>
          <w:szCs w:val="22"/>
          <w:lang w:val="en-US"/>
        </w:rPr>
      </w:pPr>
      <w:r>
        <w:rPr>
          <w:rFonts w:ascii="Arial" w:hAnsi="Arial" w:cs="Arial"/>
          <w:sz w:val="22"/>
          <w:szCs w:val="22"/>
          <w:lang w:val="en-US"/>
        </w:rPr>
        <w:lastRenderedPageBreak/>
        <w:t xml:space="preserve">We appraised qualitative and mixed-methods studies </w:t>
      </w:r>
      <w:r w:rsidR="00B7158F" w:rsidRPr="00B7158F">
        <w:rPr>
          <w:rFonts w:ascii="Arial" w:hAnsi="Arial" w:cs="Arial"/>
          <w:sz w:val="22"/>
          <w:szCs w:val="22"/>
          <w:lang w:val="en-US"/>
        </w:rPr>
        <w:t xml:space="preserve">to evaluate methodological strength and relevance. Quality appraisal is an important </w:t>
      </w:r>
      <w:r w:rsidR="00B56FD2">
        <w:rPr>
          <w:rFonts w:ascii="Arial" w:hAnsi="Arial" w:cs="Arial"/>
          <w:sz w:val="22"/>
          <w:szCs w:val="22"/>
          <w:lang w:val="en-US"/>
        </w:rPr>
        <w:t>part of conducting a systematic review because not all studies published within the scope have the same rigour, transparency, or</w:t>
      </w:r>
      <w:r w:rsidR="00B7158F" w:rsidRPr="00B7158F">
        <w:rPr>
          <w:rFonts w:ascii="Arial" w:hAnsi="Arial" w:cs="Arial"/>
          <w:sz w:val="22"/>
          <w:szCs w:val="22"/>
          <w:lang w:val="en-US"/>
        </w:rPr>
        <w:t xml:space="preserve"> relevance to the research topic (Aveyard, 2023). </w:t>
      </w:r>
    </w:p>
    <w:tbl>
      <w:tblPr>
        <w:tblStyle w:val="TableGrid"/>
        <w:tblpPr w:leftFromText="180" w:rightFromText="180" w:vertAnchor="text" w:horzAnchor="margin" w:tblpY="3273"/>
        <w:tblW w:w="0" w:type="auto"/>
        <w:tblLook w:val="04A0" w:firstRow="1" w:lastRow="0" w:firstColumn="1" w:lastColumn="0" w:noHBand="0" w:noVBand="1"/>
      </w:tblPr>
      <w:tblGrid>
        <w:gridCol w:w="2122"/>
        <w:gridCol w:w="7223"/>
      </w:tblGrid>
      <w:tr w:rsidR="000A7476" w14:paraId="7F01E3DE" w14:textId="77777777" w:rsidTr="000A7476">
        <w:tc>
          <w:tcPr>
            <w:tcW w:w="2122" w:type="dxa"/>
          </w:tcPr>
          <w:p w14:paraId="5F785199"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lang w:val="en-US"/>
              </w:rPr>
              <w:t>Appraisal area</w:t>
            </w:r>
          </w:p>
        </w:tc>
        <w:tc>
          <w:tcPr>
            <w:tcW w:w="7223" w:type="dxa"/>
          </w:tcPr>
          <w:p w14:paraId="25DF3506"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lang w:val="en-US"/>
              </w:rPr>
              <w:t>Appraisal focus</w:t>
            </w:r>
          </w:p>
        </w:tc>
      </w:tr>
      <w:tr w:rsidR="000A7476" w:rsidRPr="00437257" w14:paraId="722F29B1" w14:textId="77777777" w:rsidTr="000A7476">
        <w:tc>
          <w:tcPr>
            <w:tcW w:w="2122" w:type="dxa"/>
          </w:tcPr>
          <w:p w14:paraId="068FC0CD"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Clarity of aims</w:t>
            </w:r>
          </w:p>
        </w:tc>
        <w:tc>
          <w:tcPr>
            <w:tcW w:w="7223" w:type="dxa"/>
          </w:tcPr>
          <w:p w14:paraId="53E42368"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Whether the study clearly explained its purpose and research question.</w:t>
            </w:r>
          </w:p>
        </w:tc>
      </w:tr>
      <w:tr w:rsidR="000A7476" w:rsidRPr="00437257" w14:paraId="378DECE4" w14:textId="77777777" w:rsidTr="000A7476">
        <w:tc>
          <w:tcPr>
            <w:tcW w:w="2122" w:type="dxa"/>
          </w:tcPr>
          <w:p w14:paraId="165F4E22"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Methodological fit</w:t>
            </w:r>
          </w:p>
        </w:tc>
        <w:tc>
          <w:tcPr>
            <w:tcW w:w="7223" w:type="dxa"/>
          </w:tcPr>
          <w:p w14:paraId="6145384E"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Whether qualitative or mixed-method design was appropriate for the study aim.</w:t>
            </w:r>
          </w:p>
        </w:tc>
      </w:tr>
      <w:tr w:rsidR="000A7476" w:rsidRPr="00437257" w14:paraId="235D9B7A" w14:textId="77777777" w:rsidTr="000A7476">
        <w:tc>
          <w:tcPr>
            <w:tcW w:w="2122" w:type="dxa"/>
          </w:tcPr>
          <w:p w14:paraId="5AC5B786"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Recruitment and sample</w:t>
            </w:r>
          </w:p>
        </w:tc>
        <w:tc>
          <w:tcPr>
            <w:tcW w:w="7223" w:type="dxa"/>
          </w:tcPr>
          <w:p w14:paraId="6E1E8191"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Whether the study clearly described participants, setting and recruitment process.</w:t>
            </w:r>
          </w:p>
        </w:tc>
      </w:tr>
      <w:tr w:rsidR="000A7476" w:rsidRPr="00437257" w14:paraId="6CB16E9E" w14:textId="77777777" w:rsidTr="000A7476">
        <w:tc>
          <w:tcPr>
            <w:tcW w:w="2122" w:type="dxa"/>
          </w:tcPr>
          <w:p w14:paraId="59225E47"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Data collection</w:t>
            </w:r>
          </w:p>
        </w:tc>
        <w:tc>
          <w:tcPr>
            <w:tcW w:w="7223" w:type="dxa"/>
          </w:tcPr>
          <w:p w14:paraId="1687A429" w14:textId="1F59BA10"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 xml:space="preserve">Whether </w:t>
            </w:r>
            <w:r w:rsidR="00B56FD2">
              <w:rPr>
                <w:rFonts w:ascii="Arial" w:hAnsi="Arial" w:cs="Arial"/>
                <w:sz w:val="22"/>
                <w:szCs w:val="22"/>
                <w:lang w:val="en-US"/>
              </w:rPr>
              <w:t>the study clearly explained interviews, focus groups, documents, or other qualitative data sources</w:t>
            </w:r>
            <w:r w:rsidRPr="00B7158F">
              <w:rPr>
                <w:rFonts w:ascii="Arial" w:hAnsi="Arial" w:cs="Arial"/>
                <w:sz w:val="22"/>
                <w:szCs w:val="22"/>
                <w:lang w:val="en-US"/>
              </w:rPr>
              <w:t>.</w:t>
            </w:r>
          </w:p>
        </w:tc>
      </w:tr>
      <w:tr w:rsidR="000A7476" w:rsidRPr="00437257" w14:paraId="3B8CF79D" w14:textId="77777777" w:rsidTr="000A7476">
        <w:tc>
          <w:tcPr>
            <w:tcW w:w="2122" w:type="dxa"/>
          </w:tcPr>
          <w:p w14:paraId="6DED864D"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Ethical considerations</w:t>
            </w:r>
          </w:p>
        </w:tc>
        <w:tc>
          <w:tcPr>
            <w:tcW w:w="7223" w:type="dxa"/>
          </w:tcPr>
          <w:p w14:paraId="4C462F2F" w14:textId="53DA7055"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 xml:space="preserve">Whether </w:t>
            </w:r>
            <w:r w:rsidR="00B56FD2">
              <w:rPr>
                <w:rFonts w:ascii="Arial" w:hAnsi="Arial" w:cs="Arial"/>
                <w:sz w:val="22"/>
                <w:szCs w:val="22"/>
                <w:lang w:val="en-US"/>
              </w:rPr>
              <w:t>the study addressed ethical approval, consent, and confidentiality</w:t>
            </w:r>
            <w:r w:rsidRPr="00B7158F">
              <w:rPr>
                <w:rFonts w:ascii="Arial" w:hAnsi="Arial" w:cs="Arial"/>
                <w:sz w:val="22"/>
                <w:szCs w:val="22"/>
                <w:lang w:val="en-US"/>
              </w:rPr>
              <w:t>.</w:t>
            </w:r>
          </w:p>
        </w:tc>
      </w:tr>
      <w:tr w:rsidR="000A7476" w:rsidRPr="00437257" w14:paraId="6249A25C" w14:textId="77777777" w:rsidTr="000A7476">
        <w:tc>
          <w:tcPr>
            <w:tcW w:w="2122" w:type="dxa"/>
          </w:tcPr>
          <w:p w14:paraId="2A041E33"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Data analysis</w:t>
            </w:r>
          </w:p>
        </w:tc>
        <w:tc>
          <w:tcPr>
            <w:tcW w:w="7223" w:type="dxa"/>
          </w:tcPr>
          <w:p w14:paraId="7B074E09" w14:textId="6B992AA0"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 xml:space="preserve">Whether the study explained how </w:t>
            </w:r>
            <w:r w:rsidR="00B56FD2">
              <w:rPr>
                <w:rFonts w:ascii="Arial" w:hAnsi="Arial" w:cs="Arial"/>
                <w:sz w:val="22"/>
                <w:szCs w:val="22"/>
                <w:lang w:val="en-US"/>
              </w:rPr>
              <w:t>it coded, analysed, and interpreted qualitative data</w:t>
            </w:r>
            <w:r w:rsidRPr="00B7158F">
              <w:rPr>
                <w:rFonts w:ascii="Arial" w:hAnsi="Arial" w:cs="Arial"/>
                <w:sz w:val="22"/>
                <w:szCs w:val="22"/>
                <w:lang w:val="en-US"/>
              </w:rPr>
              <w:t>.</w:t>
            </w:r>
          </w:p>
        </w:tc>
      </w:tr>
      <w:tr w:rsidR="000A7476" w:rsidRPr="00437257" w14:paraId="5E445D7A" w14:textId="77777777" w:rsidTr="000A7476">
        <w:tc>
          <w:tcPr>
            <w:tcW w:w="2122" w:type="dxa"/>
          </w:tcPr>
          <w:p w14:paraId="3DE67D43"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Findings</w:t>
            </w:r>
          </w:p>
        </w:tc>
        <w:tc>
          <w:tcPr>
            <w:tcW w:w="7223" w:type="dxa"/>
          </w:tcPr>
          <w:p w14:paraId="4E604503"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Whether findings were clearly supported by participant data or qualitative evidence.</w:t>
            </w:r>
          </w:p>
        </w:tc>
      </w:tr>
      <w:tr w:rsidR="000A7476" w:rsidRPr="00437257" w14:paraId="1645201C" w14:textId="77777777" w:rsidTr="000A7476">
        <w:tc>
          <w:tcPr>
            <w:tcW w:w="2122" w:type="dxa"/>
          </w:tcPr>
          <w:p w14:paraId="7FC305E8"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Relevance</w:t>
            </w:r>
          </w:p>
        </w:tc>
        <w:tc>
          <w:tcPr>
            <w:tcW w:w="7223" w:type="dxa"/>
          </w:tcPr>
          <w:p w14:paraId="77C68765"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Whether the study contributed evidence on CAMHS access barriers, enablers or service pathways in the United Kingdom.</w:t>
            </w:r>
          </w:p>
        </w:tc>
      </w:tr>
    </w:tbl>
    <w:p w14:paraId="59496AA9" w14:textId="77777777" w:rsidR="000A7476" w:rsidRPr="00364982" w:rsidRDefault="000A7476" w:rsidP="00B7158F">
      <w:pPr>
        <w:spacing w:line="360" w:lineRule="auto"/>
        <w:jc w:val="both"/>
        <w:rPr>
          <w:rFonts w:ascii="Arial" w:hAnsi="Arial" w:cs="Arial"/>
          <w:sz w:val="22"/>
          <w:szCs w:val="22"/>
          <w:lang w:val="en-US"/>
        </w:rPr>
      </w:pPr>
    </w:p>
    <w:p w14:paraId="49FD1B34" w14:textId="7514189A" w:rsidR="00B7158F" w:rsidRPr="00364982" w:rsidRDefault="00B7158F" w:rsidP="00B7158F">
      <w:pPr>
        <w:spacing w:line="360" w:lineRule="auto"/>
        <w:jc w:val="both"/>
        <w:rPr>
          <w:lang w:val="en-US"/>
        </w:rPr>
      </w:pPr>
      <w:r w:rsidRPr="00B7158F">
        <w:rPr>
          <w:rFonts w:ascii="Arial" w:hAnsi="Arial" w:cs="Arial"/>
          <w:sz w:val="22"/>
          <w:szCs w:val="22"/>
          <w:lang w:val="en-US"/>
        </w:rPr>
        <w:t xml:space="preserve">Regarding the mixed-method studies, only the qualitative component related to accessing CAMHS services was used for evaluation purposes. </w:t>
      </w:r>
      <w:r w:rsidR="00B56FD2">
        <w:rPr>
          <w:rFonts w:ascii="Arial" w:hAnsi="Arial" w:cs="Arial"/>
          <w:sz w:val="22"/>
          <w:szCs w:val="22"/>
          <w:lang w:val="en-US"/>
        </w:rPr>
        <w:t>This type of evaluation seems reasonable because the dissertation aims not to provide a numerical estimate or test an intervention, but to synthesise</w:t>
      </w:r>
      <w:r w:rsidRPr="00B7158F">
        <w:rPr>
          <w:rFonts w:ascii="Arial" w:hAnsi="Arial" w:cs="Arial"/>
          <w:sz w:val="22"/>
          <w:szCs w:val="22"/>
          <w:lang w:val="en-US"/>
        </w:rPr>
        <w:t xml:space="preserve"> experiences and interpretative evidence (Braun &amp; Clarke, 2006; Aveyard, 2023). Studies were not excluded for any methodological weaknesses but </w:t>
      </w:r>
      <w:r w:rsidR="008527CF">
        <w:rPr>
          <w:rFonts w:ascii="Arial" w:hAnsi="Arial" w:cs="Arial"/>
          <w:sz w:val="22"/>
          <w:szCs w:val="22"/>
          <w:lang w:val="en-US"/>
        </w:rPr>
        <w:t xml:space="preserve">were </w:t>
      </w:r>
      <w:r w:rsidRPr="00B7158F">
        <w:rPr>
          <w:rFonts w:ascii="Arial" w:hAnsi="Arial" w:cs="Arial"/>
          <w:sz w:val="22"/>
          <w:szCs w:val="22"/>
          <w:lang w:val="en-US"/>
        </w:rPr>
        <w:t>evaluated for their methodological flaws in the context of qualitative evidence synthesis.</w:t>
      </w:r>
      <w:r w:rsidR="00501C21" w:rsidRPr="00501C21">
        <w:rPr>
          <w:lang w:val="en-US"/>
        </w:rPr>
        <w:br w:type="page"/>
      </w:r>
    </w:p>
    <w:p w14:paraId="0E096379" w14:textId="77777777" w:rsidR="00B7158F" w:rsidRPr="00B7158F" w:rsidRDefault="00B7158F" w:rsidP="00B7158F">
      <w:pPr>
        <w:pStyle w:val="Heading2"/>
        <w:rPr>
          <w:lang w:val="en-US"/>
        </w:rPr>
      </w:pPr>
      <w:bookmarkStart w:id="32" w:name="_Toc233629127"/>
      <w:r w:rsidRPr="00B7158F">
        <w:rPr>
          <w:lang w:val="en-US"/>
        </w:rPr>
        <w:lastRenderedPageBreak/>
        <w:t>3.9 Data Extraction</w:t>
      </w:r>
      <w:bookmarkEnd w:id="32"/>
    </w:p>
    <w:p w14:paraId="1939DAAC" w14:textId="77777777" w:rsidR="00B7158F" w:rsidRPr="00B7158F" w:rsidRDefault="00B7158F" w:rsidP="00B7158F">
      <w:pPr>
        <w:spacing w:line="360" w:lineRule="auto"/>
        <w:jc w:val="both"/>
        <w:rPr>
          <w:rFonts w:ascii="Arial" w:hAnsi="Arial" w:cs="Arial"/>
          <w:sz w:val="22"/>
          <w:szCs w:val="22"/>
          <w:lang w:val="en-US"/>
        </w:rPr>
      </w:pPr>
    </w:p>
    <w:tbl>
      <w:tblPr>
        <w:tblStyle w:val="TableGrid"/>
        <w:tblpPr w:leftFromText="180" w:rightFromText="180" w:vertAnchor="text" w:horzAnchor="margin" w:tblpY="3556"/>
        <w:tblW w:w="0" w:type="auto"/>
        <w:tblLook w:val="04A0" w:firstRow="1" w:lastRow="0" w:firstColumn="1" w:lastColumn="0" w:noHBand="0" w:noVBand="1"/>
      </w:tblPr>
      <w:tblGrid>
        <w:gridCol w:w="2830"/>
        <w:gridCol w:w="6515"/>
      </w:tblGrid>
      <w:tr w:rsidR="000A7476" w14:paraId="63C1697C" w14:textId="77777777" w:rsidTr="000A7476">
        <w:tc>
          <w:tcPr>
            <w:tcW w:w="2830" w:type="dxa"/>
          </w:tcPr>
          <w:p w14:paraId="509C7C09"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Data extraction category</w:t>
            </w:r>
          </w:p>
        </w:tc>
        <w:tc>
          <w:tcPr>
            <w:tcW w:w="6515" w:type="dxa"/>
          </w:tcPr>
          <w:p w14:paraId="1E4F501F"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Information extracted</w:t>
            </w:r>
          </w:p>
        </w:tc>
      </w:tr>
      <w:tr w:rsidR="000A7476" w:rsidRPr="00437257" w14:paraId="338A1152" w14:textId="77777777" w:rsidTr="000A7476">
        <w:tc>
          <w:tcPr>
            <w:tcW w:w="2830" w:type="dxa"/>
          </w:tcPr>
          <w:p w14:paraId="0DF8AB0B"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Author and year</w:t>
            </w:r>
          </w:p>
        </w:tc>
        <w:tc>
          <w:tcPr>
            <w:tcW w:w="6515" w:type="dxa"/>
          </w:tcPr>
          <w:p w14:paraId="17C6752E"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Full citation details for each included study.</w:t>
            </w:r>
          </w:p>
        </w:tc>
      </w:tr>
      <w:tr w:rsidR="000A7476" w:rsidRPr="00437257" w14:paraId="63D0543F" w14:textId="77777777" w:rsidTr="000A7476">
        <w:tc>
          <w:tcPr>
            <w:tcW w:w="2830" w:type="dxa"/>
          </w:tcPr>
          <w:p w14:paraId="52C745B0"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UK location or setting</w:t>
            </w:r>
          </w:p>
        </w:tc>
        <w:tc>
          <w:tcPr>
            <w:tcW w:w="6515" w:type="dxa"/>
          </w:tcPr>
          <w:p w14:paraId="41C9550B"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England, Scotland, Wales, Northern Ireland, or wider UK context.</w:t>
            </w:r>
          </w:p>
        </w:tc>
      </w:tr>
      <w:tr w:rsidR="000A7476" w:rsidRPr="00437257" w14:paraId="1D3E4CD9" w14:textId="77777777" w:rsidTr="000A7476">
        <w:tc>
          <w:tcPr>
            <w:tcW w:w="2830" w:type="dxa"/>
          </w:tcPr>
          <w:p w14:paraId="4A3CD924"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Study aim</w:t>
            </w:r>
          </w:p>
        </w:tc>
        <w:tc>
          <w:tcPr>
            <w:tcW w:w="651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A7476" w:rsidRPr="00B7158F" w14:paraId="4333ADB7" w14:textId="77777777" w:rsidTr="00B12FD3">
              <w:trPr>
                <w:tblCellSpacing w:w="15" w:type="dxa"/>
              </w:trPr>
              <w:tc>
                <w:tcPr>
                  <w:tcW w:w="0" w:type="auto"/>
                  <w:vAlign w:val="center"/>
                  <w:hideMark/>
                </w:tcPr>
                <w:p w14:paraId="1B631545" w14:textId="77777777" w:rsidR="000A7476" w:rsidRPr="00B7158F" w:rsidRDefault="000A7476" w:rsidP="00E031AF">
                  <w:pPr>
                    <w:framePr w:hSpace="180" w:wrap="around" w:vAnchor="text" w:hAnchor="margin" w:y="3556"/>
                    <w:spacing w:after="0" w:line="360" w:lineRule="auto"/>
                    <w:rPr>
                      <w:rFonts w:ascii="Arial" w:hAnsi="Arial" w:cs="Arial"/>
                      <w:sz w:val="22"/>
                      <w:szCs w:val="22"/>
                    </w:rPr>
                  </w:pPr>
                </w:p>
              </w:tc>
            </w:tr>
          </w:tbl>
          <w:p w14:paraId="309C216B" w14:textId="77777777" w:rsidR="000A7476" w:rsidRPr="00B7158F" w:rsidRDefault="000A7476" w:rsidP="000A7476">
            <w:pPr>
              <w:spacing w:line="360" w:lineRule="auto"/>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6"/>
            </w:tblGrid>
            <w:tr w:rsidR="000A7476" w:rsidRPr="00437257" w14:paraId="4B6A4332" w14:textId="77777777" w:rsidTr="00B12FD3">
              <w:trPr>
                <w:tblCellSpacing w:w="15" w:type="dxa"/>
              </w:trPr>
              <w:tc>
                <w:tcPr>
                  <w:tcW w:w="0" w:type="auto"/>
                  <w:vAlign w:val="center"/>
                  <w:hideMark/>
                </w:tcPr>
                <w:p w14:paraId="70BADAD6" w14:textId="77777777" w:rsidR="000A7476" w:rsidRPr="00B7158F" w:rsidRDefault="000A7476" w:rsidP="00E031AF">
                  <w:pPr>
                    <w:framePr w:hSpace="180" w:wrap="around" w:vAnchor="text" w:hAnchor="margin" w:y="3556"/>
                    <w:spacing w:after="0" w:line="360" w:lineRule="auto"/>
                    <w:rPr>
                      <w:rFonts w:ascii="Arial" w:hAnsi="Arial" w:cs="Arial"/>
                      <w:sz w:val="22"/>
                      <w:szCs w:val="22"/>
                      <w:lang w:val="en-US"/>
                    </w:rPr>
                  </w:pPr>
                  <w:r w:rsidRPr="00B7158F">
                    <w:rPr>
                      <w:rFonts w:ascii="Arial" w:hAnsi="Arial" w:cs="Arial"/>
                      <w:sz w:val="22"/>
                      <w:szCs w:val="22"/>
                      <w:lang w:val="en-US"/>
                    </w:rPr>
                    <w:t>The purpose of the study and its relevance to CAMHS access.</w:t>
                  </w:r>
                </w:p>
              </w:tc>
            </w:tr>
          </w:tbl>
          <w:p w14:paraId="46A0ADF4" w14:textId="77777777" w:rsidR="000A7476" w:rsidRPr="00106C49" w:rsidRDefault="000A7476" w:rsidP="000A7476">
            <w:pPr>
              <w:spacing w:line="360" w:lineRule="auto"/>
              <w:rPr>
                <w:rFonts w:ascii="Arial" w:hAnsi="Arial" w:cs="Arial"/>
                <w:sz w:val="22"/>
                <w:szCs w:val="22"/>
                <w:lang w:val="en-US"/>
              </w:rPr>
            </w:pPr>
          </w:p>
        </w:tc>
      </w:tr>
      <w:tr w:rsidR="000A7476" w:rsidRPr="00437257" w14:paraId="0BC0CE80" w14:textId="77777777" w:rsidTr="000A7476">
        <w:tc>
          <w:tcPr>
            <w:tcW w:w="2830" w:type="dxa"/>
          </w:tcPr>
          <w:p w14:paraId="7A16E730"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Population</w:t>
            </w:r>
          </w:p>
        </w:tc>
        <w:tc>
          <w:tcPr>
            <w:tcW w:w="6515" w:type="dxa"/>
          </w:tcPr>
          <w:p w14:paraId="5BB00BC8"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Young people, parents, carers, GPs, schools, CAMHS staff or other professionals.</w:t>
            </w:r>
          </w:p>
        </w:tc>
      </w:tr>
      <w:tr w:rsidR="000A7476" w:rsidRPr="00437257" w14:paraId="505D030B" w14:textId="77777777" w:rsidTr="000A7476">
        <w:tc>
          <w:tcPr>
            <w:tcW w:w="2830" w:type="dxa"/>
          </w:tcPr>
          <w:p w14:paraId="7EBECBFA"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Methodology</w:t>
            </w:r>
          </w:p>
        </w:tc>
        <w:tc>
          <w:tcPr>
            <w:tcW w:w="6515" w:type="dxa"/>
          </w:tcPr>
          <w:p w14:paraId="78A440F6"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Qualitative or mixed-method design.</w:t>
            </w:r>
          </w:p>
        </w:tc>
      </w:tr>
      <w:tr w:rsidR="000A7476" w:rsidRPr="00437257" w14:paraId="19E975D0" w14:textId="77777777" w:rsidTr="000A7476">
        <w:tc>
          <w:tcPr>
            <w:tcW w:w="2830" w:type="dxa"/>
          </w:tcPr>
          <w:p w14:paraId="1B4AA992"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Data collection method</w:t>
            </w:r>
          </w:p>
        </w:tc>
        <w:tc>
          <w:tcPr>
            <w:tcW w:w="651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A7476" w:rsidRPr="00B7158F" w14:paraId="3D2E6190" w14:textId="77777777" w:rsidTr="00B12FD3">
              <w:trPr>
                <w:tblCellSpacing w:w="15" w:type="dxa"/>
              </w:trPr>
              <w:tc>
                <w:tcPr>
                  <w:tcW w:w="0" w:type="auto"/>
                  <w:vAlign w:val="center"/>
                  <w:hideMark/>
                </w:tcPr>
                <w:p w14:paraId="1A580116" w14:textId="77777777" w:rsidR="000A7476" w:rsidRPr="00B7158F" w:rsidRDefault="000A7476" w:rsidP="00E031AF">
                  <w:pPr>
                    <w:framePr w:hSpace="180" w:wrap="around" w:vAnchor="text" w:hAnchor="margin" w:y="3556"/>
                    <w:spacing w:after="0" w:line="360" w:lineRule="auto"/>
                    <w:rPr>
                      <w:rFonts w:ascii="Arial" w:hAnsi="Arial" w:cs="Arial"/>
                      <w:sz w:val="22"/>
                      <w:szCs w:val="22"/>
                    </w:rPr>
                  </w:pPr>
                </w:p>
              </w:tc>
            </w:tr>
          </w:tbl>
          <w:p w14:paraId="3761B079" w14:textId="77777777" w:rsidR="000A7476" w:rsidRPr="00B7158F" w:rsidRDefault="000A7476" w:rsidP="000A7476">
            <w:pPr>
              <w:spacing w:line="360" w:lineRule="auto"/>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99"/>
            </w:tblGrid>
            <w:tr w:rsidR="000A7476" w:rsidRPr="00437257" w14:paraId="778017BB" w14:textId="77777777" w:rsidTr="00B12FD3">
              <w:trPr>
                <w:tblCellSpacing w:w="15" w:type="dxa"/>
              </w:trPr>
              <w:tc>
                <w:tcPr>
                  <w:tcW w:w="0" w:type="auto"/>
                  <w:vAlign w:val="center"/>
                  <w:hideMark/>
                </w:tcPr>
                <w:p w14:paraId="39BBDFA9" w14:textId="77777777" w:rsidR="000A7476" w:rsidRPr="00B7158F" w:rsidRDefault="000A7476" w:rsidP="00E031AF">
                  <w:pPr>
                    <w:framePr w:hSpace="180" w:wrap="around" w:vAnchor="text" w:hAnchor="margin" w:y="3556"/>
                    <w:spacing w:after="0" w:line="360" w:lineRule="auto"/>
                    <w:rPr>
                      <w:rFonts w:ascii="Arial" w:hAnsi="Arial" w:cs="Arial"/>
                      <w:sz w:val="22"/>
                      <w:szCs w:val="22"/>
                      <w:lang w:val="en-US"/>
                    </w:rPr>
                  </w:pPr>
                  <w:r w:rsidRPr="00B7158F">
                    <w:rPr>
                      <w:rFonts w:ascii="Arial" w:hAnsi="Arial" w:cs="Arial"/>
                      <w:sz w:val="22"/>
                      <w:szCs w:val="22"/>
                      <w:lang w:val="en-US"/>
                    </w:rPr>
                    <w:t>Interviews, focus groups, surveys with qualitative responses, documents or other relevant methods.</w:t>
                  </w:r>
                </w:p>
              </w:tc>
            </w:tr>
          </w:tbl>
          <w:p w14:paraId="081B49C3" w14:textId="77777777" w:rsidR="000A7476" w:rsidRPr="00106C49" w:rsidRDefault="000A7476" w:rsidP="000A7476">
            <w:pPr>
              <w:spacing w:line="360" w:lineRule="auto"/>
              <w:rPr>
                <w:rFonts w:ascii="Arial" w:hAnsi="Arial" w:cs="Arial"/>
                <w:sz w:val="22"/>
                <w:szCs w:val="22"/>
                <w:lang w:val="en-US"/>
              </w:rPr>
            </w:pPr>
          </w:p>
        </w:tc>
      </w:tr>
      <w:tr w:rsidR="000A7476" w:rsidRPr="00437257" w14:paraId="2FE98659" w14:textId="77777777" w:rsidTr="000A7476">
        <w:tc>
          <w:tcPr>
            <w:tcW w:w="2830" w:type="dxa"/>
          </w:tcPr>
          <w:p w14:paraId="2C597A57"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Key findings</w:t>
            </w:r>
          </w:p>
        </w:tc>
        <w:tc>
          <w:tcPr>
            <w:tcW w:w="6515" w:type="dxa"/>
          </w:tcPr>
          <w:p w14:paraId="7FB723E8"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Main findings related to CAMHS access.</w:t>
            </w:r>
          </w:p>
        </w:tc>
      </w:tr>
      <w:tr w:rsidR="000A7476" w:rsidRPr="00437257" w14:paraId="23A2F26D" w14:textId="77777777" w:rsidTr="000A7476">
        <w:tc>
          <w:tcPr>
            <w:tcW w:w="2830" w:type="dxa"/>
          </w:tcPr>
          <w:p w14:paraId="2CD3E2F8"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Barriers identified</w:t>
            </w:r>
          </w:p>
        </w:tc>
        <w:tc>
          <w:tcPr>
            <w:tcW w:w="6515" w:type="dxa"/>
          </w:tcPr>
          <w:p w14:paraId="57B70761"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Waiting times, thresholds, stigma, socioeconomic barriers, regional variation or other barriers.</w:t>
            </w:r>
          </w:p>
        </w:tc>
      </w:tr>
      <w:tr w:rsidR="000A7476" w:rsidRPr="00437257" w14:paraId="3C21ADC0" w14:textId="77777777" w:rsidTr="000A7476">
        <w:tc>
          <w:tcPr>
            <w:tcW w:w="2830" w:type="dxa"/>
          </w:tcPr>
          <w:p w14:paraId="3D3AFF70"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lang w:val="en-US"/>
              </w:rPr>
              <w:t>Enablers identified</w:t>
            </w:r>
          </w:p>
        </w:tc>
        <w:tc>
          <w:tcPr>
            <w:tcW w:w="6515" w:type="dxa"/>
          </w:tcPr>
          <w:p w14:paraId="1B663C3D"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Schools, GPs, early intervention, MHSTs, communication, integrated working or other enablers.</w:t>
            </w:r>
          </w:p>
        </w:tc>
      </w:tr>
      <w:tr w:rsidR="000A7476" w:rsidRPr="00437257" w14:paraId="0B441129" w14:textId="77777777" w:rsidTr="000A7476">
        <w:tc>
          <w:tcPr>
            <w:tcW w:w="2830" w:type="dxa"/>
          </w:tcPr>
          <w:p w14:paraId="7313846D" w14:textId="77777777" w:rsidR="000A7476" w:rsidRPr="00B7158F" w:rsidRDefault="000A7476" w:rsidP="000A7476">
            <w:pPr>
              <w:spacing w:line="360" w:lineRule="auto"/>
              <w:rPr>
                <w:rFonts w:ascii="Arial" w:hAnsi="Arial" w:cs="Arial"/>
                <w:b/>
                <w:bCs/>
                <w:sz w:val="22"/>
                <w:szCs w:val="22"/>
                <w:lang w:val="en-US"/>
              </w:rPr>
            </w:pPr>
            <w:r w:rsidRPr="00B7158F">
              <w:rPr>
                <w:rFonts w:ascii="Arial" w:hAnsi="Arial" w:cs="Arial"/>
                <w:b/>
                <w:bCs/>
                <w:sz w:val="22"/>
                <w:szCs w:val="22"/>
              </w:rPr>
              <w:t>Relevance to research question</w:t>
            </w:r>
          </w:p>
        </w:tc>
        <w:tc>
          <w:tcPr>
            <w:tcW w:w="6515" w:type="dxa"/>
          </w:tcPr>
          <w:p w14:paraId="4ECC3618" w14:textId="77777777" w:rsidR="000A7476" w:rsidRPr="00B7158F" w:rsidRDefault="000A7476" w:rsidP="000A7476">
            <w:pPr>
              <w:spacing w:line="360" w:lineRule="auto"/>
              <w:rPr>
                <w:rFonts w:ascii="Arial" w:hAnsi="Arial" w:cs="Arial"/>
                <w:sz w:val="22"/>
                <w:szCs w:val="22"/>
                <w:lang w:val="en-US"/>
              </w:rPr>
            </w:pPr>
            <w:r w:rsidRPr="00B7158F">
              <w:rPr>
                <w:rFonts w:ascii="Arial" w:hAnsi="Arial" w:cs="Arial"/>
                <w:sz w:val="22"/>
                <w:szCs w:val="22"/>
                <w:lang w:val="en-US"/>
              </w:rPr>
              <w:t>Explanation of how the study contributes to answering the dissertation question.</w:t>
            </w:r>
          </w:p>
        </w:tc>
      </w:tr>
    </w:tbl>
    <w:p w14:paraId="787F91D7" w14:textId="22FC5414" w:rsidR="0053758B" w:rsidRPr="00364982" w:rsidRDefault="00B7158F" w:rsidP="0053758B">
      <w:pPr>
        <w:spacing w:line="360" w:lineRule="auto"/>
        <w:jc w:val="both"/>
        <w:rPr>
          <w:rFonts w:ascii="Arial" w:hAnsi="Arial" w:cs="Arial"/>
          <w:sz w:val="22"/>
          <w:szCs w:val="22"/>
          <w:lang w:val="en-US"/>
        </w:rPr>
      </w:pPr>
      <w:r w:rsidRPr="00B7158F">
        <w:rPr>
          <w:rFonts w:ascii="Arial" w:hAnsi="Arial" w:cs="Arial"/>
          <w:sz w:val="22"/>
          <w:szCs w:val="22"/>
          <w:lang w:val="en-US"/>
        </w:rPr>
        <w:t xml:space="preserve">Data extraction was used </w:t>
      </w:r>
      <w:r w:rsidR="00B56FD2">
        <w:rPr>
          <w:rFonts w:ascii="Arial" w:hAnsi="Arial" w:cs="Arial"/>
          <w:sz w:val="22"/>
          <w:szCs w:val="22"/>
          <w:lang w:val="en-US"/>
        </w:rPr>
        <w:t>to collect key information from all consistently and systematically included studies</w:t>
      </w:r>
      <w:r w:rsidRPr="00B7158F">
        <w:rPr>
          <w:rFonts w:ascii="Arial" w:hAnsi="Arial" w:cs="Arial"/>
          <w:sz w:val="22"/>
          <w:szCs w:val="22"/>
          <w:lang w:val="en-US"/>
        </w:rPr>
        <w:t xml:space="preserve">. A structured table for data extraction was created to list such information as author, year of publication, UK context, study purpose, participant group, methods, data collection method, main results, barriers identified in the article, enablers identified in the article, and relevance of the information (Aveyard, 2023). </w:t>
      </w:r>
      <w:r w:rsidR="00B56FD2">
        <w:rPr>
          <w:rFonts w:ascii="Arial" w:hAnsi="Arial" w:cs="Arial"/>
          <w:sz w:val="22"/>
          <w:szCs w:val="22"/>
          <w:lang w:val="en-US"/>
        </w:rPr>
        <w:t xml:space="preserve">This approach helped avoid a review </w:t>
      </w:r>
      <w:r w:rsidRPr="00B7158F">
        <w:rPr>
          <w:rFonts w:ascii="Arial" w:hAnsi="Arial" w:cs="Arial"/>
          <w:sz w:val="22"/>
          <w:szCs w:val="22"/>
          <w:lang w:val="en-US"/>
        </w:rPr>
        <w:t>based on selective interpretation or cherry-picking of findings (Page et al., 2021).</w:t>
      </w:r>
      <w:r w:rsidR="00501C21" w:rsidRPr="00B7158F">
        <w:rPr>
          <w:rFonts w:ascii="Arial" w:hAnsi="Arial" w:cs="Arial"/>
          <w:sz w:val="22"/>
          <w:szCs w:val="22"/>
          <w:lang w:val="en-US"/>
        </w:rPr>
        <w:br w:type="page"/>
      </w:r>
    </w:p>
    <w:p w14:paraId="510AE3BC" w14:textId="77777777" w:rsidR="0053758B" w:rsidRPr="0053758B" w:rsidRDefault="0053758B" w:rsidP="0053758B">
      <w:pPr>
        <w:pStyle w:val="Heading2"/>
        <w:rPr>
          <w:lang w:val="en-US"/>
        </w:rPr>
      </w:pPr>
      <w:bookmarkStart w:id="33" w:name="_Toc233629128"/>
      <w:r w:rsidRPr="0053758B">
        <w:rPr>
          <w:lang w:val="en-US"/>
        </w:rPr>
        <w:lastRenderedPageBreak/>
        <w:t>3.10 Data Analysis: Thematic Analysis</w:t>
      </w:r>
      <w:bookmarkEnd w:id="33"/>
    </w:p>
    <w:p w14:paraId="29CF7C3D" w14:textId="77777777" w:rsidR="0053758B" w:rsidRPr="0053758B" w:rsidRDefault="0053758B" w:rsidP="0053758B">
      <w:pPr>
        <w:spacing w:line="360" w:lineRule="auto"/>
        <w:jc w:val="both"/>
        <w:rPr>
          <w:rFonts w:ascii="Arial" w:hAnsi="Arial" w:cs="Arial"/>
          <w:sz w:val="22"/>
          <w:szCs w:val="22"/>
          <w:lang w:val="en-US"/>
        </w:rPr>
      </w:pPr>
    </w:p>
    <w:p w14:paraId="39F0ADAB" w14:textId="1A3C8324" w:rsidR="0053758B" w:rsidRPr="00106C49" w:rsidRDefault="0053758B" w:rsidP="0053758B">
      <w:pPr>
        <w:spacing w:line="360" w:lineRule="auto"/>
        <w:jc w:val="both"/>
        <w:rPr>
          <w:rFonts w:ascii="Arial" w:hAnsi="Arial" w:cs="Arial"/>
          <w:sz w:val="22"/>
          <w:szCs w:val="22"/>
          <w:lang w:val="en-US"/>
        </w:rPr>
      </w:pPr>
      <w:r w:rsidRPr="0053758B">
        <w:rPr>
          <w:rFonts w:ascii="Arial" w:hAnsi="Arial" w:cs="Arial"/>
          <w:sz w:val="22"/>
          <w:szCs w:val="22"/>
          <w:lang w:val="en-US"/>
        </w:rPr>
        <w:t xml:space="preserve">The retrieved data was </w:t>
      </w:r>
      <w:r w:rsidR="008527CF">
        <w:rPr>
          <w:rFonts w:ascii="Arial" w:hAnsi="Arial" w:cs="Arial"/>
          <w:sz w:val="22"/>
          <w:szCs w:val="22"/>
          <w:lang w:val="en-US"/>
        </w:rPr>
        <w:t>analysed</w:t>
      </w:r>
      <w:r w:rsidRPr="0053758B">
        <w:rPr>
          <w:rFonts w:ascii="Arial" w:hAnsi="Arial" w:cs="Arial"/>
          <w:sz w:val="22"/>
          <w:szCs w:val="22"/>
          <w:lang w:val="en-US"/>
        </w:rPr>
        <w:t xml:space="preserve"> using thematic analysis. This technique proved helpful </w:t>
      </w:r>
      <w:r w:rsidR="008527CF">
        <w:rPr>
          <w:rFonts w:ascii="Arial" w:hAnsi="Arial" w:cs="Arial"/>
          <w:sz w:val="22"/>
          <w:szCs w:val="22"/>
          <w:lang w:val="en-US"/>
        </w:rPr>
        <w:t>because it is flexible and widely used for</w:t>
      </w:r>
      <w:r w:rsidRPr="0053758B">
        <w:rPr>
          <w:rFonts w:ascii="Arial" w:hAnsi="Arial" w:cs="Arial"/>
          <w:sz w:val="22"/>
          <w:szCs w:val="22"/>
          <w:lang w:val="en-US"/>
        </w:rPr>
        <w:t xml:space="preserve"> qualitative evidence, as well as for discovering, </w:t>
      </w:r>
      <w:r w:rsidR="008527CF">
        <w:rPr>
          <w:rFonts w:ascii="Arial" w:hAnsi="Arial" w:cs="Arial"/>
          <w:sz w:val="22"/>
          <w:szCs w:val="22"/>
          <w:lang w:val="en-US"/>
        </w:rPr>
        <w:t>organising</w:t>
      </w:r>
      <w:r w:rsidRPr="0053758B">
        <w:rPr>
          <w:rFonts w:ascii="Arial" w:hAnsi="Arial" w:cs="Arial"/>
          <w:sz w:val="22"/>
          <w:szCs w:val="22"/>
          <w:lang w:val="en-US"/>
        </w:rPr>
        <w:t xml:space="preserve">, and interpreting data patterns (Braun and Clarke, 2006). Thematic analysis was relevant for this dissertation, as the research question relates to recurring barriers and enablers rather than numbers. The analysis consisted of the six stages of thematic analysis identified by Braun and Clarke (2006): </w:t>
      </w:r>
      <w:r w:rsidR="008527CF">
        <w:rPr>
          <w:rFonts w:ascii="Arial" w:hAnsi="Arial" w:cs="Arial"/>
          <w:sz w:val="22"/>
          <w:szCs w:val="22"/>
          <w:lang w:val="en-US"/>
        </w:rPr>
        <w:t>familiarisation</w:t>
      </w:r>
      <w:r w:rsidRPr="0053758B">
        <w:rPr>
          <w:rFonts w:ascii="Arial" w:hAnsi="Arial" w:cs="Arial"/>
          <w:sz w:val="22"/>
          <w:szCs w:val="22"/>
          <w:lang w:val="en-US"/>
        </w:rPr>
        <w:t xml:space="preserve"> with </w:t>
      </w:r>
      <w:r w:rsidR="008527CF" w:rsidRPr="0053758B">
        <w:rPr>
          <w:rFonts w:ascii="Arial" w:hAnsi="Arial" w:cs="Arial"/>
          <w:sz w:val="22"/>
          <w:szCs w:val="22"/>
          <w:lang w:val="en-US"/>
        </w:rPr>
        <w:t>data</w:t>
      </w:r>
      <w:r w:rsidRPr="0053758B">
        <w:rPr>
          <w:rFonts w:ascii="Arial" w:hAnsi="Arial" w:cs="Arial"/>
          <w:sz w:val="22"/>
          <w:szCs w:val="22"/>
          <w:lang w:val="en-US"/>
        </w:rPr>
        <w:t>, coding, theme search, theme review, definition and naming of themes, and presentation of results.</w:t>
      </w:r>
    </w:p>
    <w:p w14:paraId="6C6874D7" w14:textId="3A39704C" w:rsidR="0053758B" w:rsidRPr="00364982" w:rsidRDefault="0053758B" w:rsidP="0053758B">
      <w:pPr>
        <w:spacing w:line="360" w:lineRule="auto"/>
        <w:jc w:val="both"/>
        <w:rPr>
          <w:rFonts w:ascii="Arial" w:hAnsi="Arial" w:cs="Arial"/>
          <w:sz w:val="22"/>
          <w:szCs w:val="22"/>
          <w:lang w:val="en-US"/>
        </w:rPr>
      </w:pPr>
      <w:r w:rsidRPr="0053758B">
        <w:rPr>
          <w:rFonts w:ascii="Arial" w:hAnsi="Arial" w:cs="Arial"/>
          <w:sz w:val="22"/>
          <w:szCs w:val="22"/>
          <w:lang w:val="en-US"/>
        </w:rPr>
        <w:t xml:space="preserve">The first stage involved reading the selected studies multiple times </w:t>
      </w:r>
      <w:r w:rsidR="008527CF">
        <w:rPr>
          <w:rFonts w:ascii="Arial" w:hAnsi="Arial" w:cs="Arial"/>
          <w:sz w:val="22"/>
          <w:szCs w:val="22"/>
          <w:lang w:val="en-US"/>
        </w:rPr>
        <w:t xml:space="preserve">to become familiar with their findings and the perspectives of </w:t>
      </w:r>
      <w:r w:rsidRPr="0053758B">
        <w:rPr>
          <w:rFonts w:ascii="Arial" w:hAnsi="Arial" w:cs="Arial"/>
          <w:sz w:val="22"/>
          <w:szCs w:val="22"/>
          <w:lang w:val="en-US"/>
        </w:rPr>
        <w:t xml:space="preserve">participants and professionals. </w:t>
      </w:r>
      <w:r w:rsidR="008527CF">
        <w:rPr>
          <w:rFonts w:ascii="Arial" w:hAnsi="Arial" w:cs="Arial"/>
          <w:sz w:val="22"/>
          <w:szCs w:val="22"/>
          <w:lang w:val="en-US"/>
        </w:rPr>
        <w:t>In the second stage,</w:t>
      </w:r>
      <w:r w:rsidR="00B56FD2">
        <w:rPr>
          <w:rFonts w:ascii="Arial" w:hAnsi="Arial" w:cs="Arial"/>
          <w:sz w:val="22"/>
          <w:szCs w:val="22"/>
          <w:lang w:val="en-US"/>
        </w:rPr>
        <w:t xml:space="preserve"> findings were coded related to access to CAMHS </w:t>
      </w:r>
      <w:r w:rsidR="008527CF">
        <w:rPr>
          <w:rFonts w:ascii="Arial" w:hAnsi="Arial" w:cs="Arial"/>
          <w:sz w:val="22"/>
          <w:szCs w:val="22"/>
          <w:lang w:val="en-US"/>
        </w:rPr>
        <w:t xml:space="preserve">based on their meanings and their </w:t>
      </w:r>
      <w:r w:rsidRPr="0053758B">
        <w:rPr>
          <w:rFonts w:ascii="Arial" w:hAnsi="Arial" w:cs="Arial"/>
          <w:sz w:val="22"/>
          <w:szCs w:val="22"/>
          <w:lang w:val="en-US"/>
        </w:rPr>
        <w:t xml:space="preserve">relation to access barriers and enablers. The third stage involved aggregating these codes into broader candidate themes. In the fourth stage, </w:t>
      </w:r>
      <w:r w:rsidR="00B56FD2">
        <w:rPr>
          <w:rFonts w:ascii="Arial" w:hAnsi="Arial" w:cs="Arial"/>
          <w:sz w:val="22"/>
          <w:szCs w:val="22"/>
          <w:lang w:val="en-US"/>
        </w:rPr>
        <w:t>the</w:t>
      </w:r>
      <w:r w:rsidRPr="0053758B">
        <w:rPr>
          <w:rFonts w:ascii="Arial" w:hAnsi="Arial" w:cs="Arial"/>
          <w:sz w:val="22"/>
          <w:szCs w:val="22"/>
          <w:lang w:val="en-US"/>
        </w:rPr>
        <w:t xml:space="preserve"> themes were reviewed against </w:t>
      </w:r>
      <w:r w:rsidR="008527CF">
        <w:rPr>
          <w:rFonts w:ascii="Arial" w:hAnsi="Arial" w:cs="Arial"/>
          <w:sz w:val="22"/>
          <w:szCs w:val="22"/>
          <w:lang w:val="en-US"/>
        </w:rPr>
        <w:t>the evidence to check whether they reflected data from multiple studies or only</w:t>
      </w:r>
      <w:r w:rsidRPr="0053758B">
        <w:rPr>
          <w:rFonts w:ascii="Arial" w:hAnsi="Arial" w:cs="Arial"/>
          <w:sz w:val="22"/>
          <w:szCs w:val="22"/>
          <w:lang w:val="en-US"/>
        </w:rPr>
        <w:t xml:space="preserve"> specific examples. In the fifth stage, the themes were clearly defined and named. Finally, the sixth stage entailed presenting the findings in Chapter 4 and linking them to the research question and literature review (Braun and Clarke, 2006; Saunders et al., 2023).</w:t>
      </w:r>
    </w:p>
    <w:p w14:paraId="7E575F87" w14:textId="1DE8588C" w:rsidR="0053758B" w:rsidRPr="0053758B" w:rsidRDefault="0053758B" w:rsidP="0053758B">
      <w:pPr>
        <w:spacing w:line="360" w:lineRule="auto"/>
        <w:jc w:val="both"/>
        <w:rPr>
          <w:rFonts w:ascii="Arial" w:hAnsi="Arial" w:cs="Arial"/>
          <w:sz w:val="22"/>
          <w:szCs w:val="22"/>
          <w:lang w:val="en-US"/>
        </w:rPr>
      </w:pPr>
      <w:r w:rsidRPr="0053758B">
        <w:rPr>
          <w:rFonts w:ascii="Arial" w:hAnsi="Arial" w:cs="Arial"/>
          <w:sz w:val="22"/>
          <w:szCs w:val="22"/>
          <w:lang w:val="en-US"/>
        </w:rPr>
        <w:t xml:space="preserve">Thematic analysis was primarily inductive in nature because the themes were generated from the findings of the included studies. However, </w:t>
      </w:r>
      <w:r w:rsidR="00B56FD2">
        <w:rPr>
          <w:rFonts w:ascii="Arial" w:hAnsi="Arial" w:cs="Arial"/>
          <w:sz w:val="22"/>
          <w:szCs w:val="22"/>
          <w:lang w:val="en-US"/>
        </w:rPr>
        <w:t>the conceptual framework developed in Chapter 2 also guided the thematic analysis by identifying</w:t>
      </w:r>
      <w:r w:rsidRPr="0053758B">
        <w:rPr>
          <w:rFonts w:ascii="Arial" w:hAnsi="Arial" w:cs="Arial"/>
          <w:sz w:val="22"/>
          <w:szCs w:val="22"/>
          <w:lang w:val="en-US"/>
        </w:rPr>
        <w:t xml:space="preserve"> four types of barriers and enablers (individual and family factors, service-level factors, structural and socioeconomic factors, and policy/system-level factors). This allowed the dissertation to stay grounded in the evidence and </w:t>
      </w:r>
      <w:r w:rsidR="008527CF">
        <w:rPr>
          <w:rFonts w:ascii="Arial" w:hAnsi="Arial" w:cs="Arial"/>
          <w:sz w:val="22"/>
          <w:szCs w:val="22"/>
          <w:lang w:val="en-US"/>
        </w:rPr>
        <w:t>connect it to</w:t>
      </w:r>
      <w:r w:rsidRPr="0053758B">
        <w:rPr>
          <w:rFonts w:ascii="Arial" w:hAnsi="Arial" w:cs="Arial"/>
          <w:sz w:val="22"/>
          <w:szCs w:val="22"/>
          <w:lang w:val="en-US"/>
        </w:rPr>
        <w:t xml:space="preserve"> social determinants of access to health and healthcare (Marmot et al., 2020; Radez et al., 2021).</w:t>
      </w:r>
    </w:p>
    <w:p w14:paraId="78F8AEF5" w14:textId="77777777" w:rsidR="0053758B" w:rsidRPr="0053758B" w:rsidRDefault="0053758B" w:rsidP="0053758B">
      <w:pPr>
        <w:spacing w:line="360" w:lineRule="auto"/>
        <w:jc w:val="both"/>
        <w:rPr>
          <w:rFonts w:ascii="Arial" w:hAnsi="Arial" w:cs="Arial"/>
          <w:sz w:val="22"/>
          <w:szCs w:val="22"/>
          <w:lang w:val="en-US"/>
        </w:rPr>
      </w:pPr>
    </w:p>
    <w:p w14:paraId="417DED97" w14:textId="1FB271F3" w:rsidR="0053758B" w:rsidRPr="00364982" w:rsidRDefault="0053758B" w:rsidP="000A7476">
      <w:pPr>
        <w:pStyle w:val="Heading2"/>
        <w:rPr>
          <w:lang w:val="en-US"/>
        </w:rPr>
      </w:pPr>
      <w:bookmarkStart w:id="34" w:name="_Toc233629129"/>
      <w:r w:rsidRPr="0053758B">
        <w:rPr>
          <w:lang w:val="en-US"/>
        </w:rPr>
        <w:t>3.11 Ethical Considerations</w:t>
      </w:r>
      <w:bookmarkEnd w:id="34"/>
    </w:p>
    <w:p w14:paraId="17108B4E" w14:textId="02112DC4" w:rsidR="0053758B" w:rsidRPr="0053758B" w:rsidRDefault="0053758B" w:rsidP="0053758B">
      <w:pPr>
        <w:spacing w:line="360" w:lineRule="auto"/>
        <w:jc w:val="both"/>
        <w:rPr>
          <w:rFonts w:ascii="Arial" w:hAnsi="Arial" w:cs="Arial"/>
          <w:sz w:val="22"/>
          <w:szCs w:val="22"/>
          <w:lang w:val="en-US"/>
        </w:rPr>
      </w:pPr>
      <w:r w:rsidRPr="0053758B">
        <w:rPr>
          <w:rFonts w:ascii="Arial" w:hAnsi="Arial" w:cs="Arial"/>
          <w:sz w:val="22"/>
          <w:szCs w:val="22"/>
          <w:lang w:val="en-US"/>
        </w:rPr>
        <w:t xml:space="preserve">This dissertation </w:t>
      </w:r>
      <w:r w:rsidR="00B56FD2">
        <w:rPr>
          <w:rFonts w:ascii="Arial" w:hAnsi="Arial" w:cs="Arial"/>
          <w:sz w:val="22"/>
          <w:szCs w:val="22"/>
          <w:lang w:val="en-US"/>
        </w:rPr>
        <w:t>utilised</w:t>
      </w:r>
      <w:r w:rsidRPr="0053758B">
        <w:rPr>
          <w:rFonts w:ascii="Arial" w:hAnsi="Arial" w:cs="Arial"/>
          <w:sz w:val="22"/>
          <w:szCs w:val="22"/>
          <w:lang w:val="en-US"/>
        </w:rPr>
        <w:t xml:space="preserve"> secondary research methods, which did not require any interaction with children, young people, their parents, carers, or professionals. Therefore, this type of research posed fewer ethical risks compared to primary research with vulnerable participants (Aveyard, 2023). Nevertheless, there were still ethical issues related to </w:t>
      </w:r>
      <w:r w:rsidR="00B56FD2">
        <w:rPr>
          <w:rFonts w:ascii="Arial" w:hAnsi="Arial" w:cs="Arial"/>
          <w:sz w:val="22"/>
          <w:szCs w:val="22"/>
          <w:lang w:val="en-US"/>
        </w:rPr>
        <w:t>analysing</w:t>
      </w:r>
      <w:r w:rsidRPr="0053758B">
        <w:rPr>
          <w:rFonts w:ascii="Arial" w:hAnsi="Arial" w:cs="Arial"/>
          <w:sz w:val="22"/>
          <w:szCs w:val="22"/>
          <w:lang w:val="en-US"/>
        </w:rPr>
        <w:t xml:space="preserve"> sensitive data on child mental health, family distress, service exclusion, risk of self-harm, inequality, and access problems. As a result, all the evidence was handled with caution to avoid sensationali</w:t>
      </w:r>
      <w:r w:rsidR="00B56FD2">
        <w:rPr>
          <w:rFonts w:ascii="Arial" w:hAnsi="Arial" w:cs="Arial"/>
          <w:sz w:val="22"/>
          <w:szCs w:val="22"/>
          <w:lang w:val="en-US"/>
        </w:rPr>
        <w:t>s</w:t>
      </w:r>
      <w:r w:rsidRPr="0053758B">
        <w:rPr>
          <w:rFonts w:ascii="Arial" w:hAnsi="Arial" w:cs="Arial"/>
          <w:sz w:val="22"/>
          <w:szCs w:val="22"/>
          <w:lang w:val="en-US"/>
        </w:rPr>
        <w:t>ing children's health problems.</w:t>
      </w:r>
    </w:p>
    <w:p w14:paraId="70BCF3D1" w14:textId="77777777" w:rsidR="0053758B" w:rsidRPr="0053758B" w:rsidRDefault="0053758B" w:rsidP="0053758B">
      <w:pPr>
        <w:spacing w:line="360" w:lineRule="auto"/>
        <w:jc w:val="both"/>
        <w:rPr>
          <w:rFonts w:ascii="Arial" w:hAnsi="Arial" w:cs="Arial"/>
          <w:sz w:val="22"/>
          <w:szCs w:val="22"/>
          <w:lang w:val="en-US"/>
        </w:rPr>
      </w:pPr>
    </w:p>
    <w:p w14:paraId="1BE299E1" w14:textId="1B9F0F55" w:rsidR="0053758B" w:rsidRPr="0053758B" w:rsidRDefault="0053758B" w:rsidP="0053758B">
      <w:pPr>
        <w:spacing w:line="360" w:lineRule="auto"/>
        <w:jc w:val="both"/>
        <w:rPr>
          <w:rFonts w:ascii="Arial" w:hAnsi="Arial" w:cs="Arial"/>
          <w:sz w:val="22"/>
          <w:szCs w:val="22"/>
          <w:lang w:val="en-US"/>
        </w:rPr>
      </w:pPr>
      <w:r w:rsidRPr="0053758B">
        <w:rPr>
          <w:rFonts w:ascii="Arial" w:hAnsi="Arial" w:cs="Arial"/>
          <w:sz w:val="22"/>
          <w:szCs w:val="22"/>
          <w:lang w:val="en-US"/>
        </w:rPr>
        <w:lastRenderedPageBreak/>
        <w:t xml:space="preserve">The </w:t>
      </w:r>
      <w:r w:rsidR="00B56FD2">
        <w:rPr>
          <w:rFonts w:ascii="Arial" w:hAnsi="Arial" w:cs="Arial"/>
          <w:sz w:val="22"/>
          <w:szCs w:val="22"/>
          <w:lang w:val="en-US"/>
        </w:rPr>
        <w:t xml:space="preserve">dissertation maintained academic integrity through precise citation </w:t>
      </w:r>
      <w:r w:rsidRPr="0053758B">
        <w:rPr>
          <w:rFonts w:ascii="Arial" w:hAnsi="Arial" w:cs="Arial"/>
          <w:sz w:val="22"/>
          <w:szCs w:val="22"/>
          <w:lang w:val="en-US"/>
        </w:rPr>
        <w:t xml:space="preserve">and avoidance of plagiarism, including proper paraphrasing and Harvard referencing. </w:t>
      </w:r>
      <w:r w:rsidR="008527CF">
        <w:rPr>
          <w:rFonts w:ascii="Arial" w:hAnsi="Arial" w:cs="Arial"/>
          <w:sz w:val="22"/>
          <w:szCs w:val="22"/>
          <w:lang w:val="en-US"/>
        </w:rPr>
        <w:t>The dissertation also did not fabricate evidence, as it did not present other researchers' findings</w:t>
      </w:r>
      <w:r w:rsidRPr="0053758B">
        <w:rPr>
          <w:rFonts w:ascii="Arial" w:hAnsi="Arial" w:cs="Arial"/>
          <w:sz w:val="22"/>
          <w:szCs w:val="22"/>
          <w:lang w:val="en-US"/>
        </w:rPr>
        <w:t xml:space="preserve"> as original data. Moreover, </w:t>
      </w:r>
      <w:r w:rsidR="008527CF" w:rsidRPr="0053758B">
        <w:rPr>
          <w:rFonts w:ascii="Arial" w:hAnsi="Arial" w:cs="Arial"/>
          <w:sz w:val="22"/>
          <w:szCs w:val="22"/>
          <w:lang w:val="en-US"/>
        </w:rPr>
        <w:t>to</w:t>
      </w:r>
      <w:r w:rsidRPr="0053758B">
        <w:rPr>
          <w:rFonts w:ascii="Arial" w:hAnsi="Arial" w:cs="Arial"/>
          <w:sz w:val="22"/>
          <w:szCs w:val="22"/>
          <w:lang w:val="en-US"/>
        </w:rPr>
        <w:t xml:space="preserve"> demonstrate academic integrity, the review attempted to represent all aspects of the evidence (barriers and enablers), rather than </w:t>
      </w:r>
      <w:r w:rsidR="008527CF">
        <w:rPr>
          <w:rFonts w:ascii="Arial" w:hAnsi="Arial" w:cs="Arial"/>
          <w:sz w:val="22"/>
          <w:szCs w:val="22"/>
          <w:lang w:val="en-US"/>
        </w:rPr>
        <w:t xml:space="preserve">selecting only those </w:t>
      </w:r>
      <w:r w:rsidRPr="0053758B">
        <w:rPr>
          <w:rFonts w:ascii="Arial" w:hAnsi="Arial" w:cs="Arial"/>
          <w:sz w:val="22"/>
          <w:szCs w:val="22"/>
          <w:lang w:val="en-US"/>
        </w:rPr>
        <w:t>helpful to a particular argument. No participant consent was required</w:t>
      </w:r>
      <w:r w:rsidR="008527CF">
        <w:rPr>
          <w:rFonts w:ascii="Arial" w:hAnsi="Arial" w:cs="Arial"/>
          <w:sz w:val="22"/>
          <w:szCs w:val="22"/>
          <w:lang w:val="en-US"/>
        </w:rPr>
        <w:t>, as this</w:t>
      </w:r>
      <w:r w:rsidRPr="0053758B">
        <w:rPr>
          <w:rFonts w:ascii="Arial" w:hAnsi="Arial" w:cs="Arial"/>
          <w:sz w:val="22"/>
          <w:szCs w:val="22"/>
          <w:lang w:val="en-US"/>
        </w:rPr>
        <w:t xml:space="preserve"> was a review of published evidence. </w:t>
      </w:r>
      <w:r w:rsidR="00B56FD2">
        <w:rPr>
          <w:rFonts w:ascii="Arial" w:hAnsi="Arial" w:cs="Arial"/>
          <w:sz w:val="22"/>
          <w:szCs w:val="22"/>
          <w:lang w:val="en-US"/>
        </w:rPr>
        <w:t>The review also respected confidentiality and safeguarding requirements</w:t>
      </w:r>
      <w:r w:rsidRPr="0053758B">
        <w:rPr>
          <w:rFonts w:ascii="Arial" w:hAnsi="Arial" w:cs="Arial"/>
          <w:sz w:val="22"/>
          <w:szCs w:val="22"/>
          <w:lang w:val="en-US"/>
        </w:rPr>
        <w:t xml:space="preserve"> by avoiding unnecessary </w:t>
      </w:r>
      <w:r w:rsidR="008527CF">
        <w:rPr>
          <w:rFonts w:ascii="Arial" w:hAnsi="Arial" w:cs="Arial"/>
          <w:sz w:val="22"/>
          <w:szCs w:val="22"/>
          <w:lang w:val="en-US"/>
        </w:rPr>
        <w:t>personal details</w:t>
      </w:r>
      <w:r w:rsidRPr="0053758B">
        <w:rPr>
          <w:rFonts w:ascii="Arial" w:hAnsi="Arial" w:cs="Arial"/>
          <w:sz w:val="22"/>
          <w:szCs w:val="22"/>
          <w:lang w:val="en-US"/>
        </w:rPr>
        <w:t xml:space="preserve"> (where available).</w:t>
      </w:r>
    </w:p>
    <w:p w14:paraId="5F361771" w14:textId="77777777" w:rsidR="0053758B" w:rsidRPr="0053758B" w:rsidRDefault="0053758B" w:rsidP="0053758B">
      <w:pPr>
        <w:spacing w:line="360" w:lineRule="auto"/>
        <w:jc w:val="both"/>
        <w:rPr>
          <w:rFonts w:ascii="Arial" w:hAnsi="Arial" w:cs="Arial"/>
          <w:sz w:val="22"/>
          <w:szCs w:val="22"/>
          <w:lang w:val="en-US"/>
        </w:rPr>
      </w:pPr>
    </w:p>
    <w:p w14:paraId="3AB08D2A" w14:textId="372750A8" w:rsidR="0053758B" w:rsidRPr="00364982" w:rsidRDefault="0053758B" w:rsidP="000A7476">
      <w:pPr>
        <w:pStyle w:val="Heading2"/>
        <w:rPr>
          <w:lang w:val="en-US"/>
        </w:rPr>
      </w:pPr>
      <w:bookmarkStart w:id="35" w:name="_Toc233629130"/>
      <w:r w:rsidRPr="0053758B">
        <w:rPr>
          <w:lang w:val="en-US"/>
        </w:rPr>
        <w:t>3.12 Limitations of the Methodology</w:t>
      </w:r>
      <w:bookmarkEnd w:id="35"/>
    </w:p>
    <w:p w14:paraId="66A568FD" w14:textId="28B3AE80" w:rsidR="0053758B" w:rsidRPr="00364982" w:rsidRDefault="0053758B" w:rsidP="0053758B">
      <w:pPr>
        <w:spacing w:line="360" w:lineRule="auto"/>
        <w:jc w:val="both"/>
        <w:rPr>
          <w:rFonts w:ascii="Arial" w:hAnsi="Arial" w:cs="Arial"/>
          <w:sz w:val="22"/>
          <w:szCs w:val="22"/>
          <w:lang w:val="en-US"/>
        </w:rPr>
      </w:pPr>
      <w:r w:rsidRPr="0053758B">
        <w:rPr>
          <w:rFonts w:ascii="Arial" w:hAnsi="Arial" w:cs="Arial"/>
          <w:sz w:val="22"/>
          <w:szCs w:val="22"/>
          <w:lang w:val="en-US"/>
        </w:rPr>
        <w:t xml:space="preserve">The methodology has </w:t>
      </w:r>
      <w:r w:rsidR="008527CF">
        <w:rPr>
          <w:rFonts w:ascii="Arial" w:hAnsi="Arial" w:cs="Arial"/>
          <w:sz w:val="22"/>
          <w:szCs w:val="22"/>
          <w:lang w:val="en-US"/>
        </w:rPr>
        <w:t>several</w:t>
      </w:r>
      <w:r w:rsidRPr="0053758B">
        <w:rPr>
          <w:rFonts w:ascii="Arial" w:hAnsi="Arial" w:cs="Arial"/>
          <w:sz w:val="22"/>
          <w:szCs w:val="22"/>
          <w:lang w:val="en-US"/>
        </w:rPr>
        <w:t xml:space="preserve"> limitations. First, it relies </w:t>
      </w:r>
      <w:r w:rsidR="008527CF">
        <w:rPr>
          <w:rFonts w:ascii="Arial" w:hAnsi="Arial" w:cs="Arial"/>
          <w:sz w:val="22"/>
          <w:szCs w:val="22"/>
          <w:lang w:val="en-US"/>
        </w:rPr>
        <w:t xml:space="preserve">on the availability and quality of evidence </w:t>
      </w:r>
      <w:r w:rsidRPr="0053758B">
        <w:rPr>
          <w:rFonts w:ascii="Arial" w:hAnsi="Arial" w:cs="Arial"/>
          <w:sz w:val="22"/>
          <w:szCs w:val="22"/>
          <w:lang w:val="en-US"/>
        </w:rPr>
        <w:t xml:space="preserve">in the public domain. For example, some groups </w:t>
      </w:r>
      <w:r w:rsidR="008527CF">
        <w:rPr>
          <w:rFonts w:ascii="Arial" w:hAnsi="Arial" w:cs="Arial"/>
          <w:sz w:val="22"/>
          <w:szCs w:val="22"/>
          <w:lang w:val="en-US"/>
        </w:rPr>
        <w:t>may be underrepresented in the literature, meaning</w:t>
      </w:r>
      <w:r w:rsidRPr="0053758B">
        <w:rPr>
          <w:rFonts w:ascii="Arial" w:hAnsi="Arial" w:cs="Arial"/>
          <w:sz w:val="22"/>
          <w:szCs w:val="22"/>
          <w:lang w:val="en-US"/>
        </w:rPr>
        <w:t xml:space="preserve"> their voices were not heard, such as children in care, minority ethnic children, children with special educational needs, and families with high levels of deprivation (Marmot et al., 2020; Aveyard, 2023). Second, the literature review considers </w:t>
      </w:r>
      <w:r w:rsidR="00B56FD2">
        <w:rPr>
          <w:rFonts w:ascii="Arial" w:hAnsi="Arial" w:cs="Arial"/>
          <w:sz w:val="22"/>
          <w:szCs w:val="22"/>
          <w:lang w:val="en-US"/>
        </w:rPr>
        <w:t>only English-language sources, which may</w:t>
      </w:r>
      <w:r w:rsidRPr="0053758B">
        <w:rPr>
          <w:rFonts w:ascii="Arial" w:hAnsi="Arial" w:cs="Arial"/>
          <w:sz w:val="22"/>
          <w:szCs w:val="22"/>
          <w:lang w:val="en-US"/>
        </w:rPr>
        <w:t xml:space="preserve"> limit its scope. Third, the restriction to </w:t>
      </w:r>
      <w:r w:rsidR="00B56FD2">
        <w:rPr>
          <w:rFonts w:ascii="Arial" w:hAnsi="Arial" w:cs="Arial"/>
          <w:sz w:val="22"/>
          <w:szCs w:val="22"/>
          <w:lang w:val="en-US"/>
        </w:rPr>
        <w:t>2015–2025 may be limiting, but it</w:t>
      </w:r>
      <w:r w:rsidRPr="0053758B">
        <w:rPr>
          <w:rFonts w:ascii="Arial" w:hAnsi="Arial" w:cs="Arial"/>
          <w:sz w:val="22"/>
          <w:szCs w:val="22"/>
          <w:lang w:val="en-US"/>
        </w:rPr>
        <w:t xml:space="preserve"> makes the evidence more relevant to current policy and </w:t>
      </w:r>
      <w:r w:rsidR="008527CF">
        <w:rPr>
          <w:rFonts w:ascii="Arial" w:hAnsi="Arial" w:cs="Arial"/>
          <w:sz w:val="22"/>
          <w:szCs w:val="22"/>
          <w:lang w:val="en-US"/>
        </w:rPr>
        <w:t>service</w:t>
      </w:r>
      <w:r w:rsidRPr="0053758B">
        <w:rPr>
          <w:rFonts w:ascii="Arial" w:hAnsi="Arial" w:cs="Arial"/>
          <w:sz w:val="22"/>
          <w:szCs w:val="22"/>
          <w:lang w:val="en-US"/>
        </w:rPr>
        <w:t xml:space="preserve"> pressures.</w:t>
      </w:r>
    </w:p>
    <w:p w14:paraId="72B990EB" w14:textId="73F6A50B" w:rsidR="0053758B" w:rsidRPr="0053758B" w:rsidRDefault="0053758B" w:rsidP="0053758B">
      <w:pPr>
        <w:spacing w:line="360" w:lineRule="auto"/>
        <w:jc w:val="both"/>
        <w:rPr>
          <w:rFonts w:ascii="Arial" w:hAnsi="Arial" w:cs="Arial"/>
          <w:sz w:val="22"/>
          <w:szCs w:val="22"/>
          <w:lang w:val="en-US"/>
        </w:rPr>
      </w:pPr>
      <w:r w:rsidRPr="0053758B">
        <w:rPr>
          <w:rFonts w:ascii="Arial" w:hAnsi="Arial" w:cs="Arial"/>
          <w:sz w:val="22"/>
          <w:szCs w:val="22"/>
          <w:lang w:val="en-US"/>
        </w:rPr>
        <w:t xml:space="preserve">Another limitation lies in the diversity of CAMHS provision across the United Kingdom, as each country has different policy arrangements, service </w:t>
      </w:r>
      <w:r w:rsidR="008527CF">
        <w:rPr>
          <w:rFonts w:ascii="Arial" w:hAnsi="Arial" w:cs="Arial"/>
          <w:sz w:val="22"/>
          <w:szCs w:val="22"/>
          <w:lang w:val="en-US"/>
        </w:rPr>
        <w:t>organisation</w:t>
      </w:r>
      <w:r w:rsidRPr="0053758B">
        <w:rPr>
          <w:rFonts w:ascii="Arial" w:hAnsi="Arial" w:cs="Arial"/>
          <w:sz w:val="22"/>
          <w:szCs w:val="22"/>
          <w:lang w:val="en-US"/>
        </w:rPr>
        <w:t xml:space="preserve"> models, and data collection systems (Parkin and Long, 2024). For this reason, </w:t>
      </w:r>
      <w:r w:rsidR="008527CF">
        <w:rPr>
          <w:rFonts w:ascii="Arial" w:hAnsi="Arial" w:cs="Arial"/>
          <w:sz w:val="22"/>
          <w:szCs w:val="22"/>
          <w:lang w:val="en-US"/>
        </w:rPr>
        <w:t xml:space="preserve">findings from one UK nation may not </w:t>
      </w:r>
      <w:r w:rsidRPr="0053758B">
        <w:rPr>
          <w:rFonts w:ascii="Arial" w:hAnsi="Arial" w:cs="Arial"/>
          <w:sz w:val="22"/>
          <w:szCs w:val="22"/>
          <w:lang w:val="en-US"/>
        </w:rPr>
        <w:t xml:space="preserve">be transferable to another. At the same time, the UK focus is justified </w:t>
      </w:r>
      <w:r w:rsidR="008527CF">
        <w:rPr>
          <w:rFonts w:ascii="Arial" w:hAnsi="Arial" w:cs="Arial"/>
          <w:sz w:val="22"/>
          <w:szCs w:val="22"/>
          <w:lang w:val="en-US"/>
        </w:rPr>
        <w:t>because</w:t>
      </w:r>
      <w:r w:rsidRPr="0053758B">
        <w:rPr>
          <w:rFonts w:ascii="Arial" w:hAnsi="Arial" w:cs="Arial"/>
          <w:sz w:val="22"/>
          <w:szCs w:val="22"/>
          <w:lang w:val="en-US"/>
        </w:rPr>
        <w:t xml:space="preserve"> the dissertation explores CAMHS access within UK public health and social care systems. Moreover, grey literature can </w:t>
      </w:r>
      <w:r w:rsidR="008527CF">
        <w:rPr>
          <w:rFonts w:ascii="Arial" w:hAnsi="Arial" w:cs="Arial"/>
          <w:sz w:val="22"/>
          <w:szCs w:val="22"/>
          <w:lang w:val="en-US"/>
        </w:rPr>
        <w:t>help explain</w:t>
      </w:r>
      <w:r w:rsidRPr="0053758B">
        <w:rPr>
          <w:rFonts w:ascii="Arial" w:hAnsi="Arial" w:cs="Arial"/>
          <w:sz w:val="22"/>
          <w:szCs w:val="22"/>
          <w:lang w:val="en-US"/>
        </w:rPr>
        <w:t xml:space="preserve"> the context of policy and services but does not necessarily provide methodologically robust findings (Aveyard, 2023).</w:t>
      </w:r>
    </w:p>
    <w:p w14:paraId="4E9F1185" w14:textId="77777777" w:rsidR="000A7476" w:rsidRPr="00364982" w:rsidRDefault="000A7476" w:rsidP="0053758B">
      <w:pPr>
        <w:spacing w:line="360" w:lineRule="auto"/>
        <w:jc w:val="both"/>
        <w:rPr>
          <w:rFonts w:ascii="Arial" w:hAnsi="Arial" w:cs="Arial"/>
          <w:sz w:val="22"/>
          <w:szCs w:val="22"/>
          <w:lang w:val="en-US"/>
        </w:rPr>
      </w:pPr>
    </w:p>
    <w:p w14:paraId="5BCC951F" w14:textId="7A4E009D" w:rsidR="000A7476" w:rsidRPr="00364982" w:rsidRDefault="0053758B" w:rsidP="000A7476">
      <w:pPr>
        <w:pStyle w:val="Heading2"/>
        <w:rPr>
          <w:lang w:val="en-US"/>
        </w:rPr>
      </w:pPr>
      <w:bookmarkStart w:id="36" w:name="_Toc233629131"/>
      <w:r w:rsidRPr="0053758B">
        <w:rPr>
          <w:lang w:val="en-US"/>
        </w:rPr>
        <w:t>3.13 Chapter Summary</w:t>
      </w:r>
      <w:bookmarkEnd w:id="36"/>
    </w:p>
    <w:p w14:paraId="72BCB94B" w14:textId="5F8DC693" w:rsidR="00501C21" w:rsidRPr="00B7158F" w:rsidRDefault="000A7476" w:rsidP="000A7476">
      <w:pPr>
        <w:spacing w:line="360" w:lineRule="auto"/>
        <w:jc w:val="both"/>
        <w:rPr>
          <w:rFonts w:ascii="Arial" w:hAnsi="Arial" w:cs="Arial"/>
          <w:sz w:val="22"/>
          <w:szCs w:val="22"/>
          <w:lang w:val="en-US"/>
        </w:rPr>
      </w:pPr>
      <w:r w:rsidRPr="000A7476">
        <w:rPr>
          <w:rFonts w:ascii="Arial" w:hAnsi="Arial" w:cs="Arial"/>
          <w:sz w:val="22"/>
          <w:szCs w:val="22"/>
          <w:lang w:val="en-US"/>
        </w:rPr>
        <w:t xml:space="preserve">The methodology for the current dissertation was elaborated on in this chapter. A systematic literature review </w:t>
      </w:r>
      <w:r w:rsidR="00B56FD2">
        <w:rPr>
          <w:rFonts w:ascii="Arial" w:hAnsi="Arial" w:cs="Arial"/>
          <w:sz w:val="22"/>
          <w:szCs w:val="22"/>
          <w:lang w:val="en-US"/>
        </w:rPr>
        <w:t>of qualitative studies was carried out following PRISMA 2020 guidelines and the PEO format, alongside clearly defined inclusion and exclusion criteria, quality appraisal, data extraction,</w:t>
      </w:r>
      <w:r w:rsidRPr="000A7476">
        <w:rPr>
          <w:rFonts w:ascii="Arial" w:hAnsi="Arial" w:cs="Arial"/>
          <w:sz w:val="22"/>
          <w:szCs w:val="22"/>
          <w:lang w:val="en-US"/>
        </w:rPr>
        <w:t xml:space="preserve"> and thematic analysis. </w:t>
      </w:r>
      <w:r w:rsidR="00B56FD2">
        <w:rPr>
          <w:rFonts w:ascii="Arial" w:hAnsi="Arial" w:cs="Arial"/>
          <w:sz w:val="22"/>
          <w:szCs w:val="22"/>
          <w:lang w:val="en-US"/>
        </w:rPr>
        <w:t xml:space="preserve">This approach was selected because the study intended to synthesise UK-based literature on </w:t>
      </w:r>
      <w:r w:rsidRPr="000A7476">
        <w:rPr>
          <w:rFonts w:ascii="Arial" w:hAnsi="Arial" w:cs="Arial"/>
          <w:sz w:val="22"/>
          <w:szCs w:val="22"/>
          <w:lang w:val="en-US"/>
        </w:rPr>
        <w:t>factors that hinder or enable access to CAMHS services.</w:t>
      </w:r>
      <w:r w:rsidR="00501C21" w:rsidRPr="00B7158F">
        <w:rPr>
          <w:rFonts w:ascii="Arial" w:hAnsi="Arial" w:cs="Arial"/>
          <w:sz w:val="22"/>
          <w:szCs w:val="22"/>
          <w:lang w:val="en-US"/>
        </w:rPr>
        <w:br w:type="page"/>
      </w:r>
    </w:p>
    <w:p w14:paraId="77A7937B" w14:textId="3F1C8B10" w:rsidR="0053758B" w:rsidRPr="00106C49" w:rsidRDefault="0053758B" w:rsidP="0053758B">
      <w:pPr>
        <w:pStyle w:val="Heading1"/>
        <w:rPr>
          <w:lang w:val="en-US"/>
        </w:rPr>
      </w:pPr>
      <w:bookmarkStart w:id="37" w:name="_Toc233629132"/>
      <w:r w:rsidRPr="0053758B">
        <w:rPr>
          <w:lang w:val="en-US"/>
        </w:rPr>
        <w:lastRenderedPageBreak/>
        <w:t>4. Results and Discussion</w:t>
      </w:r>
      <w:bookmarkEnd w:id="37"/>
    </w:p>
    <w:p w14:paraId="7352B046" w14:textId="4B7ABFCA" w:rsidR="0053758B" w:rsidRPr="00106C49" w:rsidRDefault="0053758B" w:rsidP="0053758B">
      <w:pPr>
        <w:pStyle w:val="Heading2"/>
        <w:rPr>
          <w:lang w:val="en-US"/>
        </w:rPr>
      </w:pPr>
      <w:bookmarkStart w:id="38" w:name="_Toc233629133"/>
      <w:r w:rsidRPr="0053758B">
        <w:rPr>
          <w:lang w:val="en-US"/>
        </w:rPr>
        <w:t>4.1 Introduction</w:t>
      </w:r>
      <w:bookmarkEnd w:id="38"/>
    </w:p>
    <w:p w14:paraId="2976D19F" w14:textId="77777777" w:rsidR="00364982" w:rsidRPr="00364982" w:rsidRDefault="00364982" w:rsidP="0053758B">
      <w:pPr>
        <w:spacing w:line="360" w:lineRule="auto"/>
        <w:jc w:val="both"/>
        <w:rPr>
          <w:rFonts w:ascii="Arial" w:hAnsi="Arial" w:cs="Arial"/>
          <w:sz w:val="22"/>
          <w:szCs w:val="22"/>
          <w:lang w:val="en-US"/>
        </w:rPr>
      </w:pPr>
    </w:p>
    <w:p w14:paraId="46415A4D" w14:textId="3B1F96BA" w:rsidR="0053758B" w:rsidRPr="0053758B" w:rsidRDefault="00B56FD2" w:rsidP="0053758B">
      <w:pPr>
        <w:spacing w:line="360" w:lineRule="auto"/>
        <w:jc w:val="both"/>
        <w:rPr>
          <w:rFonts w:ascii="Arial" w:hAnsi="Arial" w:cs="Arial"/>
          <w:sz w:val="22"/>
          <w:szCs w:val="22"/>
          <w:lang w:val="en-US"/>
        </w:rPr>
      </w:pPr>
      <w:r>
        <w:rPr>
          <w:rFonts w:ascii="Arial" w:hAnsi="Arial" w:cs="Arial"/>
          <w:sz w:val="22"/>
          <w:szCs w:val="22"/>
          <w:lang w:val="en-US"/>
        </w:rPr>
        <w:t>This chapter</w:t>
      </w:r>
      <w:r w:rsidR="0053758B" w:rsidRPr="0053758B">
        <w:rPr>
          <w:rFonts w:ascii="Arial" w:hAnsi="Arial" w:cs="Arial"/>
          <w:sz w:val="22"/>
          <w:szCs w:val="22"/>
          <w:lang w:val="en-US"/>
        </w:rPr>
        <w:t xml:space="preserve"> </w:t>
      </w:r>
      <w:r>
        <w:rPr>
          <w:rFonts w:ascii="Arial" w:hAnsi="Arial" w:cs="Arial"/>
          <w:sz w:val="22"/>
          <w:szCs w:val="22"/>
          <w:lang w:val="en-US"/>
        </w:rPr>
        <w:t>describes and critically analyses the findings from the literature review on barriers and enablers to</w:t>
      </w:r>
      <w:r w:rsidR="0053758B" w:rsidRPr="0053758B">
        <w:rPr>
          <w:rFonts w:ascii="Arial" w:hAnsi="Arial" w:cs="Arial"/>
          <w:sz w:val="22"/>
          <w:szCs w:val="22"/>
          <w:lang w:val="en-US"/>
        </w:rPr>
        <w:t xml:space="preserve"> accessing CAMHS services in the UK. These findings will be presented according to the main themes </w:t>
      </w:r>
      <w:r w:rsidR="00F1198F">
        <w:rPr>
          <w:rFonts w:ascii="Arial" w:hAnsi="Arial" w:cs="Arial"/>
          <w:sz w:val="22"/>
          <w:szCs w:val="22"/>
          <w:lang w:val="en-US"/>
        </w:rPr>
        <w:t xml:space="preserve">in the evidence base, produced through qualitative evidence synthesis and thematic analysis </w:t>
      </w:r>
      <w:r w:rsidR="0053758B" w:rsidRPr="0053758B">
        <w:rPr>
          <w:rFonts w:ascii="Arial" w:hAnsi="Arial" w:cs="Arial"/>
          <w:sz w:val="22"/>
          <w:szCs w:val="22"/>
          <w:lang w:val="en-US"/>
        </w:rPr>
        <w:t xml:space="preserve">(Braun and Clarke, 2006; Aveyard, 2023). </w:t>
      </w:r>
      <w:r w:rsidR="00F1198F">
        <w:rPr>
          <w:rFonts w:ascii="Arial" w:hAnsi="Arial" w:cs="Arial"/>
          <w:sz w:val="22"/>
          <w:szCs w:val="22"/>
          <w:lang w:val="en-US"/>
        </w:rPr>
        <w:t>Because this research is based on a secondary qualitative evidence synthesis, findings and discussion are presented together, as</w:t>
      </w:r>
      <w:r w:rsidR="0053758B" w:rsidRPr="0053758B">
        <w:rPr>
          <w:rFonts w:ascii="Arial" w:hAnsi="Arial" w:cs="Arial"/>
          <w:sz w:val="22"/>
          <w:szCs w:val="22"/>
          <w:lang w:val="en-US"/>
        </w:rPr>
        <w:t xml:space="preserve"> thematic analysis entails an inseparable relationship between data interpretation and description (Aveyard, 2023; Saunders et al., 2023).</w:t>
      </w:r>
    </w:p>
    <w:p w14:paraId="543212F7" w14:textId="77777777" w:rsidR="0053758B" w:rsidRPr="0053758B" w:rsidRDefault="0053758B" w:rsidP="0053758B">
      <w:pPr>
        <w:spacing w:line="360" w:lineRule="auto"/>
        <w:jc w:val="both"/>
        <w:rPr>
          <w:rFonts w:ascii="Arial" w:hAnsi="Arial" w:cs="Arial"/>
          <w:sz w:val="22"/>
          <w:szCs w:val="22"/>
          <w:lang w:val="en-US"/>
        </w:rPr>
      </w:pPr>
    </w:p>
    <w:p w14:paraId="2A1ED57D" w14:textId="281CF488" w:rsidR="0053758B" w:rsidRPr="00364982" w:rsidRDefault="0053758B" w:rsidP="0053758B">
      <w:pPr>
        <w:spacing w:line="360" w:lineRule="auto"/>
        <w:jc w:val="both"/>
        <w:rPr>
          <w:rFonts w:ascii="Arial" w:hAnsi="Arial" w:cs="Arial"/>
          <w:sz w:val="22"/>
          <w:szCs w:val="22"/>
          <w:lang w:val="en-US"/>
        </w:rPr>
      </w:pPr>
      <w:r w:rsidRPr="0053758B">
        <w:rPr>
          <w:rFonts w:ascii="Arial" w:hAnsi="Arial" w:cs="Arial"/>
          <w:sz w:val="22"/>
          <w:szCs w:val="22"/>
          <w:lang w:val="en-US"/>
        </w:rPr>
        <w:t xml:space="preserve">Findings suggest that CAMHS access involves a series of interconnected barriers, rather than a solitary one. Main barriers discussed in the evidence include long waiting times and delays in access; referral thresholds and referral rejections; socioeconomic differences; regional variation and service capacity; stigma and lack of awareness and help-seeking </w:t>
      </w:r>
      <w:r w:rsidR="00B56FD2">
        <w:rPr>
          <w:rFonts w:ascii="Arial" w:hAnsi="Arial" w:cs="Arial"/>
          <w:sz w:val="22"/>
          <w:szCs w:val="22"/>
          <w:lang w:val="en-US"/>
        </w:rPr>
        <w:t>behaviours</w:t>
      </w:r>
      <w:r w:rsidRPr="0053758B">
        <w:rPr>
          <w:rFonts w:ascii="Arial" w:hAnsi="Arial" w:cs="Arial"/>
          <w:sz w:val="22"/>
          <w:szCs w:val="22"/>
          <w:lang w:val="en-US"/>
        </w:rPr>
        <w:t xml:space="preserve">; early intervention provided by schools and GPs; and continuity of care and transition issues (Children's Commissioner, 2024; Scottish Government, 2018; Radez et al., 2021; Appleton et al., 2022). </w:t>
      </w:r>
      <w:r w:rsidR="00F1198F">
        <w:rPr>
          <w:rFonts w:ascii="Arial" w:hAnsi="Arial" w:cs="Arial"/>
          <w:sz w:val="22"/>
          <w:szCs w:val="22"/>
          <w:lang w:val="en-US"/>
        </w:rPr>
        <w:t>Access to CAMHS appears to involve a multi-faceted process that includes identifying need, seeking help, referral, assessment, treatment, engagement,</w:t>
      </w:r>
      <w:r w:rsidRPr="0053758B">
        <w:rPr>
          <w:rFonts w:ascii="Arial" w:hAnsi="Arial" w:cs="Arial"/>
          <w:sz w:val="22"/>
          <w:szCs w:val="22"/>
          <w:lang w:val="en-US"/>
        </w:rPr>
        <w:t xml:space="preserve"> and continuation of the process (Reardon et al., 2017; Appleton et al., 2020).</w:t>
      </w:r>
    </w:p>
    <w:p w14:paraId="4D7537E1" w14:textId="77777777" w:rsidR="0053758B" w:rsidRPr="00106C49" w:rsidRDefault="0053758B" w:rsidP="0053758B">
      <w:pPr>
        <w:spacing w:line="360" w:lineRule="auto"/>
        <w:jc w:val="both"/>
        <w:rPr>
          <w:rFonts w:ascii="Arial" w:hAnsi="Arial" w:cs="Arial"/>
          <w:sz w:val="22"/>
          <w:szCs w:val="22"/>
          <w:lang w:val="en-US"/>
        </w:rPr>
      </w:pPr>
    </w:p>
    <w:p w14:paraId="470EC8C2" w14:textId="77777777" w:rsidR="0053758B" w:rsidRPr="00106C49" w:rsidRDefault="0053758B" w:rsidP="0053758B">
      <w:pPr>
        <w:spacing w:line="360" w:lineRule="auto"/>
        <w:jc w:val="both"/>
        <w:rPr>
          <w:rFonts w:ascii="Arial" w:hAnsi="Arial" w:cs="Arial"/>
          <w:sz w:val="22"/>
          <w:szCs w:val="22"/>
          <w:lang w:val="en-US"/>
        </w:rPr>
      </w:pPr>
    </w:p>
    <w:p w14:paraId="7BF0F81E" w14:textId="24ED84DD" w:rsidR="0053758B" w:rsidRPr="0053758B" w:rsidRDefault="0053758B" w:rsidP="0053758B">
      <w:pPr>
        <w:pStyle w:val="Heading2"/>
        <w:rPr>
          <w:lang w:val="en-US"/>
        </w:rPr>
      </w:pPr>
      <w:bookmarkStart w:id="39" w:name="_Toc233629134"/>
      <w:r w:rsidRPr="0053758B">
        <w:rPr>
          <w:lang w:val="en-US"/>
        </w:rPr>
        <w:t>4.2 Overview of Included Evidence</w:t>
      </w:r>
      <w:bookmarkEnd w:id="39"/>
    </w:p>
    <w:p w14:paraId="19527EAB" w14:textId="0A494813" w:rsidR="00501C21" w:rsidRPr="00B7158F" w:rsidRDefault="0053758B" w:rsidP="0053758B">
      <w:pPr>
        <w:spacing w:line="360" w:lineRule="auto"/>
        <w:jc w:val="both"/>
        <w:rPr>
          <w:rFonts w:ascii="Arial" w:hAnsi="Arial" w:cs="Arial"/>
          <w:sz w:val="22"/>
          <w:szCs w:val="22"/>
          <w:lang w:val="en-US"/>
        </w:rPr>
      </w:pPr>
      <w:r w:rsidRPr="0053758B">
        <w:rPr>
          <w:rFonts w:ascii="Arial" w:hAnsi="Arial" w:cs="Arial"/>
          <w:sz w:val="22"/>
          <w:szCs w:val="22"/>
          <w:lang w:val="en-US"/>
        </w:rPr>
        <w:t xml:space="preserve">The evidence base </w:t>
      </w:r>
      <w:r w:rsidR="00B56FD2">
        <w:rPr>
          <w:rFonts w:ascii="Arial" w:hAnsi="Arial" w:cs="Arial"/>
          <w:sz w:val="22"/>
          <w:szCs w:val="22"/>
          <w:lang w:val="en-US"/>
        </w:rPr>
        <w:t>includes academic qualitative and mixed-methods papers, systematic reviews on</w:t>
      </w:r>
      <w:r w:rsidR="00F1198F">
        <w:rPr>
          <w:rFonts w:ascii="Arial" w:hAnsi="Arial" w:cs="Arial"/>
          <w:sz w:val="22"/>
          <w:szCs w:val="22"/>
          <w:lang w:val="en-US"/>
        </w:rPr>
        <w:t xml:space="preserve"> help-seeking behaviour</w:t>
      </w:r>
      <w:r w:rsidRPr="0053758B">
        <w:rPr>
          <w:rFonts w:ascii="Arial" w:hAnsi="Arial" w:cs="Arial"/>
          <w:sz w:val="22"/>
          <w:szCs w:val="22"/>
          <w:lang w:val="en-US"/>
        </w:rPr>
        <w:t xml:space="preserve">, and UK grey literature sources focused on CAMHS referral, access, waiting times, rejections, and pathways. Academic evidence helps understand the experiences of young people, their parents or carers, and professionals involved. </w:t>
      </w:r>
      <w:r w:rsidR="00F1198F">
        <w:rPr>
          <w:rFonts w:ascii="Arial" w:hAnsi="Arial" w:cs="Arial"/>
          <w:sz w:val="22"/>
          <w:szCs w:val="22"/>
          <w:lang w:val="en-US"/>
        </w:rPr>
        <w:t>Grey literature sources provide information on</w:t>
      </w:r>
      <w:r w:rsidRPr="0053758B">
        <w:rPr>
          <w:rFonts w:ascii="Arial" w:hAnsi="Arial" w:cs="Arial"/>
          <w:sz w:val="22"/>
          <w:szCs w:val="22"/>
          <w:lang w:val="en-US"/>
        </w:rPr>
        <w:t xml:space="preserve"> </w:t>
      </w:r>
      <w:r w:rsidR="00B56FD2">
        <w:rPr>
          <w:rFonts w:ascii="Arial" w:hAnsi="Arial" w:cs="Arial"/>
          <w:sz w:val="22"/>
          <w:szCs w:val="22"/>
          <w:lang w:val="en-US"/>
        </w:rPr>
        <w:t xml:space="preserve">UK policy and service-level matters </w:t>
      </w:r>
      <w:r w:rsidRPr="0053758B">
        <w:rPr>
          <w:rFonts w:ascii="Arial" w:hAnsi="Arial" w:cs="Arial"/>
          <w:sz w:val="22"/>
          <w:szCs w:val="22"/>
          <w:lang w:val="en-US"/>
        </w:rPr>
        <w:t xml:space="preserve">(Aveyard, 2023; Parkin and Long, 2024). </w:t>
      </w:r>
      <w:r w:rsidR="00B56FD2">
        <w:rPr>
          <w:rFonts w:ascii="Arial" w:hAnsi="Arial" w:cs="Arial"/>
          <w:sz w:val="22"/>
          <w:szCs w:val="22"/>
          <w:lang w:val="en-US"/>
        </w:rPr>
        <w:t>Combining these two sources helps address CAMHS access concerns from both perspectives</w:t>
      </w:r>
      <w:r w:rsidRPr="0053758B">
        <w:rPr>
          <w:rFonts w:ascii="Arial" w:hAnsi="Arial" w:cs="Arial"/>
          <w:sz w:val="22"/>
          <w:szCs w:val="22"/>
          <w:lang w:val="en-US"/>
        </w:rPr>
        <w:t xml:space="preserve"> (Children's Commissioner, 2024).</w:t>
      </w:r>
    </w:p>
    <w:tbl>
      <w:tblPr>
        <w:tblStyle w:val="TableGrid"/>
        <w:tblW w:w="0" w:type="auto"/>
        <w:tblLook w:val="04A0" w:firstRow="1" w:lastRow="0" w:firstColumn="1" w:lastColumn="0" w:noHBand="0" w:noVBand="1"/>
      </w:tblPr>
      <w:tblGrid>
        <w:gridCol w:w="559"/>
        <w:gridCol w:w="1543"/>
        <w:gridCol w:w="701"/>
        <w:gridCol w:w="4669"/>
        <w:gridCol w:w="1873"/>
      </w:tblGrid>
      <w:tr w:rsidR="00106C49" w14:paraId="57A28AF7" w14:textId="77777777" w:rsidTr="004059DD">
        <w:tc>
          <w:tcPr>
            <w:tcW w:w="559" w:type="dxa"/>
          </w:tcPr>
          <w:p w14:paraId="6C42066D" w14:textId="3FCBE25F"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No.</w:t>
            </w:r>
          </w:p>
        </w:tc>
        <w:tc>
          <w:tcPr>
            <w:tcW w:w="1543" w:type="dxa"/>
          </w:tcPr>
          <w:p w14:paraId="3BFD75B7" w14:textId="03BEF31F"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A</w:t>
            </w:r>
            <w:r w:rsidRPr="00106C49">
              <w:rPr>
                <w:rFonts w:ascii="Arial" w:hAnsi="Arial" w:cs="Arial"/>
                <w:b/>
                <w:bCs/>
                <w:sz w:val="20"/>
                <w:szCs w:val="20"/>
              </w:rPr>
              <w:t>uthor / Organisation</w:t>
            </w:r>
          </w:p>
        </w:tc>
        <w:tc>
          <w:tcPr>
            <w:tcW w:w="701" w:type="dxa"/>
          </w:tcPr>
          <w:p w14:paraId="0599B989" w14:textId="46132C70"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Year</w:t>
            </w:r>
          </w:p>
        </w:tc>
        <w:tc>
          <w:tcPr>
            <w:tcW w:w="4669" w:type="dxa"/>
          </w:tcPr>
          <w:p w14:paraId="756F7E41" w14:textId="5C32686C" w:rsidR="00106C49" w:rsidRPr="00106C49" w:rsidRDefault="00FB162D" w:rsidP="00106C49">
            <w:pPr>
              <w:spacing w:line="360" w:lineRule="auto"/>
              <w:rPr>
                <w:rFonts w:ascii="Arial" w:hAnsi="Arial" w:cs="Arial"/>
                <w:b/>
                <w:bCs/>
                <w:sz w:val="20"/>
                <w:szCs w:val="20"/>
                <w:lang w:val="en-US"/>
              </w:rPr>
            </w:pPr>
            <w:r w:rsidRPr="00FB162D">
              <w:rPr>
                <w:rFonts w:ascii="Arial" w:hAnsi="Arial" w:cs="Arial"/>
                <w:b/>
                <w:bCs/>
                <w:sz w:val="20"/>
                <w:szCs w:val="20"/>
              </w:rPr>
              <w:t>Main title of article</w:t>
            </w:r>
          </w:p>
        </w:tc>
        <w:tc>
          <w:tcPr>
            <w:tcW w:w="1873" w:type="dxa"/>
          </w:tcPr>
          <w:p w14:paraId="514B7A60" w14:textId="65612131" w:rsidR="00106C49" w:rsidRPr="00106C49" w:rsidRDefault="00FB162D" w:rsidP="00106C49">
            <w:pPr>
              <w:spacing w:line="360" w:lineRule="auto"/>
              <w:rPr>
                <w:rFonts w:ascii="Arial" w:hAnsi="Arial" w:cs="Arial"/>
                <w:b/>
                <w:bCs/>
                <w:sz w:val="20"/>
                <w:szCs w:val="20"/>
                <w:lang w:val="en-US"/>
              </w:rPr>
            </w:pPr>
            <w:r w:rsidRPr="00FB162D">
              <w:rPr>
                <w:rFonts w:ascii="Arial" w:hAnsi="Arial" w:cs="Arial"/>
                <w:b/>
                <w:bCs/>
                <w:sz w:val="20"/>
                <w:szCs w:val="20"/>
              </w:rPr>
              <w:t>Type of article</w:t>
            </w:r>
          </w:p>
        </w:tc>
      </w:tr>
      <w:tr w:rsidR="00106C49" w:rsidRPr="00FB162D" w14:paraId="3DAD2065" w14:textId="77777777" w:rsidTr="004059DD">
        <w:tc>
          <w:tcPr>
            <w:tcW w:w="559" w:type="dxa"/>
          </w:tcPr>
          <w:p w14:paraId="11BA1A9F" w14:textId="689C93CF"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lastRenderedPageBreak/>
              <w:t>1</w:t>
            </w:r>
          </w:p>
        </w:tc>
        <w:tc>
          <w:tcPr>
            <w:tcW w:w="1543" w:type="dxa"/>
          </w:tcPr>
          <w:p w14:paraId="2B9C0707" w14:textId="6EFC5E6B"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rPr>
              <w:t>Appleton et al.</w:t>
            </w:r>
          </w:p>
        </w:tc>
        <w:tc>
          <w:tcPr>
            <w:tcW w:w="701" w:type="dxa"/>
          </w:tcPr>
          <w:p w14:paraId="1BC6530A" w14:textId="514C9B8B" w:rsidR="00106C49" w:rsidRPr="004059DD" w:rsidRDefault="00106C49" w:rsidP="00106C49">
            <w:pPr>
              <w:spacing w:line="360" w:lineRule="auto"/>
              <w:rPr>
                <w:rFonts w:ascii="Arial" w:hAnsi="Arial" w:cs="Arial"/>
                <w:b/>
                <w:bCs/>
                <w:sz w:val="20"/>
                <w:szCs w:val="20"/>
              </w:rPr>
            </w:pPr>
            <w:r w:rsidRPr="000C0883">
              <w:rPr>
                <w:rFonts w:ascii="Arial" w:hAnsi="Arial" w:cs="Arial"/>
                <w:b/>
                <w:bCs/>
                <w:sz w:val="20"/>
                <w:szCs w:val="20"/>
                <w:lang w:val="en-US"/>
              </w:rPr>
              <w:t>202</w:t>
            </w:r>
            <w:r w:rsidR="004059DD">
              <w:rPr>
                <w:rFonts w:ascii="Arial" w:hAnsi="Arial" w:cs="Arial"/>
                <w:b/>
                <w:bCs/>
                <w:sz w:val="20"/>
                <w:szCs w:val="20"/>
              </w:rPr>
              <w:t>2</w:t>
            </w:r>
          </w:p>
        </w:tc>
        <w:tc>
          <w:tcPr>
            <w:tcW w:w="4669" w:type="dxa"/>
          </w:tcPr>
          <w:p w14:paraId="226C62A7" w14:textId="037779B3" w:rsidR="00106C49" w:rsidRPr="00FB162D" w:rsidRDefault="00FB162D" w:rsidP="00106C49">
            <w:pPr>
              <w:spacing w:line="360" w:lineRule="auto"/>
              <w:rPr>
                <w:rFonts w:ascii="Arial" w:hAnsi="Arial" w:cs="Arial"/>
                <w:sz w:val="20"/>
                <w:szCs w:val="20"/>
                <w:lang w:val="en-US"/>
              </w:rPr>
            </w:pPr>
            <w:r w:rsidRPr="00FB162D">
              <w:rPr>
                <w:rFonts w:ascii="Arial" w:hAnsi="Arial" w:cs="Arial"/>
                <w:sz w:val="20"/>
                <w:szCs w:val="20"/>
                <w:lang w:val="en-US"/>
              </w:rPr>
              <w:t>Young people who have fallen through the mental health transition gap: a qualitative study on primary care support</w:t>
            </w:r>
          </w:p>
        </w:tc>
        <w:tc>
          <w:tcPr>
            <w:tcW w:w="1873" w:type="dxa"/>
          </w:tcPr>
          <w:p w14:paraId="3311671A" w14:textId="2A174177" w:rsidR="00106C49" w:rsidRPr="000C0883" w:rsidRDefault="00FB162D" w:rsidP="00106C49">
            <w:pPr>
              <w:spacing w:line="360" w:lineRule="auto"/>
              <w:rPr>
                <w:rFonts w:ascii="Arial" w:hAnsi="Arial" w:cs="Arial"/>
                <w:sz w:val="20"/>
                <w:szCs w:val="20"/>
                <w:lang w:val="en-US"/>
              </w:rPr>
            </w:pPr>
            <w:r w:rsidRPr="00FB162D">
              <w:rPr>
                <w:rFonts w:ascii="Arial" w:hAnsi="Arial" w:cs="Arial"/>
                <w:sz w:val="20"/>
                <w:szCs w:val="20"/>
              </w:rPr>
              <w:t>Qualitative study</w:t>
            </w:r>
          </w:p>
        </w:tc>
      </w:tr>
      <w:tr w:rsidR="00106C49" w:rsidRPr="00437257" w14:paraId="115164FE" w14:textId="77777777" w:rsidTr="004059DD">
        <w:tc>
          <w:tcPr>
            <w:tcW w:w="559" w:type="dxa"/>
          </w:tcPr>
          <w:p w14:paraId="35C09543" w14:textId="59DF6535"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2</w:t>
            </w:r>
          </w:p>
        </w:tc>
        <w:tc>
          <w:tcPr>
            <w:tcW w:w="1543" w:type="dxa"/>
          </w:tcPr>
          <w:p w14:paraId="382B0BA0" w14:textId="0CAE63B0"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rPr>
              <w:t>Appleton et al.</w:t>
            </w:r>
          </w:p>
        </w:tc>
        <w:tc>
          <w:tcPr>
            <w:tcW w:w="701" w:type="dxa"/>
          </w:tcPr>
          <w:p w14:paraId="6669BC42" w14:textId="22E71758" w:rsidR="00106C49" w:rsidRPr="004059DD" w:rsidRDefault="00106C49" w:rsidP="00106C49">
            <w:pPr>
              <w:spacing w:line="360" w:lineRule="auto"/>
              <w:rPr>
                <w:rFonts w:ascii="Arial" w:hAnsi="Arial" w:cs="Arial"/>
                <w:b/>
                <w:bCs/>
                <w:sz w:val="20"/>
                <w:szCs w:val="20"/>
              </w:rPr>
            </w:pPr>
            <w:r w:rsidRPr="000C0883">
              <w:rPr>
                <w:rFonts w:ascii="Arial" w:hAnsi="Arial" w:cs="Arial"/>
                <w:b/>
                <w:bCs/>
                <w:sz w:val="20"/>
                <w:szCs w:val="20"/>
                <w:lang w:val="en-US"/>
              </w:rPr>
              <w:t>20</w:t>
            </w:r>
            <w:r w:rsidR="004059DD">
              <w:rPr>
                <w:rFonts w:ascii="Arial" w:hAnsi="Arial" w:cs="Arial"/>
                <w:b/>
                <w:bCs/>
                <w:sz w:val="20"/>
                <w:szCs w:val="20"/>
              </w:rPr>
              <w:t>20</w:t>
            </w:r>
          </w:p>
        </w:tc>
        <w:tc>
          <w:tcPr>
            <w:tcW w:w="4669" w:type="dxa"/>
          </w:tcPr>
          <w:p w14:paraId="01682698" w14:textId="6F288940"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lang w:val="en-US"/>
              </w:rPr>
              <w:t>New models of care in general practice for the youth mental health transition boundary</w:t>
            </w:r>
          </w:p>
        </w:tc>
        <w:tc>
          <w:tcPr>
            <w:tcW w:w="1873" w:type="dxa"/>
          </w:tcPr>
          <w:p w14:paraId="139D36F1" w14:textId="37B6CFDD" w:rsidR="00106C49" w:rsidRPr="000C0883" w:rsidRDefault="00FB162D" w:rsidP="00106C49">
            <w:pPr>
              <w:spacing w:line="360" w:lineRule="auto"/>
              <w:rPr>
                <w:rFonts w:ascii="Arial" w:hAnsi="Arial" w:cs="Arial"/>
                <w:sz w:val="20"/>
                <w:szCs w:val="20"/>
                <w:lang w:val="en-US"/>
              </w:rPr>
            </w:pPr>
            <w:r w:rsidRPr="00FB162D">
              <w:rPr>
                <w:rFonts w:ascii="Arial" w:hAnsi="Arial" w:cs="Arial"/>
                <w:sz w:val="20"/>
                <w:szCs w:val="20"/>
                <w:lang w:val="en-US"/>
              </w:rPr>
              <w:t>Peer-reviewed qualitative/service-model article</w:t>
            </w:r>
          </w:p>
        </w:tc>
      </w:tr>
      <w:tr w:rsidR="00106C49" w:rsidRPr="00437257" w14:paraId="0B0691AE" w14:textId="77777777" w:rsidTr="004059DD">
        <w:tc>
          <w:tcPr>
            <w:tcW w:w="559" w:type="dxa"/>
          </w:tcPr>
          <w:p w14:paraId="7A9C0E0B" w14:textId="6A3A8981"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3</w:t>
            </w:r>
          </w:p>
        </w:tc>
        <w:tc>
          <w:tcPr>
            <w:tcW w:w="1543" w:type="dxa"/>
          </w:tcPr>
          <w:p w14:paraId="4FD3B32B" w14:textId="457D0D88"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rPr>
              <w:t>Reardon et al.</w:t>
            </w:r>
          </w:p>
        </w:tc>
        <w:tc>
          <w:tcPr>
            <w:tcW w:w="701" w:type="dxa"/>
          </w:tcPr>
          <w:p w14:paraId="078D61E6" w14:textId="63FCF560" w:rsidR="00106C49" w:rsidRPr="004059DD" w:rsidRDefault="00106C49" w:rsidP="00106C49">
            <w:pPr>
              <w:spacing w:line="360" w:lineRule="auto"/>
              <w:rPr>
                <w:rFonts w:ascii="Arial" w:hAnsi="Arial" w:cs="Arial"/>
                <w:b/>
                <w:bCs/>
                <w:sz w:val="20"/>
                <w:szCs w:val="20"/>
              </w:rPr>
            </w:pPr>
            <w:r w:rsidRPr="000C0883">
              <w:rPr>
                <w:rFonts w:ascii="Arial" w:hAnsi="Arial" w:cs="Arial"/>
                <w:b/>
                <w:bCs/>
                <w:sz w:val="20"/>
                <w:szCs w:val="20"/>
                <w:lang w:val="en-US"/>
              </w:rPr>
              <w:t>20</w:t>
            </w:r>
            <w:r w:rsidR="004059DD">
              <w:rPr>
                <w:rFonts w:ascii="Arial" w:hAnsi="Arial" w:cs="Arial"/>
                <w:b/>
                <w:bCs/>
                <w:sz w:val="20"/>
                <w:szCs w:val="20"/>
              </w:rPr>
              <w:t>17</w:t>
            </w:r>
          </w:p>
        </w:tc>
        <w:tc>
          <w:tcPr>
            <w:tcW w:w="4669" w:type="dxa"/>
          </w:tcPr>
          <w:p w14:paraId="55F16FE6" w14:textId="603721A5"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lang w:val="en-US"/>
              </w:rPr>
              <w:t>What do parents perceive are the barriers and facilitators to accessing psychological treatment for mental health problems in children and adolescents?</w:t>
            </w:r>
          </w:p>
        </w:tc>
        <w:tc>
          <w:tcPr>
            <w:tcW w:w="1873" w:type="dxa"/>
          </w:tcPr>
          <w:p w14:paraId="2A5E9F00" w14:textId="06798A10"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lang w:val="en-US"/>
              </w:rPr>
              <w:t>Systematic review and narrative synthesis</w:t>
            </w:r>
          </w:p>
        </w:tc>
      </w:tr>
      <w:tr w:rsidR="00106C49" w:rsidRPr="00503E71" w14:paraId="4B86323A" w14:textId="77777777" w:rsidTr="004059DD">
        <w:tc>
          <w:tcPr>
            <w:tcW w:w="559" w:type="dxa"/>
          </w:tcPr>
          <w:p w14:paraId="160F690D" w14:textId="62B9FF3D"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4</w:t>
            </w:r>
          </w:p>
        </w:tc>
        <w:tc>
          <w:tcPr>
            <w:tcW w:w="1543" w:type="dxa"/>
          </w:tcPr>
          <w:p w14:paraId="683DCAF9" w14:textId="12D6AE2F" w:rsidR="00106C49" w:rsidRPr="00106C49" w:rsidRDefault="00106C49" w:rsidP="00106C49">
            <w:pPr>
              <w:spacing w:line="360" w:lineRule="auto"/>
              <w:rPr>
                <w:rFonts w:ascii="Arial" w:hAnsi="Arial" w:cs="Arial"/>
                <w:sz w:val="20"/>
                <w:szCs w:val="20"/>
                <w:lang w:val="en-US"/>
              </w:rPr>
            </w:pPr>
            <w:r w:rsidRPr="00106C49">
              <w:rPr>
                <w:rFonts w:ascii="Arial" w:hAnsi="Arial" w:cs="Arial"/>
                <w:sz w:val="20"/>
                <w:szCs w:val="20"/>
              </w:rPr>
              <w:t>Radez et al.</w:t>
            </w:r>
          </w:p>
        </w:tc>
        <w:tc>
          <w:tcPr>
            <w:tcW w:w="701" w:type="dxa"/>
          </w:tcPr>
          <w:p w14:paraId="25A09597" w14:textId="6F9FF4AF" w:rsidR="00106C49" w:rsidRPr="000C0883" w:rsidRDefault="00106C49" w:rsidP="00106C49">
            <w:pPr>
              <w:spacing w:line="360" w:lineRule="auto"/>
              <w:rPr>
                <w:rFonts w:ascii="Arial" w:hAnsi="Arial" w:cs="Arial"/>
                <w:b/>
                <w:bCs/>
                <w:sz w:val="20"/>
                <w:szCs w:val="20"/>
                <w:lang w:val="en-US"/>
              </w:rPr>
            </w:pPr>
            <w:r w:rsidRPr="000C0883">
              <w:rPr>
                <w:rFonts w:ascii="Arial" w:hAnsi="Arial" w:cs="Arial"/>
                <w:b/>
                <w:bCs/>
                <w:sz w:val="20"/>
                <w:szCs w:val="20"/>
                <w:lang w:val="en-US"/>
              </w:rPr>
              <w:t>2021</w:t>
            </w:r>
          </w:p>
        </w:tc>
        <w:tc>
          <w:tcPr>
            <w:tcW w:w="4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B162D" w:rsidRPr="00FB162D" w14:paraId="44B8E65A" w14:textId="77777777">
              <w:trPr>
                <w:tblCellSpacing w:w="15" w:type="dxa"/>
              </w:trPr>
              <w:tc>
                <w:tcPr>
                  <w:tcW w:w="0" w:type="auto"/>
                  <w:vAlign w:val="center"/>
                  <w:hideMark/>
                </w:tcPr>
                <w:p w14:paraId="105269FE" w14:textId="77777777" w:rsidR="00FB162D" w:rsidRPr="00FB162D" w:rsidRDefault="00FB162D" w:rsidP="00FB162D">
                  <w:pPr>
                    <w:spacing w:after="0" w:line="360" w:lineRule="auto"/>
                    <w:rPr>
                      <w:rFonts w:ascii="Arial" w:hAnsi="Arial" w:cs="Arial"/>
                      <w:sz w:val="20"/>
                      <w:szCs w:val="20"/>
                    </w:rPr>
                  </w:pPr>
                </w:p>
              </w:tc>
            </w:tr>
          </w:tbl>
          <w:p w14:paraId="0469E390" w14:textId="77777777" w:rsidR="00FB162D" w:rsidRPr="00FB162D" w:rsidRDefault="00FB162D" w:rsidP="00FB162D">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3"/>
            </w:tblGrid>
            <w:tr w:rsidR="00FB162D" w:rsidRPr="00437257" w14:paraId="1055C0DD" w14:textId="77777777">
              <w:trPr>
                <w:tblCellSpacing w:w="15" w:type="dxa"/>
              </w:trPr>
              <w:tc>
                <w:tcPr>
                  <w:tcW w:w="0" w:type="auto"/>
                  <w:vAlign w:val="center"/>
                  <w:hideMark/>
                </w:tcPr>
                <w:p w14:paraId="6D4BCF1F" w14:textId="77777777" w:rsidR="00FB162D" w:rsidRPr="00FB162D" w:rsidRDefault="00FB162D" w:rsidP="00FB162D">
                  <w:pPr>
                    <w:spacing w:after="0" w:line="360" w:lineRule="auto"/>
                    <w:rPr>
                      <w:rFonts w:ascii="Arial" w:hAnsi="Arial" w:cs="Arial"/>
                      <w:sz w:val="20"/>
                      <w:szCs w:val="20"/>
                      <w:lang w:val="en-US"/>
                    </w:rPr>
                  </w:pPr>
                  <w:r w:rsidRPr="00FB162D">
                    <w:rPr>
                      <w:rFonts w:ascii="Arial" w:hAnsi="Arial" w:cs="Arial"/>
                      <w:sz w:val="20"/>
                      <w:szCs w:val="20"/>
                      <w:lang w:val="en-US"/>
                    </w:rPr>
                    <w:t>Why do children and adolescents (not) seek and access professional help for their mental health problems?</w:t>
                  </w:r>
                </w:p>
              </w:tc>
            </w:tr>
          </w:tbl>
          <w:p w14:paraId="1C97813F" w14:textId="72168A7F" w:rsidR="00106C49" w:rsidRPr="00106C49" w:rsidRDefault="00106C49" w:rsidP="00106C49">
            <w:pPr>
              <w:spacing w:line="360" w:lineRule="auto"/>
              <w:rPr>
                <w:rFonts w:ascii="Arial" w:hAnsi="Arial" w:cs="Arial"/>
                <w:sz w:val="20"/>
                <w:szCs w:val="20"/>
                <w:lang w:val="en-US"/>
              </w:rPr>
            </w:pPr>
          </w:p>
        </w:tc>
        <w:tc>
          <w:tcPr>
            <w:tcW w:w="1873" w:type="dxa"/>
          </w:tcPr>
          <w:p w14:paraId="7B461AFC" w14:textId="2FF6DED3"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rPr>
              <w:t>Systematic review</w:t>
            </w:r>
          </w:p>
        </w:tc>
      </w:tr>
      <w:tr w:rsidR="00106C49" w:rsidRPr="00503E71" w14:paraId="7223A124" w14:textId="77777777" w:rsidTr="004059DD">
        <w:tc>
          <w:tcPr>
            <w:tcW w:w="559" w:type="dxa"/>
          </w:tcPr>
          <w:p w14:paraId="7641BE7F" w14:textId="1481BE26"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5</w:t>
            </w:r>
          </w:p>
        </w:tc>
        <w:tc>
          <w:tcPr>
            <w:tcW w:w="15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B162D" w:rsidRPr="00FB162D" w14:paraId="245D2BB8" w14:textId="77777777">
              <w:trPr>
                <w:tblCellSpacing w:w="15" w:type="dxa"/>
              </w:trPr>
              <w:tc>
                <w:tcPr>
                  <w:tcW w:w="0" w:type="auto"/>
                  <w:vAlign w:val="center"/>
                  <w:hideMark/>
                </w:tcPr>
                <w:p w14:paraId="35F8C9A9" w14:textId="77777777" w:rsidR="00FB162D" w:rsidRPr="00FB162D" w:rsidRDefault="00FB162D" w:rsidP="00FB162D">
                  <w:pPr>
                    <w:spacing w:after="0" w:line="360" w:lineRule="auto"/>
                    <w:rPr>
                      <w:rFonts w:ascii="Arial" w:hAnsi="Arial" w:cs="Arial"/>
                      <w:sz w:val="20"/>
                      <w:szCs w:val="20"/>
                    </w:rPr>
                  </w:pPr>
                </w:p>
              </w:tc>
            </w:tr>
          </w:tbl>
          <w:p w14:paraId="2562E4B9" w14:textId="77777777" w:rsidR="00FB162D" w:rsidRPr="00FB162D" w:rsidRDefault="00FB162D" w:rsidP="00FB162D">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8"/>
            </w:tblGrid>
            <w:tr w:rsidR="00FB162D" w:rsidRPr="00FB162D" w14:paraId="73C2D521" w14:textId="77777777">
              <w:trPr>
                <w:tblCellSpacing w:w="15" w:type="dxa"/>
              </w:trPr>
              <w:tc>
                <w:tcPr>
                  <w:tcW w:w="0" w:type="auto"/>
                  <w:vAlign w:val="center"/>
                  <w:hideMark/>
                </w:tcPr>
                <w:p w14:paraId="5DED4D7E" w14:textId="77777777" w:rsidR="00FB162D" w:rsidRPr="00FB162D" w:rsidRDefault="00FB162D" w:rsidP="00FB162D">
                  <w:pPr>
                    <w:spacing w:after="0" w:line="360" w:lineRule="auto"/>
                    <w:rPr>
                      <w:rFonts w:ascii="Arial" w:hAnsi="Arial" w:cs="Arial"/>
                      <w:sz w:val="20"/>
                      <w:szCs w:val="20"/>
                    </w:rPr>
                  </w:pPr>
                  <w:r w:rsidRPr="00FB162D">
                    <w:rPr>
                      <w:rFonts w:ascii="Arial" w:hAnsi="Arial" w:cs="Arial"/>
                      <w:sz w:val="20"/>
                      <w:szCs w:val="20"/>
                    </w:rPr>
                    <w:t>Radez et al.</w:t>
                  </w:r>
                </w:p>
              </w:tc>
            </w:tr>
          </w:tbl>
          <w:p w14:paraId="53360FC3" w14:textId="55018283" w:rsidR="00106C49" w:rsidRPr="00106C49" w:rsidRDefault="00106C49" w:rsidP="00106C49">
            <w:pPr>
              <w:spacing w:line="360" w:lineRule="auto"/>
              <w:rPr>
                <w:rFonts w:ascii="Arial" w:hAnsi="Arial" w:cs="Arial"/>
                <w:sz w:val="20"/>
                <w:szCs w:val="20"/>
                <w:lang w:val="en-US"/>
              </w:rPr>
            </w:pPr>
          </w:p>
        </w:tc>
        <w:tc>
          <w:tcPr>
            <w:tcW w:w="701" w:type="dxa"/>
          </w:tcPr>
          <w:p w14:paraId="5C078EF8" w14:textId="1F2C2E53" w:rsidR="00106C49" w:rsidRPr="000C0883" w:rsidRDefault="00106C49" w:rsidP="00106C49">
            <w:pPr>
              <w:spacing w:line="360" w:lineRule="auto"/>
              <w:rPr>
                <w:rFonts w:ascii="Arial" w:hAnsi="Arial" w:cs="Arial"/>
                <w:b/>
                <w:bCs/>
                <w:sz w:val="20"/>
                <w:szCs w:val="20"/>
                <w:lang w:val="en-US"/>
              </w:rPr>
            </w:pPr>
            <w:r w:rsidRPr="000C0883">
              <w:rPr>
                <w:rFonts w:ascii="Arial" w:hAnsi="Arial" w:cs="Arial"/>
                <w:b/>
                <w:bCs/>
                <w:sz w:val="20"/>
                <w:szCs w:val="20"/>
                <w:lang w:val="en-US"/>
              </w:rPr>
              <w:t>2022</w:t>
            </w:r>
          </w:p>
        </w:tc>
        <w:tc>
          <w:tcPr>
            <w:tcW w:w="4669" w:type="dxa"/>
          </w:tcPr>
          <w:p w14:paraId="2904A5D9" w14:textId="4BB33271"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lang w:val="en-US"/>
              </w:rPr>
              <w:t>Adolescents’ perceived barriers and facilitators to seeking and accessing professional help for anxiety and depressive disorders</w:t>
            </w:r>
          </w:p>
        </w:tc>
        <w:tc>
          <w:tcPr>
            <w:tcW w:w="1873" w:type="dxa"/>
          </w:tcPr>
          <w:p w14:paraId="325B42EF" w14:textId="02E6C62F"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rPr>
              <w:t>Qualitative interview study</w:t>
            </w:r>
          </w:p>
        </w:tc>
      </w:tr>
      <w:tr w:rsidR="00106C49" w:rsidRPr="00FB162D" w14:paraId="393EACD4" w14:textId="77777777" w:rsidTr="004059DD">
        <w:tc>
          <w:tcPr>
            <w:tcW w:w="559" w:type="dxa"/>
          </w:tcPr>
          <w:p w14:paraId="5BE9C582" w14:textId="50687C5D"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6</w:t>
            </w:r>
          </w:p>
        </w:tc>
        <w:tc>
          <w:tcPr>
            <w:tcW w:w="154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06C49" w:rsidRPr="00106C49" w14:paraId="49A7D767" w14:textId="77777777">
              <w:trPr>
                <w:tblCellSpacing w:w="15" w:type="dxa"/>
              </w:trPr>
              <w:tc>
                <w:tcPr>
                  <w:tcW w:w="0" w:type="auto"/>
                  <w:vAlign w:val="center"/>
                  <w:hideMark/>
                </w:tcPr>
                <w:p w14:paraId="299163A1" w14:textId="77777777" w:rsidR="00106C49" w:rsidRPr="00106C49" w:rsidRDefault="00106C49" w:rsidP="00106C49">
                  <w:pPr>
                    <w:spacing w:after="0" w:line="360" w:lineRule="auto"/>
                    <w:rPr>
                      <w:rFonts w:ascii="Arial" w:hAnsi="Arial" w:cs="Arial"/>
                      <w:sz w:val="20"/>
                      <w:szCs w:val="20"/>
                    </w:rPr>
                  </w:pPr>
                </w:p>
              </w:tc>
            </w:tr>
          </w:tbl>
          <w:p w14:paraId="46FF61EF" w14:textId="69EE59BD" w:rsidR="00106C49" w:rsidRPr="00106C49" w:rsidRDefault="00FB162D" w:rsidP="00106C49">
            <w:pPr>
              <w:spacing w:line="360" w:lineRule="auto"/>
              <w:rPr>
                <w:rFonts w:ascii="Arial" w:hAnsi="Arial" w:cs="Arial"/>
                <w:vanish/>
                <w:sz w:val="20"/>
                <w:szCs w:val="20"/>
              </w:rPr>
            </w:pPr>
            <w:r w:rsidRPr="00FB162D">
              <w:rPr>
                <w:rFonts w:ascii="Arial" w:hAnsi="Arial" w:cs="Arial"/>
                <w:sz w:val="20"/>
                <w:szCs w:val="20"/>
              </w:rPr>
              <w:t>Gulliver et al.</w:t>
            </w:r>
          </w:p>
          <w:p w14:paraId="324AE791" w14:textId="77777777" w:rsidR="00106C49" w:rsidRPr="00106C49" w:rsidRDefault="00106C49" w:rsidP="00106C49">
            <w:pPr>
              <w:spacing w:line="360" w:lineRule="auto"/>
              <w:rPr>
                <w:rFonts w:ascii="Arial" w:hAnsi="Arial" w:cs="Arial"/>
                <w:sz w:val="20"/>
                <w:szCs w:val="20"/>
                <w:lang w:val="en-US"/>
              </w:rPr>
            </w:pPr>
          </w:p>
        </w:tc>
        <w:tc>
          <w:tcPr>
            <w:tcW w:w="701" w:type="dxa"/>
          </w:tcPr>
          <w:p w14:paraId="7EA26942" w14:textId="0CD2E54C" w:rsidR="00106C49" w:rsidRPr="000C0883" w:rsidRDefault="00106C49" w:rsidP="00106C49">
            <w:pPr>
              <w:spacing w:line="360" w:lineRule="auto"/>
              <w:rPr>
                <w:rFonts w:ascii="Arial" w:hAnsi="Arial" w:cs="Arial"/>
                <w:b/>
                <w:bCs/>
                <w:sz w:val="20"/>
                <w:szCs w:val="20"/>
                <w:lang w:val="en-US"/>
              </w:rPr>
            </w:pPr>
            <w:r w:rsidRPr="000C0883">
              <w:rPr>
                <w:rFonts w:ascii="Arial" w:hAnsi="Arial" w:cs="Arial"/>
                <w:b/>
                <w:bCs/>
                <w:sz w:val="20"/>
                <w:szCs w:val="20"/>
                <w:lang w:val="en-US"/>
              </w:rPr>
              <w:t>2020</w:t>
            </w:r>
          </w:p>
        </w:tc>
        <w:tc>
          <w:tcPr>
            <w:tcW w:w="4669" w:type="dxa"/>
          </w:tcPr>
          <w:p w14:paraId="37AD0309" w14:textId="20BFF5B7" w:rsidR="00106C49" w:rsidRPr="00FB162D" w:rsidRDefault="00FB162D" w:rsidP="00106C49">
            <w:pPr>
              <w:spacing w:line="360" w:lineRule="auto"/>
              <w:rPr>
                <w:rFonts w:ascii="Arial" w:hAnsi="Arial" w:cs="Arial"/>
                <w:sz w:val="20"/>
                <w:szCs w:val="20"/>
                <w:lang w:val="en-US"/>
              </w:rPr>
            </w:pPr>
            <w:r w:rsidRPr="00FB162D">
              <w:rPr>
                <w:rFonts w:ascii="Arial" w:hAnsi="Arial" w:cs="Arial"/>
                <w:sz w:val="20"/>
                <w:szCs w:val="20"/>
                <w:lang w:val="en-US"/>
              </w:rPr>
              <w:t>Perceived barriers and facilitators to mental health help-seeking in young people</w:t>
            </w:r>
          </w:p>
        </w:tc>
        <w:tc>
          <w:tcPr>
            <w:tcW w:w="1873" w:type="dxa"/>
          </w:tcPr>
          <w:p w14:paraId="035A4611" w14:textId="7779BA1B"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rPr>
              <w:t>Systematic review</w:t>
            </w:r>
          </w:p>
        </w:tc>
      </w:tr>
      <w:tr w:rsidR="00106C49" w:rsidRPr="00503E71" w14:paraId="31E86BEE" w14:textId="77777777" w:rsidTr="004059DD">
        <w:tc>
          <w:tcPr>
            <w:tcW w:w="559" w:type="dxa"/>
          </w:tcPr>
          <w:p w14:paraId="347912C3" w14:textId="5377DD57"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7</w:t>
            </w:r>
          </w:p>
        </w:tc>
        <w:tc>
          <w:tcPr>
            <w:tcW w:w="1543" w:type="dxa"/>
          </w:tcPr>
          <w:p w14:paraId="23D1A333" w14:textId="3503B5D1" w:rsidR="00106C49" w:rsidRPr="00106C49" w:rsidRDefault="004059DD" w:rsidP="00106C49">
            <w:pPr>
              <w:spacing w:line="360" w:lineRule="auto"/>
              <w:rPr>
                <w:rFonts w:ascii="Arial" w:hAnsi="Arial" w:cs="Arial"/>
                <w:sz w:val="20"/>
                <w:szCs w:val="20"/>
                <w:lang w:val="en-US"/>
              </w:rPr>
            </w:pPr>
            <w:r w:rsidRPr="004059DD">
              <w:rPr>
                <w:rFonts w:ascii="Arial" w:hAnsi="Arial" w:cs="Arial"/>
                <w:sz w:val="20"/>
                <w:szCs w:val="20"/>
              </w:rPr>
              <w:t>Bellis et al.</w:t>
            </w:r>
          </w:p>
        </w:tc>
        <w:tc>
          <w:tcPr>
            <w:tcW w:w="701" w:type="dxa"/>
          </w:tcPr>
          <w:p w14:paraId="3C6EA5A2" w14:textId="73171815" w:rsidR="00106C49" w:rsidRPr="000C0883" w:rsidRDefault="00106C49" w:rsidP="00106C49">
            <w:pPr>
              <w:spacing w:line="360" w:lineRule="auto"/>
              <w:rPr>
                <w:rFonts w:ascii="Arial" w:hAnsi="Arial" w:cs="Arial"/>
                <w:b/>
                <w:bCs/>
                <w:sz w:val="20"/>
                <w:szCs w:val="20"/>
                <w:lang w:val="en-US"/>
              </w:rPr>
            </w:pPr>
            <w:r w:rsidRPr="000C0883">
              <w:rPr>
                <w:rFonts w:ascii="Arial" w:hAnsi="Arial" w:cs="Arial"/>
                <w:b/>
                <w:bCs/>
                <w:sz w:val="20"/>
                <w:szCs w:val="20"/>
                <w:lang w:val="en-US"/>
              </w:rPr>
              <w:t>2017</w:t>
            </w:r>
          </w:p>
        </w:tc>
        <w:tc>
          <w:tcPr>
            <w:tcW w:w="4669" w:type="dxa"/>
          </w:tcPr>
          <w:p w14:paraId="7BD503FA" w14:textId="7370847F"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lang w:val="en-US"/>
              </w:rPr>
              <w:t>National household survey of adverse childhood experiences and their relationship with resilience to health-harming behaviours in England</w:t>
            </w:r>
          </w:p>
        </w:tc>
        <w:tc>
          <w:tcPr>
            <w:tcW w:w="1873" w:type="dxa"/>
          </w:tcPr>
          <w:p w14:paraId="36067CA4" w14:textId="251627E4" w:rsidR="00106C49" w:rsidRPr="00106C49" w:rsidRDefault="00FB162D" w:rsidP="00106C49">
            <w:pPr>
              <w:spacing w:line="360" w:lineRule="auto"/>
              <w:rPr>
                <w:rFonts w:ascii="Arial" w:hAnsi="Arial" w:cs="Arial"/>
                <w:sz w:val="20"/>
                <w:szCs w:val="20"/>
                <w:lang w:val="en-US"/>
              </w:rPr>
            </w:pPr>
            <w:r w:rsidRPr="00FB162D">
              <w:rPr>
                <w:rFonts w:ascii="Arial" w:hAnsi="Arial" w:cs="Arial"/>
                <w:sz w:val="20"/>
                <w:szCs w:val="20"/>
              </w:rPr>
              <w:t xml:space="preserve">Research </w:t>
            </w:r>
            <w:r w:rsidR="00B56FD2">
              <w:rPr>
                <w:rFonts w:ascii="Arial" w:hAnsi="Arial" w:cs="Arial"/>
                <w:sz w:val="20"/>
                <w:szCs w:val="20"/>
              </w:rPr>
              <w:t>article/survey</w:t>
            </w:r>
            <w:r w:rsidRPr="00FB162D">
              <w:rPr>
                <w:rFonts w:ascii="Arial" w:hAnsi="Arial" w:cs="Arial"/>
                <w:sz w:val="20"/>
                <w:szCs w:val="20"/>
              </w:rPr>
              <w:t xml:space="preserve"> study</w:t>
            </w:r>
          </w:p>
        </w:tc>
      </w:tr>
      <w:tr w:rsidR="00106C49" w:rsidRPr="004059DD" w14:paraId="3C2DB7E5" w14:textId="77777777" w:rsidTr="004059DD">
        <w:tc>
          <w:tcPr>
            <w:tcW w:w="559" w:type="dxa"/>
          </w:tcPr>
          <w:p w14:paraId="3C8166D2" w14:textId="38733F7A"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8</w:t>
            </w:r>
          </w:p>
        </w:tc>
        <w:tc>
          <w:tcPr>
            <w:tcW w:w="1543" w:type="dxa"/>
          </w:tcPr>
          <w:p w14:paraId="4B526C91" w14:textId="3C631CD2" w:rsidR="00106C49" w:rsidRPr="00106C49" w:rsidRDefault="004059DD" w:rsidP="00106C49">
            <w:pPr>
              <w:spacing w:line="360" w:lineRule="auto"/>
              <w:rPr>
                <w:rFonts w:ascii="Arial" w:hAnsi="Arial" w:cs="Arial"/>
                <w:sz w:val="20"/>
                <w:szCs w:val="20"/>
                <w:lang w:val="en-US"/>
              </w:rPr>
            </w:pPr>
            <w:r w:rsidRPr="004059DD">
              <w:rPr>
                <w:rFonts w:ascii="Arial" w:hAnsi="Arial" w:cs="Arial"/>
                <w:sz w:val="20"/>
                <w:szCs w:val="20"/>
              </w:rPr>
              <w:t>Sayal et al.</w:t>
            </w:r>
          </w:p>
        </w:tc>
        <w:tc>
          <w:tcPr>
            <w:tcW w:w="701" w:type="dxa"/>
          </w:tcPr>
          <w:p w14:paraId="341BCE31" w14:textId="7D63CD8F" w:rsidR="00106C49" w:rsidRPr="000C0883" w:rsidRDefault="00106C49" w:rsidP="00106C49">
            <w:pPr>
              <w:spacing w:line="360" w:lineRule="auto"/>
              <w:rPr>
                <w:rFonts w:ascii="Arial" w:hAnsi="Arial" w:cs="Arial"/>
                <w:b/>
                <w:bCs/>
                <w:sz w:val="20"/>
                <w:szCs w:val="20"/>
                <w:lang w:val="en-US"/>
              </w:rPr>
            </w:pPr>
            <w:r w:rsidRPr="000C0883">
              <w:rPr>
                <w:rFonts w:ascii="Arial" w:hAnsi="Arial" w:cs="Arial"/>
                <w:b/>
                <w:bCs/>
                <w:sz w:val="20"/>
                <w:szCs w:val="20"/>
                <w:lang w:val="en-US"/>
              </w:rPr>
              <w:t>2019</w:t>
            </w:r>
          </w:p>
        </w:tc>
        <w:tc>
          <w:tcPr>
            <w:tcW w:w="4669" w:type="dxa"/>
          </w:tcPr>
          <w:p w14:paraId="29C20DA3" w14:textId="5BF77B0F" w:rsidR="00106C49" w:rsidRPr="004059DD" w:rsidRDefault="004059DD" w:rsidP="00106C49">
            <w:pPr>
              <w:spacing w:line="360" w:lineRule="auto"/>
              <w:rPr>
                <w:rFonts w:ascii="Arial" w:hAnsi="Arial" w:cs="Arial"/>
                <w:sz w:val="20"/>
                <w:szCs w:val="20"/>
                <w:lang w:val="en-US"/>
              </w:rPr>
            </w:pPr>
            <w:r w:rsidRPr="004059DD">
              <w:rPr>
                <w:rFonts w:ascii="Arial" w:hAnsi="Arial" w:cs="Arial"/>
                <w:sz w:val="20"/>
                <w:szCs w:val="20"/>
                <w:lang w:val="en-US"/>
              </w:rPr>
              <w:t>Parental help-seeking in primary care for child and adolescent mental health concerns</w:t>
            </w:r>
          </w:p>
        </w:tc>
        <w:tc>
          <w:tcPr>
            <w:tcW w:w="1873" w:type="dxa"/>
          </w:tcPr>
          <w:p w14:paraId="1491E5E8" w14:textId="572DE5AE" w:rsidR="00106C49" w:rsidRPr="00106C49" w:rsidRDefault="004059DD" w:rsidP="00106C49">
            <w:pPr>
              <w:spacing w:line="360" w:lineRule="auto"/>
              <w:rPr>
                <w:rFonts w:ascii="Arial" w:hAnsi="Arial" w:cs="Arial"/>
                <w:sz w:val="20"/>
                <w:szCs w:val="20"/>
                <w:lang w:val="en-US"/>
              </w:rPr>
            </w:pPr>
            <w:r w:rsidRPr="004059DD">
              <w:rPr>
                <w:rFonts w:ascii="Arial" w:hAnsi="Arial" w:cs="Arial"/>
                <w:sz w:val="20"/>
                <w:szCs w:val="20"/>
              </w:rPr>
              <w:t>Qualitative study</w:t>
            </w:r>
          </w:p>
        </w:tc>
      </w:tr>
      <w:tr w:rsidR="00106C49" w:rsidRPr="00503E71" w14:paraId="0A4D4E59" w14:textId="77777777" w:rsidTr="004059DD">
        <w:tc>
          <w:tcPr>
            <w:tcW w:w="559" w:type="dxa"/>
          </w:tcPr>
          <w:p w14:paraId="40F49206" w14:textId="3857023D"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9</w:t>
            </w:r>
          </w:p>
        </w:tc>
        <w:tc>
          <w:tcPr>
            <w:tcW w:w="1543" w:type="dxa"/>
          </w:tcPr>
          <w:p w14:paraId="0192D51D" w14:textId="68529337" w:rsidR="00106C49" w:rsidRPr="00106C49" w:rsidRDefault="004059DD" w:rsidP="00106C49">
            <w:pPr>
              <w:spacing w:line="360" w:lineRule="auto"/>
              <w:rPr>
                <w:rFonts w:ascii="Arial" w:hAnsi="Arial" w:cs="Arial"/>
                <w:sz w:val="20"/>
                <w:szCs w:val="20"/>
                <w:lang w:val="en-US"/>
              </w:rPr>
            </w:pPr>
            <w:r w:rsidRPr="004059DD">
              <w:rPr>
                <w:rFonts w:ascii="Arial" w:hAnsi="Arial" w:cs="Arial"/>
                <w:sz w:val="20"/>
                <w:szCs w:val="20"/>
              </w:rPr>
              <w:t>Crouch et al.</w:t>
            </w:r>
          </w:p>
        </w:tc>
        <w:tc>
          <w:tcPr>
            <w:tcW w:w="701" w:type="dxa"/>
          </w:tcPr>
          <w:p w14:paraId="79066058" w14:textId="0DDB7392" w:rsidR="00106C49" w:rsidRPr="004059DD" w:rsidRDefault="00106C49" w:rsidP="00106C49">
            <w:pPr>
              <w:spacing w:line="360" w:lineRule="auto"/>
              <w:rPr>
                <w:rFonts w:ascii="Arial" w:hAnsi="Arial" w:cs="Arial"/>
                <w:b/>
                <w:bCs/>
                <w:sz w:val="20"/>
                <w:szCs w:val="20"/>
              </w:rPr>
            </w:pPr>
            <w:r w:rsidRPr="000C0883">
              <w:rPr>
                <w:rFonts w:ascii="Arial" w:hAnsi="Arial" w:cs="Arial"/>
                <w:b/>
                <w:bCs/>
                <w:sz w:val="20"/>
                <w:szCs w:val="20"/>
                <w:lang w:val="en-US"/>
              </w:rPr>
              <w:t>20</w:t>
            </w:r>
            <w:r w:rsidR="004059DD">
              <w:rPr>
                <w:rFonts w:ascii="Arial" w:hAnsi="Arial" w:cs="Arial"/>
                <w:b/>
                <w:bCs/>
                <w:sz w:val="20"/>
                <w:szCs w:val="20"/>
              </w:rPr>
              <w:t>19</w:t>
            </w:r>
          </w:p>
        </w:tc>
        <w:tc>
          <w:tcPr>
            <w:tcW w:w="4669" w:type="dxa"/>
          </w:tcPr>
          <w:p w14:paraId="04AB139F" w14:textId="5E05257A" w:rsidR="00106C49" w:rsidRPr="00106C49" w:rsidRDefault="004059DD" w:rsidP="00106C49">
            <w:pPr>
              <w:spacing w:line="360" w:lineRule="auto"/>
              <w:rPr>
                <w:rFonts w:ascii="Arial" w:hAnsi="Arial" w:cs="Arial"/>
                <w:sz w:val="20"/>
                <w:szCs w:val="20"/>
                <w:lang w:val="en-US"/>
              </w:rPr>
            </w:pPr>
            <w:r w:rsidRPr="004059DD">
              <w:rPr>
                <w:rFonts w:ascii="Arial" w:hAnsi="Arial" w:cs="Arial"/>
                <w:sz w:val="20"/>
                <w:szCs w:val="20"/>
                <w:lang w:val="en-US"/>
              </w:rPr>
              <w:t>“Just keep pushing”: Parents’ experiences of accessing child and adolescent mental health services for child anxiety problems</w:t>
            </w:r>
            <w:r w:rsidR="00B56FD2">
              <w:rPr>
                <w:rFonts w:ascii="Arial" w:hAnsi="Arial" w:cs="Arial"/>
                <w:sz w:val="20"/>
                <w:szCs w:val="20"/>
                <w:lang w:val="en-US"/>
              </w:rPr>
              <w:t>.</w:t>
            </w:r>
          </w:p>
        </w:tc>
        <w:tc>
          <w:tcPr>
            <w:tcW w:w="1873" w:type="dxa"/>
          </w:tcPr>
          <w:p w14:paraId="321C7F53" w14:textId="426542AD" w:rsidR="00106C49" w:rsidRPr="00106C49" w:rsidRDefault="004059DD" w:rsidP="00106C49">
            <w:pPr>
              <w:spacing w:line="360" w:lineRule="auto"/>
              <w:rPr>
                <w:rFonts w:ascii="Arial" w:hAnsi="Arial" w:cs="Arial"/>
                <w:sz w:val="20"/>
                <w:szCs w:val="20"/>
                <w:lang w:val="en-US"/>
              </w:rPr>
            </w:pPr>
            <w:r w:rsidRPr="004059DD">
              <w:rPr>
                <w:rFonts w:ascii="Arial" w:hAnsi="Arial" w:cs="Arial"/>
                <w:sz w:val="20"/>
                <w:szCs w:val="20"/>
              </w:rPr>
              <w:t>Qualitative study</w:t>
            </w:r>
          </w:p>
        </w:tc>
      </w:tr>
      <w:tr w:rsidR="00106C49" w:rsidRPr="00503E71" w14:paraId="79C5CD9E" w14:textId="77777777" w:rsidTr="004059DD">
        <w:tc>
          <w:tcPr>
            <w:tcW w:w="559" w:type="dxa"/>
          </w:tcPr>
          <w:p w14:paraId="52C372D7" w14:textId="2AD3BD55" w:rsidR="00106C49" w:rsidRPr="00106C49" w:rsidRDefault="00106C49" w:rsidP="00106C49">
            <w:pPr>
              <w:spacing w:line="360" w:lineRule="auto"/>
              <w:rPr>
                <w:rFonts w:ascii="Arial" w:hAnsi="Arial" w:cs="Arial"/>
                <w:b/>
                <w:bCs/>
                <w:sz w:val="20"/>
                <w:szCs w:val="20"/>
                <w:lang w:val="en-US"/>
              </w:rPr>
            </w:pPr>
            <w:r w:rsidRPr="00106C49">
              <w:rPr>
                <w:rFonts w:ascii="Arial" w:hAnsi="Arial" w:cs="Arial"/>
                <w:b/>
                <w:bCs/>
                <w:sz w:val="20"/>
                <w:szCs w:val="20"/>
                <w:lang w:val="en-US"/>
              </w:rPr>
              <w:t>10</w:t>
            </w:r>
          </w:p>
        </w:tc>
        <w:tc>
          <w:tcPr>
            <w:tcW w:w="1543" w:type="dxa"/>
          </w:tcPr>
          <w:p w14:paraId="2F197906" w14:textId="4CFC654A" w:rsidR="00106C49" w:rsidRPr="00106C49" w:rsidRDefault="004059DD" w:rsidP="00106C49">
            <w:pPr>
              <w:spacing w:line="360" w:lineRule="auto"/>
              <w:rPr>
                <w:rFonts w:ascii="Arial" w:hAnsi="Arial" w:cs="Arial"/>
                <w:sz w:val="20"/>
                <w:szCs w:val="20"/>
                <w:lang w:val="en-US"/>
              </w:rPr>
            </w:pPr>
            <w:r w:rsidRPr="004059DD">
              <w:rPr>
                <w:rFonts w:ascii="Arial" w:hAnsi="Arial" w:cs="Arial"/>
                <w:sz w:val="20"/>
                <w:szCs w:val="20"/>
              </w:rPr>
              <w:t>Edbrooke-Childs and Deighton</w:t>
            </w:r>
          </w:p>
        </w:tc>
        <w:tc>
          <w:tcPr>
            <w:tcW w:w="701" w:type="dxa"/>
          </w:tcPr>
          <w:p w14:paraId="7F44A9A0" w14:textId="625143F6" w:rsidR="00106C49" w:rsidRPr="004059DD" w:rsidRDefault="00106C49" w:rsidP="00106C49">
            <w:pPr>
              <w:spacing w:line="360" w:lineRule="auto"/>
              <w:rPr>
                <w:rFonts w:ascii="Arial" w:hAnsi="Arial" w:cs="Arial"/>
                <w:b/>
                <w:bCs/>
                <w:sz w:val="20"/>
                <w:szCs w:val="20"/>
              </w:rPr>
            </w:pPr>
            <w:r w:rsidRPr="000C0883">
              <w:rPr>
                <w:rFonts w:ascii="Arial" w:hAnsi="Arial" w:cs="Arial"/>
                <w:b/>
                <w:bCs/>
                <w:sz w:val="20"/>
                <w:szCs w:val="20"/>
                <w:lang w:val="en-US"/>
              </w:rPr>
              <w:t>20</w:t>
            </w:r>
            <w:r w:rsidR="004059DD">
              <w:rPr>
                <w:rFonts w:ascii="Arial" w:hAnsi="Arial" w:cs="Arial"/>
                <w:b/>
                <w:bCs/>
                <w:sz w:val="20"/>
                <w:szCs w:val="20"/>
              </w:rPr>
              <w:t>20</w:t>
            </w:r>
          </w:p>
        </w:tc>
        <w:tc>
          <w:tcPr>
            <w:tcW w:w="4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059DD" w:rsidRPr="004059DD" w14:paraId="38038959" w14:textId="77777777">
              <w:trPr>
                <w:tblCellSpacing w:w="15" w:type="dxa"/>
              </w:trPr>
              <w:tc>
                <w:tcPr>
                  <w:tcW w:w="0" w:type="auto"/>
                  <w:vAlign w:val="center"/>
                  <w:hideMark/>
                </w:tcPr>
                <w:p w14:paraId="30E0B81A" w14:textId="77777777" w:rsidR="004059DD" w:rsidRPr="004059DD" w:rsidRDefault="004059DD" w:rsidP="004059DD">
                  <w:pPr>
                    <w:spacing w:after="0" w:line="360" w:lineRule="auto"/>
                    <w:rPr>
                      <w:rFonts w:ascii="Arial" w:hAnsi="Arial" w:cs="Arial"/>
                      <w:sz w:val="20"/>
                      <w:szCs w:val="20"/>
                    </w:rPr>
                  </w:pPr>
                </w:p>
              </w:tc>
            </w:tr>
          </w:tbl>
          <w:p w14:paraId="7AB8F53E" w14:textId="77777777" w:rsidR="004059DD" w:rsidRPr="004059DD" w:rsidRDefault="004059DD" w:rsidP="004059DD">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3"/>
            </w:tblGrid>
            <w:tr w:rsidR="004059DD" w:rsidRPr="00437257" w14:paraId="7428F262" w14:textId="77777777">
              <w:trPr>
                <w:tblCellSpacing w:w="15" w:type="dxa"/>
              </w:trPr>
              <w:tc>
                <w:tcPr>
                  <w:tcW w:w="0" w:type="auto"/>
                  <w:vAlign w:val="center"/>
                  <w:hideMark/>
                </w:tcPr>
                <w:p w14:paraId="24A54A87" w14:textId="1D54655B" w:rsidR="004059DD" w:rsidRPr="004059DD" w:rsidRDefault="004059DD" w:rsidP="004059DD">
                  <w:pPr>
                    <w:spacing w:after="0" w:line="360" w:lineRule="auto"/>
                    <w:rPr>
                      <w:rFonts w:ascii="Arial" w:hAnsi="Arial" w:cs="Arial"/>
                      <w:sz w:val="20"/>
                      <w:szCs w:val="20"/>
                      <w:lang w:val="en-US"/>
                    </w:rPr>
                  </w:pPr>
                  <w:r w:rsidRPr="004059DD">
                    <w:rPr>
                      <w:rFonts w:ascii="Arial" w:hAnsi="Arial" w:cs="Arial"/>
                      <w:sz w:val="20"/>
                      <w:szCs w:val="20"/>
                      <w:lang w:val="en-US"/>
                    </w:rPr>
                    <w:t xml:space="preserve">Problem severity and waiting times for young people </w:t>
                  </w:r>
                  <w:r w:rsidR="000F2650" w:rsidRPr="004059DD">
                    <w:rPr>
                      <w:rFonts w:ascii="Arial" w:hAnsi="Arial" w:cs="Arial"/>
                      <w:sz w:val="20"/>
                      <w:szCs w:val="20"/>
                      <w:lang w:val="en-US"/>
                    </w:rPr>
                    <w:t>to access</w:t>
                  </w:r>
                  <w:r w:rsidRPr="004059DD">
                    <w:rPr>
                      <w:rFonts w:ascii="Arial" w:hAnsi="Arial" w:cs="Arial"/>
                      <w:sz w:val="20"/>
                      <w:szCs w:val="20"/>
                      <w:lang w:val="en-US"/>
                    </w:rPr>
                    <w:t xml:space="preserve"> mental health services</w:t>
                  </w:r>
                </w:p>
              </w:tc>
            </w:tr>
          </w:tbl>
          <w:p w14:paraId="082C6626" w14:textId="77777777" w:rsidR="00106C49" w:rsidRPr="000F3A29" w:rsidRDefault="00106C49" w:rsidP="00106C49">
            <w:pPr>
              <w:spacing w:line="360" w:lineRule="auto"/>
              <w:rPr>
                <w:rFonts w:ascii="Arial" w:hAnsi="Arial" w:cs="Arial"/>
                <w:sz w:val="20"/>
                <w:szCs w:val="20"/>
                <w:lang w:val="en-GB"/>
              </w:rPr>
            </w:pPr>
          </w:p>
        </w:tc>
        <w:tc>
          <w:tcPr>
            <w:tcW w:w="1873" w:type="dxa"/>
          </w:tcPr>
          <w:p w14:paraId="2A577F92" w14:textId="53126DB5" w:rsidR="00106C49" w:rsidRPr="00106C49" w:rsidRDefault="004059DD" w:rsidP="00106C49">
            <w:pPr>
              <w:spacing w:line="360" w:lineRule="auto"/>
              <w:rPr>
                <w:rFonts w:ascii="Arial" w:hAnsi="Arial" w:cs="Arial"/>
                <w:sz w:val="20"/>
                <w:szCs w:val="20"/>
                <w:lang w:val="en-US"/>
              </w:rPr>
            </w:pPr>
            <w:r w:rsidRPr="004059DD">
              <w:rPr>
                <w:rFonts w:ascii="Arial" w:hAnsi="Arial" w:cs="Arial"/>
                <w:sz w:val="20"/>
                <w:szCs w:val="20"/>
              </w:rPr>
              <w:t>Quantitative service data study</w:t>
            </w:r>
          </w:p>
        </w:tc>
      </w:tr>
    </w:tbl>
    <w:p w14:paraId="26858B1E" w14:textId="77777777" w:rsidR="00106C49" w:rsidRDefault="00106C49" w:rsidP="00474666">
      <w:pPr>
        <w:spacing w:line="360" w:lineRule="auto"/>
        <w:jc w:val="both"/>
        <w:rPr>
          <w:rFonts w:ascii="Arial" w:hAnsi="Arial" w:cs="Arial"/>
          <w:sz w:val="22"/>
          <w:szCs w:val="22"/>
        </w:rPr>
      </w:pPr>
    </w:p>
    <w:p w14:paraId="0BA6CC84" w14:textId="77777777" w:rsidR="004059DD" w:rsidRDefault="004059DD" w:rsidP="00474666">
      <w:pPr>
        <w:spacing w:line="360" w:lineRule="auto"/>
        <w:jc w:val="both"/>
        <w:rPr>
          <w:rFonts w:ascii="Arial" w:hAnsi="Arial" w:cs="Arial"/>
          <w:sz w:val="22"/>
          <w:szCs w:val="22"/>
        </w:rPr>
      </w:pPr>
    </w:p>
    <w:p w14:paraId="44E0FE1A" w14:textId="77777777" w:rsidR="004059DD" w:rsidRDefault="004059DD" w:rsidP="00474666">
      <w:pPr>
        <w:spacing w:line="360" w:lineRule="auto"/>
        <w:jc w:val="both"/>
        <w:rPr>
          <w:rFonts w:ascii="Arial" w:hAnsi="Arial" w:cs="Arial"/>
          <w:sz w:val="22"/>
          <w:szCs w:val="22"/>
        </w:rPr>
      </w:pPr>
    </w:p>
    <w:p w14:paraId="3B76C437" w14:textId="77777777" w:rsidR="004059DD" w:rsidRDefault="004059DD" w:rsidP="00474666">
      <w:pPr>
        <w:spacing w:line="360" w:lineRule="auto"/>
        <w:jc w:val="both"/>
        <w:rPr>
          <w:rFonts w:ascii="Arial" w:hAnsi="Arial" w:cs="Arial"/>
          <w:sz w:val="22"/>
          <w:szCs w:val="22"/>
        </w:rPr>
      </w:pPr>
    </w:p>
    <w:p w14:paraId="377430C4" w14:textId="77777777" w:rsidR="004059DD" w:rsidRDefault="004059DD" w:rsidP="00474666">
      <w:pPr>
        <w:spacing w:line="360" w:lineRule="auto"/>
        <w:jc w:val="both"/>
        <w:rPr>
          <w:rFonts w:ascii="Arial" w:hAnsi="Arial" w:cs="Arial"/>
          <w:sz w:val="22"/>
          <w:szCs w:val="22"/>
        </w:rPr>
      </w:pPr>
    </w:p>
    <w:p w14:paraId="6822774B" w14:textId="77777777" w:rsidR="004059DD" w:rsidRPr="004059DD" w:rsidRDefault="004059DD" w:rsidP="00474666">
      <w:pPr>
        <w:spacing w:line="360" w:lineRule="auto"/>
        <w:jc w:val="both"/>
        <w:rPr>
          <w:rFonts w:ascii="Arial" w:hAnsi="Arial" w:cs="Arial"/>
          <w:sz w:val="22"/>
          <w:szCs w:val="22"/>
        </w:rPr>
      </w:pPr>
    </w:p>
    <w:p w14:paraId="077FA846" w14:textId="047650F1" w:rsidR="00474666" w:rsidRPr="00364982" w:rsidRDefault="00474666" w:rsidP="00364982">
      <w:pPr>
        <w:pStyle w:val="Heading2"/>
        <w:rPr>
          <w:rFonts w:ascii="Arial" w:hAnsi="Arial" w:cs="Arial"/>
          <w:sz w:val="22"/>
          <w:szCs w:val="22"/>
          <w:lang w:val="en-US"/>
        </w:rPr>
      </w:pPr>
      <w:bookmarkStart w:id="40" w:name="_Toc233629135"/>
      <w:r w:rsidRPr="00474666">
        <w:rPr>
          <w:lang w:val="en-US"/>
        </w:rPr>
        <w:t>4.3 Theme 1: Waiting Times and Delayed Access</w:t>
      </w:r>
      <w:bookmarkEnd w:id="40"/>
    </w:p>
    <w:p w14:paraId="476744D2" w14:textId="77777777" w:rsidR="00474666" w:rsidRPr="00474666" w:rsidRDefault="00474666" w:rsidP="00474666">
      <w:pPr>
        <w:spacing w:line="360" w:lineRule="auto"/>
        <w:jc w:val="both"/>
        <w:rPr>
          <w:rFonts w:ascii="Arial" w:hAnsi="Arial" w:cs="Arial"/>
          <w:sz w:val="22"/>
          <w:szCs w:val="22"/>
          <w:lang w:val="en-US"/>
        </w:rPr>
      </w:pPr>
    </w:p>
    <w:p w14:paraId="5FC7F963" w14:textId="23044CE1" w:rsidR="00474666" w:rsidRPr="00474666" w:rsidRDefault="00474666" w:rsidP="00474666">
      <w:pPr>
        <w:spacing w:line="360" w:lineRule="auto"/>
        <w:jc w:val="both"/>
        <w:rPr>
          <w:rFonts w:ascii="Arial" w:hAnsi="Arial" w:cs="Arial"/>
          <w:sz w:val="22"/>
          <w:szCs w:val="22"/>
          <w:lang w:val="en-US"/>
        </w:rPr>
      </w:pPr>
      <w:r w:rsidRPr="00474666">
        <w:rPr>
          <w:rFonts w:ascii="Arial" w:hAnsi="Arial" w:cs="Arial"/>
          <w:sz w:val="22"/>
          <w:szCs w:val="22"/>
          <w:lang w:val="en-US"/>
        </w:rPr>
        <w:lastRenderedPageBreak/>
        <w:t xml:space="preserve">One of the barriers to children and young people's mental health support is waiting time, which seems to be one of the most visible barriers in the selected literature. According to the Children's Commissioner, 270,300 children and young people in England were still waiting for mental health support after being referred in 2022-2023, including nearly 40,000 young people with waiting times of two years or more (Children's Commissioner, 2024). Thus, waiting </w:t>
      </w:r>
      <w:r w:rsidR="00B56FD2">
        <w:rPr>
          <w:rFonts w:ascii="Arial" w:hAnsi="Arial" w:cs="Arial"/>
          <w:sz w:val="22"/>
          <w:szCs w:val="22"/>
          <w:lang w:val="en-US"/>
        </w:rPr>
        <w:t>is not a short administrative process but a longer period during</w:t>
      </w:r>
      <w:r w:rsidRPr="00474666">
        <w:rPr>
          <w:rFonts w:ascii="Arial" w:hAnsi="Arial" w:cs="Arial"/>
          <w:sz w:val="22"/>
          <w:szCs w:val="22"/>
          <w:lang w:val="en-US"/>
        </w:rPr>
        <w:t xml:space="preserve"> which families receive no specialist support (Children's Commissioner, 2024). The problem becomes even more significant, as waiting for mental health support is particularly dangerous for children and adolescents with emotional issues, risky </w:t>
      </w:r>
      <w:r w:rsidR="00F1198F">
        <w:rPr>
          <w:rFonts w:ascii="Arial" w:hAnsi="Arial" w:cs="Arial"/>
          <w:sz w:val="22"/>
          <w:szCs w:val="22"/>
          <w:lang w:val="en-US"/>
        </w:rPr>
        <w:t>behaviours</w:t>
      </w:r>
      <w:r w:rsidRPr="00474666">
        <w:rPr>
          <w:rFonts w:ascii="Arial" w:hAnsi="Arial" w:cs="Arial"/>
          <w:sz w:val="22"/>
          <w:szCs w:val="22"/>
          <w:lang w:val="en-US"/>
        </w:rPr>
        <w:t>, absenteeism, family stress, or a crisis (Frith, 2017; Edbrooke-Childs and Deighton, 2020).</w:t>
      </w:r>
    </w:p>
    <w:p w14:paraId="15B747A6" w14:textId="77777777" w:rsidR="00474666" w:rsidRPr="00474666" w:rsidRDefault="00474666" w:rsidP="00474666">
      <w:pPr>
        <w:spacing w:line="360" w:lineRule="auto"/>
        <w:jc w:val="both"/>
        <w:rPr>
          <w:rFonts w:ascii="Arial" w:hAnsi="Arial" w:cs="Arial"/>
          <w:sz w:val="22"/>
          <w:szCs w:val="22"/>
          <w:lang w:val="en-US"/>
        </w:rPr>
      </w:pPr>
    </w:p>
    <w:p w14:paraId="3344685F" w14:textId="43352209" w:rsidR="00474666" w:rsidRPr="00474666" w:rsidRDefault="00474666" w:rsidP="00474666">
      <w:pPr>
        <w:spacing w:line="360" w:lineRule="auto"/>
        <w:jc w:val="both"/>
        <w:rPr>
          <w:rFonts w:ascii="Arial" w:hAnsi="Arial" w:cs="Arial"/>
          <w:sz w:val="22"/>
          <w:szCs w:val="22"/>
          <w:lang w:val="en-US"/>
        </w:rPr>
      </w:pPr>
      <w:r w:rsidRPr="00474666">
        <w:rPr>
          <w:rFonts w:ascii="Arial" w:hAnsi="Arial" w:cs="Arial"/>
          <w:sz w:val="22"/>
          <w:szCs w:val="22"/>
          <w:lang w:val="en-US"/>
        </w:rPr>
        <w:t xml:space="preserve">As </w:t>
      </w:r>
      <w:r w:rsidR="00F1198F">
        <w:rPr>
          <w:rFonts w:ascii="Arial" w:hAnsi="Arial" w:cs="Arial"/>
          <w:sz w:val="22"/>
          <w:szCs w:val="22"/>
          <w:lang w:val="en-US"/>
        </w:rPr>
        <w:t xml:space="preserve">the </w:t>
      </w:r>
      <w:r w:rsidR="00B56FD2">
        <w:rPr>
          <w:rFonts w:ascii="Arial" w:hAnsi="Arial" w:cs="Arial"/>
          <w:sz w:val="22"/>
          <w:szCs w:val="22"/>
          <w:lang w:val="en-US"/>
        </w:rPr>
        <w:t>literature shows, waiting has more than one negative implication</w:t>
      </w:r>
      <w:r w:rsidRPr="00474666">
        <w:rPr>
          <w:rFonts w:ascii="Arial" w:hAnsi="Arial" w:cs="Arial"/>
          <w:sz w:val="22"/>
          <w:szCs w:val="22"/>
          <w:lang w:val="en-US"/>
        </w:rPr>
        <w:t xml:space="preserve">. </w:t>
      </w:r>
      <w:r w:rsidR="00B56FD2" w:rsidRPr="00474666">
        <w:rPr>
          <w:rFonts w:ascii="Arial" w:hAnsi="Arial" w:cs="Arial"/>
          <w:sz w:val="22"/>
          <w:szCs w:val="22"/>
          <w:lang w:val="en-US"/>
        </w:rPr>
        <w:t>First</w:t>
      </w:r>
      <w:r w:rsidRPr="00474666">
        <w:rPr>
          <w:rFonts w:ascii="Arial" w:hAnsi="Arial" w:cs="Arial"/>
          <w:sz w:val="22"/>
          <w:szCs w:val="22"/>
          <w:lang w:val="en-US"/>
        </w:rPr>
        <w:t xml:space="preserve">, waiting can make the child's situation even more complicated because there is an increased chance that </w:t>
      </w:r>
      <w:r w:rsidR="00B56FD2">
        <w:rPr>
          <w:rFonts w:ascii="Arial" w:hAnsi="Arial" w:cs="Arial"/>
          <w:sz w:val="22"/>
          <w:szCs w:val="22"/>
          <w:lang w:val="en-US"/>
        </w:rPr>
        <w:t>they</w:t>
      </w:r>
      <w:r w:rsidRPr="00474666">
        <w:rPr>
          <w:rFonts w:ascii="Arial" w:hAnsi="Arial" w:cs="Arial"/>
          <w:sz w:val="22"/>
          <w:szCs w:val="22"/>
          <w:lang w:val="en-US"/>
        </w:rPr>
        <w:t xml:space="preserve"> will experience new problems until specialist mental health support is delivered (Children's Commissioner, 2024). </w:t>
      </w:r>
      <w:r w:rsidR="00F1198F">
        <w:rPr>
          <w:rFonts w:ascii="Arial" w:hAnsi="Arial" w:cs="Arial"/>
          <w:sz w:val="22"/>
          <w:szCs w:val="22"/>
          <w:lang w:val="en-US"/>
        </w:rPr>
        <w:t>Second, waiting makes parents, carers, schools, and general practitioners responsible for managing risks in the meantime because no specialist support is available</w:t>
      </w:r>
      <w:r w:rsidRPr="00474666">
        <w:rPr>
          <w:rFonts w:ascii="Arial" w:hAnsi="Arial" w:cs="Arial"/>
          <w:sz w:val="22"/>
          <w:szCs w:val="22"/>
          <w:lang w:val="en-US"/>
        </w:rPr>
        <w:t xml:space="preserve"> (Parkin and Long, 2024). Finally, waiting </w:t>
      </w:r>
      <w:r w:rsidR="00F1198F">
        <w:rPr>
          <w:rFonts w:ascii="Arial" w:hAnsi="Arial" w:cs="Arial"/>
          <w:sz w:val="22"/>
          <w:szCs w:val="22"/>
          <w:lang w:val="en-US"/>
        </w:rPr>
        <w:t>can involve poor communication and a lack of transparency, as parents may know little</w:t>
      </w:r>
      <w:r w:rsidRPr="00474666">
        <w:rPr>
          <w:rFonts w:ascii="Arial" w:hAnsi="Arial" w:cs="Arial"/>
          <w:sz w:val="22"/>
          <w:szCs w:val="22"/>
          <w:lang w:val="en-US"/>
        </w:rPr>
        <w:t xml:space="preserve"> about the actual waiting period, next steps, or any interim solutions that might be provided (Appleton et al., 2020; Appleton et al., 2022).</w:t>
      </w:r>
    </w:p>
    <w:p w14:paraId="658F6F75" w14:textId="77777777" w:rsidR="00474666" w:rsidRPr="00474666" w:rsidRDefault="00474666" w:rsidP="00474666">
      <w:pPr>
        <w:spacing w:line="360" w:lineRule="auto"/>
        <w:jc w:val="both"/>
        <w:rPr>
          <w:rFonts w:ascii="Arial" w:hAnsi="Arial" w:cs="Arial"/>
          <w:sz w:val="22"/>
          <w:szCs w:val="22"/>
          <w:lang w:val="en-US"/>
        </w:rPr>
      </w:pPr>
    </w:p>
    <w:p w14:paraId="4AB3D736" w14:textId="76B6A730" w:rsidR="00474666" w:rsidRPr="00474666" w:rsidRDefault="00B56FD2" w:rsidP="00474666">
      <w:pPr>
        <w:spacing w:line="360" w:lineRule="auto"/>
        <w:jc w:val="both"/>
        <w:rPr>
          <w:rFonts w:ascii="Arial" w:hAnsi="Arial" w:cs="Arial"/>
          <w:sz w:val="22"/>
          <w:szCs w:val="22"/>
          <w:lang w:val="en-US"/>
        </w:rPr>
      </w:pPr>
      <w:r>
        <w:rPr>
          <w:rFonts w:ascii="Arial" w:hAnsi="Arial" w:cs="Arial"/>
          <w:sz w:val="22"/>
          <w:szCs w:val="22"/>
          <w:lang w:val="en-US"/>
        </w:rPr>
        <w:t xml:space="preserve">Qualitative data suggest that waiting involves uncertainty because families may be told </w:t>
      </w:r>
      <w:r w:rsidR="00474666" w:rsidRPr="00474666">
        <w:rPr>
          <w:rFonts w:ascii="Arial" w:hAnsi="Arial" w:cs="Arial"/>
          <w:sz w:val="22"/>
          <w:szCs w:val="22"/>
          <w:lang w:val="en-US"/>
        </w:rPr>
        <w:t>their referral request has been submitted</w:t>
      </w:r>
      <w:r>
        <w:rPr>
          <w:rFonts w:ascii="Arial" w:hAnsi="Arial" w:cs="Arial"/>
          <w:sz w:val="22"/>
          <w:szCs w:val="22"/>
          <w:lang w:val="en-US"/>
        </w:rPr>
        <w:t>. Still, it</w:t>
      </w:r>
      <w:r w:rsidR="00474666" w:rsidRPr="00474666">
        <w:rPr>
          <w:rFonts w:ascii="Arial" w:hAnsi="Arial" w:cs="Arial"/>
          <w:sz w:val="22"/>
          <w:szCs w:val="22"/>
          <w:lang w:val="en-US"/>
        </w:rPr>
        <w:t xml:space="preserve"> remains unclear whether the child will be accepted, when the assessment will take place, and what else </w:t>
      </w:r>
      <w:r>
        <w:rPr>
          <w:rFonts w:ascii="Arial" w:hAnsi="Arial" w:cs="Arial"/>
          <w:sz w:val="22"/>
          <w:szCs w:val="22"/>
          <w:lang w:val="en-US"/>
        </w:rPr>
        <w:t>to do</w:t>
      </w:r>
      <w:r w:rsidR="00474666" w:rsidRPr="00474666">
        <w:rPr>
          <w:rFonts w:ascii="Arial" w:hAnsi="Arial" w:cs="Arial"/>
          <w:sz w:val="22"/>
          <w:szCs w:val="22"/>
          <w:lang w:val="en-US"/>
        </w:rPr>
        <w:t xml:space="preserve"> to facilitate access (Appleton et al., 2020; Scottish Government, 2018). </w:t>
      </w:r>
      <w:r w:rsidR="00F1198F">
        <w:rPr>
          <w:rFonts w:ascii="Arial" w:hAnsi="Arial" w:cs="Arial"/>
          <w:sz w:val="22"/>
          <w:szCs w:val="22"/>
          <w:lang w:val="en-US"/>
        </w:rPr>
        <w:t>This situation</w:t>
      </w:r>
      <w:r w:rsidR="00474666" w:rsidRPr="00474666">
        <w:rPr>
          <w:rFonts w:ascii="Arial" w:hAnsi="Arial" w:cs="Arial"/>
          <w:sz w:val="22"/>
          <w:szCs w:val="22"/>
          <w:lang w:val="en-US"/>
        </w:rPr>
        <w:t xml:space="preserve"> is stressful for parents who worry about their children but do not know how to act (Crouch et al., 2019; Appleton et al., 2022). In this regard, waiting is an obstacle</w:t>
      </w:r>
      <w:r w:rsidR="00F1198F">
        <w:rPr>
          <w:rFonts w:ascii="Arial" w:hAnsi="Arial" w:cs="Arial"/>
          <w:sz w:val="22"/>
          <w:szCs w:val="22"/>
          <w:lang w:val="en-US"/>
        </w:rPr>
        <w:t xml:space="preserve"> because it affects</w:t>
      </w:r>
      <w:r w:rsidR="00474666" w:rsidRPr="00474666">
        <w:rPr>
          <w:rFonts w:ascii="Arial" w:hAnsi="Arial" w:cs="Arial"/>
          <w:sz w:val="22"/>
          <w:szCs w:val="22"/>
          <w:lang w:val="en-US"/>
        </w:rPr>
        <w:t xml:space="preserve"> families' emotions and feelings, risk management, and trust in mental health professionals (Reardon et al., 2017).</w:t>
      </w:r>
    </w:p>
    <w:p w14:paraId="5B8C0313" w14:textId="77777777" w:rsidR="00474666" w:rsidRPr="00364982" w:rsidRDefault="00474666" w:rsidP="00474666">
      <w:pPr>
        <w:spacing w:line="360" w:lineRule="auto"/>
        <w:jc w:val="both"/>
        <w:rPr>
          <w:rFonts w:ascii="Arial" w:hAnsi="Arial" w:cs="Arial"/>
          <w:sz w:val="22"/>
          <w:szCs w:val="22"/>
          <w:lang w:val="en-US"/>
        </w:rPr>
      </w:pPr>
    </w:p>
    <w:p w14:paraId="255ED3DC" w14:textId="77777777" w:rsidR="00474666" w:rsidRPr="00474666" w:rsidRDefault="00474666" w:rsidP="00474666">
      <w:pPr>
        <w:pStyle w:val="Heading2"/>
        <w:rPr>
          <w:lang w:val="en-US"/>
        </w:rPr>
      </w:pPr>
      <w:bookmarkStart w:id="41" w:name="_Toc233629136"/>
      <w:r w:rsidRPr="00474666">
        <w:rPr>
          <w:lang w:val="en-US"/>
        </w:rPr>
        <w:t>4.4 Theme 2: Referral Thresholds and Rejected Referrals</w:t>
      </w:r>
      <w:bookmarkEnd w:id="41"/>
    </w:p>
    <w:p w14:paraId="41F25E3D" w14:textId="77777777" w:rsidR="00474666" w:rsidRPr="00474666" w:rsidRDefault="00474666" w:rsidP="00474666">
      <w:pPr>
        <w:spacing w:line="360" w:lineRule="auto"/>
        <w:jc w:val="both"/>
        <w:rPr>
          <w:rFonts w:ascii="Arial" w:hAnsi="Arial" w:cs="Arial"/>
          <w:sz w:val="22"/>
          <w:szCs w:val="22"/>
          <w:lang w:val="en-US"/>
        </w:rPr>
      </w:pPr>
    </w:p>
    <w:p w14:paraId="0A16104C" w14:textId="0DB800A8" w:rsidR="00474666" w:rsidRPr="00474666" w:rsidRDefault="00474666" w:rsidP="00474666">
      <w:pPr>
        <w:spacing w:line="360" w:lineRule="auto"/>
        <w:jc w:val="both"/>
        <w:rPr>
          <w:rFonts w:ascii="Arial" w:hAnsi="Arial" w:cs="Arial"/>
          <w:sz w:val="22"/>
          <w:szCs w:val="22"/>
          <w:lang w:val="en-US"/>
        </w:rPr>
      </w:pPr>
      <w:r w:rsidRPr="00474666">
        <w:rPr>
          <w:rFonts w:ascii="Arial" w:hAnsi="Arial" w:cs="Arial"/>
          <w:sz w:val="22"/>
          <w:szCs w:val="22"/>
          <w:lang w:val="en-US"/>
        </w:rPr>
        <w:t xml:space="preserve">One of the barriers associated with accessing specialist mental health services includes rejected referrals and referral thresholds. While thresholds </w:t>
      </w:r>
      <w:r w:rsidR="00B56FD2">
        <w:rPr>
          <w:rFonts w:ascii="Arial" w:hAnsi="Arial" w:cs="Arial"/>
          <w:sz w:val="22"/>
          <w:szCs w:val="22"/>
          <w:lang w:val="en-US"/>
        </w:rPr>
        <w:t>help focus on children who need specialist support, some evidence suggests they may prevent children in need from getting</w:t>
      </w:r>
      <w:r w:rsidRPr="00474666">
        <w:rPr>
          <w:rFonts w:ascii="Arial" w:hAnsi="Arial" w:cs="Arial"/>
          <w:sz w:val="22"/>
          <w:szCs w:val="22"/>
          <w:lang w:val="en-US"/>
        </w:rPr>
        <w:t xml:space="preserve"> help (Scottish Government, 2018; Appleton et al., 2020; Children's Commissioner, 2024). The problem is also </w:t>
      </w:r>
      <w:r w:rsidR="00F1198F">
        <w:rPr>
          <w:rFonts w:ascii="Arial" w:hAnsi="Arial" w:cs="Arial"/>
          <w:sz w:val="22"/>
          <w:szCs w:val="22"/>
          <w:lang w:val="en-US"/>
        </w:rPr>
        <w:lastRenderedPageBreak/>
        <w:t>linked to how</w:t>
      </w:r>
      <w:r w:rsidRPr="00474666">
        <w:rPr>
          <w:rFonts w:ascii="Arial" w:hAnsi="Arial" w:cs="Arial"/>
          <w:sz w:val="22"/>
          <w:szCs w:val="22"/>
          <w:lang w:val="en-US"/>
        </w:rPr>
        <w:t xml:space="preserve"> rejected referrals and thresholds affect children and their families (Scottish Government, 2018; Appleton et al., 2022).</w:t>
      </w:r>
    </w:p>
    <w:p w14:paraId="0B7BE7B0" w14:textId="77777777" w:rsidR="00474666" w:rsidRPr="00474666" w:rsidRDefault="00474666" w:rsidP="00474666">
      <w:pPr>
        <w:spacing w:line="360" w:lineRule="auto"/>
        <w:jc w:val="both"/>
        <w:rPr>
          <w:rFonts w:ascii="Arial" w:hAnsi="Arial" w:cs="Arial"/>
          <w:sz w:val="22"/>
          <w:szCs w:val="22"/>
          <w:lang w:val="en-US"/>
        </w:rPr>
      </w:pPr>
    </w:p>
    <w:p w14:paraId="2B7407A2" w14:textId="17A288C9" w:rsidR="00474666" w:rsidRPr="00474666" w:rsidRDefault="00474666" w:rsidP="00474666">
      <w:pPr>
        <w:spacing w:line="360" w:lineRule="auto"/>
        <w:jc w:val="both"/>
        <w:rPr>
          <w:rFonts w:ascii="Arial" w:hAnsi="Arial" w:cs="Arial"/>
          <w:sz w:val="22"/>
          <w:szCs w:val="22"/>
          <w:lang w:val="en-US"/>
        </w:rPr>
      </w:pPr>
      <w:r w:rsidRPr="00474666">
        <w:rPr>
          <w:rFonts w:ascii="Arial" w:hAnsi="Arial" w:cs="Arial"/>
          <w:sz w:val="22"/>
          <w:szCs w:val="22"/>
          <w:lang w:val="en-US"/>
        </w:rPr>
        <w:t xml:space="preserve">The Audit of Rejection Experience of Child and Adolescent Mental Health Services, conducted by the Scottish Government, is a good example of an audit showing how barriers emerge due to rejected referrals and referral thresholds. According to the report, children and young people believe </w:t>
      </w:r>
      <w:r w:rsidR="00F1198F">
        <w:rPr>
          <w:rFonts w:ascii="Arial" w:hAnsi="Arial" w:cs="Arial"/>
          <w:sz w:val="22"/>
          <w:szCs w:val="22"/>
          <w:lang w:val="en-US"/>
        </w:rPr>
        <w:t xml:space="preserve">their cases were not serious enough for specialists to help, meaning </w:t>
      </w:r>
      <w:r w:rsidRPr="00474666">
        <w:rPr>
          <w:rFonts w:ascii="Arial" w:hAnsi="Arial" w:cs="Arial"/>
          <w:sz w:val="22"/>
          <w:szCs w:val="22"/>
          <w:lang w:val="en-US"/>
        </w:rPr>
        <w:t>they could obtain assistance only if their situation became critical (Scottish Government, 2018). The audit also shows that over 50% of young people who took part in the survey took no further steps after rejection</w:t>
      </w:r>
      <w:r w:rsidR="00F1198F">
        <w:rPr>
          <w:rFonts w:ascii="Arial" w:hAnsi="Arial" w:cs="Arial"/>
          <w:sz w:val="22"/>
          <w:szCs w:val="22"/>
          <w:lang w:val="en-US"/>
        </w:rPr>
        <w:t xml:space="preserve">, and several </w:t>
      </w:r>
      <w:r w:rsidRPr="00474666">
        <w:rPr>
          <w:rFonts w:ascii="Arial" w:hAnsi="Arial" w:cs="Arial"/>
          <w:sz w:val="22"/>
          <w:szCs w:val="22"/>
          <w:lang w:val="en-US"/>
        </w:rPr>
        <w:t xml:space="preserve">sought private help or tried to obtain referrals again (Scottish Government, 2018). </w:t>
      </w:r>
      <w:r w:rsidR="00F1198F">
        <w:rPr>
          <w:rFonts w:ascii="Arial" w:hAnsi="Arial" w:cs="Arial"/>
          <w:sz w:val="22"/>
          <w:szCs w:val="22"/>
          <w:lang w:val="en-US"/>
        </w:rPr>
        <w:t xml:space="preserve">These outcomes matter because refusal to </w:t>
      </w:r>
      <w:r w:rsidR="00B56FD2">
        <w:rPr>
          <w:rFonts w:ascii="Arial" w:hAnsi="Arial" w:cs="Arial"/>
          <w:sz w:val="22"/>
          <w:szCs w:val="22"/>
          <w:lang w:val="en-US"/>
        </w:rPr>
        <w:t>assist</w:t>
      </w:r>
      <w:r w:rsidR="00F1198F">
        <w:rPr>
          <w:rFonts w:ascii="Arial" w:hAnsi="Arial" w:cs="Arial"/>
          <w:sz w:val="22"/>
          <w:szCs w:val="22"/>
          <w:lang w:val="en-US"/>
        </w:rPr>
        <w:t xml:space="preserve"> is not just redirection to another provider; it can also mean</w:t>
      </w:r>
      <w:r w:rsidRPr="00474666">
        <w:rPr>
          <w:rFonts w:ascii="Arial" w:hAnsi="Arial" w:cs="Arial"/>
          <w:sz w:val="22"/>
          <w:szCs w:val="22"/>
          <w:lang w:val="en-US"/>
        </w:rPr>
        <w:t xml:space="preserve"> non-engagement, financial burden, multiple referrals, or deteriorating conditions (Scottish Government, 2018).</w:t>
      </w:r>
    </w:p>
    <w:p w14:paraId="1D558A46" w14:textId="77777777" w:rsidR="00474666" w:rsidRPr="00474666" w:rsidRDefault="00474666" w:rsidP="00474666">
      <w:pPr>
        <w:spacing w:line="360" w:lineRule="auto"/>
        <w:jc w:val="both"/>
        <w:rPr>
          <w:rFonts w:ascii="Arial" w:hAnsi="Arial" w:cs="Arial"/>
          <w:sz w:val="22"/>
          <w:szCs w:val="22"/>
          <w:lang w:val="en-US"/>
        </w:rPr>
      </w:pPr>
    </w:p>
    <w:p w14:paraId="75A670A6" w14:textId="7E97E13C" w:rsidR="00474666" w:rsidRPr="00474666" w:rsidRDefault="00474666" w:rsidP="00474666">
      <w:pPr>
        <w:spacing w:line="360" w:lineRule="auto"/>
        <w:jc w:val="both"/>
        <w:rPr>
          <w:rFonts w:ascii="Arial" w:hAnsi="Arial" w:cs="Arial"/>
          <w:sz w:val="22"/>
          <w:szCs w:val="22"/>
          <w:lang w:val="en-US"/>
        </w:rPr>
      </w:pPr>
      <w:r w:rsidRPr="00474666">
        <w:rPr>
          <w:rFonts w:ascii="Arial" w:hAnsi="Arial" w:cs="Arial"/>
          <w:sz w:val="22"/>
          <w:szCs w:val="22"/>
          <w:lang w:val="en-US"/>
        </w:rPr>
        <w:t xml:space="preserve">Rejected referrals </w:t>
      </w:r>
      <w:r w:rsidR="00F1198F">
        <w:rPr>
          <w:rFonts w:ascii="Arial" w:hAnsi="Arial" w:cs="Arial"/>
          <w:sz w:val="22"/>
          <w:szCs w:val="22"/>
          <w:lang w:val="en-US"/>
        </w:rPr>
        <w:t>matter because the barrier occurs once help-seeking becomes the norm, implying that families have realised their children need assistance and have contacted professionals for</w:t>
      </w:r>
      <w:r w:rsidRPr="00474666">
        <w:rPr>
          <w:rFonts w:ascii="Arial" w:hAnsi="Arial" w:cs="Arial"/>
          <w:sz w:val="22"/>
          <w:szCs w:val="22"/>
          <w:lang w:val="en-US"/>
        </w:rPr>
        <w:t xml:space="preserve"> help (Gulliver et al., 2010; Radez et al., 2021). After </w:t>
      </w:r>
      <w:r w:rsidR="00F1198F">
        <w:rPr>
          <w:rFonts w:ascii="Arial" w:hAnsi="Arial" w:cs="Arial"/>
          <w:sz w:val="22"/>
          <w:szCs w:val="22"/>
          <w:lang w:val="en-US"/>
        </w:rPr>
        <w:t xml:space="preserve">receiving negative feedback in the form of referral rejection, families are likely to lose interest in help and become sceptical about whether they need professional assistance </w:t>
      </w:r>
      <w:r w:rsidRPr="00474666">
        <w:rPr>
          <w:rFonts w:ascii="Arial" w:hAnsi="Arial" w:cs="Arial"/>
          <w:sz w:val="22"/>
          <w:szCs w:val="22"/>
          <w:lang w:val="en-US"/>
        </w:rPr>
        <w:t xml:space="preserve">(Scottish Government, 2018; Appleton et al., 2020). This </w:t>
      </w:r>
      <w:r w:rsidR="00B56FD2">
        <w:rPr>
          <w:rFonts w:ascii="Arial" w:hAnsi="Arial" w:cs="Arial"/>
          <w:sz w:val="22"/>
          <w:szCs w:val="22"/>
          <w:lang w:val="en-US"/>
        </w:rPr>
        <w:t>may</w:t>
      </w:r>
      <w:r w:rsidRPr="00474666">
        <w:rPr>
          <w:rFonts w:ascii="Arial" w:hAnsi="Arial" w:cs="Arial"/>
          <w:sz w:val="22"/>
          <w:szCs w:val="22"/>
          <w:lang w:val="en-US"/>
        </w:rPr>
        <w:t xml:space="preserve"> prevent children and young people from seeking help in the future and trusting specialists (Reardon et al., 2017; Radez et al., 2021).</w:t>
      </w:r>
    </w:p>
    <w:p w14:paraId="0D3C8C9D" w14:textId="77777777" w:rsidR="00474666" w:rsidRPr="00474666" w:rsidRDefault="00474666" w:rsidP="00474666">
      <w:pPr>
        <w:spacing w:line="360" w:lineRule="auto"/>
        <w:jc w:val="both"/>
        <w:rPr>
          <w:rFonts w:ascii="Arial" w:hAnsi="Arial" w:cs="Arial"/>
          <w:sz w:val="22"/>
          <w:szCs w:val="22"/>
          <w:lang w:val="en-US"/>
        </w:rPr>
      </w:pPr>
    </w:p>
    <w:p w14:paraId="449FD1A3" w14:textId="05D2CEA7" w:rsidR="00364982" w:rsidRPr="00503E71" w:rsidRDefault="00B56FD2" w:rsidP="00364982">
      <w:pPr>
        <w:spacing w:line="360" w:lineRule="auto"/>
        <w:jc w:val="both"/>
        <w:rPr>
          <w:rFonts w:ascii="Arial" w:hAnsi="Arial" w:cs="Arial"/>
          <w:sz w:val="22"/>
          <w:szCs w:val="22"/>
          <w:lang w:val="en-US"/>
        </w:rPr>
      </w:pPr>
      <w:r>
        <w:rPr>
          <w:rFonts w:ascii="Arial" w:hAnsi="Arial" w:cs="Arial"/>
          <w:sz w:val="22"/>
          <w:szCs w:val="22"/>
          <w:lang w:val="en-US"/>
        </w:rPr>
        <w:t xml:space="preserve">Evidence also links rejected referrals </w:t>
      </w:r>
      <w:r w:rsidR="00F1198F">
        <w:rPr>
          <w:rFonts w:ascii="Arial" w:hAnsi="Arial" w:cs="Arial"/>
          <w:sz w:val="22"/>
          <w:szCs w:val="22"/>
          <w:lang w:val="en-US"/>
        </w:rPr>
        <w:t>to</w:t>
      </w:r>
      <w:r w:rsidR="00474666" w:rsidRPr="00474666">
        <w:rPr>
          <w:rFonts w:ascii="Arial" w:hAnsi="Arial" w:cs="Arial"/>
          <w:sz w:val="22"/>
          <w:szCs w:val="22"/>
          <w:lang w:val="en-US"/>
        </w:rPr>
        <w:t xml:space="preserve"> poor communication between professionals and patients. Namely, families may not </w:t>
      </w:r>
      <w:r w:rsidR="00F1198F">
        <w:rPr>
          <w:rFonts w:ascii="Arial" w:hAnsi="Arial" w:cs="Arial"/>
          <w:sz w:val="22"/>
          <w:szCs w:val="22"/>
          <w:lang w:val="en-US"/>
        </w:rPr>
        <w:t>fully understand why their request was rejected or what alternative help to consider</w:t>
      </w:r>
      <w:r w:rsidR="00474666" w:rsidRPr="00474666">
        <w:rPr>
          <w:rFonts w:ascii="Arial" w:hAnsi="Arial" w:cs="Arial"/>
          <w:sz w:val="22"/>
          <w:szCs w:val="22"/>
          <w:lang w:val="en-US"/>
        </w:rPr>
        <w:t xml:space="preserve"> (Scottish Government, 2018; Appleton et al., 2020). Signposting is </w:t>
      </w:r>
      <w:r w:rsidR="00F1198F">
        <w:rPr>
          <w:rFonts w:ascii="Arial" w:hAnsi="Arial" w:cs="Arial"/>
          <w:sz w:val="22"/>
          <w:szCs w:val="22"/>
          <w:lang w:val="en-US"/>
        </w:rPr>
        <w:t>a potential solution; however, the audit found that not all patients find it helpful because it can direct</w:t>
      </w:r>
      <w:r w:rsidR="00474666" w:rsidRPr="00474666">
        <w:rPr>
          <w:rFonts w:ascii="Arial" w:hAnsi="Arial" w:cs="Arial"/>
          <w:sz w:val="22"/>
          <w:szCs w:val="22"/>
          <w:lang w:val="en-US"/>
        </w:rPr>
        <w:t xml:space="preserve"> them to </w:t>
      </w:r>
      <w:r w:rsidRPr="00474666">
        <w:rPr>
          <w:rFonts w:ascii="Arial" w:hAnsi="Arial" w:cs="Arial"/>
          <w:sz w:val="22"/>
          <w:szCs w:val="22"/>
          <w:lang w:val="en-US"/>
        </w:rPr>
        <w:t>services</w:t>
      </w:r>
      <w:r w:rsidR="00474666" w:rsidRPr="00474666">
        <w:rPr>
          <w:rFonts w:ascii="Arial" w:hAnsi="Arial" w:cs="Arial"/>
          <w:sz w:val="22"/>
          <w:szCs w:val="22"/>
          <w:lang w:val="en-US"/>
        </w:rPr>
        <w:t xml:space="preserve"> they have already approached, websites that fail to address their needs, and unavailable providers (Scottish Government, 2018). Overall, signposting becomes an enabler only if it is meaningful, well-placed, and possible (Scottish Government, 2018; Children's Commissioner, 2024).</w:t>
      </w:r>
    </w:p>
    <w:p w14:paraId="442CBAC1" w14:textId="77777777" w:rsidR="00364982" w:rsidRPr="00503E71" w:rsidRDefault="00364982" w:rsidP="00364982">
      <w:pPr>
        <w:spacing w:line="360" w:lineRule="auto"/>
        <w:jc w:val="both"/>
        <w:rPr>
          <w:rFonts w:ascii="Arial" w:hAnsi="Arial" w:cs="Arial"/>
          <w:sz w:val="22"/>
          <w:szCs w:val="22"/>
          <w:lang w:val="en-US"/>
        </w:rPr>
      </w:pPr>
    </w:p>
    <w:p w14:paraId="450E9AD6" w14:textId="4D1BF556" w:rsidR="009B041E" w:rsidRPr="00364982" w:rsidRDefault="009B041E" w:rsidP="00364982">
      <w:pPr>
        <w:pStyle w:val="Heading2"/>
        <w:rPr>
          <w:rFonts w:ascii="Arial" w:hAnsi="Arial" w:cs="Arial"/>
          <w:sz w:val="22"/>
          <w:szCs w:val="22"/>
          <w:lang w:val="en-US"/>
        </w:rPr>
      </w:pPr>
      <w:bookmarkStart w:id="42" w:name="_Toc233629137"/>
      <w:r w:rsidRPr="009B041E">
        <w:rPr>
          <w:lang w:val="en-US"/>
        </w:rPr>
        <w:t>4.5 Theme 3: Socioeconomic Inequalities in CAMHS Access</w:t>
      </w:r>
      <w:bookmarkEnd w:id="42"/>
    </w:p>
    <w:p w14:paraId="5C56E0CD" w14:textId="77777777" w:rsidR="009B041E" w:rsidRPr="009B041E" w:rsidRDefault="009B041E" w:rsidP="009B041E">
      <w:pPr>
        <w:spacing w:line="360" w:lineRule="auto"/>
        <w:jc w:val="both"/>
        <w:rPr>
          <w:rFonts w:ascii="Arial" w:hAnsi="Arial" w:cs="Arial"/>
          <w:sz w:val="22"/>
          <w:szCs w:val="22"/>
          <w:lang w:val="en-US"/>
        </w:rPr>
      </w:pPr>
    </w:p>
    <w:p w14:paraId="0BFB093E" w14:textId="4949F4E9"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lastRenderedPageBreak/>
        <w:t xml:space="preserve">Socioeconomic inequality </w:t>
      </w:r>
      <w:r w:rsidR="00B56FD2">
        <w:rPr>
          <w:rFonts w:ascii="Arial" w:hAnsi="Arial" w:cs="Arial"/>
          <w:sz w:val="22"/>
          <w:szCs w:val="22"/>
          <w:lang w:val="en-US"/>
        </w:rPr>
        <w:t>is a major theme because access to CAMHS depends on the broader</w:t>
      </w:r>
      <w:r w:rsidRPr="009B041E">
        <w:rPr>
          <w:rFonts w:ascii="Arial" w:hAnsi="Arial" w:cs="Arial"/>
          <w:sz w:val="22"/>
          <w:szCs w:val="22"/>
          <w:lang w:val="en-US"/>
        </w:rPr>
        <w:t xml:space="preserve"> living contexts of children and families. Literature shows that children from lower socioeconomic backgrounds are exposed to greater risks in terms of mental health risk factors such as poverty, insecure housing, family stress, parental mental health difficulties, adverse childhood experiences, and lack of protective community resources (Bellis et al., 2014; Marmot et al., 2020). </w:t>
      </w:r>
      <w:r w:rsidR="00B56FD2">
        <w:rPr>
          <w:rFonts w:ascii="Arial" w:hAnsi="Arial" w:cs="Arial"/>
          <w:sz w:val="22"/>
          <w:szCs w:val="22"/>
          <w:lang w:val="en-US"/>
        </w:rPr>
        <w:t xml:space="preserve">These inequalities matter because access to CAMHS is not determined solely </w:t>
      </w:r>
      <w:r w:rsidRPr="009B041E">
        <w:rPr>
          <w:rFonts w:ascii="Arial" w:hAnsi="Arial" w:cs="Arial"/>
          <w:sz w:val="22"/>
          <w:szCs w:val="22"/>
          <w:lang w:val="en-US"/>
        </w:rPr>
        <w:t xml:space="preserve">by the need for specialist support. It also depends on families' capacity to </w:t>
      </w:r>
      <w:r w:rsidR="00F1198F">
        <w:rPr>
          <w:rFonts w:ascii="Arial" w:hAnsi="Arial" w:cs="Arial"/>
          <w:sz w:val="22"/>
          <w:szCs w:val="22"/>
          <w:lang w:val="en-US"/>
        </w:rPr>
        <w:t>recognise</w:t>
      </w:r>
      <w:r w:rsidRPr="009B041E">
        <w:rPr>
          <w:rFonts w:ascii="Arial" w:hAnsi="Arial" w:cs="Arial"/>
          <w:sz w:val="22"/>
          <w:szCs w:val="22"/>
          <w:lang w:val="en-US"/>
        </w:rPr>
        <w:t xml:space="preserve"> their child's need for help, </w:t>
      </w:r>
      <w:r w:rsidR="00F1198F">
        <w:rPr>
          <w:rFonts w:ascii="Arial" w:hAnsi="Arial" w:cs="Arial"/>
          <w:sz w:val="22"/>
          <w:szCs w:val="22"/>
          <w:lang w:val="en-US"/>
        </w:rPr>
        <w:t xml:space="preserve">find out about existing services, and navigate </w:t>
      </w:r>
      <w:r w:rsidRPr="009B041E">
        <w:rPr>
          <w:rFonts w:ascii="Arial" w:hAnsi="Arial" w:cs="Arial"/>
          <w:sz w:val="22"/>
          <w:szCs w:val="22"/>
          <w:lang w:val="en-US"/>
        </w:rPr>
        <w:t>the mental health service system successfully</w:t>
      </w:r>
      <w:r w:rsidR="00B56FD2">
        <w:rPr>
          <w:rFonts w:ascii="Arial" w:hAnsi="Arial" w:cs="Arial"/>
          <w:sz w:val="22"/>
          <w:szCs w:val="22"/>
          <w:lang w:val="en-US"/>
        </w:rPr>
        <w:t>, including</w:t>
      </w:r>
      <w:r w:rsidRPr="009B041E">
        <w:rPr>
          <w:rFonts w:ascii="Arial" w:hAnsi="Arial" w:cs="Arial"/>
          <w:sz w:val="22"/>
          <w:szCs w:val="22"/>
          <w:lang w:val="en-US"/>
        </w:rPr>
        <w:t xml:space="preserve"> </w:t>
      </w:r>
      <w:r w:rsidR="00B56FD2">
        <w:rPr>
          <w:rFonts w:ascii="Arial" w:hAnsi="Arial" w:cs="Arial"/>
          <w:sz w:val="22"/>
          <w:szCs w:val="22"/>
          <w:lang w:val="en-US"/>
        </w:rPr>
        <w:t>attending appointments and engaging with services</w:t>
      </w:r>
      <w:r w:rsidRPr="009B041E">
        <w:rPr>
          <w:rFonts w:ascii="Arial" w:hAnsi="Arial" w:cs="Arial"/>
          <w:sz w:val="22"/>
          <w:szCs w:val="22"/>
          <w:lang w:val="en-US"/>
        </w:rPr>
        <w:t xml:space="preserve"> (Reardon et al., 2017; Radez et al., 2022).</w:t>
      </w:r>
    </w:p>
    <w:p w14:paraId="389E5129" w14:textId="77777777" w:rsidR="009B041E" w:rsidRPr="009B041E" w:rsidRDefault="009B041E" w:rsidP="009B041E">
      <w:pPr>
        <w:spacing w:line="360" w:lineRule="auto"/>
        <w:jc w:val="both"/>
        <w:rPr>
          <w:rFonts w:ascii="Arial" w:hAnsi="Arial" w:cs="Arial"/>
          <w:sz w:val="22"/>
          <w:szCs w:val="22"/>
          <w:lang w:val="en-US"/>
        </w:rPr>
      </w:pPr>
    </w:p>
    <w:p w14:paraId="2C9C703B" w14:textId="13D46D11"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Research demonstrates that poverty can impact the mental health pathway in various ways. Families may </w:t>
      </w:r>
      <w:r w:rsidR="00F1198F">
        <w:rPr>
          <w:rFonts w:ascii="Arial" w:hAnsi="Arial" w:cs="Arial"/>
          <w:sz w:val="22"/>
          <w:szCs w:val="22"/>
          <w:lang w:val="en-US"/>
        </w:rPr>
        <w:t>miss appointments because of financial constraints related to transportation, work schedules</w:t>
      </w:r>
      <w:r w:rsidRPr="009B041E">
        <w:rPr>
          <w:rFonts w:ascii="Arial" w:hAnsi="Arial" w:cs="Arial"/>
          <w:sz w:val="22"/>
          <w:szCs w:val="22"/>
          <w:lang w:val="en-US"/>
        </w:rPr>
        <w:t xml:space="preserve">, </w:t>
      </w:r>
      <w:r w:rsidR="00F1198F" w:rsidRPr="009B041E">
        <w:rPr>
          <w:rFonts w:ascii="Arial" w:hAnsi="Arial" w:cs="Arial"/>
          <w:sz w:val="22"/>
          <w:szCs w:val="22"/>
          <w:lang w:val="en-US"/>
        </w:rPr>
        <w:t>childcare</w:t>
      </w:r>
      <w:r w:rsidRPr="009B041E">
        <w:rPr>
          <w:rFonts w:ascii="Arial" w:hAnsi="Arial" w:cs="Arial"/>
          <w:sz w:val="22"/>
          <w:szCs w:val="22"/>
          <w:lang w:val="en-US"/>
        </w:rPr>
        <w:t xml:space="preserve">, and even housing insecurity (Marmot et al., 2020; Parkin and Long, 2024). They </w:t>
      </w:r>
      <w:r w:rsidR="00F1198F">
        <w:rPr>
          <w:rFonts w:ascii="Arial" w:hAnsi="Arial" w:cs="Arial"/>
          <w:sz w:val="22"/>
          <w:szCs w:val="22"/>
          <w:lang w:val="en-US"/>
        </w:rPr>
        <w:t>may also struggle to complete required forms, coordinate with various agencies, and appeal referral rejections</w:t>
      </w:r>
      <w:r w:rsidRPr="009B041E">
        <w:rPr>
          <w:rFonts w:ascii="Arial" w:hAnsi="Arial" w:cs="Arial"/>
          <w:sz w:val="22"/>
          <w:szCs w:val="22"/>
          <w:lang w:val="en-US"/>
        </w:rPr>
        <w:t xml:space="preserve"> while coping with other life challenges (Reardon et al., 2017; Appleton et al., 2020). In </w:t>
      </w:r>
      <w:r w:rsidR="00F1198F">
        <w:rPr>
          <w:rFonts w:ascii="Arial" w:hAnsi="Arial" w:cs="Arial"/>
          <w:sz w:val="22"/>
          <w:szCs w:val="22"/>
          <w:lang w:val="en-US"/>
        </w:rPr>
        <w:t xml:space="preserve">this way, socioeconomic inequalities increase both the </w:t>
      </w:r>
      <w:r w:rsidRPr="009B041E">
        <w:rPr>
          <w:rFonts w:ascii="Arial" w:hAnsi="Arial" w:cs="Arial"/>
          <w:sz w:val="22"/>
          <w:szCs w:val="22"/>
          <w:lang w:val="en-US"/>
        </w:rPr>
        <w:t>risk of mental problems and difficulty in accessing services.</w:t>
      </w:r>
    </w:p>
    <w:p w14:paraId="7709706F" w14:textId="77777777" w:rsidR="009B041E" w:rsidRPr="00503E71" w:rsidRDefault="009B041E" w:rsidP="009B041E">
      <w:pPr>
        <w:spacing w:line="360" w:lineRule="auto"/>
        <w:jc w:val="both"/>
        <w:rPr>
          <w:rFonts w:ascii="Arial" w:hAnsi="Arial" w:cs="Arial"/>
          <w:sz w:val="22"/>
          <w:szCs w:val="22"/>
          <w:lang w:val="en-US"/>
        </w:rPr>
      </w:pPr>
    </w:p>
    <w:p w14:paraId="402B5706" w14:textId="70A6BCB1"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Special educational needs and disabilities (SEND) also contribute to access barriers</w:t>
      </w:r>
      <w:r w:rsidR="00B56FD2">
        <w:rPr>
          <w:rFonts w:ascii="Arial" w:hAnsi="Arial" w:cs="Arial"/>
          <w:sz w:val="22"/>
          <w:szCs w:val="22"/>
          <w:lang w:val="en-US"/>
        </w:rPr>
        <w:t>,</w:t>
      </w:r>
      <w:r w:rsidRPr="009B041E">
        <w:rPr>
          <w:rFonts w:ascii="Arial" w:hAnsi="Arial" w:cs="Arial"/>
          <w:sz w:val="22"/>
          <w:szCs w:val="22"/>
          <w:lang w:val="en-US"/>
        </w:rPr>
        <w:t xml:space="preserve"> as children and young people with SEND often have mental health difficulties. Findings </w:t>
      </w:r>
      <w:r w:rsidR="00B56FD2">
        <w:rPr>
          <w:rFonts w:ascii="Arial" w:hAnsi="Arial" w:cs="Arial"/>
          <w:sz w:val="22"/>
          <w:szCs w:val="22"/>
          <w:lang w:val="en-US"/>
        </w:rPr>
        <w:t>show that many families struggle to coordinate care when</w:t>
      </w:r>
      <w:r w:rsidRPr="009B041E">
        <w:rPr>
          <w:rFonts w:ascii="Arial" w:hAnsi="Arial" w:cs="Arial"/>
          <w:sz w:val="22"/>
          <w:szCs w:val="22"/>
          <w:lang w:val="en-US"/>
        </w:rPr>
        <w:t xml:space="preserve"> the problem is perceived as neurodevelopmental, educational, or mental, yet requires joint solutions (Appleton et al., 2022; Crouch et al., 2019). This raises </w:t>
      </w:r>
      <w:r w:rsidR="00D36119" w:rsidRPr="009B041E">
        <w:rPr>
          <w:rFonts w:ascii="Arial" w:hAnsi="Arial" w:cs="Arial"/>
          <w:sz w:val="22"/>
          <w:szCs w:val="22"/>
          <w:lang w:val="en-US"/>
        </w:rPr>
        <w:t>equity</w:t>
      </w:r>
      <w:r w:rsidRPr="009B041E">
        <w:rPr>
          <w:rFonts w:ascii="Arial" w:hAnsi="Arial" w:cs="Arial"/>
          <w:sz w:val="22"/>
          <w:szCs w:val="22"/>
          <w:lang w:val="en-US"/>
        </w:rPr>
        <w:t xml:space="preserve"> </w:t>
      </w:r>
      <w:r w:rsidR="00F1198F">
        <w:rPr>
          <w:rFonts w:ascii="Arial" w:hAnsi="Arial" w:cs="Arial"/>
          <w:sz w:val="22"/>
          <w:szCs w:val="22"/>
          <w:lang w:val="en-US"/>
        </w:rPr>
        <w:t xml:space="preserve">concerns because accessible mental health services </w:t>
      </w:r>
      <w:r w:rsidR="00B56FD2">
        <w:rPr>
          <w:rFonts w:ascii="Arial" w:hAnsi="Arial" w:cs="Arial"/>
          <w:sz w:val="22"/>
          <w:szCs w:val="22"/>
          <w:lang w:val="en-US"/>
        </w:rPr>
        <w:t xml:space="preserve">must adapt to children's communication and learning needs, as well as </w:t>
      </w:r>
      <w:r w:rsidRPr="009B041E">
        <w:rPr>
          <w:rFonts w:ascii="Arial" w:hAnsi="Arial" w:cs="Arial"/>
          <w:sz w:val="22"/>
          <w:szCs w:val="22"/>
          <w:lang w:val="en-US"/>
        </w:rPr>
        <w:t>family resources (NICE, 2019; Parkin and Long, 2024).</w:t>
      </w:r>
    </w:p>
    <w:p w14:paraId="7CED864A" w14:textId="77777777" w:rsidR="009B041E" w:rsidRPr="00503E71" w:rsidRDefault="009B041E" w:rsidP="009B041E">
      <w:pPr>
        <w:spacing w:line="360" w:lineRule="auto"/>
        <w:jc w:val="both"/>
        <w:rPr>
          <w:rFonts w:ascii="Arial" w:hAnsi="Arial" w:cs="Arial"/>
          <w:sz w:val="22"/>
          <w:szCs w:val="22"/>
          <w:lang w:val="en-US"/>
        </w:rPr>
      </w:pPr>
    </w:p>
    <w:p w14:paraId="3F45CA41" w14:textId="7A765593"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As a result, this theme shows that access to CAMHS poses an equity issue. Families of children facing more difficulties are likely to struggle with accessing CAMHS the most (Marmot et al., 2020; Children's Commissioner, 2024). Addressing access problems therefore requires </w:t>
      </w:r>
      <w:r w:rsidR="00B56FD2">
        <w:rPr>
          <w:rFonts w:ascii="Arial" w:hAnsi="Arial" w:cs="Arial"/>
          <w:sz w:val="22"/>
          <w:szCs w:val="22"/>
          <w:lang w:val="en-US"/>
        </w:rPr>
        <w:t>more than increasing</w:t>
      </w:r>
      <w:r w:rsidRPr="009B041E">
        <w:rPr>
          <w:rFonts w:ascii="Arial" w:hAnsi="Arial" w:cs="Arial"/>
          <w:sz w:val="22"/>
          <w:szCs w:val="22"/>
          <w:lang w:val="en-US"/>
        </w:rPr>
        <w:t xml:space="preserve"> the number of referrals received. Instead, services need to focus on providing transportation, accommodating flexible appointments, supporting communication, ensuring access for those who lack </w:t>
      </w:r>
      <w:r w:rsidR="00F1198F">
        <w:rPr>
          <w:rFonts w:ascii="Arial" w:hAnsi="Arial" w:cs="Arial"/>
          <w:sz w:val="22"/>
          <w:szCs w:val="22"/>
          <w:lang w:val="en-US"/>
        </w:rPr>
        <w:t xml:space="preserve">an </w:t>
      </w:r>
      <w:r w:rsidRPr="009B041E">
        <w:rPr>
          <w:rFonts w:ascii="Arial" w:hAnsi="Arial" w:cs="Arial"/>
          <w:sz w:val="22"/>
          <w:szCs w:val="22"/>
          <w:lang w:val="en-US"/>
        </w:rPr>
        <w:t>internet connection, providing interpreters, advocating for clients' needs, adapting to SEND needs, and addressing needs of children coming from poverty (Reardon et al., 2017; Parkin and Long, 2024).</w:t>
      </w:r>
    </w:p>
    <w:p w14:paraId="09034D7A" w14:textId="77777777" w:rsidR="009B041E" w:rsidRPr="00503E71" w:rsidRDefault="009B041E" w:rsidP="009B041E">
      <w:pPr>
        <w:spacing w:line="360" w:lineRule="auto"/>
        <w:jc w:val="both"/>
        <w:rPr>
          <w:rFonts w:ascii="Arial" w:hAnsi="Arial" w:cs="Arial"/>
          <w:sz w:val="22"/>
          <w:szCs w:val="22"/>
          <w:lang w:val="en-US"/>
        </w:rPr>
      </w:pPr>
    </w:p>
    <w:p w14:paraId="3882139B" w14:textId="77777777" w:rsidR="009B041E" w:rsidRPr="009B041E" w:rsidRDefault="009B041E" w:rsidP="009B041E">
      <w:pPr>
        <w:pStyle w:val="Heading2"/>
        <w:rPr>
          <w:lang w:val="en-US"/>
        </w:rPr>
      </w:pPr>
      <w:bookmarkStart w:id="43" w:name="_Toc233629138"/>
      <w:r w:rsidRPr="009B041E">
        <w:rPr>
          <w:lang w:val="en-US"/>
        </w:rPr>
        <w:t>4.6 Theme 4: Regional Variation and Service Capacity</w:t>
      </w:r>
      <w:bookmarkEnd w:id="43"/>
    </w:p>
    <w:p w14:paraId="7136E32B" w14:textId="77777777" w:rsidR="009B041E" w:rsidRPr="009B041E" w:rsidRDefault="009B041E" w:rsidP="009B041E">
      <w:pPr>
        <w:spacing w:line="360" w:lineRule="auto"/>
        <w:jc w:val="both"/>
        <w:rPr>
          <w:rFonts w:ascii="Arial" w:hAnsi="Arial" w:cs="Arial"/>
          <w:sz w:val="22"/>
          <w:szCs w:val="22"/>
          <w:lang w:val="en-US"/>
        </w:rPr>
      </w:pPr>
    </w:p>
    <w:p w14:paraId="61B5DBDC" w14:textId="0DD9D651"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Regional variation and service capacity </w:t>
      </w:r>
      <w:r w:rsidR="00B56FD2">
        <w:rPr>
          <w:rFonts w:ascii="Arial" w:hAnsi="Arial" w:cs="Arial"/>
          <w:sz w:val="22"/>
          <w:szCs w:val="22"/>
          <w:lang w:val="en-US"/>
        </w:rPr>
        <w:t xml:space="preserve">are a major theme in </w:t>
      </w:r>
      <w:r w:rsidRPr="009B041E">
        <w:rPr>
          <w:rFonts w:ascii="Arial" w:hAnsi="Arial" w:cs="Arial"/>
          <w:sz w:val="22"/>
          <w:szCs w:val="22"/>
          <w:lang w:val="en-US"/>
        </w:rPr>
        <w:t xml:space="preserve">children's access to CAMHS. As previously mentioned, regional differences shape the service system in England. </w:t>
      </w:r>
      <w:r w:rsidR="00B56FD2">
        <w:rPr>
          <w:rFonts w:ascii="Arial" w:hAnsi="Arial" w:cs="Arial"/>
          <w:sz w:val="22"/>
          <w:szCs w:val="22"/>
          <w:lang w:val="en-US"/>
        </w:rPr>
        <w:t>Local</w:t>
      </w:r>
      <w:r w:rsidR="00F1198F">
        <w:rPr>
          <w:rFonts w:ascii="Arial" w:hAnsi="Arial" w:cs="Arial"/>
          <w:sz w:val="22"/>
          <w:szCs w:val="22"/>
          <w:lang w:val="en-US"/>
        </w:rPr>
        <w:t xml:space="preserve"> service models, commissioning strategies, workforce capacity, referral processes, school-based provision, and voluntary support services affect access in each area</w:t>
      </w:r>
      <w:r w:rsidRPr="009B041E">
        <w:rPr>
          <w:rFonts w:ascii="Arial" w:hAnsi="Arial" w:cs="Arial"/>
          <w:sz w:val="22"/>
          <w:szCs w:val="22"/>
          <w:lang w:val="en-US"/>
        </w:rPr>
        <w:t xml:space="preserve">. </w:t>
      </w:r>
      <w:r w:rsidR="00F1198F">
        <w:rPr>
          <w:rFonts w:ascii="Arial" w:hAnsi="Arial" w:cs="Arial"/>
          <w:sz w:val="22"/>
          <w:szCs w:val="22"/>
          <w:lang w:val="en-US"/>
        </w:rPr>
        <w:t>As a result</w:t>
      </w:r>
      <w:r w:rsidRPr="009B041E">
        <w:rPr>
          <w:rFonts w:ascii="Arial" w:hAnsi="Arial" w:cs="Arial"/>
          <w:sz w:val="22"/>
          <w:szCs w:val="22"/>
          <w:lang w:val="en-US"/>
        </w:rPr>
        <w:t xml:space="preserve">, two children with similar needs for CAMHS services may face different waiting periods, thresholds, or access mechanisms (Children's Commissioner, 2024). Therefore, </w:t>
      </w:r>
      <w:r w:rsidR="00F1198F" w:rsidRPr="009B041E">
        <w:rPr>
          <w:rFonts w:ascii="Arial" w:hAnsi="Arial" w:cs="Arial"/>
          <w:sz w:val="22"/>
          <w:szCs w:val="22"/>
          <w:lang w:val="en-US"/>
        </w:rPr>
        <w:t>access</w:t>
      </w:r>
      <w:r w:rsidRPr="009B041E">
        <w:rPr>
          <w:rFonts w:ascii="Arial" w:hAnsi="Arial" w:cs="Arial"/>
          <w:sz w:val="22"/>
          <w:szCs w:val="22"/>
          <w:lang w:val="en-US"/>
        </w:rPr>
        <w:t xml:space="preserve"> to </w:t>
      </w:r>
      <w:r w:rsidR="00B56FD2">
        <w:rPr>
          <w:rFonts w:ascii="Arial" w:hAnsi="Arial" w:cs="Arial"/>
          <w:sz w:val="22"/>
          <w:szCs w:val="22"/>
          <w:lang w:val="en-US"/>
        </w:rPr>
        <w:t>these services depends on geography in addition to medical need</w:t>
      </w:r>
      <w:r w:rsidRPr="009B041E">
        <w:rPr>
          <w:rFonts w:ascii="Arial" w:hAnsi="Arial" w:cs="Arial"/>
          <w:sz w:val="22"/>
          <w:szCs w:val="22"/>
          <w:lang w:val="en-US"/>
        </w:rPr>
        <w:t xml:space="preserve"> (Marmot et al., 2020; Parkin and Long, 2024).</w:t>
      </w:r>
    </w:p>
    <w:p w14:paraId="18C06EDA" w14:textId="77777777" w:rsidR="009B041E" w:rsidRPr="009B041E" w:rsidRDefault="009B041E" w:rsidP="009B041E">
      <w:pPr>
        <w:spacing w:line="360" w:lineRule="auto"/>
        <w:jc w:val="both"/>
        <w:rPr>
          <w:rFonts w:ascii="Arial" w:hAnsi="Arial" w:cs="Arial"/>
          <w:sz w:val="22"/>
          <w:szCs w:val="22"/>
          <w:lang w:val="en-US"/>
        </w:rPr>
      </w:pPr>
    </w:p>
    <w:p w14:paraId="29695233" w14:textId="77D0A0A1"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Service capacity plays a key role in this theme. Growing demand for specialist CAMHS has </w:t>
      </w:r>
      <w:r w:rsidR="00B56FD2">
        <w:rPr>
          <w:rFonts w:ascii="Arial" w:hAnsi="Arial" w:cs="Arial"/>
          <w:sz w:val="22"/>
          <w:szCs w:val="22"/>
          <w:lang w:val="en-US"/>
        </w:rPr>
        <w:t>further strained</w:t>
      </w:r>
      <w:r w:rsidRPr="009B041E">
        <w:rPr>
          <w:rFonts w:ascii="Arial" w:hAnsi="Arial" w:cs="Arial"/>
          <w:sz w:val="22"/>
          <w:szCs w:val="22"/>
          <w:lang w:val="en-US"/>
        </w:rPr>
        <w:t xml:space="preserve"> service capacity. To provide proper care, specialists need enough workforce and resources (NHS England, 2019; Parkin and Long, 2024). When capacity </w:t>
      </w:r>
      <w:r w:rsidR="00F1198F">
        <w:rPr>
          <w:rFonts w:ascii="Arial" w:hAnsi="Arial" w:cs="Arial"/>
          <w:sz w:val="22"/>
          <w:szCs w:val="22"/>
          <w:lang w:val="en-US"/>
        </w:rPr>
        <w:t>is insufficient, services may rely</w:t>
      </w:r>
      <w:r w:rsidRPr="009B041E">
        <w:rPr>
          <w:rFonts w:ascii="Arial" w:hAnsi="Arial" w:cs="Arial"/>
          <w:sz w:val="22"/>
          <w:szCs w:val="22"/>
          <w:lang w:val="en-US"/>
        </w:rPr>
        <w:t xml:space="preserve"> on waiting lists, threshold practices, brief interventions, or referral diversion to cope with demand (Children's Commissioner, 2024). On </w:t>
      </w:r>
      <w:r w:rsidR="00B56FD2">
        <w:rPr>
          <w:rFonts w:ascii="Arial" w:hAnsi="Arial" w:cs="Arial"/>
          <w:sz w:val="22"/>
          <w:szCs w:val="22"/>
          <w:lang w:val="en-US"/>
        </w:rPr>
        <w:t xml:space="preserve">the one hand, these strategies might help </w:t>
      </w:r>
      <w:r w:rsidRPr="009B041E">
        <w:rPr>
          <w:rFonts w:ascii="Arial" w:hAnsi="Arial" w:cs="Arial"/>
          <w:sz w:val="22"/>
          <w:szCs w:val="22"/>
          <w:lang w:val="en-US"/>
        </w:rPr>
        <w:t>balance the workload. On the other hand, they pose a potential barrier for families struggling with high mental health needs but not fitting specialist criteria (Scottish Government, 2018; Appleton et al., 2020).</w:t>
      </w:r>
    </w:p>
    <w:p w14:paraId="4883406C" w14:textId="77777777" w:rsidR="009B041E" w:rsidRPr="009B041E" w:rsidRDefault="009B041E" w:rsidP="009B041E">
      <w:pPr>
        <w:spacing w:line="360" w:lineRule="auto"/>
        <w:jc w:val="both"/>
        <w:rPr>
          <w:rFonts w:ascii="Arial" w:hAnsi="Arial" w:cs="Arial"/>
          <w:sz w:val="22"/>
          <w:szCs w:val="22"/>
          <w:lang w:val="en-US"/>
        </w:rPr>
      </w:pPr>
    </w:p>
    <w:p w14:paraId="6E4B5D87" w14:textId="3CA6EECF"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Regional variation impacts the quality of the referral and pre-referral process. While some areas </w:t>
      </w:r>
      <w:r w:rsidR="00F1198F">
        <w:rPr>
          <w:rFonts w:ascii="Arial" w:hAnsi="Arial" w:cs="Arial"/>
          <w:sz w:val="22"/>
          <w:szCs w:val="22"/>
          <w:lang w:val="en-US"/>
        </w:rPr>
        <w:t>may be rich in school-based support, early help services, voluntary provision, or alternatives to CAMHS crisis response, others lack these</w:t>
      </w:r>
      <w:r w:rsidRPr="009B041E">
        <w:rPr>
          <w:rFonts w:ascii="Arial" w:hAnsi="Arial" w:cs="Arial"/>
          <w:sz w:val="22"/>
          <w:szCs w:val="22"/>
          <w:lang w:val="en-US"/>
        </w:rPr>
        <w:t xml:space="preserve"> services (Department of Health and Department for Education, 2017; Parkin and Long, 2024). From this perspective, a rejected referral does not cause a serious problem if a family </w:t>
      </w:r>
      <w:r w:rsidR="00F1198F">
        <w:rPr>
          <w:rFonts w:ascii="Arial" w:hAnsi="Arial" w:cs="Arial"/>
          <w:sz w:val="22"/>
          <w:szCs w:val="22"/>
          <w:lang w:val="en-US"/>
        </w:rPr>
        <w:t>can access appropriate support; otherwise, it may</w:t>
      </w:r>
      <w:r w:rsidRPr="009B041E">
        <w:rPr>
          <w:rFonts w:ascii="Arial" w:hAnsi="Arial" w:cs="Arial"/>
          <w:sz w:val="22"/>
          <w:szCs w:val="22"/>
          <w:lang w:val="en-US"/>
        </w:rPr>
        <w:t xml:space="preserve"> lead to ineffective referrals and unnecessary waiting periods (Scottish Government, 2018; Children's Commissioner, 2024). </w:t>
      </w:r>
      <w:r w:rsidR="00F1198F">
        <w:rPr>
          <w:rFonts w:ascii="Arial" w:hAnsi="Arial" w:cs="Arial"/>
          <w:sz w:val="22"/>
          <w:szCs w:val="22"/>
          <w:lang w:val="en-US"/>
        </w:rPr>
        <w:t>As a result,</w:t>
      </w:r>
      <w:r w:rsidRPr="009B041E">
        <w:rPr>
          <w:rFonts w:ascii="Arial" w:hAnsi="Arial" w:cs="Arial"/>
          <w:sz w:val="22"/>
          <w:szCs w:val="22"/>
          <w:lang w:val="en-US"/>
        </w:rPr>
        <w:t xml:space="preserve"> </w:t>
      </w:r>
      <w:r w:rsidR="00F1198F">
        <w:rPr>
          <w:rFonts w:ascii="Arial" w:hAnsi="Arial" w:cs="Arial"/>
          <w:sz w:val="22"/>
          <w:szCs w:val="22"/>
          <w:lang w:val="en-US"/>
        </w:rPr>
        <w:t xml:space="preserve">the </w:t>
      </w:r>
      <w:r w:rsidRPr="009B041E">
        <w:rPr>
          <w:rFonts w:ascii="Arial" w:hAnsi="Arial" w:cs="Arial"/>
          <w:sz w:val="22"/>
          <w:szCs w:val="22"/>
          <w:lang w:val="en-US"/>
        </w:rPr>
        <w:t>impact of CAMHS thresholds depends largely on the strength of the entire local mental health service ecosystem.</w:t>
      </w:r>
    </w:p>
    <w:p w14:paraId="4EE9D115" w14:textId="77777777" w:rsidR="009B041E" w:rsidRPr="009B041E" w:rsidRDefault="009B041E" w:rsidP="009B041E">
      <w:pPr>
        <w:spacing w:line="360" w:lineRule="auto"/>
        <w:jc w:val="both"/>
        <w:rPr>
          <w:rFonts w:ascii="Arial" w:hAnsi="Arial" w:cs="Arial"/>
          <w:sz w:val="22"/>
          <w:szCs w:val="22"/>
          <w:lang w:val="en-US"/>
        </w:rPr>
      </w:pPr>
    </w:p>
    <w:p w14:paraId="7B06DF81" w14:textId="77777777" w:rsidR="009B041E" w:rsidRPr="009B041E" w:rsidRDefault="009B041E" w:rsidP="009B041E">
      <w:pPr>
        <w:pStyle w:val="Heading2"/>
        <w:rPr>
          <w:lang w:val="en-US"/>
        </w:rPr>
      </w:pPr>
      <w:bookmarkStart w:id="44" w:name="_Toc233629139"/>
      <w:r w:rsidRPr="009B041E">
        <w:rPr>
          <w:lang w:val="en-US"/>
        </w:rPr>
        <w:t>4.7 Theme 5: Stigma, Awareness and Help-Seeking</w:t>
      </w:r>
      <w:bookmarkEnd w:id="44"/>
    </w:p>
    <w:p w14:paraId="51B94B1A" w14:textId="77777777" w:rsidR="009B041E" w:rsidRPr="009B041E" w:rsidRDefault="009B041E" w:rsidP="009B041E">
      <w:pPr>
        <w:spacing w:line="360" w:lineRule="auto"/>
        <w:jc w:val="both"/>
        <w:rPr>
          <w:rFonts w:ascii="Arial" w:hAnsi="Arial" w:cs="Arial"/>
          <w:sz w:val="22"/>
          <w:szCs w:val="22"/>
          <w:lang w:val="en-US"/>
        </w:rPr>
      </w:pPr>
    </w:p>
    <w:p w14:paraId="4C830C5F" w14:textId="462D9419"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Stigma, awareness, and help-seeking appear as a significant theme </w:t>
      </w:r>
      <w:r w:rsidR="00F1198F">
        <w:rPr>
          <w:rFonts w:ascii="Arial" w:hAnsi="Arial" w:cs="Arial"/>
          <w:sz w:val="22"/>
          <w:szCs w:val="22"/>
          <w:lang w:val="en-US"/>
        </w:rPr>
        <w:t>because</w:t>
      </w:r>
      <w:r w:rsidRPr="009B041E">
        <w:rPr>
          <w:rFonts w:ascii="Arial" w:hAnsi="Arial" w:cs="Arial"/>
          <w:sz w:val="22"/>
          <w:szCs w:val="22"/>
          <w:lang w:val="en-US"/>
        </w:rPr>
        <w:t xml:space="preserve"> access to CAMHS is a multi-stage process. Young people and children need to understand their difficulties, perceive them as mental problems, and believe that getting help is possible and safe (Gulliver et al., 2010; </w:t>
      </w:r>
      <w:r w:rsidRPr="009B041E">
        <w:rPr>
          <w:rFonts w:ascii="Arial" w:hAnsi="Arial" w:cs="Arial"/>
          <w:sz w:val="22"/>
          <w:szCs w:val="22"/>
          <w:lang w:val="en-US"/>
        </w:rPr>
        <w:lastRenderedPageBreak/>
        <w:t xml:space="preserve">Reardon et al., 2017; Radez et al., 2022). The literature </w:t>
      </w:r>
      <w:r w:rsidR="00B56FD2">
        <w:rPr>
          <w:rFonts w:ascii="Arial" w:hAnsi="Arial" w:cs="Arial"/>
          <w:sz w:val="22"/>
          <w:szCs w:val="22"/>
          <w:lang w:val="en-US"/>
        </w:rPr>
        <w:t xml:space="preserve">shows that some young people hesitate to seek help for fear of stigma, labelling, loss of privacy, or not being </w:t>
      </w:r>
      <w:r w:rsidRPr="009B041E">
        <w:rPr>
          <w:rFonts w:ascii="Arial" w:hAnsi="Arial" w:cs="Arial"/>
          <w:sz w:val="22"/>
          <w:szCs w:val="22"/>
          <w:lang w:val="en-US"/>
        </w:rPr>
        <w:t>taken seriously (Gulliver et al., 2010; Radez et al., 2022). In this sense, stigma emerges as an access barrier long before entering CAMHS.</w:t>
      </w:r>
    </w:p>
    <w:p w14:paraId="5A7E6FE0" w14:textId="77777777" w:rsidR="009B041E" w:rsidRPr="009B041E" w:rsidRDefault="009B041E" w:rsidP="009B041E">
      <w:pPr>
        <w:spacing w:line="360" w:lineRule="auto"/>
        <w:jc w:val="both"/>
        <w:rPr>
          <w:rFonts w:ascii="Arial" w:hAnsi="Arial" w:cs="Arial"/>
          <w:sz w:val="22"/>
          <w:szCs w:val="22"/>
          <w:lang w:val="en-US"/>
        </w:rPr>
      </w:pPr>
    </w:p>
    <w:p w14:paraId="3F96DCA3" w14:textId="78FF993F"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Teenagers may also struggle with concerns regarding confidentiality and autonomy when disclosing mental health problems. According to Radez et al. (2022), the decision to seek help may </w:t>
      </w:r>
      <w:r w:rsidR="00F1198F">
        <w:rPr>
          <w:rFonts w:ascii="Arial" w:hAnsi="Arial" w:cs="Arial"/>
          <w:sz w:val="22"/>
          <w:szCs w:val="22"/>
          <w:lang w:val="en-US"/>
        </w:rPr>
        <w:t xml:space="preserve">depend heavily on </w:t>
      </w:r>
      <w:r w:rsidR="00B56FD2">
        <w:rPr>
          <w:rFonts w:ascii="Arial" w:hAnsi="Arial" w:cs="Arial"/>
          <w:sz w:val="22"/>
          <w:szCs w:val="22"/>
          <w:lang w:val="en-US"/>
        </w:rPr>
        <w:t>parents' and school staff's attitudes</w:t>
      </w:r>
      <w:r w:rsidR="00F1198F">
        <w:rPr>
          <w:rFonts w:ascii="Arial" w:hAnsi="Arial" w:cs="Arial"/>
          <w:sz w:val="22"/>
          <w:szCs w:val="22"/>
          <w:lang w:val="en-US"/>
        </w:rPr>
        <w:t>, while also involving doubts about disclosure, judgment, and service acceptability</w:t>
      </w:r>
      <w:r w:rsidRPr="009B041E">
        <w:rPr>
          <w:rFonts w:ascii="Arial" w:hAnsi="Arial" w:cs="Arial"/>
          <w:sz w:val="22"/>
          <w:szCs w:val="22"/>
          <w:lang w:val="en-US"/>
        </w:rPr>
        <w:t xml:space="preserve">. </w:t>
      </w:r>
      <w:r w:rsidR="00F1198F">
        <w:rPr>
          <w:rFonts w:ascii="Arial" w:hAnsi="Arial" w:cs="Arial"/>
          <w:sz w:val="22"/>
          <w:szCs w:val="22"/>
          <w:lang w:val="en-US"/>
        </w:rPr>
        <w:t>This creates a conflict: young people need autonomy in their choices, but adults still need to address their distress</w:t>
      </w:r>
      <w:r w:rsidRPr="009B041E">
        <w:rPr>
          <w:rFonts w:ascii="Arial" w:hAnsi="Arial" w:cs="Arial"/>
          <w:sz w:val="22"/>
          <w:szCs w:val="22"/>
          <w:lang w:val="en-US"/>
        </w:rPr>
        <w:t xml:space="preserve"> (Reardon et al., 2017; Radez et al., 2022). When adults fail to </w:t>
      </w:r>
      <w:r w:rsidR="00F1198F">
        <w:rPr>
          <w:rFonts w:ascii="Arial" w:hAnsi="Arial" w:cs="Arial"/>
          <w:sz w:val="22"/>
          <w:szCs w:val="22"/>
          <w:lang w:val="en-US"/>
        </w:rPr>
        <w:t>recognise</w:t>
      </w:r>
      <w:r w:rsidRPr="009B041E">
        <w:rPr>
          <w:rFonts w:ascii="Arial" w:hAnsi="Arial" w:cs="Arial"/>
          <w:sz w:val="22"/>
          <w:szCs w:val="22"/>
          <w:lang w:val="en-US"/>
        </w:rPr>
        <w:t xml:space="preserve"> it, access to services is hindered. Professionals</w:t>
      </w:r>
      <w:r w:rsidR="00F1198F">
        <w:rPr>
          <w:rFonts w:ascii="Arial" w:hAnsi="Arial" w:cs="Arial"/>
          <w:sz w:val="22"/>
          <w:szCs w:val="22"/>
          <w:lang w:val="en-US"/>
        </w:rPr>
        <w:t xml:space="preserve"> should </w:t>
      </w:r>
      <w:r w:rsidRPr="009B041E">
        <w:rPr>
          <w:rFonts w:ascii="Arial" w:hAnsi="Arial" w:cs="Arial"/>
          <w:sz w:val="22"/>
          <w:szCs w:val="22"/>
          <w:lang w:val="en-US"/>
        </w:rPr>
        <w:t xml:space="preserve">clarify confidentiality rules to prevent </w:t>
      </w:r>
      <w:r w:rsidR="00F1198F" w:rsidRPr="009B041E">
        <w:rPr>
          <w:rFonts w:ascii="Arial" w:hAnsi="Arial" w:cs="Arial"/>
          <w:sz w:val="22"/>
          <w:szCs w:val="22"/>
          <w:lang w:val="en-US"/>
        </w:rPr>
        <w:t>misunderstandings</w:t>
      </w:r>
      <w:r w:rsidRPr="009B041E">
        <w:rPr>
          <w:rFonts w:ascii="Arial" w:hAnsi="Arial" w:cs="Arial"/>
          <w:sz w:val="22"/>
          <w:szCs w:val="22"/>
          <w:lang w:val="en-US"/>
        </w:rPr>
        <w:t xml:space="preserve"> </w:t>
      </w:r>
      <w:r w:rsidR="00B56FD2">
        <w:rPr>
          <w:rFonts w:ascii="Arial" w:hAnsi="Arial" w:cs="Arial"/>
          <w:sz w:val="22"/>
          <w:szCs w:val="22"/>
          <w:lang w:val="en-US"/>
        </w:rPr>
        <w:t>for</w:t>
      </w:r>
      <w:r w:rsidRPr="009B041E">
        <w:rPr>
          <w:rFonts w:ascii="Arial" w:hAnsi="Arial" w:cs="Arial"/>
          <w:sz w:val="22"/>
          <w:szCs w:val="22"/>
          <w:lang w:val="en-US"/>
        </w:rPr>
        <w:t xml:space="preserve"> adolescents (Gulliver et al., 2010; Radez et al., 2022).</w:t>
      </w:r>
    </w:p>
    <w:p w14:paraId="199B2126" w14:textId="77777777" w:rsidR="009B041E" w:rsidRPr="009B041E" w:rsidRDefault="009B041E" w:rsidP="009B041E">
      <w:pPr>
        <w:spacing w:line="360" w:lineRule="auto"/>
        <w:jc w:val="both"/>
        <w:rPr>
          <w:rFonts w:ascii="Arial" w:hAnsi="Arial" w:cs="Arial"/>
          <w:sz w:val="22"/>
          <w:szCs w:val="22"/>
          <w:lang w:val="en-US"/>
        </w:rPr>
      </w:pPr>
    </w:p>
    <w:p w14:paraId="6F5370AA" w14:textId="479EBD5D" w:rsidR="009B041E" w:rsidRPr="009B041E" w:rsidRDefault="00B56FD2" w:rsidP="009B041E">
      <w:pPr>
        <w:spacing w:line="360" w:lineRule="auto"/>
        <w:jc w:val="both"/>
        <w:rPr>
          <w:rFonts w:ascii="Arial" w:hAnsi="Arial" w:cs="Arial"/>
          <w:sz w:val="22"/>
          <w:szCs w:val="22"/>
          <w:lang w:val="en-US"/>
        </w:rPr>
      </w:pPr>
      <w:r>
        <w:rPr>
          <w:rFonts w:ascii="Arial" w:hAnsi="Arial" w:cs="Arial"/>
          <w:sz w:val="22"/>
          <w:szCs w:val="22"/>
          <w:lang w:val="en-US"/>
        </w:rPr>
        <w:t>Various obstacles can impede help-seeking among parents and carers</w:t>
      </w:r>
      <w:r w:rsidR="009B041E" w:rsidRPr="009B041E">
        <w:rPr>
          <w:rFonts w:ascii="Arial" w:hAnsi="Arial" w:cs="Arial"/>
          <w:sz w:val="22"/>
          <w:szCs w:val="22"/>
          <w:lang w:val="en-US"/>
        </w:rPr>
        <w:t xml:space="preserve">. Adults play an important role in </w:t>
      </w:r>
      <w:r w:rsidR="00F1198F">
        <w:rPr>
          <w:rFonts w:ascii="Arial" w:hAnsi="Arial" w:cs="Arial"/>
          <w:sz w:val="22"/>
          <w:szCs w:val="22"/>
          <w:lang w:val="en-US"/>
        </w:rPr>
        <w:t>recognising mental health problems and initiating professional support, yet they sometimes struggle to recognise</w:t>
      </w:r>
      <w:r w:rsidR="009B041E" w:rsidRPr="009B041E">
        <w:rPr>
          <w:rFonts w:ascii="Arial" w:hAnsi="Arial" w:cs="Arial"/>
          <w:sz w:val="22"/>
          <w:szCs w:val="22"/>
          <w:lang w:val="en-US"/>
        </w:rPr>
        <w:t xml:space="preserve"> psychological problems that occur without any physical symptoms (Reardon et al., 2017; Crouch et al., 2019). The study conducted by Crouch et al. (2019) suggests that parents who want to seek help for childhood anxiety may feel uncertainty, confusion, and </w:t>
      </w:r>
      <w:r w:rsidR="00F1198F">
        <w:rPr>
          <w:rFonts w:ascii="Arial" w:hAnsi="Arial" w:cs="Arial"/>
          <w:sz w:val="22"/>
          <w:szCs w:val="22"/>
          <w:lang w:val="en-US"/>
        </w:rPr>
        <w:t xml:space="preserve">an inability to navigate </w:t>
      </w:r>
      <w:r w:rsidR="009B041E" w:rsidRPr="009B041E">
        <w:rPr>
          <w:rFonts w:ascii="Arial" w:hAnsi="Arial" w:cs="Arial"/>
          <w:sz w:val="22"/>
          <w:szCs w:val="22"/>
          <w:lang w:val="en-US"/>
        </w:rPr>
        <w:t xml:space="preserve">specialist services. In such </w:t>
      </w:r>
      <w:r w:rsidR="00F1198F">
        <w:rPr>
          <w:rFonts w:ascii="Arial" w:hAnsi="Arial" w:cs="Arial"/>
          <w:sz w:val="22"/>
          <w:szCs w:val="22"/>
          <w:lang w:val="en-US"/>
        </w:rPr>
        <w:t>cases, families need clearer guidelines on</w:t>
      </w:r>
      <w:r w:rsidR="009B041E" w:rsidRPr="009B041E">
        <w:rPr>
          <w:rFonts w:ascii="Arial" w:hAnsi="Arial" w:cs="Arial"/>
          <w:sz w:val="22"/>
          <w:szCs w:val="22"/>
          <w:lang w:val="en-US"/>
        </w:rPr>
        <w:t xml:space="preserve"> what </w:t>
      </w:r>
      <w:r w:rsidR="00F1198F" w:rsidRPr="009B041E">
        <w:rPr>
          <w:rFonts w:ascii="Arial" w:hAnsi="Arial" w:cs="Arial"/>
          <w:sz w:val="22"/>
          <w:szCs w:val="22"/>
          <w:lang w:val="en-US"/>
        </w:rPr>
        <w:t>services</w:t>
      </w:r>
      <w:r w:rsidR="009B041E" w:rsidRPr="009B041E">
        <w:rPr>
          <w:rFonts w:ascii="Arial" w:hAnsi="Arial" w:cs="Arial"/>
          <w:sz w:val="22"/>
          <w:szCs w:val="22"/>
          <w:lang w:val="en-US"/>
        </w:rPr>
        <w:t xml:space="preserve"> children require (Crouch et al., 2019; Appleton et al., 2020).</w:t>
      </w:r>
    </w:p>
    <w:p w14:paraId="02304DC2" w14:textId="77777777" w:rsidR="009B041E" w:rsidRPr="009B041E" w:rsidRDefault="009B041E" w:rsidP="009B041E">
      <w:pPr>
        <w:spacing w:line="360" w:lineRule="auto"/>
        <w:jc w:val="both"/>
        <w:rPr>
          <w:rFonts w:ascii="Arial" w:hAnsi="Arial" w:cs="Arial"/>
          <w:sz w:val="22"/>
          <w:szCs w:val="22"/>
          <w:lang w:val="en-US"/>
        </w:rPr>
      </w:pPr>
    </w:p>
    <w:p w14:paraId="1223BDFB" w14:textId="604B39FD"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Another important factor influencing access to services involves trust. It has been shown that help-seeking becomes more common among youth if they trust mental health specialists because professionals can create a secure atmosphere by respecting </w:t>
      </w:r>
      <w:r w:rsidR="00F1198F">
        <w:rPr>
          <w:rFonts w:ascii="Arial" w:hAnsi="Arial" w:cs="Arial"/>
          <w:sz w:val="22"/>
          <w:szCs w:val="22"/>
          <w:lang w:val="en-US"/>
        </w:rPr>
        <w:t>clients'</w:t>
      </w:r>
      <w:r w:rsidRPr="009B041E">
        <w:rPr>
          <w:rFonts w:ascii="Arial" w:hAnsi="Arial" w:cs="Arial"/>
          <w:sz w:val="22"/>
          <w:szCs w:val="22"/>
          <w:lang w:val="en-US"/>
        </w:rPr>
        <w:t xml:space="preserve"> confidentiality and offering appropriate help (Radez et al., 2022). Parents and caregivers also tend to continue helping their children </w:t>
      </w:r>
      <w:r w:rsidR="00B56FD2">
        <w:rPr>
          <w:rFonts w:ascii="Arial" w:hAnsi="Arial" w:cs="Arial"/>
          <w:sz w:val="22"/>
          <w:szCs w:val="22"/>
          <w:lang w:val="en-US"/>
        </w:rPr>
        <w:t>when they receive sufficient,</w:t>
      </w:r>
      <w:r w:rsidRPr="009B041E">
        <w:rPr>
          <w:rFonts w:ascii="Arial" w:hAnsi="Arial" w:cs="Arial"/>
          <w:sz w:val="22"/>
          <w:szCs w:val="22"/>
          <w:lang w:val="en-US"/>
        </w:rPr>
        <w:t xml:space="preserve"> understandable information about what to do next (Appleton et al., 2020; Appleton et al., 2022). Consequently, to facilitate the referral process, stigma reduction needs to be complemented by reliable communication and youth-friendly policies (Reardon et al., 2017; Appleton et al., 2022).</w:t>
      </w:r>
    </w:p>
    <w:p w14:paraId="081E8541" w14:textId="77777777" w:rsidR="009B041E" w:rsidRPr="00503E71" w:rsidRDefault="009B041E" w:rsidP="009B041E">
      <w:pPr>
        <w:spacing w:line="360" w:lineRule="auto"/>
        <w:jc w:val="both"/>
        <w:rPr>
          <w:rFonts w:ascii="Arial" w:hAnsi="Arial" w:cs="Arial"/>
          <w:sz w:val="22"/>
          <w:szCs w:val="22"/>
          <w:lang w:val="en-US"/>
        </w:rPr>
      </w:pPr>
    </w:p>
    <w:p w14:paraId="1A5854E1" w14:textId="77777777" w:rsidR="009B041E" w:rsidRPr="009B041E" w:rsidRDefault="009B041E" w:rsidP="009B041E">
      <w:pPr>
        <w:pStyle w:val="Heading2"/>
        <w:rPr>
          <w:lang w:val="en-US"/>
        </w:rPr>
      </w:pPr>
      <w:bookmarkStart w:id="45" w:name="_Toc233629140"/>
      <w:r w:rsidRPr="009B041E">
        <w:rPr>
          <w:lang w:val="en-US"/>
        </w:rPr>
        <w:t>4.8 Theme 6: Schools, GPs and Early Intervention as Enablers</w:t>
      </w:r>
      <w:bookmarkEnd w:id="45"/>
    </w:p>
    <w:p w14:paraId="49BCFC07" w14:textId="77777777" w:rsidR="009B041E" w:rsidRPr="009B041E" w:rsidRDefault="009B041E" w:rsidP="009B041E">
      <w:pPr>
        <w:spacing w:line="360" w:lineRule="auto"/>
        <w:jc w:val="both"/>
        <w:rPr>
          <w:rFonts w:ascii="Arial" w:hAnsi="Arial" w:cs="Arial"/>
          <w:sz w:val="22"/>
          <w:szCs w:val="22"/>
          <w:lang w:val="en-US"/>
        </w:rPr>
      </w:pPr>
    </w:p>
    <w:p w14:paraId="721D7AE7" w14:textId="742823A7"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lastRenderedPageBreak/>
        <w:t xml:space="preserve">Among barriers to mental health care, the review identified schools, GPs, and early intervention as the main enablers of CAMHS access. This finding </w:t>
      </w:r>
      <w:r w:rsidR="00F1198F">
        <w:rPr>
          <w:rFonts w:ascii="Arial" w:hAnsi="Arial" w:cs="Arial"/>
          <w:sz w:val="22"/>
          <w:szCs w:val="22"/>
          <w:lang w:val="en-US"/>
        </w:rPr>
        <w:t xml:space="preserve">matters because, beyond barriers, the literature highlights leverage points </w:t>
      </w:r>
      <w:r w:rsidR="00B56FD2">
        <w:rPr>
          <w:rFonts w:ascii="Arial" w:hAnsi="Arial" w:cs="Arial"/>
          <w:sz w:val="22"/>
          <w:szCs w:val="22"/>
          <w:lang w:val="en-US"/>
        </w:rPr>
        <w:t>to improve the system and</w:t>
      </w:r>
      <w:r w:rsidR="00F1198F">
        <w:rPr>
          <w:rFonts w:ascii="Arial" w:hAnsi="Arial" w:cs="Arial"/>
          <w:sz w:val="22"/>
          <w:szCs w:val="22"/>
          <w:lang w:val="en-US"/>
        </w:rPr>
        <w:t xml:space="preserve"> support</w:t>
      </w:r>
      <w:r w:rsidRPr="009B041E">
        <w:rPr>
          <w:rFonts w:ascii="Arial" w:hAnsi="Arial" w:cs="Arial"/>
          <w:sz w:val="22"/>
          <w:szCs w:val="22"/>
          <w:lang w:val="en-US"/>
        </w:rPr>
        <w:t xml:space="preserve"> families more efficiently (Department of Health and Department for Education, 2017; Sayal et al., 2010; NHS England, 2025). Schools and general practitioners are among the best enablers </w:t>
      </w:r>
      <w:r w:rsidR="00F1198F">
        <w:rPr>
          <w:rFonts w:ascii="Arial" w:hAnsi="Arial" w:cs="Arial"/>
          <w:sz w:val="22"/>
          <w:szCs w:val="22"/>
          <w:lang w:val="en-US"/>
        </w:rPr>
        <w:t>because they have easier access to children than</w:t>
      </w:r>
      <w:r w:rsidRPr="009B041E">
        <w:rPr>
          <w:rFonts w:ascii="Arial" w:hAnsi="Arial" w:cs="Arial"/>
          <w:sz w:val="22"/>
          <w:szCs w:val="22"/>
          <w:lang w:val="en-US"/>
        </w:rPr>
        <w:t xml:space="preserve"> specialist CAMHS services (Reardon et al., 2017; Parkin and Long, 2024).</w:t>
      </w:r>
    </w:p>
    <w:p w14:paraId="7000E494" w14:textId="77777777" w:rsidR="009B041E" w:rsidRPr="009B041E" w:rsidRDefault="009B041E" w:rsidP="009B041E">
      <w:pPr>
        <w:spacing w:line="360" w:lineRule="auto"/>
        <w:jc w:val="both"/>
        <w:rPr>
          <w:rFonts w:ascii="Arial" w:hAnsi="Arial" w:cs="Arial"/>
          <w:sz w:val="22"/>
          <w:szCs w:val="22"/>
          <w:lang w:val="en-US"/>
        </w:rPr>
      </w:pPr>
    </w:p>
    <w:p w14:paraId="6D4DFAEC" w14:textId="5253E278"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Access to services provided by schools and colleges is significant </w:t>
      </w:r>
      <w:r w:rsidR="00F1198F">
        <w:rPr>
          <w:rFonts w:ascii="Arial" w:hAnsi="Arial" w:cs="Arial"/>
          <w:sz w:val="22"/>
          <w:szCs w:val="22"/>
          <w:lang w:val="en-US"/>
        </w:rPr>
        <w:t>because</w:t>
      </w:r>
      <w:r w:rsidRPr="009B041E">
        <w:rPr>
          <w:rFonts w:ascii="Arial" w:hAnsi="Arial" w:cs="Arial"/>
          <w:sz w:val="22"/>
          <w:szCs w:val="22"/>
          <w:lang w:val="en-US"/>
        </w:rPr>
        <w:t xml:space="preserve"> school staff can notice changes in </w:t>
      </w:r>
      <w:r w:rsidR="00F1198F">
        <w:rPr>
          <w:rFonts w:ascii="Arial" w:hAnsi="Arial" w:cs="Arial"/>
          <w:sz w:val="22"/>
          <w:szCs w:val="22"/>
          <w:lang w:val="en-US"/>
        </w:rPr>
        <w:t>a child's emotions, behaviour, attendance, academic performance, and relationships</w:t>
      </w:r>
      <w:r w:rsidRPr="009B041E">
        <w:rPr>
          <w:rFonts w:ascii="Arial" w:hAnsi="Arial" w:cs="Arial"/>
          <w:sz w:val="22"/>
          <w:szCs w:val="22"/>
          <w:lang w:val="en-US"/>
        </w:rPr>
        <w:t xml:space="preserve"> with peers (Department of Health and Department for Education, 2017). In such a context, school staff can encourage young people to share their problems, engage parents and carers, </w:t>
      </w:r>
      <w:r w:rsidR="00F1198F" w:rsidRPr="009B041E">
        <w:rPr>
          <w:rFonts w:ascii="Arial" w:hAnsi="Arial" w:cs="Arial"/>
          <w:sz w:val="22"/>
          <w:szCs w:val="22"/>
          <w:lang w:val="en-US"/>
        </w:rPr>
        <w:t>contact</w:t>
      </w:r>
      <w:r w:rsidRPr="009B041E">
        <w:rPr>
          <w:rFonts w:ascii="Arial" w:hAnsi="Arial" w:cs="Arial"/>
          <w:sz w:val="22"/>
          <w:szCs w:val="22"/>
          <w:lang w:val="en-US"/>
        </w:rPr>
        <w:t xml:space="preserve"> mental health specialists, and make appropriate referrals (Radez et al., 2022). </w:t>
      </w:r>
      <w:r w:rsidR="00F1198F">
        <w:rPr>
          <w:rFonts w:ascii="Arial" w:hAnsi="Arial" w:cs="Arial"/>
          <w:sz w:val="22"/>
          <w:szCs w:val="22"/>
          <w:lang w:val="en-US"/>
        </w:rPr>
        <w:t xml:space="preserve">The expansion of Mental Health Support Teams (MHSTs) reflects a policy approach in which schools and colleges </w:t>
      </w:r>
      <w:r w:rsidRPr="009B041E">
        <w:rPr>
          <w:rFonts w:ascii="Arial" w:hAnsi="Arial" w:cs="Arial"/>
          <w:sz w:val="22"/>
          <w:szCs w:val="22"/>
          <w:lang w:val="en-US"/>
        </w:rPr>
        <w:t>play a bigger role in mental health interventions. MHSTs are mostly designed to address mild to moderate mental health problems and promote a whole-school approach to mental well-being. Nonetheless, they cannot substitute specialist services for young people with more severe and complex needs (Children's Commissioner, 2024; Parkin and Long, 2024). Hence, schools and MHST should be regarded as integral parts of the care pathway.</w:t>
      </w:r>
    </w:p>
    <w:p w14:paraId="63A024FF" w14:textId="77777777" w:rsidR="009B041E" w:rsidRPr="009B041E" w:rsidRDefault="009B041E" w:rsidP="009B041E">
      <w:pPr>
        <w:spacing w:line="360" w:lineRule="auto"/>
        <w:jc w:val="both"/>
        <w:rPr>
          <w:rFonts w:ascii="Arial" w:hAnsi="Arial" w:cs="Arial"/>
          <w:sz w:val="22"/>
          <w:szCs w:val="22"/>
          <w:lang w:val="en-US"/>
        </w:rPr>
      </w:pPr>
    </w:p>
    <w:p w14:paraId="11B82ED2" w14:textId="08A8437A"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General practitioners </w:t>
      </w:r>
      <w:r w:rsidR="00F1198F">
        <w:rPr>
          <w:rFonts w:ascii="Arial" w:hAnsi="Arial" w:cs="Arial"/>
          <w:sz w:val="22"/>
          <w:szCs w:val="22"/>
          <w:lang w:val="en-US"/>
        </w:rPr>
        <w:t>are another enabler because they are often the first point of</w:t>
      </w:r>
      <w:r w:rsidRPr="009B041E">
        <w:rPr>
          <w:rFonts w:ascii="Arial" w:hAnsi="Arial" w:cs="Arial"/>
          <w:sz w:val="22"/>
          <w:szCs w:val="22"/>
          <w:lang w:val="en-US"/>
        </w:rPr>
        <w:t xml:space="preserve"> contact for families considering mental health services for their children (Sayal et al., 2010; Reardon et al., 2017). They can assess </w:t>
      </w:r>
      <w:r w:rsidR="00F1198F">
        <w:rPr>
          <w:rFonts w:ascii="Arial" w:hAnsi="Arial" w:cs="Arial"/>
          <w:sz w:val="22"/>
          <w:szCs w:val="22"/>
          <w:lang w:val="en-US"/>
        </w:rPr>
        <w:t>children's</w:t>
      </w:r>
      <w:r w:rsidRPr="009B041E">
        <w:rPr>
          <w:rFonts w:ascii="Arial" w:hAnsi="Arial" w:cs="Arial"/>
          <w:sz w:val="22"/>
          <w:szCs w:val="22"/>
          <w:lang w:val="en-US"/>
        </w:rPr>
        <w:t xml:space="preserve"> needs, provide preliminary guidance, refer children and parents to CAMHS services, and refer </w:t>
      </w:r>
      <w:r w:rsidR="00B56FD2">
        <w:rPr>
          <w:rFonts w:ascii="Arial" w:hAnsi="Arial" w:cs="Arial"/>
          <w:sz w:val="22"/>
          <w:szCs w:val="22"/>
          <w:lang w:val="en-US"/>
        </w:rPr>
        <w:t xml:space="preserve">them to alternative community support </w:t>
      </w:r>
      <w:r w:rsidRPr="009B041E">
        <w:rPr>
          <w:rFonts w:ascii="Arial" w:hAnsi="Arial" w:cs="Arial"/>
          <w:sz w:val="22"/>
          <w:szCs w:val="22"/>
          <w:lang w:val="en-US"/>
        </w:rPr>
        <w:t xml:space="preserve">(NHS, 2024; Parkin and Long, 2024). Their contribution is particularly valuable </w:t>
      </w:r>
      <w:r w:rsidR="00B56FD2">
        <w:rPr>
          <w:rFonts w:ascii="Arial" w:hAnsi="Arial" w:cs="Arial"/>
          <w:sz w:val="22"/>
          <w:szCs w:val="22"/>
          <w:lang w:val="en-US"/>
        </w:rPr>
        <w:t>when</w:t>
      </w:r>
      <w:r w:rsidR="00F1198F">
        <w:rPr>
          <w:rFonts w:ascii="Arial" w:hAnsi="Arial" w:cs="Arial"/>
          <w:sz w:val="22"/>
          <w:szCs w:val="22"/>
          <w:lang w:val="en-US"/>
        </w:rPr>
        <w:t xml:space="preserve"> families struggle to distinguish psychological problems from developmental disorders and behavioural</w:t>
      </w:r>
      <w:r w:rsidRPr="009B041E">
        <w:rPr>
          <w:rFonts w:ascii="Arial" w:hAnsi="Arial" w:cs="Arial"/>
          <w:sz w:val="22"/>
          <w:szCs w:val="22"/>
          <w:lang w:val="en-US"/>
        </w:rPr>
        <w:t xml:space="preserve"> issues (Reardon et al., 2017). At the same time, an unclear and unhelpful referral process may further hinder access to services (Sayal et al., 2010; Crouch et al., 2019).</w:t>
      </w:r>
    </w:p>
    <w:p w14:paraId="606B48A6" w14:textId="77777777" w:rsidR="009B041E" w:rsidRPr="00106C49" w:rsidRDefault="009B041E" w:rsidP="009B041E">
      <w:pPr>
        <w:spacing w:line="360" w:lineRule="auto"/>
        <w:jc w:val="both"/>
        <w:rPr>
          <w:rFonts w:ascii="Arial" w:hAnsi="Arial" w:cs="Arial"/>
          <w:sz w:val="22"/>
          <w:szCs w:val="22"/>
          <w:lang w:val="en-US"/>
        </w:rPr>
      </w:pPr>
    </w:p>
    <w:p w14:paraId="055F2BC8" w14:textId="77777777" w:rsidR="009B041E" w:rsidRPr="009B041E" w:rsidRDefault="009B041E" w:rsidP="009B041E">
      <w:pPr>
        <w:pStyle w:val="Heading2"/>
        <w:rPr>
          <w:lang w:val="en-US"/>
        </w:rPr>
      </w:pPr>
      <w:bookmarkStart w:id="46" w:name="_Toc233629141"/>
      <w:r w:rsidRPr="009B041E">
        <w:rPr>
          <w:lang w:val="en-US"/>
        </w:rPr>
        <w:t>4.9 Theme 7: Continuity of Care and Transition Issues</w:t>
      </w:r>
      <w:bookmarkEnd w:id="46"/>
    </w:p>
    <w:p w14:paraId="2F1F5D1E" w14:textId="77777777" w:rsidR="009B041E" w:rsidRPr="009B041E" w:rsidRDefault="009B041E" w:rsidP="009B041E">
      <w:pPr>
        <w:spacing w:line="360" w:lineRule="auto"/>
        <w:jc w:val="both"/>
        <w:rPr>
          <w:rFonts w:ascii="Arial" w:hAnsi="Arial" w:cs="Arial"/>
          <w:sz w:val="22"/>
          <w:szCs w:val="22"/>
          <w:lang w:val="en-US"/>
        </w:rPr>
      </w:pPr>
    </w:p>
    <w:p w14:paraId="614409FC" w14:textId="11EBD1A8"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Continuity of care </w:t>
      </w:r>
      <w:r w:rsidR="00F1198F">
        <w:rPr>
          <w:rFonts w:ascii="Arial" w:hAnsi="Arial" w:cs="Arial"/>
          <w:sz w:val="22"/>
          <w:szCs w:val="22"/>
          <w:lang w:val="en-US"/>
        </w:rPr>
        <w:t>is a substantial theme because access to CAMHS does not stop once an appointment is allocated</w:t>
      </w:r>
      <w:r w:rsidRPr="009B041E">
        <w:rPr>
          <w:rFonts w:ascii="Arial" w:hAnsi="Arial" w:cs="Arial"/>
          <w:sz w:val="22"/>
          <w:szCs w:val="22"/>
          <w:lang w:val="en-US"/>
        </w:rPr>
        <w:t xml:space="preserve">. It covers both the provision of long-term, coordinated, and adequate assistance (Appleton et al., 2020; Appleton et al., 2022). According to available evidence, some young people consider the mental health care system to be fragmented. Specifically, transitions between </w:t>
      </w:r>
      <w:r w:rsidR="00F1198F">
        <w:rPr>
          <w:rFonts w:ascii="Arial" w:hAnsi="Arial" w:cs="Arial"/>
          <w:sz w:val="22"/>
          <w:szCs w:val="22"/>
          <w:lang w:val="en-US"/>
        </w:rPr>
        <w:t xml:space="preserve">services, reaching certain age thresholds, leaving CAMHS, and requiring support from </w:t>
      </w:r>
      <w:r w:rsidR="00F1198F">
        <w:rPr>
          <w:rFonts w:ascii="Arial" w:hAnsi="Arial" w:cs="Arial"/>
          <w:sz w:val="22"/>
          <w:szCs w:val="22"/>
          <w:lang w:val="en-US"/>
        </w:rPr>
        <w:lastRenderedPageBreak/>
        <w:t>multiple professionals could contribute to a fragmented experience of care</w:t>
      </w:r>
      <w:r w:rsidRPr="009B041E">
        <w:rPr>
          <w:rFonts w:ascii="Arial" w:hAnsi="Arial" w:cs="Arial"/>
          <w:sz w:val="22"/>
          <w:szCs w:val="22"/>
          <w:lang w:val="en-US"/>
        </w:rPr>
        <w:t xml:space="preserve"> (Appleton et al., 2020; Appleton et al., 2022). </w:t>
      </w:r>
      <w:r w:rsidR="00B56FD2">
        <w:rPr>
          <w:rFonts w:ascii="Arial" w:hAnsi="Arial" w:cs="Arial"/>
          <w:sz w:val="22"/>
          <w:szCs w:val="22"/>
          <w:lang w:val="en-US"/>
        </w:rPr>
        <w:t>Continuity is therefore seen as a process related</w:t>
      </w:r>
      <w:r w:rsidRPr="009B041E">
        <w:rPr>
          <w:rFonts w:ascii="Arial" w:hAnsi="Arial" w:cs="Arial"/>
          <w:sz w:val="22"/>
          <w:szCs w:val="22"/>
          <w:lang w:val="en-US"/>
        </w:rPr>
        <w:t xml:space="preserve"> to access to services.</w:t>
      </w:r>
    </w:p>
    <w:p w14:paraId="0A3FEA55" w14:textId="77777777" w:rsidR="009B041E" w:rsidRPr="009B041E" w:rsidRDefault="009B041E" w:rsidP="009B041E">
      <w:pPr>
        <w:spacing w:line="360" w:lineRule="auto"/>
        <w:jc w:val="both"/>
        <w:rPr>
          <w:rFonts w:ascii="Arial" w:hAnsi="Arial" w:cs="Arial"/>
          <w:sz w:val="22"/>
          <w:szCs w:val="22"/>
          <w:lang w:val="en-US"/>
        </w:rPr>
      </w:pPr>
    </w:p>
    <w:p w14:paraId="510D73ED" w14:textId="73242295"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It is important to </w:t>
      </w:r>
      <w:r w:rsidR="00F1198F">
        <w:rPr>
          <w:rFonts w:ascii="Arial" w:hAnsi="Arial" w:cs="Arial"/>
          <w:sz w:val="22"/>
          <w:szCs w:val="22"/>
          <w:lang w:val="en-US"/>
        </w:rPr>
        <w:t>consider the transition issue related to the end of CAMHS use</w:t>
      </w:r>
      <w:r w:rsidRPr="009B041E">
        <w:rPr>
          <w:rFonts w:ascii="Arial" w:hAnsi="Arial" w:cs="Arial"/>
          <w:sz w:val="22"/>
          <w:szCs w:val="22"/>
          <w:lang w:val="en-US"/>
        </w:rPr>
        <w:t xml:space="preserve">. A young person might stop receiving mental health assistance due to reaching the upper age limit for CAMHS </w:t>
      </w:r>
      <w:r w:rsidR="00F1198F">
        <w:rPr>
          <w:rFonts w:ascii="Arial" w:hAnsi="Arial" w:cs="Arial"/>
          <w:sz w:val="22"/>
          <w:szCs w:val="22"/>
          <w:lang w:val="en-US"/>
        </w:rPr>
        <w:t>utilisation</w:t>
      </w:r>
      <w:r w:rsidRPr="009B041E">
        <w:rPr>
          <w:rFonts w:ascii="Arial" w:hAnsi="Arial" w:cs="Arial"/>
          <w:sz w:val="22"/>
          <w:szCs w:val="22"/>
          <w:lang w:val="en-US"/>
        </w:rPr>
        <w:t xml:space="preserve">. In such a situation, if a young </w:t>
      </w:r>
      <w:r w:rsidR="00F1198F">
        <w:rPr>
          <w:rFonts w:ascii="Arial" w:hAnsi="Arial" w:cs="Arial"/>
          <w:sz w:val="22"/>
          <w:szCs w:val="22"/>
          <w:lang w:val="en-US"/>
        </w:rPr>
        <w:t>person fails to meet the thresholds required to enter adult services, transition planning is weak, or another</w:t>
      </w:r>
      <w:r w:rsidRPr="009B041E">
        <w:rPr>
          <w:rFonts w:ascii="Arial" w:hAnsi="Arial" w:cs="Arial"/>
          <w:sz w:val="22"/>
          <w:szCs w:val="22"/>
          <w:lang w:val="en-US"/>
        </w:rPr>
        <w:t xml:space="preserve"> problem occurs, </w:t>
      </w:r>
      <w:r w:rsidR="00B56FD2">
        <w:rPr>
          <w:rFonts w:ascii="Arial" w:hAnsi="Arial" w:cs="Arial"/>
          <w:sz w:val="22"/>
          <w:szCs w:val="22"/>
          <w:lang w:val="en-US"/>
        </w:rPr>
        <w:t>they</w:t>
      </w:r>
      <w:r w:rsidRPr="009B041E">
        <w:rPr>
          <w:rFonts w:ascii="Arial" w:hAnsi="Arial" w:cs="Arial"/>
          <w:sz w:val="22"/>
          <w:szCs w:val="22"/>
          <w:lang w:val="en-US"/>
        </w:rPr>
        <w:t xml:space="preserve"> </w:t>
      </w:r>
      <w:r w:rsidR="00F1198F" w:rsidRPr="009B041E">
        <w:rPr>
          <w:rFonts w:ascii="Arial" w:hAnsi="Arial" w:cs="Arial"/>
          <w:sz w:val="22"/>
          <w:szCs w:val="22"/>
          <w:lang w:val="en-US"/>
        </w:rPr>
        <w:t>will</w:t>
      </w:r>
      <w:r w:rsidRPr="009B041E">
        <w:rPr>
          <w:rFonts w:ascii="Arial" w:hAnsi="Arial" w:cs="Arial"/>
          <w:sz w:val="22"/>
          <w:szCs w:val="22"/>
          <w:lang w:val="en-US"/>
        </w:rPr>
        <w:t xml:space="preserve"> receive no further assistance (Appleton et al., 2020; Appleton et al., 2022). </w:t>
      </w:r>
      <w:r w:rsidR="00F1198F">
        <w:rPr>
          <w:rFonts w:ascii="Arial" w:hAnsi="Arial" w:cs="Arial"/>
          <w:sz w:val="22"/>
          <w:szCs w:val="22"/>
          <w:lang w:val="en-US"/>
        </w:rPr>
        <w:t>This is important because</w:t>
      </w:r>
      <w:r w:rsidRPr="009B041E">
        <w:rPr>
          <w:rFonts w:ascii="Arial" w:hAnsi="Arial" w:cs="Arial"/>
          <w:sz w:val="22"/>
          <w:szCs w:val="22"/>
          <w:lang w:val="en-US"/>
        </w:rPr>
        <w:t xml:space="preserve">, although one has reached the threshold of legal adulthood, one still requires mental health support. However, </w:t>
      </w:r>
      <w:r w:rsidR="00B56FD2">
        <w:rPr>
          <w:rFonts w:ascii="Arial" w:hAnsi="Arial" w:cs="Arial"/>
          <w:sz w:val="22"/>
          <w:szCs w:val="22"/>
          <w:lang w:val="en-US"/>
        </w:rPr>
        <w:t>adult services may have specific criteria for entry</w:t>
      </w:r>
      <w:r w:rsidRPr="009B041E">
        <w:rPr>
          <w:rFonts w:ascii="Arial" w:hAnsi="Arial" w:cs="Arial"/>
          <w:sz w:val="22"/>
          <w:szCs w:val="22"/>
          <w:lang w:val="en-US"/>
        </w:rPr>
        <w:t xml:space="preserve"> (Appleton et al., 2022). </w:t>
      </w:r>
      <w:r w:rsidR="00F1198F">
        <w:rPr>
          <w:rFonts w:ascii="Arial" w:hAnsi="Arial" w:cs="Arial"/>
          <w:sz w:val="22"/>
          <w:szCs w:val="22"/>
          <w:lang w:val="en-US"/>
        </w:rPr>
        <w:t>As a result, this transition period creates a service gap for young people with specific</w:t>
      </w:r>
      <w:r w:rsidRPr="009B041E">
        <w:rPr>
          <w:rFonts w:ascii="Arial" w:hAnsi="Arial" w:cs="Arial"/>
          <w:sz w:val="22"/>
          <w:szCs w:val="22"/>
          <w:lang w:val="en-US"/>
        </w:rPr>
        <w:t xml:space="preserve"> needs.</w:t>
      </w:r>
    </w:p>
    <w:p w14:paraId="0C253C05" w14:textId="77777777" w:rsidR="009B041E" w:rsidRPr="009B041E" w:rsidRDefault="009B041E" w:rsidP="009B041E">
      <w:pPr>
        <w:spacing w:line="360" w:lineRule="auto"/>
        <w:jc w:val="both"/>
        <w:rPr>
          <w:rFonts w:ascii="Arial" w:hAnsi="Arial" w:cs="Arial"/>
          <w:sz w:val="22"/>
          <w:szCs w:val="22"/>
          <w:lang w:val="en-US"/>
        </w:rPr>
      </w:pPr>
    </w:p>
    <w:p w14:paraId="0B7C3508" w14:textId="712F709E" w:rsidR="009B041E" w:rsidRPr="009B041E" w:rsidRDefault="009B041E" w:rsidP="009B041E">
      <w:pPr>
        <w:spacing w:line="360" w:lineRule="auto"/>
        <w:jc w:val="both"/>
        <w:rPr>
          <w:rFonts w:ascii="Arial" w:hAnsi="Arial" w:cs="Arial"/>
          <w:sz w:val="22"/>
          <w:szCs w:val="22"/>
          <w:lang w:val="en-US"/>
        </w:rPr>
      </w:pPr>
      <w:r w:rsidRPr="009B041E">
        <w:rPr>
          <w:rFonts w:ascii="Arial" w:hAnsi="Arial" w:cs="Arial"/>
          <w:sz w:val="22"/>
          <w:szCs w:val="22"/>
          <w:lang w:val="en-US"/>
        </w:rPr>
        <w:t xml:space="preserve">Another </w:t>
      </w:r>
      <w:r w:rsidR="00B56FD2">
        <w:rPr>
          <w:rFonts w:ascii="Arial" w:hAnsi="Arial" w:cs="Arial"/>
          <w:sz w:val="22"/>
          <w:szCs w:val="22"/>
          <w:lang w:val="en-US"/>
        </w:rPr>
        <w:t xml:space="preserve">issue is continuity of care </w:t>
      </w:r>
      <w:r w:rsidRPr="009B041E">
        <w:rPr>
          <w:rFonts w:ascii="Arial" w:hAnsi="Arial" w:cs="Arial"/>
          <w:sz w:val="22"/>
          <w:szCs w:val="22"/>
          <w:lang w:val="en-US"/>
        </w:rPr>
        <w:t xml:space="preserve">within CAMHS. Families </w:t>
      </w:r>
      <w:r w:rsidR="00B56FD2">
        <w:rPr>
          <w:rFonts w:ascii="Arial" w:hAnsi="Arial" w:cs="Arial"/>
          <w:sz w:val="22"/>
          <w:szCs w:val="22"/>
          <w:lang w:val="en-US"/>
        </w:rPr>
        <w:t>may encounter changing professionals, repeated assessments, missed</w:t>
      </w:r>
      <w:r w:rsidRPr="009B041E">
        <w:rPr>
          <w:rFonts w:ascii="Arial" w:hAnsi="Arial" w:cs="Arial"/>
          <w:sz w:val="22"/>
          <w:szCs w:val="22"/>
          <w:lang w:val="en-US"/>
        </w:rPr>
        <w:t xml:space="preserve"> follow-ups, and poor inter-agency collaboration (Appleton et al., 2022; Parkin &amp; Long, 2024). </w:t>
      </w:r>
      <w:r w:rsidR="00B56FD2">
        <w:rPr>
          <w:rFonts w:ascii="Arial" w:hAnsi="Arial" w:cs="Arial"/>
          <w:sz w:val="22"/>
          <w:szCs w:val="22"/>
          <w:lang w:val="en-US"/>
        </w:rPr>
        <w:t>This can be challenging for children and young people, who may</w:t>
      </w:r>
      <w:r w:rsidRPr="009B041E">
        <w:rPr>
          <w:rFonts w:ascii="Arial" w:hAnsi="Arial" w:cs="Arial"/>
          <w:sz w:val="22"/>
          <w:szCs w:val="22"/>
          <w:lang w:val="en-US"/>
        </w:rPr>
        <w:t xml:space="preserve"> lose trust in the </w:t>
      </w:r>
      <w:r w:rsidR="00F1198F" w:rsidRPr="009B041E">
        <w:rPr>
          <w:rFonts w:ascii="Arial" w:hAnsi="Arial" w:cs="Arial"/>
          <w:sz w:val="22"/>
          <w:szCs w:val="22"/>
          <w:lang w:val="en-US"/>
        </w:rPr>
        <w:t>services provided</w:t>
      </w:r>
      <w:r w:rsidRPr="009B041E">
        <w:rPr>
          <w:rFonts w:ascii="Arial" w:hAnsi="Arial" w:cs="Arial"/>
          <w:sz w:val="22"/>
          <w:szCs w:val="22"/>
          <w:lang w:val="en-US"/>
        </w:rPr>
        <w:t xml:space="preserve">. Therapeutic relationships play an essential role in providing care in mental health since young people could take time to become comfortable talking about distress, self-harm, trauma, family issues, or stigma (Radez et al., 2022). Poor continuity could </w:t>
      </w:r>
      <w:r w:rsidR="00B56FD2">
        <w:rPr>
          <w:rFonts w:ascii="Arial" w:hAnsi="Arial" w:cs="Arial"/>
          <w:sz w:val="22"/>
          <w:szCs w:val="22"/>
          <w:lang w:val="en-US"/>
        </w:rPr>
        <w:t>lead to reduced engagement and a sense</w:t>
      </w:r>
      <w:r w:rsidRPr="009B041E">
        <w:rPr>
          <w:rFonts w:ascii="Arial" w:hAnsi="Arial" w:cs="Arial"/>
          <w:sz w:val="22"/>
          <w:szCs w:val="22"/>
          <w:lang w:val="en-US"/>
        </w:rPr>
        <w:t xml:space="preserve"> of misunderstanding.</w:t>
      </w:r>
    </w:p>
    <w:p w14:paraId="022107A3" w14:textId="77777777" w:rsidR="009B041E" w:rsidRPr="00503E71" w:rsidRDefault="009B041E" w:rsidP="009B041E">
      <w:pPr>
        <w:spacing w:line="360" w:lineRule="auto"/>
        <w:jc w:val="both"/>
        <w:rPr>
          <w:rFonts w:ascii="Arial" w:hAnsi="Arial" w:cs="Arial"/>
          <w:sz w:val="22"/>
          <w:szCs w:val="22"/>
          <w:lang w:val="en-US"/>
        </w:rPr>
      </w:pPr>
    </w:p>
    <w:p w14:paraId="063E516A" w14:textId="77777777" w:rsidR="009B041E" w:rsidRPr="009B041E" w:rsidRDefault="009B041E" w:rsidP="009B041E">
      <w:pPr>
        <w:pStyle w:val="Heading2"/>
        <w:rPr>
          <w:lang w:val="en-US"/>
        </w:rPr>
      </w:pPr>
      <w:bookmarkStart w:id="47" w:name="_Toc233629142"/>
      <w:r w:rsidRPr="009B041E">
        <w:rPr>
          <w:lang w:val="en-US"/>
        </w:rPr>
        <w:t>4.10 Synthesis of Findings</w:t>
      </w:r>
      <w:bookmarkEnd w:id="47"/>
    </w:p>
    <w:p w14:paraId="1FC5F918" w14:textId="77777777" w:rsidR="009B041E" w:rsidRPr="009B041E" w:rsidRDefault="009B041E" w:rsidP="009B041E">
      <w:pPr>
        <w:spacing w:line="360" w:lineRule="auto"/>
        <w:jc w:val="both"/>
        <w:rPr>
          <w:rFonts w:ascii="Arial" w:hAnsi="Arial" w:cs="Arial"/>
          <w:sz w:val="22"/>
          <w:szCs w:val="22"/>
          <w:lang w:val="en-US"/>
        </w:rPr>
      </w:pPr>
    </w:p>
    <w:p w14:paraId="08F1E04B" w14:textId="4F36EBF4" w:rsidR="009B041E" w:rsidRPr="009B041E" w:rsidRDefault="00F1198F" w:rsidP="009B041E">
      <w:pPr>
        <w:spacing w:line="360" w:lineRule="auto"/>
        <w:jc w:val="both"/>
        <w:rPr>
          <w:rFonts w:ascii="Arial" w:hAnsi="Arial" w:cs="Arial"/>
          <w:sz w:val="22"/>
          <w:szCs w:val="22"/>
          <w:lang w:val="en-US"/>
        </w:rPr>
      </w:pPr>
      <w:r>
        <w:rPr>
          <w:rFonts w:ascii="Arial" w:hAnsi="Arial" w:cs="Arial"/>
          <w:sz w:val="22"/>
          <w:szCs w:val="22"/>
          <w:lang w:val="en-US"/>
        </w:rPr>
        <w:t xml:space="preserve">Barriers and enablers to access CAMHS exist throughout the </w:t>
      </w:r>
      <w:r w:rsidR="009B041E" w:rsidRPr="009B041E">
        <w:rPr>
          <w:rFonts w:ascii="Arial" w:hAnsi="Arial" w:cs="Arial"/>
          <w:sz w:val="22"/>
          <w:szCs w:val="22"/>
          <w:lang w:val="en-US"/>
        </w:rPr>
        <w:t xml:space="preserve">process of receiving services. They include </w:t>
      </w:r>
      <w:r>
        <w:rPr>
          <w:rFonts w:ascii="Arial" w:hAnsi="Arial" w:cs="Arial"/>
          <w:sz w:val="22"/>
          <w:szCs w:val="22"/>
          <w:lang w:val="en-US"/>
        </w:rPr>
        <w:t>stigmatisation, uncertainty, low awareness, or inability to recognise</w:t>
      </w:r>
      <w:r w:rsidR="009B041E" w:rsidRPr="009B041E">
        <w:rPr>
          <w:rFonts w:ascii="Arial" w:hAnsi="Arial" w:cs="Arial"/>
          <w:sz w:val="22"/>
          <w:szCs w:val="22"/>
          <w:lang w:val="en-US"/>
        </w:rPr>
        <w:t xml:space="preserve"> mental health needs before referral (Gulliver et al., 2010; Reardon et al., 2017; Radez et al., 2022). They also cover thresholds, refused referrals, poor communication, and excessive waiting times during referral (Scottish Government, 2018; Children's Commissioner, 2024). Finally, they </w:t>
      </w:r>
      <w:r w:rsidR="00B56FD2">
        <w:rPr>
          <w:rFonts w:ascii="Arial" w:hAnsi="Arial" w:cs="Arial"/>
          <w:sz w:val="22"/>
          <w:szCs w:val="22"/>
          <w:lang w:val="en-US"/>
        </w:rPr>
        <w:t>raise concerns about</w:t>
      </w:r>
      <w:r w:rsidR="009B041E" w:rsidRPr="009B041E">
        <w:rPr>
          <w:rFonts w:ascii="Arial" w:hAnsi="Arial" w:cs="Arial"/>
          <w:sz w:val="22"/>
          <w:szCs w:val="22"/>
          <w:lang w:val="en-US"/>
        </w:rPr>
        <w:t xml:space="preserve"> fragmentation of care, lack of continuity, and possible transition gaps after entry into services (Appleton et al., 2020; Appleton et al., 2022).</w:t>
      </w:r>
    </w:p>
    <w:p w14:paraId="4236572A" w14:textId="77777777" w:rsidR="009B041E" w:rsidRPr="009B041E" w:rsidRDefault="009B041E" w:rsidP="009B041E">
      <w:pPr>
        <w:spacing w:line="360" w:lineRule="auto"/>
        <w:jc w:val="both"/>
        <w:rPr>
          <w:rFonts w:ascii="Arial" w:hAnsi="Arial" w:cs="Arial"/>
          <w:sz w:val="22"/>
          <w:szCs w:val="22"/>
          <w:lang w:val="en-US"/>
        </w:rPr>
      </w:pPr>
    </w:p>
    <w:p w14:paraId="6BE809B9" w14:textId="39056978" w:rsidR="009B041E" w:rsidRPr="00503E71" w:rsidRDefault="00F1198F" w:rsidP="009B041E">
      <w:pPr>
        <w:spacing w:line="360" w:lineRule="auto"/>
        <w:jc w:val="both"/>
        <w:rPr>
          <w:rFonts w:ascii="Arial" w:hAnsi="Arial" w:cs="Arial"/>
          <w:sz w:val="22"/>
          <w:szCs w:val="22"/>
          <w:lang w:val="en-US"/>
        </w:rPr>
      </w:pPr>
      <w:r>
        <w:rPr>
          <w:rFonts w:ascii="Arial" w:hAnsi="Arial" w:cs="Arial"/>
          <w:sz w:val="22"/>
          <w:szCs w:val="22"/>
          <w:lang w:val="en-US"/>
        </w:rPr>
        <w:t>Regarding the interaction between structural barriers and socioeconomic factors, long waiting times, staff shortages, and local differences reflect service-level problems</w:t>
      </w:r>
      <w:r w:rsidR="009B041E" w:rsidRPr="009B041E">
        <w:rPr>
          <w:rFonts w:ascii="Arial" w:hAnsi="Arial" w:cs="Arial"/>
          <w:sz w:val="22"/>
          <w:szCs w:val="22"/>
          <w:lang w:val="en-US"/>
        </w:rPr>
        <w:t xml:space="preserve"> (Marmot et al., 2020; Parkin &amp; Long, 2024). However, their impact </w:t>
      </w:r>
      <w:r w:rsidR="00B56FD2">
        <w:rPr>
          <w:rFonts w:ascii="Arial" w:hAnsi="Arial" w:cs="Arial"/>
          <w:sz w:val="22"/>
          <w:szCs w:val="22"/>
          <w:lang w:val="en-US"/>
        </w:rPr>
        <w:t>also depends on socioeconomic status. At the same time,</w:t>
      </w:r>
      <w:r w:rsidR="009B041E" w:rsidRPr="009B041E">
        <w:rPr>
          <w:rFonts w:ascii="Arial" w:hAnsi="Arial" w:cs="Arial"/>
          <w:sz w:val="22"/>
          <w:szCs w:val="22"/>
          <w:lang w:val="en-US"/>
        </w:rPr>
        <w:t xml:space="preserve"> waiting times </w:t>
      </w:r>
      <w:r w:rsidR="00B56FD2">
        <w:rPr>
          <w:rFonts w:ascii="Arial" w:hAnsi="Arial" w:cs="Arial"/>
          <w:sz w:val="22"/>
          <w:szCs w:val="22"/>
          <w:lang w:val="en-US"/>
        </w:rPr>
        <w:t xml:space="preserve">can be challenging for all families; they can be devastating for those unable </w:t>
      </w:r>
      <w:r w:rsidR="00B56FD2">
        <w:rPr>
          <w:rFonts w:ascii="Arial" w:hAnsi="Arial" w:cs="Arial"/>
          <w:sz w:val="22"/>
          <w:szCs w:val="22"/>
          <w:lang w:val="en-US"/>
        </w:rPr>
        <w:lastRenderedPageBreak/>
        <w:t>to pay for private options, travel, stay in the same location or job, or</w:t>
      </w:r>
      <w:r w:rsidR="009B041E" w:rsidRPr="009B041E">
        <w:rPr>
          <w:rFonts w:ascii="Arial" w:hAnsi="Arial" w:cs="Arial"/>
          <w:sz w:val="22"/>
          <w:szCs w:val="22"/>
          <w:lang w:val="en-US"/>
        </w:rPr>
        <w:t xml:space="preserve"> make difficult decisions (Reardon et al., 2017; Marmot et al., 2020). Thus, access to CAMHS appears to be an equity issue rather than a </w:t>
      </w:r>
      <w:r>
        <w:rPr>
          <w:rFonts w:ascii="Arial" w:hAnsi="Arial" w:cs="Arial"/>
          <w:sz w:val="22"/>
          <w:szCs w:val="22"/>
          <w:lang w:val="en-US"/>
        </w:rPr>
        <w:t>service inefficiency</w:t>
      </w:r>
      <w:r w:rsidR="009B041E" w:rsidRPr="009B041E">
        <w:rPr>
          <w:rFonts w:ascii="Arial" w:hAnsi="Arial" w:cs="Arial"/>
          <w:sz w:val="22"/>
          <w:szCs w:val="22"/>
          <w:lang w:val="en-US"/>
        </w:rPr>
        <w:t xml:space="preserve"> (Children's Commissioner, 2024; Parkin &amp; Long, 2024).</w:t>
      </w:r>
    </w:p>
    <w:p w14:paraId="48B0F61A" w14:textId="77777777" w:rsidR="00364982" w:rsidRPr="00503E71" w:rsidRDefault="00364982" w:rsidP="009B041E">
      <w:pPr>
        <w:spacing w:line="360" w:lineRule="auto"/>
        <w:jc w:val="both"/>
        <w:rPr>
          <w:rFonts w:ascii="Arial" w:hAnsi="Arial" w:cs="Arial"/>
          <w:sz w:val="22"/>
          <w:szCs w:val="22"/>
          <w:lang w:val="en-US"/>
        </w:rPr>
      </w:pPr>
    </w:p>
    <w:p w14:paraId="2F3B700B" w14:textId="77777777" w:rsidR="00364982" w:rsidRPr="00503E71" w:rsidRDefault="00364982" w:rsidP="009B041E">
      <w:pPr>
        <w:spacing w:line="360" w:lineRule="auto"/>
        <w:jc w:val="both"/>
        <w:rPr>
          <w:rFonts w:ascii="Arial" w:hAnsi="Arial" w:cs="Arial"/>
          <w:sz w:val="22"/>
          <w:szCs w:val="22"/>
          <w:lang w:val="en-US"/>
        </w:rPr>
      </w:pPr>
    </w:p>
    <w:tbl>
      <w:tblPr>
        <w:tblStyle w:val="TableGrid"/>
        <w:tblW w:w="0" w:type="auto"/>
        <w:tblLook w:val="04A0" w:firstRow="1" w:lastRow="0" w:firstColumn="1" w:lastColumn="0" w:noHBand="0" w:noVBand="1"/>
      </w:tblPr>
      <w:tblGrid>
        <w:gridCol w:w="2405"/>
        <w:gridCol w:w="3402"/>
        <w:gridCol w:w="3538"/>
      </w:tblGrid>
      <w:tr w:rsidR="009B041E" w14:paraId="13A4AE76" w14:textId="77777777" w:rsidTr="00F348FC">
        <w:tc>
          <w:tcPr>
            <w:tcW w:w="2405" w:type="dxa"/>
          </w:tcPr>
          <w:p w14:paraId="30DD223B" w14:textId="700D7553" w:rsidR="009B041E" w:rsidRPr="009B041E" w:rsidRDefault="009B041E" w:rsidP="009B041E">
            <w:pPr>
              <w:spacing w:line="360" w:lineRule="auto"/>
              <w:rPr>
                <w:rFonts w:ascii="Arial" w:hAnsi="Arial" w:cs="Arial"/>
                <w:b/>
                <w:bCs/>
                <w:sz w:val="22"/>
                <w:szCs w:val="22"/>
                <w:lang w:val="en-US"/>
              </w:rPr>
            </w:pPr>
            <w:r w:rsidRPr="009B041E">
              <w:rPr>
                <w:rFonts w:ascii="Arial" w:hAnsi="Arial" w:cs="Arial"/>
                <w:b/>
                <w:bCs/>
                <w:sz w:val="22"/>
                <w:szCs w:val="22"/>
              </w:rPr>
              <w:t>Main theme</w:t>
            </w:r>
          </w:p>
        </w:tc>
        <w:tc>
          <w:tcPr>
            <w:tcW w:w="3402" w:type="dxa"/>
          </w:tcPr>
          <w:p w14:paraId="2E7704AE" w14:textId="3472C099" w:rsidR="009B041E" w:rsidRPr="009B041E" w:rsidRDefault="009B041E" w:rsidP="009B041E">
            <w:pPr>
              <w:spacing w:line="360" w:lineRule="auto"/>
              <w:rPr>
                <w:rFonts w:ascii="Arial" w:hAnsi="Arial" w:cs="Arial"/>
                <w:b/>
                <w:bCs/>
                <w:sz w:val="22"/>
                <w:szCs w:val="22"/>
                <w:lang w:val="en-US"/>
              </w:rPr>
            </w:pPr>
            <w:r w:rsidRPr="009B041E">
              <w:rPr>
                <w:rFonts w:ascii="Arial" w:hAnsi="Arial" w:cs="Arial"/>
                <w:b/>
                <w:bCs/>
                <w:sz w:val="22"/>
                <w:szCs w:val="22"/>
              </w:rPr>
              <w:t>Sub-themes</w:t>
            </w:r>
          </w:p>
        </w:tc>
        <w:tc>
          <w:tcPr>
            <w:tcW w:w="3538" w:type="dxa"/>
          </w:tcPr>
          <w:p w14:paraId="26FB597C" w14:textId="1DB6CB09" w:rsidR="009B041E" w:rsidRPr="009B041E" w:rsidRDefault="009B041E" w:rsidP="009B041E">
            <w:pPr>
              <w:spacing w:line="360" w:lineRule="auto"/>
              <w:rPr>
                <w:rFonts w:ascii="Arial" w:hAnsi="Arial" w:cs="Arial"/>
                <w:b/>
                <w:bCs/>
                <w:sz w:val="22"/>
                <w:szCs w:val="22"/>
                <w:lang w:val="en-US"/>
              </w:rPr>
            </w:pPr>
            <w:r w:rsidRPr="009B041E">
              <w:rPr>
                <w:rFonts w:ascii="Arial" w:hAnsi="Arial" w:cs="Arial"/>
                <w:b/>
                <w:bCs/>
                <w:sz w:val="22"/>
                <w:szCs w:val="22"/>
              </w:rPr>
              <w:t>Main interpretation</w:t>
            </w:r>
          </w:p>
        </w:tc>
      </w:tr>
      <w:tr w:rsidR="009B041E" w:rsidRPr="00437257" w14:paraId="42D7F47D" w14:textId="77777777" w:rsidTr="00F348FC">
        <w:tc>
          <w:tcPr>
            <w:tcW w:w="2405" w:type="dxa"/>
          </w:tcPr>
          <w:p w14:paraId="2FC59220" w14:textId="333A891C" w:rsidR="009B041E" w:rsidRPr="00F348FC" w:rsidRDefault="009B041E" w:rsidP="009B041E">
            <w:pPr>
              <w:spacing w:line="360" w:lineRule="auto"/>
              <w:rPr>
                <w:rFonts w:ascii="Arial" w:hAnsi="Arial" w:cs="Arial"/>
                <w:sz w:val="22"/>
                <w:szCs w:val="22"/>
                <w:lang w:val="en-US"/>
              </w:rPr>
            </w:pPr>
            <w:r w:rsidRPr="00F348FC">
              <w:rPr>
                <w:rFonts w:ascii="Arial" w:hAnsi="Arial" w:cs="Arial"/>
                <w:sz w:val="22"/>
                <w:szCs w:val="22"/>
                <w:lang w:val="en-US"/>
              </w:rPr>
              <w:t>Waiting times and delayed access</w:t>
            </w:r>
          </w:p>
        </w:tc>
        <w:tc>
          <w:tcPr>
            <w:tcW w:w="3402" w:type="dxa"/>
          </w:tcPr>
          <w:p w14:paraId="4983A460" w14:textId="7217CC41"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Long waits, uncertainty, deterioration, pressure on families and schools</w:t>
            </w:r>
          </w:p>
        </w:tc>
        <w:tc>
          <w:tcPr>
            <w:tcW w:w="3538" w:type="dxa"/>
          </w:tcPr>
          <w:p w14:paraId="5A45CD0B" w14:textId="7C26987B"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Waiting is both a time delay and an experience of unmet need.</w:t>
            </w:r>
          </w:p>
        </w:tc>
      </w:tr>
      <w:tr w:rsidR="009B041E" w:rsidRPr="00437257" w14:paraId="2D16A3E1" w14:textId="77777777" w:rsidTr="00F348FC">
        <w:tc>
          <w:tcPr>
            <w:tcW w:w="2405" w:type="dxa"/>
          </w:tcPr>
          <w:p w14:paraId="71CB42EA" w14:textId="58719DC4" w:rsidR="009B041E" w:rsidRPr="00F348FC" w:rsidRDefault="009B041E" w:rsidP="009B041E">
            <w:pPr>
              <w:spacing w:line="360" w:lineRule="auto"/>
              <w:rPr>
                <w:rFonts w:ascii="Arial" w:hAnsi="Arial" w:cs="Arial"/>
                <w:sz w:val="22"/>
                <w:szCs w:val="22"/>
                <w:lang w:val="en-US"/>
              </w:rPr>
            </w:pPr>
            <w:r w:rsidRPr="00F348FC">
              <w:rPr>
                <w:rFonts w:ascii="Arial" w:hAnsi="Arial" w:cs="Arial"/>
                <w:sz w:val="22"/>
                <w:szCs w:val="22"/>
                <w:lang w:val="en-US"/>
              </w:rPr>
              <w:t>Referral thresholds and rejected referrals</w:t>
            </w:r>
            <w:r w:rsidR="00B56FD2">
              <w:rPr>
                <w:rFonts w:ascii="Arial" w:hAnsi="Arial" w:cs="Arial"/>
                <w:sz w:val="22"/>
                <w:szCs w:val="22"/>
                <w:lang w:val="en-US"/>
              </w:rPr>
              <w:t>.</w:t>
            </w:r>
          </w:p>
        </w:tc>
        <w:tc>
          <w:tcPr>
            <w:tcW w:w="3402" w:type="dxa"/>
          </w:tcPr>
          <w:p w14:paraId="1DD2ED3E" w14:textId="32EA06CB"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High thresholds, closed referrals, unclear signposting, crisis-point access</w:t>
            </w:r>
          </w:p>
        </w:tc>
        <w:tc>
          <w:tcPr>
            <w:tcW w:w="3538" w:type="dxa"/>
          </w:tcPr>
          <w:p w14:paraId="3FE41C18" w14:textId="3F801CE4"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Thresholds can protect specialist capacity but may exclude children with significant needs.</w:t>
            </w:r>
          </w:p>
        </w:tc>
      </w:tr>
      <w:tr w:rsidR="009B041E" w:rsidRPr="00437257" w14:paraId="619305A4" w14:textId="77777777" w:rsidTr="00F348FC">
        <w:tc>
          <w:tcPr>
            <w:tcW w:w="2405" w:type="dxa"/>
          </w:tcPr>
          <w:p w14:paraId="5899BC70" w14:textId="30CC609C" w:rsidR="009B041E" w:rsidRPr="00F348FC" w:rsidRDefault="009B041E" w:rsidP="009B041E">
            <w:pPr>
              <w:spacing w:line="360" w:lineRule="auto"/>
              <w:rPr>
                <w:rFonts w:ascii="Arial" w:hAnsi="Arial" w:cs="Arial"/>
                <w:sz w:val="22"/>
                <w:szCs w:val="22"/>
                <w:lang w:val="en-US"/>
              </w:rPr>
            </w:pPr>
            <w:r w:rsidRPr="00F348FC">
              <w:rPr>
                <w:rFonts w:ascii="Arial" w:hAnsi="Arial" w:cs="Arial"/>
                <w:sz w:val="22"/>
                <w:szCs w:val="22"/>
              </w:rPr>
              <w:t>Socioeconomic inequalities</w:t>
            </w:r>
          </w:p>
        </w:tc>
        <w:tc>
          <w:tcPr>
            <w:tcW w:w="3402" w:type="dxa"/>
          </w:tcPr>
          <w:p w14:paraId="1CDEFC64" w14:textId="1CD3BB80"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Poverty, transport, digital exclusion, SEND, ethnicity, adverse childhood experiences</w:t>
            </w:r>
          </w:p>
        </w:tc>
        <w:tc>
          <w:tcPr>
            <w:tcW w:w="3538" w:type="dxa"/>
          </w:tcPr>
          <w:p w14:paraId="31854ACA" w14:textId="7483C152"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Access is shaped by social resources as well as clinical need.</w:t>
            </w:r>
          </w:p>
        </w:tc>
      </w:tr>
      <w:tr w:rsidR="009B041E" w:rsidRPr="00437257" w14:paraId="1187E015" w14:textId="77777777" w:rsidTr="00F348FC">
        <w:tc>
          <w:tcPr>
            <w:tcW w:w="2405" w:type="dxa"/>
          </w:tcPr>
          <w:p w14:paraId="604C51BF" w14:textId="43E7443F" w:rsidR="009B041E" w:rsidRPr="00F348FC" w:rsidRDefault="009B041E" w:rsidP="009B041E">
            <w:pPr>
              <w:spacing w:line="360" w:lineRule="auto"/>
              <w:rPr>
                <w:rFonts w:ascii="Arial" w:hAnsi="Arial" w:cs="Arial"/>
                <w:sz w:val="22"/>
                <w:szCs w:val="22"/>
                <w:lang w:val="en-US"/>
              </w:rPr>
            </w:pPr>
            <w:r w:rsidRPr="00F348FC">
              <w:rPr>
                <w:rFonts w:ascii="Arial" w:hAnsi="Arial" w:cs="Arial"/>
                <w:sz w:val="22"/>
                <w:szCs w:val="22"/>
                <w:lang w:val="en-US"/>
              </w:rPr>
              <w:t>Regional variation and service capacity</w:t>
            </w:r>
          </w:p>
        </w:tc>
        <w:tc>
          <w:tcPr>
            <w:tcW w:w="3402" w:type="dxa"/>
          </w:tcPr>
          <w:p w14:paraId="6AE8FF2D" w14:textId="58565567"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Workforce pressure, postcode variation, local service models, uneven provision</w:t>
            </w:r>
          </w:p>
        </w:tc>
        <w:tc>
          <w:tcPr>
            <w:tcW w:w="3538" w:type="dxa"/>
          </w:tcPr>
          <w:p w14:paraId="079245AE" w14:textId="25BC5642"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National policy does not automatically create equal local access.</w:t>
            </w:r>
          </w:p>
        </w:tc>
      </w:tr>
      <w:tr w:rsidR="009B041E" w:rsidRPr="00437257" w14:paraId="4C616EB6" w14:textId="77777777" w:rsidTr="00F348FC">
        <w:tc>
          <w:tcPr>
            <w:tcW w:w="2405" w:type="dxa"/>
          </w:tcPr>
          <w:p w14:paraId="24AC3E20" w14:textId="055CA714" w:rsidR="009B041E" w:rsidRPr="00F348FC" w:rsidRDefault="009B041E" w:rsidP="009B041E">
            <w:pPr>
              <w:spacing w:line="360" w:lineRule="auto"/>
              <w:rPr>
                <w:rFonts w:ascii="Arial" w:hAnsi="Arial" w:cs="Arial"/>
                <w:sz w:val="22"/>
                <w:szCs w:val="22"/>
                <w:lang w:val="en-US"/>
              </w:rPr>
            </w:pPr>
            <w:r w:rsidRPr="00F348FC">
              <w:rPr>
                <w:rFonts w:ascii="Arial" w:hAnsi="Arial" w:cs="Arial"/>
                <w:sz w:val="22"/>
                <w:szCs w:val="22"/>
                <w:lang w:val="en-US"/>
              </w:rPr>
              <w:t>Stigma, awareness and help-seeking</w:t>
            </w:r>
          </w:p>
        </w:tc>
        <w:tc>
          <w:tcPr>
            <w:tcW w:w="3402" w:type="dxa"/>
          </w:tcPr>
          <w:p w14:paraId="7ED829D0" w14:textId="460D37D9"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Fear of judgement, confidentiality concerns, parental recognition, trust</w:t>
            </w:r>
          </w:p>
        </w:tc>
        <w:tc>
          <w:tcPr>
            <w:tcW w:w="3538" w:type="dxa"/>
          </w:tcPr>
          <w:p w14:paraId="45C908BF" w14:textId="759FCD0E"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Young people may delay help-seeking before reaching services.</w:t>
            </w:r>
          </w:p>
        </w:tc>
      </w:tr>
      <w:tr w:rsidR="009B041E" w:rsidRPr="00437257" w14:paraId="074A7379" w14:textId="77777777" w:rsidTr="00F348FC">
        <w:tc>
          <w:tcPr>
            <w:tcW w:w="2405" w:type="dxa"/>
          </w:tcPr>
          <w:p w14:paraId="50E12876" w14:textId="0E092D91" w:rsidR="009B041E" w:rsidRPr="00F348FC" w:rsidRDefault="009B041E" w:rsidP="009B041E">
            <w:pPr>
              <w:spacing w:line="360" w:lineRule="auto"/>
              <w:rPr>
                <w:rFonts w:ascii="Arial" w:hAnsi="Arial" w:cs="Arial"/>
                <w:sz w:val="22"/>
                <w:szCs w:val="22"/>
                <w:lang w:val="en-US"/>
              </w:rPr>
            </w:pPr>
            <w:r w:rsidRPr="00F348FC">
              <w:rPr>
                <w:rFonts w:ascii="Arial" w:hAnsi="Arial" w:cs="Arial"/>
                <w:sz w:val="22"/>
                <w:szCs w:val="22"/>
                <w:lang w:val="en-US"/>
              </w:rPr>
              <w:t>Schools, GPs and early intervention</w:t>
            </w:r>
          </w:p>
        </w:tc>
        <w:tc>
          <w:tcPr>
            <w:tcW w:w="3402" w:type="dxa"/>
          </w:tcPr>
          <w:p w14:paraId="68DA29BB" w14:textId="13046256"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MHSTs, school support, GP referral, early help, community pathways</w:t>
            </w:r>
          </w:p>
        </w:tc>
        <w:tc>
          <w:tcPr>
            <w:tcW w:w="3538" w:type="dxa"/>
          </w:tcPr>
          <w:p w14:paraId="147FD63C" w14:textId="0B719E35"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Universal and early intervention services can enable access when connected to specialist care.</w:t>
            </w:r>
          </w:p>
        </w:tc>
      </w:tr>
      <w:tr w:rsidR="009B041E" w:rsidRPr="00437257" w14:paraId="15CD6D83" w14:textId="77777777" w:rsidTr="00F348FC">
        <w:tc>
          <w:tcPr>
            <w:tcW w:w="2405" w:type="dxa"/>
          </w:tcPr>
          <w:p w14:paraId="4E3C9ADC" w14:textId="0829944E" w:rsidR="009B041E" w:rsidRPr="00F348FC" w:rsidRDefault="009B041E" w:rsidP="009B041E">
            <w:pPr>
              <w:spacing w:line="360" w:lineRule="auto"/>
              <w:rPr>
                <w:rFonts w:ascii="Arial" w:hAnsi="Arial" w:cs="Arial"/>
                <w:sz w:val="22"/>
                <w:szCs w:val="22"/>
                <w:lang w:val="en-US"/>
              </w:rPr>
            </w:pPr>
            <w:r w:rsidRPr="00F348FC">
              <w:rPr>
                <w:rFonts w:ascii="Arial" w:hAnsi="Arial" w:cs="Arial"/>
                <w:sz w:val="22"/>
                <w:szCs w:val="22"/>
              </w:rPr>
              <w:t>Continuity and transition</w:t>
            </w:r>
          </w:p>
        </w:tc>
        <w:tc>
          <w:tcPr>
            <w:tcW w:w="3402" w:type="dxa"/>
          </w:tcPr>
          <w:p w14:paraId="060DC2B7" w14:textId="604897E1"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CAMHS-to-adult transition, repeated assessments, fragmented care, follow-up</w:t>
            </w:r>
          </w:p>
        </w:tc>
        <w:tc>
          <w:tcPr>
            <w:tcW w:w="3538" w:type="dxa"/>
          </w:tcPr>
          <w:p w14:paraId="58F3A352" w14:textId="3D762BF6" w:rsidR="009B041E" w:rsidRPr="009B041E" w:rsidRDefault="009B041E" w:rsidP="009B041E">
            <w:pPr>
              <w:spacing w:line="360" w:lineRule="auto"/>
              <w:rPr>
                <w:rFonts w:ascii="Arial" w:hAnsi="Arial" w:cs="Arial"/>
                <w:sz w:val="18"/>
                <w:szCs w:val="18"/>
                <w:lang w:val="en-US"/>
              </w:rPr>
            </w:pPr>
            <w:r w:rsidRPr="009B041E">
              <w:rPr>
                <w:rFonts w:ascii="Arial" w:hAnsi="Arial" w:cs="Arial"/>
                <w:sz w:val="18"/>
                <w:szCs w:val="18"/>
                <w:lang w:val="en-US"/>
              </w:rPr>
              <w:t>Access must include sustained and coordinated support, not only first contact.</w:t>
            </w:r>
          </w:p>
        </w:tc>
      </w:tr>
    </w:tbl>
    <w:p w14:paraId="4568CF5A" w14:textId="287CA0FE" w:rsidR="00364982" w:rsidRPr="00364982" w:rsidRDefault="00F348FC" w:rsidP="00B7158F">
      <w:pPr>
        <w:spacing w:line="360" w:lineRule="auto"/>
        <w:jc w:val="both"/>
        <w:rPr>
          <w:rFonts w:ascii="Arial" w:hAnsi="Arial" w:cs="Arial"/>
          <w:sz w:val="22"/>
          <w:szCs w:val="22"/>
          <w:lang w:val="en-US"/>
        </w:rPr>
      </w:pPr>
      <w:r w:rsidRPr="00F348FC">
        <w:rPr>
          <w:rFonts w:ascii="Arial" w:hAnsi="Arial" w:cs="Arial"/>
          <w:b/>
          <w:bCs/>
          <w:sz w:val="22"/>
          <w:szCs w:val="22"/>
          <w:lang w:val="en-US"/>
        </w:rPr>
        <w:t>Table 7</w:t>
      </w:r>
      <w:r w:rsidRPr="00F348FC">
        <w:rPr>
          <w:rFonts w:ascii="Arial" w:hAnsi="Arial" w:cs="Arial"/>
          <w:sz w:val="22"/>
          <w:szCs w:val="22"/>
          <w:lang w:val="en-US"/>
        </w:rPr>
        <w:t>: Summary of themes and sub-themes from the review</w:t>
      </w:r>
    </w:p>
    <w:p w14:paraId="05008859" w14:textId="62C22AB8" w:rsidR="00501C21" w:rsidRPr="00F348FC" w:rsidRDefault="00F348FC" w:rsidP="00B7158F">
      <w:pPr>
        <w:spacing w:line="360" w:lineRule="auto"/>
        <w:jc w:val="both"/>
        <w:rPr>
          <w:rFonts w:ascii="Arial" w:hAnsi="Arial" w:cs="Arial"/>
          <w:sz w:val="22"/>
          <w:szCs w:val="22"/>
          <w:lang w:val="en-US"/>
        </w:rPr>
      </w:pPr>
      <w:r w:rsidRPr="00F348FC">
        <w:rPr>
          <w:rFonts w:ascii="Arial" w:hAnsi="Arial" w:cs="Arial"/>
          <w:sz w:val="22"/>
          <w:szCs w:val="22"/>
          <w:lang w:val="en-US"/>
        </w:rPr>
        <w:t>The strongest enablers identified in the synthesis are schools, GPs, MHSTs, early intervention, clear communication, meaningful signposting and integrated working (Department of Health and Department for Education, 2017; Sayal et al., 2010; NHS England, 2025). These enablers work best when they are connected to specialist CAMHS rather than positioned as substitutes for specialist care (Children’s Commissioner, 2024; Parkin and Long, 2024). For example, MHSTs can support mild to moderate needs in schools and colleges, but children with severe, complex or high-risk needs still require timely access to specialist services (NHS England, 2025; Parkin and Long, 2024).</w:t>
      </w:r>
    </w:p>
    <w:p w14:paraId="23DDF5B1" w14:textId="4DEDCEC0" w:rsidR="00570611" w:rsidRDefault="000F2650" w:rsidP="00B7158F">
      <w:pPr>
        <w:spacing w:line="360" w:lineRule="auto"/>
        <w:jc w:val="both"/>
        <w:rPr>
          <w:rFonts w:ascii="Arial" w:hAnsi="Arial" w:cs="Arial"/>
          <w:sz w:val="22"/>
          <w:szCs w:val="22"/>
          <w:lang w:val="en-US"/>
        </w:rPr>
      </w:pPr>
      <w:r>
        <w:rPr>
          <w:rFonts w:ascii="Arial" w:hAnsi="Arial" w:cs="Arial"/>
          <w:noProof/>
          <w:sz w:val="22"/>
          <w:szCs w:val="22"/>
          <w:lang w:val="en-US"/>
        </w:rPr>
        <w:drawing>
          <wp:anchor distT="0" distB="0" distL="114300" distR="114300" simplePos="0" relativeHeight="251664384" behindDoc="0" locked="0" layoutInCell="1" allowOverlap="1" wp14:anchorId="486674FA" wp14:editId="5E1AF076">
            <wp:simplePos x="0" y="0"/>
            <wp:positionH relativeFrom="page">
              <wp:posOffset>1333500</wp:posOffset>
            </wp:positionH>
            <wp:positionV relativeFrom="paragraph">
              <wp:posOffset>69850</wp:posOffset>
            </wp:positionV>
            <wp:extent cx="5916748" cy="3333513"/>
            <wp:effectExtent l="0" t="0" r="8255" b="635"/>
            <wp:wrapNone/>
            <wp:docPr id="1163544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6976" cy="33449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E38F05" w14:textId="77777777" w:rsidR="00570611" w:rsidRDefault="00570611" w:rsidP="00B7158F">
      <w:pPr>
        <w:spacing w:line="360" w:lineRule="auto"/>
        <w:jc w:val="both"/>
        <w:rPr>
          <w:rFonts w:ascii="Arial" w:hAnsi="Arial" w:cs="Arial"/>
          <w:sz w:val="22"/>
          <w:szCs w:val="22"/>
          <w:lang w:val="en-US"/>
        </w:rPr>
      </w:pPr>
    </w:p>
    <w:p w14:paraId="08789853" w14:textId="77777777" w:rsidR="00570611" w:rsidRDefault="00570611" w:rsidP="00B7158F">
      <w:pPr>
        <w:spacing w:line="360" w:lineRule="auto"/>
        <w:jc w:val="both"/>
        <w:rPr>
          <w:rFonts w:ascii="Arial" w:hAnsi="Arial" w:cs="Arial"/>
          <w:sz w:val="22"/>
          <w:szCs w:val="22"/>
          <w:lang w:val="en-US"/>
        </w:rPr>
      </w:pPr>
    </w:p>
    <w:p w14:paraId="43017C73" w14:textId="77777777" w:rsidR="00570611" w:rsidRDefault="00570611" w:rsidP="00B7158F">
      <w:pPr>
        <w:spacing w:line="360" w:lineRule="auto"/>
        <w:jc w:val="both"/>
        <w:rPr>
          <w:rFonts w:ascii="Arial" w:hAnsi="Arial" w:cs="Arial"/>
          <w:sz w:val="22"/>
          <w:szCs w:val="22"/>
          <w:lang w:val="en-US"/>
        </w:rPr>
      </w:pPr>
    </w:p>
    <w:p w14:paraId="22E9B2F7" w14:textId="77777777" w:rsidR="00570611" w:rsidRDefault="00570611" w:rsidP="00B7158F">
      <w:pPr>
        <w:spacing w:line="360" w:lineRule="auto"/>
        <w:jc w:val="both"/>
        <w:rPr>
          <w:rFonts w:ascii="Arial" w:hAnsi="Arial" w:cs="Arial"/>
          <w:sz w:val="22"/>
          <w:szCs w:val="22"/>
          <w:lang w:val="en-US"/>
        </w:rPr>
      </w:pPr>
    </w:p>
    <w:p w14:paraId="2261D847" w14:textId="1933E71D" w:rsidR="00570611" w:rsidRDefault="00570611" w:rsidP="00B7158F">
      <w:pPr>
        <w:spacing w:line="360" w:lineRule="auto"/>
        <w:jc w:val="both"/>
        <w:rPr>
          <w:rFonts w:ascii="Arial" w:hAnsi="Arial" w:cs="Arial"/>
          <w:sz w:val="22"/>
          <w:szCs w:val="22"/>
          <w:lang w:val="en-US"/>
        </w:rPr>
      </w:pPr>
    </w:p>
    <w:p w14:paraId="51134A35" w14:textId="705E8779" w:rsidR="00570611" w:rsidRDefault="00570611" w:rsidP="00B7158F">
      <w:pPr>
        <w:spacing w:line="360" w:lineRule="auto"/>
        <w:jc w:val="both"/>
        <w:rPr>
          <w:rFonts w:ascii="Arial" w:hAnsi="Arial" w:cs="Arial"/>
          <w:sz w:val="22"/>
          <w:szCs w:val="22"/>
          <w:lang w:val="en-US"/>
        </w:rPr>
      </w:pPr>
    </w:p>
    <w:p w14:paraId="5E4C6C93" w14:textId="77777777" w:rsidR="00570611" w:rsidRDefault="00570611" w:rsidP="00B7158F">
      <w:pPr>
        <w:spacing w:line="360" w:lineRule="auto"/>
        <w:jc w:val="both"/>
        <w:rPr>
          <w:rFonts w:ascii="Arial" w:hAnsi="Arial" w:cs="Arial"/>
          <w:sz w:val="22"/>
          <w:szCs w:val="22"/>
          <w:lang w:val="en-US"/>
        </w:rPr>
      </w:pPr>
    </w:p>
    <w:p w14:paraId="70632653" w14:textId="77777777" w:rsidR="000F2650" w:rsidRDefault="000F2650" w:rsidP="00B7158F">
      <w:pPr>
        <w:spacing w:line="360" w:lineRule="auto"/>
        <w:jc w:val="both"/>
        <w:rPr>
          <w:rFonts w:ascii="Arial" w:hAnsi="Arial" w:cs="Arial"/>
          <w:sz w:val="22"/>
          <w:szCs w:val="22"/>
          <w:lang w:val="en-US"/>
        </w:rPr>
      </w:pPr>
    </w:p>
    <w:p w14:paraId="02A2F478" w14:textId="77777777" w:rsidR="000F2650" w:rsidRDefault="000F2650" w:rsidP="00B7158F">
      <w:pPr>
        <w:spacing w:line="360" w:lineRule="auto"/>
        <w:jc w:val="both"/>
        <w:rPr>
          <w:rFonts w:ascii="Arial" w:hAnsi="Arial" w:cs="Arial"/>
          <w:sz w:val="22"/>
          <w:szCs w:val="22"/>
          <w:lang w:val="en-US"/>
        </w:rPr>
      </w:pPr>
    </w:p>
    <w:p w14:paraId="4C36F0C9" w14:textId="4A87D1F5" w:rsidR="000F2650" w:rsidRDefault="000F2650" w:rsidP="00B7158F">
      <w:pPr>
        <w:spacing w:line="360" w:lineRule="auto"/>
        <w:jc w:val="both"/>
        <w:rPr>
          <w:rFonts w:ascii="Arial" w:hAnsi="Arial" w:cs="Arial"/>
          <w:sz w:val="22"/>
          <w:szCs w:val="22"/>
          <w:lang w:val="en-US"/>
        </w:rPr>
      </w:pPr>
    </w:p>
    <w:p w14:paraId="107E9925" w14:textId="2D3C9DD3" w:rsidR="000F2650" w:rsidRPr="00503E71" w:rsidRDefault="000F2650" w:rsidP="00B7158F">
      <w:pPr>
        <w:spacing w:line="360" w:lineRule="auto"/>
        <w:jc w:val="both"/>
        <w:rPr>
          <w:rFonts w:ascii="Arial" w:hAnsi="Arial" w:cs="Arial"/>
          <w:sz w:val="22"/>
          <w:szCs w:val="22"/>
          <w:lang w:val="en-US"/>
        </w:rPr>
      </w:pPr>
      <w:r>
        <w:rPr>
          <w:rFonts w:ascii="Arial" w:hAnsi="Arial" w:cs="Arial"/>
          <w:sz w:val="22"/>
          <w:szCs w:val="22"/>
          <w:lang w:val="en-US"/>
        </w:rPr>
        <w:t>Figure N3</w:t>
      </w:r>
    </w:p>
    <w:p w14:paraId="13892782" w14:textId="03314CFC" w:rsidR="000F2650" w:rsidRPr="000F2650" w:rsidRDefault="00570611" w:rsidP="000F2650">
      <w:pPr>
        <w:pStyle w:val="Heading2"/>
        <w:rPr>
          <w:lang w:val="en-US"/>
        </w:rPr>
      </w:pPr>
      <w:bookmarkStart w:id="48" w:name="_Toc233629143"/>
      <w:r w:rsidRPr="00570611">
        <w:rPr>
          <w:lang w:val="en-US"/>
        </w:rPr>
        <w:t>4.11 Discussion in Relation to the Research Question</w:t>
      </w:r>
      <w:bookmarkEnd w:id="48"/>
    </w:p>
    <w:p w14:paraId="492BEA71" w14:textId="312CD547" w:rsidR="00570611" w:rsidRPr="00570611" w:rsidRDefault="00570611" w:rsidP="00570611">
      <w:pPr>
        <w:spacing w:line="360" w:lineRule="auto"/>
        <w:jc w:val="both"/>
        <w:rPr>
          <w:rFonts w:ascii="Arial" w:hAnsi="Arial" w:cs="Arial"/>
          <w:sz w:val="22"/>
          <w:szCs w:val="22"/>
          <w:lang w:val="en-US"/>
        </w:rPr>
      </w:pPr>
      <w:r w:rsidRPr="00570611">
        <w:rPr>
          <w:rFonts w:ascii="Arial" w:hAnsi="Arial" w:cs="Arial"/>
          <w:sz w:val="22"/>
          <w:szCs w:val="22"/>
          <w:lang w:val="en-US"/>
        </w:rPr>
        <w:t xml:space="preserve">The research question addressed was "What barriers and enablers influence access to Child and Adolescent Mental Health Services (CAMHS) in the United Kingdom?" Barriers include long waiting times, referral thresholds, rejected referrals, socioeconomic inequalities, variations in provision between regions, stigma, low awareness, fragmentation of pathways into CAMHS, and continuity of care (Scottish Government, 2018; Children's Commissioner, 2024; Radez et al., 2022; Appleton et al., 2022). These barriers are interconnected: workforce shortages contribute to lengthy waits; longer wait times increase stress on families; and family stress is harder to </w:t>
      </w:r>
      <w:r w:rsidR="00F1198F">
        <w:rPr>
          <w:rFonts w:ascii="Arial" w:hAnsi="Arial" w:cs="Arial"/>
          <w:sz w:val="22"/>
          <w:szCs w:val="22"/>
          <w:lang w:val="en-US"/>
        </w:rPr>
        <w:t>manage when</w:t>
      </w:r>
      <w:r w:rsidRPr="00570611">
        <w:rPr>
          <w:rFonts w:ascii="Arial" w:hAnsi="Arial" w:cs="Arial"/>
          <w:sz w:val="22"/>
          <w:szCs w:val="22"/>
          <w:lang w:val="en-US"/>
        </w:rPr>
        <w:t xml:space="preserve"> </w:t>
      </w:r>
      <w:r w:rsidR="00F1198F" w:rsidRPr="00570611">
        <w:rPr>
          <w:rFonts w:ascii="Arial" w:hAnsi="Arial" w:cs="Arial"/>
          <w:sz w:val="22"/>
          <w:szCs w:val="22"/>
          <w:lang w:val="en-US"/>
        </w:rPr>
        <w:t>families</w:t>
      </w:r>
      <w:r w:rsidRPr="00570611">
        <w:rPr>
          <w:rFonts w:ascii="Arial" w:hAnsi="Arial" w:cs="Arial"/>
          <w:sz w:val="22"/>
          <w:szCs w:val="22"/>
          <w:lang w:val="en-US"/>
        </w:rPr>
        <w:t xml:space="preserve"> face poverty and other hardships (Marmot et al., 2020; Parkin and Long, 2024).</w:t>
      </w:r>
    </w:p>
    <w:p w14:paraId="34CDC379" w14:textId="1C268D2A" w:rsidR="00570611" w:rsidRPr="00570611" w:rsidRDefault="00570611" w:rsidP="00570611">
      <w:pPr>
        <w:spacing w:line="360" w:lineRule="auto"/>
        <w:jc w:val="both"/>
        <w:rPr>
          <w:rFonts w:ascii="Arial" w:hAnsi="Arial" w:cs="Arial"/>
          <w:sz w:val="22"/>
          <w:szCs w:val="22"/>
          <w:lang w:val="en-US"/>
        </w:rPr>
      </w:pPr>
    </w:p>
    <w:p w14:paraId="54D0CB4D" w14:textId="371CA5D8" w:rsidR="00570611" w:rsidRPr="00570611" w:rsidRDefault="00570611" w:rsidP="00570611">
      <w:pPr>
        <w:spacing w:line="360" w:lineRule="auto"/>
        <w:jc w:val="both"/>
        <w:rPr>
          <w:rFonts w:ascii="Arial" w:hAnsi="Arial" w:cs="Arial"/>
          <w:sz w:val="22"/>
          <w:szCs w:val="22"/>
          <w:lang w:val="en-US"/>
        </w:rPr>
      </w:pPr>
      <w:r w:rsidRPr="00570611">
        <w:rPr>
          <w:rFonts w:ascii="Arial" w:hAnsi="Arial" w:cs="Arial"/>
          <w:sz w:val="22"/>
          <w:szCs w:val="22"/>
          <w:lang w:val="en-US"/>
        </w:rPr>
        <w:t xml:space="preserve">The key enablers identified in the review include early detection of need, adults who trust the children, school-based approaches, involvement of general practitioners (GPs), mental health support teams (MHSTs), good communication, helpful signposting, and integrated pathways (Department of Health and Department for Education, 2017; Sayal et al., 2010; NHS England, 2025). Enablers </w:t>
      </w:r>
      <w:r w:rsidR="00F1198F">
        <w:rPr>
          <w:rFonts w:ascii="Arial" w:hAnsi="Arial" w:cs="Arial"/>
          <w:sz w:val="22"/>
          <w:szCs w:val="22"/>
          <w:lang w:val="en-US"/>
        </w:rPr>
        <w:t xml:space="preserve">are most successful when they reduce family burden and provide a clear pathway through </w:t>
      </w:r>
      <w:r w:rsidRPr="00570611">
        <w:rPr>
          <w:rFonts w:ascii="Arial" w:hAnsi="Arial" w:cs="Arial"/>
          <w:sz w:val="22"/>
          <w:szCs w:val="22"/>
          <w:lang w:val="en-US"/>
        </w:rPr>
        <w:t xml:space="preserve">services. Access becomes easier when adults detect distress early, clearly explain confidentiality, </w:t>
      </w:r>
      <w:r w:rsidR="00B56FD2">
        <w:rPr>
          <w:rFonts w:ascii="Arial" w:hAnsi="Arial" w:cs="Arial"/>
          <w:sz w:val="22"/>
          <w:szCs w:val="22"/>
          <w:lang w:val="en-US"/>
        </w:rPr>
        <w:t>refer to appropriate services, and provide support</w:t>
      </w:r>
      <w:r w:rsidRPr="00570611">
        <w:rPr>
          <w:rFonts w:ascii="Arial" w:hAnsi="Arial" w:cs="Arial"/>
          <w:sz w:val="22"/>
          <w:szCs w:val="22"/>
          <w:lang w:val="en-US"/>
        </w:rPr>
        <w:t xml:space="preserve"> in the meantime (Reardon et al., 2017; Radez et al., 2022).</w:t>
      </w:r>
    </w:p>
    <w:p w14:paraId="69143AB6" w14:textId="156D9877" w:rsidR="00570611" w:rsidRPr="00570611" w:rsidRDefault="00570611" w:rsidP="00570611">
      <w:pPr>
        <w:spacing w:line="360" w:lineRule="auto"/>
        <w:jc w:val="both"/>
        <w:rPr>
          <w:rFonts w:ascii="Arial" w:hAnsi="Arial" w:cs="Arial"/>
          <w:sz w:val="22"/>
          <w:szCs w:val="22"/>
          <w:lang w:val="en-US"/>
        </w:rPr>
      </w:pPr>
    </w:p>
    <w:p w14:paraId="481D4DFB" w14:textId="0FE924E9" w:rsidR="00570611" w:rsidRPr="00570611" w:rsidRDefault="00570611" w:rsidP="00570611">
      <w:pPr>
        <w:spacing w:line="360" w:lineRule="auto"/>
        <w:jc w:val="both"/>
        <w:rPr>
          <w:rFonts w:ascii="Arial" w:hAnsi="Arial" w:cs="Arial"/>
          <w:sz w:val="22"/>
          <w:szCs w:val="22"/>
          <w:lang w:val="en-US"/>
        </w:rPr>
      </w:pPr>
      <w:r w:rsidRPr="00570611">
        <w:rPr>
          <w:rFonts w:ascii="Arial" w:hAnsi="Arial" w:cs="Arial"/>
          <w:sz w:val="22"/>
          <w:szCs w:val="22"/>
          <w:lang w:val="en-US"/>
        </w:rPr>
        <w:t xml:space="preserve">Thus, the discussion supports the conceptual framework outlined in Chapter 2. </w:t>
      </w:r>
      <w:r w:rsidR="00F1198F">
        <w:rPr>
          <w:rFonts w:ascii="Arial" w:hAnsi="Arial" w:cs="Arial"/>
          <w:sz w:val="22"/>
          <w:szCs w:val="22"/>
          <w:lang w:val="en-US"/>
        </w:rPr>
        <w:t xml:space="preserve">Factors influencing CAMHS access operate at the </w:t>
      </w:r>
      <w:r w:rsidRPr="00570611">
        <w:rPr>
          <w:rFonts w:ascii="Arial" w:hAnsi="Arial" w:cs="Arial"/>
          <w:sz w:val="22"/>
          <w:szCs w:val="22"/>
          <w:lang w:val="en-US"/>
        </w:rPr>
        <w:t xml:space="preserve">individual and family, service, structural and socioeconomic, and policy and systemic levels. The findings also </w:t>
      </w:r>
      <w:r w:rsidR="00F1198F">
        <w:rPr>
          <w:rFonts w:ascii="Arial" w:hAnsi="Arial" w:cs="Arial"/>
          <w:sz w:val="22"/>
          <w:szCs w:val="22"/>
          <w:lang w:val="en-US"/>
        </w:rPr>
        <w:t xml:space="preserve">align with the social determinants of health model, </w:t>
      </w:r>
      <w:r w:rsidRPr="00570611">
        <w:rPr>
          <w:rFonts w:ascii="Arial" w:hAnsi="Arial" w:cs="Arial"/>
          <w:sz w:val="22"/>
          <w:szCs w:val="22"/>
          <w:lang w:val="en-US"/>
        </w:rPr>
        <w:t xml:space="preserve">as access to CAMHS depends on poverty, family circumstances, regional </w:t>
      </w:r>
      <w:r w:rsidR="00B56FD2">
        <w:rPr>
          <w:rFonts w:ascii="Arial" w:hAnsi="Arial" w:cs="Arial"/>
          <w:sz w:val="22"/>
          <w:szCs w:val="22"/>
          <w:lang w:val="en-US"/>
        </w:rPr>
        <w:t>service availability</w:t>
      </w:r>
      <w:r w:rsidRPr="00570611">
        <w:rPr>
          <w:rFonts w:ascii="Arial" w:hAnsi="Arial" w:cs="Arial"/>
          <w:sz w:val="22"/>
          <w:szCs w:val="22"/>
          <w:lang w:val="en-US"/>
        </w:rPr>
        <w:t xml:space="preserve">, SEND, ethnicity, and other inequalities (Bellis et al., 2014; Marmot et </w:t>
      </w:r>
      <w:r w:rsidRPr="00570611">
        <w:rPr>
          <w:rFonts w:ascii="Arial" w:hAnsi="Arial" w:cs="Arial"/>
          <w:sz w:val="22"/>
          <w:szCs w:val="22"/>
          <w:lang w:val="en-US"/>
        </w:rPr>
        <w:lastRenderedPageBreak/>
        <w:t xml:space="preserve">al., 2020). Consequently, </w:t>
      </w:r>
      <w:r w:rsidR="00B56FD2">
        <w:rPr>
          <w:rFonts w:ascii="Arial" w:hAnsi="Arial" w:cs="Arial"/>
          <w:sz w:val="22"/>
          <w:szCs w:val="22"/>
          <w:lang w:val="en-US"/>
        </w:rPr>
        <w:t>access improvements</w:t>
      </w:r>
      <w:r w:rsidRPr="00570611">
        <w:rPr>
          <w:rFonts w:ascii="Arial" w:hAnsi="Arial" w:cs="Arial"/>
          <w:sz w:val="22"/>
          <w:szCs w:val="22"/>
          <w:lang w:val="en-US"/>
        </w:rPr>
        <w:t xml:space="preserve"> will require action beyond CAMHS. Other sectors involved in </w:t>
      </w:r>
      <w:r w:rsidR="00F1198F">
        <w:rPr>
          <w:rFonts w:ascii="Arial" w:hAnsi="Arial" w:cs="Arial"/>
          <w:sz w:val="22"/>
          <w:szCs w:val="22"/>
          <w:lang w:val="en-US"/>
        </w:rPr>
        <w:t>service delivery</w:t>
      </w:r>
      <w:r w:rsidRPr="00570611">
        <w:rPr>
          <w:rFonts w:ascii="Arial" w:hAnsi="Arial" w:cs="Arial"/>
          <w:sz w:val="22"/>
          <w:szCs w:val="22"/>
          <w:lang w:val="en-US"/>
        </w:rPr>
        <w:t>, including schools, GPs, local authorities, NGOs, and government policies, need to work together (Department of Health and Department for Education, 2017; Parkin and Long, 2024).</w:t>
      </w:r>
    </w:p>
    <w:p w14:paraId="2745654F" w14:textId="77777777" w:rsidR="00570611" w:rsidRPr="00570611" w:rsidRDefault="00570611" w:rsidP="00570611">
      <w:pPr>
        <w:spacing w:line="360" w:lineRule="auto"/>
        <w:jc w:val="both"/>
        <w:rPr>
          <w:rFonts w:ascii="Arial" w:hAnsi="Arial" w:cs="Arial"/>
          <w:sz w:val="22"/>
          <w:szCs w:val="22"/>
          <w:lang w:val="en-US"/>
        </w:rPr>
      </w:pPr>
    </w:p>
    <w:p w14:paraId="2C4C5A59" w14:textId="38CAB9A5" w:rsidR="00570611" w:rsidRPr="00570611" w:rsidRDefault="00570611" w:rsidP="00570611">
      <w:pPr>
        <w:spacing w:line="360" w:lineRule="auto"/>
        <w:jc w:val="both"/>
        <w:rPr>
          <w:rFonts w:ascii="Arial" w:hAnsi="Arial" w:cs="Arial"/>
          <w:sz w:val="22"/>
          <w:szCs w:val="22"/>
          <w:lang w:val="en-US"/>
        </w:rPr>
      </w:pPr>
      <w:r w:rsidRPr="00570611">
        <w:rPr>
          <w:rFonts w:ascii="Arial" w:hAnsi="Arial" w:cs="Arial"/>
          <w:sz w:val="22"/>
          <w:szCs w:val="22"/>
          <w:lang w:val="en-US"/>
        </w:rPr>
        <w:t xml:space="preserve">One important finding was that </w:t>
      </w:r>
      <w:r w:rsidR="00B56FD2">
        <w:rPr>
          <w:rFonts w:ascii="Arial" w:hAnsi="Arial" w:cs="Arial"/>
          <w:sz w:val="22"/>
          <w:szCs w:val="22"/>
          <w:lang w:val="en-US"/>
        </w:rPr>
        <w:t>referral numbers should not be used to measure CAMHS access</w:t>
      </w:r>
      <w:r w:rsidRPr="00570611">
        <w:rPr>
          <w:rFonts w:ascii="Arial" w:hAnsi="Arial" w:cs="Arial"/>
          <w:sz w:val="22"/>
          <w:szCs w:val="22"/>
          <w:lang w:val="en-US"/>
        </w:rPr>
        <w:t xml:space="preserve">. While </w:t>
      </w:r>
      <w:r w:rsidR="00AD4920">
        <w:rPr>
          <w:rFonts w:ascii="Arial" w:hAnsi="Arial" w:cs="Arial"/>
          <w:sz w:val="22"/>
          <w:szCs w:val="22"/>
          <w:lang w:val="en-US"/>
        </w:rPr>
        <w:t>referral numbers</w:t>
      </w:r>
      <w:r w:rsidR="00F1198F">
        <w:rPr>
          <w:rFonts w:ascii="Arial" w:hAnsi="Arial" w:cs="Arial"/>
          <w:sz w:val="22"/>
          <w:szCs w:val="22"/>
          <w:lang w:val="en-US"/>
        </w:rPr>
        <w:t xml:space="preserve"> show demand volume, they do not indicate whether children were seen on time, whether referrals were accepted, whether families knew what to expect, or</w:t>
      </w:r>
      <w:r w:rsidRPr="00570611">
        <w:rPr>
          <w:rFonts w:ascii="Arial" w:hAnsi="Arial" w:cs="Arial"/>
          <w:sz w:val="22"/>
          <w:szCs w:val="22"/>
          <w:lang w:val="en-US"/>
        </w:rPr>
        <w:t xml:space="preserve"> whether </w:t>
      </w:r>
      <w:r w:rsidR="00B56FD2">
        <w:rPr>
          <w:rFonts w:ascii="Arial" w:hAnsi="Arial" w:cs="Arial"/>
          <w:sz w:val="22"/>
          <w:szCs w:val="22"/>
          <w:lang w:val="en-US"/>
        </w:rPr>
        <w:t>care was continuous</w:t>
      </w:r>
      <w:r w:rsidRPr="00570611">
        <w:rPr>
          <w:rFonts w:ascii="Arial" w:hAnsi="Arial" w:cs="Arial"/>
          <w:sz w:val="22"/>
          <w:szCs w:val="22"/>
          <w:lang w:val="en-US"/>
        </w:rPr>
        <w:t xml:space="preserve"> (Children's Commissioner, 2024). According to the Children's Commissioner, waiting times and closed referrals show that</w:t>
      </w:r>
      <w:r w:rsidR="00B56FD2">
        <w:rPr>
          <w:rFonts w:ascii="Arial" w:hAnsi="Arial" w:cs="Arial"/>
          <w:sz w:val="22"/>
          <w:szCs w:val="22"/>
          <w:lang w:val="en-US"/>
        </w:rPr>
        <w:t xml:space="preserve"> children too often</w:t>
      </w:r>
      <w:r w:rsidR="00AD4920">
        <w:rPr>
          <w:rFonts w:ascii="Arial" w:hAnsi="Arial" w:cs="Arial"/>
          <w:sz w:val="22"/>
          <w:szCs w:val="22"/>
          <w:lang w:val="en-US"/>
        </w:rPr>
        <w:t xml:space="preserve"> start using services without proper support</w:t>
      </w:r>
      <w:r w:rsidRPr="00570611">
        <w:rPr>
          <w:rFonts w:ascii="Arial" w:hAnsi="Arial" w:cs="Arial"/>
          <w:sz w:val="22"/>
          <w:szCs w:val="22"/>
          <w:lang w:val="en-US"/>
        </w:rPr>
        <w:t xml:space="preserve"> (Children's Commissioner, 2024). Thus, access needs to be measured </w:t>
      </w:r>
      <w:r w:rsidR="00B56FD2">
        <w:rPr>
          <w:rFonts w:ascii="Arial" w:hAnsi="Arial" w:cs="Arial"/>
          <w:sz w:val="22"/>
          <w:szCs w:val="22"/>
          <w:lang w:val="en-US"/>
        </w:rPr>
        <w:t>by outcomes such as timely assessments, referral acceptance, adequate interventions, continuity of care, and equity across</w:t>
      </w:r>
      <w:r w:rsidRPr="00570611">
        <w:rPr>
          <w:rFonts w:ascii="Arial" w:hAnsi="Arial" w:cs="Arial"/>
          <w:sz w:val="22"/>
          <w:szCs w:val="22"/>
          <w:lang w:val="en-US"/>
        </w:rPr>
        <w:t xml:space="preserve"> localities (Appleton et al., 2022; Parkin and Long, 2024).</w:t>
      </w:r>
    </w:p>
    <w:p w14:paraId="0832C939" w14:textId="77777777" w:rsidR="00570611" w:rsidRPr="00570611" w:rsidRDefault="00570611" w:rsidP="00570611">
      <w:pPr>
        <w:spacing w:line="360" w:lineRule="auto"/>
        <w:jc w:val="both"/>
        <w:rPr>
          <w:rFonts w:ascii="Arial" w:hAnsi="Arial" w:cs="Arial"/>
          <w:sz w:val="22"/>
          <w:szCs w:val="22"/>
          <w:lang w:val="en-US"/>
        </w:rPr>
      </w:pPr>
    </w:p>
    <w:p w14:paraId="1F5E4EB9" w14:textId="77777777" w:rsidR="00570611" w:rsidRPr="00570611" w:rsidRDefault="00570611" w:rsidP="00EC5232">
      <w:pPr>
        <w:pStyle w:val="Heading2"/>
        <w:rPr>
          <w:lang w:val="en-US"/>
        </w:rPr>
      </w:pPr>
      <w:bookmarkStart w:id="49" w:name="_Toc233629144"/>
      <w:r w:rsidRPr="00570611">
        <w:rPr>
          <w:lang w:val="en-US"/>
        </w:rPr>
        <w:t>4.12 Chapter Summary</w:t>
      </w:r>
      <w:bookmarkEnd w:id="49"/>
    </w:p>
    <w:p w14:paraId="610470E8" w14:textId="77777777" w:rsidR="00364982" w:rsidRPr="00503E71" w:rsidRDefault="00364982" w:rsidP="00364982">
      <w:pPr>
        <w:spacing w:line="360" w:lineRule="auto"/>
        <w:jc w:val="both"/>
        <w:rPr>
          <w:rFonts w:ascii="Arial" w:hAnsi="Arial" w:cs="Arial"/>
          <w:sz w:val="22"/>
          <w:szCs w:val="22"/>
          <w:lang w:val="en-US"/>
        </w:rPr>
      </w:pPr>
    </w:p>
    <w:p w14:paraId="4F3397A8" w14:textId="2724DACE" w:rsidR="00501C21" w:rsidRPr="00B7158F" w:rsidRDefault="00AD4920" w:rsidP="00364982">
      <w:pPr>
        <w:spacing w:line="360" w:lineRule="auto"/>
        <w:jc w:val="both"/>
        <w:rPr>
          <w:rFonts w:ascii="Arial" w:hAnsi="Arial" w:cs="Arial"/>
          <w:sz w:val="22"/>
          <w:szCs w:val="22"/>
          <w:lang w:val="en-US"/>
        </w:rPr>
      </w:pPr>
      <w:r>
        <w:rPr>
          <w:rFonts w:ascii="Arial" w:hAnsi="Arial" w:cs="Arial"/>
          <w:sz w:val="22"/>
          <w:szCs w:val="22"/>
          <w:lang w:val="en-US"/>
        </w:rPr>
        <w:t>This chapter elaborates and discusses seven themes identified through the review</w:t>
      </w:r>
      <w:r w:rsidR="00364982" w:rsidRPr="00364982">
        <w:rPr>
          <w:rFonts w:ascii="Arial" w:hAnsi="Arial" w:cs="Arial"/>
          <w:sz w:val="22"/>
          <w:szCs w:val="22"/>
          <w:lang w:val="en-US"/>
        </w:rPr>
        <w:t xml:space="preserve">: waiting times, referral criteria, </w:t>
      </w:r>
      <w:r>
        <w:rPr>
          <w:rFonts w:ascii="Arial" w:hAnsi="Arial" w:cs="Arial"/>
          <w:sz w:val="22"/>
          <w:szCs w:val="22"/>
          <w:lang w:val="en-US"/>
        </w:rPr>
        <w:t>socio-economic</w:t>
      </w:r>
      <w:r w:rsidR="00364982" w:rsidRPr="00364982">
        <w:rPr>
          <w:rFonts w:ascii="Arial" w:hAnsi="Arial" w:cs="Arial"/>
          <w:sz w:val="22"/>
          <w:szCs w:val="22"/>
          <w:lang w:val="en-US"/>
        </w:rPr>
        <w:t xml:space="preserve"> differences, geographical disparities, stigma and help-seeking, schools and general practitioners as facilitators, and continuity of care. </w:t>
      </w:r>
      <w:r>
        <w:rPr>
          <w:rFonts w:ascii="Arial" w:hAnsi="Arial" w:cs="Arial"/>
          <w:sz w:val="22"/>
          <w:szCs w:val="22"/>
          <w:lang w:val="en-US"/>
        </w:rPr>
        <w:t xml:space="preserve">Overall, the review suggests that access to CAMHS services in the UK should be considered within the broader context of an access pathway that involves </w:t>
      </w:r>
      <w:r w:rsidR="00364982" w:rsidRPr="00364982">
        <w:rPr>
          <w:rFonts w:ascii="Arial" w:hAnsi="Arial" w:cs="Arial"/>
          <w:sz w:val="22"/>
          <w:szCs w:val="22"/>
          <w:lang w:val="en-US"/>
        </w:rPr>
        <w:t>individual, familial, agency, socioeconomic, and policy-related elements.</w:t>
      </w:r>
      <w:r w:rsidR="00501C21" w:rsidRPr="00B7158F">
        <w:rPr>
          <w:rFonts w:ascii="Arial" w:hAnsi="Arial" w:cs="Arial"/>
          <w:sz w:val="22"/>
          <w:szCs w:val="22"/>
          <w:lang w:val="en-US"/>
        </w:rPr>
        <w:br w:type="page"/>
      </w:r>
    </w:p>
    <w:p w14:paraId="13F7B4B7" w14:textId="126B20BC" w:rsidR="00D00388" w:rsidRPr="00106C49" w:rsidRDefault="00D00388" w:rsidP="00D00388">
      <w:pPr>
        <w:pStyle w:val="Heading1"/>
        <w:rPr>
          <w:lang w:val="en-US"/>
        </w:rPr>
      </w:pPr>
      <w:bookmarkStart w:id="50" w:name="_Toc233629145"/>
      <w:r w:rsidRPr="00D00388">
        <w:rPr>
          <w:lang w:val="en-US"/>
        </w:rPr>
        <w:lastRenderedPageBreak/>
        <w:t>Chapter 5: Conclusions and Recommendations</w:t>
      </w:r>
      <w:bookmarkEnd w:id="50"/>
    </w:p>
    <w:p w14:paraId="20DC8F33" w14:textId="77777777" w:rsidR="00D00388" w:rsidRPr="00D00388" w:rsidRDefault="00D00388" w:rsidP="00D00388">
      <w:pPr>
        <w:pStyle w:val="Heading2"/>
        <w:rPr>
          <w:lang w:val="en-US"/>
        </w:rPr>
      </w:pPr>
      <w:bookmarkStart w:id="51" w:name="_Toc233629146"/>
      <w:r w:rsidRPr="00D00388">
        <w:rPr>
          <w:lang w:val="en-US"/>
        </w:rPr>
        <w:t>5.1 Introduction</w:t>
      </w:r>
      <w:bookmarkEnd w:id="51"/>
    </w:p>
    <w:p w14:paraId="486E4C47" w14:textId="77777777" w:rsidR="00D00388" w:rsidRPr="00D00388" w:rsidRDefault="00D00388" w:rsidP="00D00388">
      <w:pPr>
        <w:spacing w:line="360" w:lineRule="auto"/>
        <w:jc w:val="both"/>
        <w:rPr>
          <w:rFonts w:ascii="Arial" w:hAnsi="Arial" w:cs="Arial"/>
          <w:sz w:val="22"/>
          <w:szCs w:val="22"/>
          <w:lang w:val="en-US"/>
        </w:rPr>
      </w:pPr>
    </w:p>
    <w:p w14:paraId="4A7114D6" w14:textId="10A6A2EA" w:rsidR="00D00388" w:rsidRPr="00D00388" w:rsidRDefault="00AD4920" w:rsidP="00D00388">
      <w:pPr>
        <w:spacing w:line="360" w:lineRule="auto"/>
        <w:jc w:val="both"/>
        <w:rPr>
          <w:rFonts w:ascii="Arial" w:hAnsi="Arial" w:cs="Arial"/>
          <w:sz w:val="22"/>
          <w:szCs w:val="22"/>
          <w:lang w:val="en-US"/>
        </w:rPr>
      </w:pPr>
      <w:r>
        <w:rPr>
          <w:rFonts w:ascii="Arial" w:hAnsi="Arial" w:cs="Arial"/>
          <w:sz w:val="22"/>
          <w:szCs w:val="22"/>
          <w:lang w:val="en-US"/>
        </w:rPr>
        <w:t xml:space="preserve">Conclusions can be drawn by addressing the research question, summarising the principal findings, outlining contributions to the field, and providing recommendations for the future. This dissertation aimed to investigate the barriers and enablers that affect access to Child and Adolescent Mental Health Services (CAMHS) in the United Kingdom. A systematic literature review </w:t>
      </w:r>
      <w:r w:rsidR="00B56FD2">
        <w:rPr>
          <w:rFonts w:ascii="Arial" w:hAnsi="Arial" w:cs="Arial"/>
          <w:sz w:val="22"/>
          <w:szCs w:val="22"/>
          <w:lang w:val="en-US"/>
        </w:rPr>
        <w:t>analysed UK-based qualitative, mixed-methods, and grey literature on</w:t>
      </w:r>
      <w:r>
        <w:rPr>
          <w:rFonts w:ascii="Arial" w:hAnsi="Arial" w:cs="Arial"/>
          <w:sz w:val="22"/>
          <w:szCs w:val="22"/>
          <w:lang w:val="en-US"/>
        </w:rPr>
        <w:t xml:space="preserve"> CAMHS access, with themes identified through thematic analysis (Page et al., 2021; Braun and Clarke, 2006; Aveyard, 2023).</w:t>
      </w:r>
    </w:p>
    <w:p w14:paraId="00D1CE12" w14:textId="0683B93D"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t xml:space="preserve">The current issue examined in the review </w:t>
      </w:r>
      <w:r w:rsidR="00F1198F">
        <w:rPr>
          <w:rFonts w:ascii="Arial" w:hAnsi="Arial" w:cs="Arial"/>
          <w:sz w:val="22"/>
          <w:szCs w:val="22"/>
          <w:lang w:val="en-US"/>
        </w:rPr>
        <w:t>is that, despite the mental health needs of children and young people persisting in the United Kingdom, accessing appropriate support remains</w:t>
      </w:r>
      <w:r w:rsidRPr="00D00388">
        <w:rPr>
          <w:rFonts w:ascii="Arial" w:hAnsi="Arial" w:cs="Arial"/>
          <w:sz w:val="22"/>
          <w:szCs w:val="22"/>
          <w:lang w:val="en-US"/>
        </w:rPr>
        <w:t xml:space="preserve"> a challenge (NHS Digital, 2023; Children's Commissioner, 2024). It is contended throughout the dissertation that CAMHS access should not be viewed as simply a matter of being referred, as CAMHS access is best understood in terms of a broader pathway involving recognising need, seeking help, referring, waiting, assessing, treating, engaging with, and continuing support (Reardon et al., 2017; Appleton et al., 2022).</w:t>
      </w:r>
    </w:p>
    <w:p w14:paraId="0BDB3EDE" w14:textId="77777777" w:rsidR="00D00388" w:rsidRPr="00D00388" w:rsidRDefault="00D00388" w:rsidP="00D00388">
      <w:pPr>
        <w:spacing w:line="360" w:lineRule="auto"/>
        <w:jc w:val="both"/>
        <w:rPr>
          <w:rFonts w:ascii="Arial" w:hAnsi="Arial" w:cs="Arial"/>
          <w:sz w:val="22"/>
          <w:szCs w:val="22"/>
          <w:lang w:val="en-US"/>
        </w:rPr>
      </w:pPr>
    </w:p>
    <w:p w14:paraId="75077235" w14:textId="77777777" w:rsidR="00D00388" w:rsidRPr="00D00388" w:rsidRDefault="00D00388" w:rsidP="00D00388">
      <w:pPr>
        <w:pStyle w:val="Heading2"/>
        <w:rPr>
          <w:lang w:val="en-US"/>
        </w:rPr>
      </w:pPr>
      <w:bookmarkStart w:id="52" w:name="_Toc233629147"/>
      <w:r w:rsidRPr="00D00388">
        <w:rPr>
          <w:lang w:val="en-US"/>
        </w:rPr>
        <w:t>5.2 Answer to the Research Question</w:t>
      </w:r>
      <w:bookmarkEnd w:id="52"/>
    </w:p>
    <w:p w14:paraId="39B5635D" w14:textId="77777777" w:rsidR="00D00388" w:rsidRPr="00D00388" w:rsidRDefault="00D00388" w:rsidP="00D00388">
      <w:pPr>
        <w:spacing w:line="360" w:lineRule="auto"/>
        <w:jc w:val="both"/>
        <w:rPr>
          <w:rFonts w:ascii="Arial" w:hAnsi="Arial" w:cs="Arial"/>
          <w:sz w:val="22"/>
          <w:szCs w:val="22"/>
          <w:lang w:val="en-US"/>
        </w:rPr>
      </w:pPr>
    </w:p>
    <w:p w14:paraId="0112B003" w14:textId="32D374D6" w:rsidR="00D00388" w:rsidRPr="00106C49"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t>What barriers and enablers influence access to Child and Adolescent Mental Health Services (CAMHS) in the United Kingdom?</w:t>
      </w:r>
    </w:p>
    <w:p w14:paraId="44F71943" w14:textId="63C49976" w:rsidR="00D00388" w:rsidRPr="00D00388" w:rsidRDefault="00AD4920" w:rsidP="00D00388">
      <w:pPr>
        <w:spacing w:line="360" w:lineRule="auto"/>
        <w:jc w:val="both"/>
        <w:rPr>
          <w:rFonts w:ascii="Arial" w:hAnsi="Arial" w:cs="Arial"/>
          <w:sz w:val="22"/>
          <w:szCs w:val="22"/>
          <w:lang w:val="en-US"/>
        </w:rPr>
      </w:pPr>
      <w:r>
        <w:rPr>
          <w:rFonts w:ascii="Arial" w:hAnsi="Arial" w:cs="Arial"/>
          <w:sz w:val="22"/>
          <w:szCs w:val="22"/>
          <w:lang w:val="en-US"/>
        </w:rPr>
        <w:t xml:space="preserve">Barriers to CAMHS access appear to </w:t>
      </w:r>
      <w:r w:rsidR="00D00388" w:rsidRPr="00D00388">
        <w:rPr>
          <w:rFonts w:ascii="Arial" w:hAnsi="Arial" w:cs="Arial"/>
          <w:sz w:val="22"/>
          <w:szCs w:val="22"/>
          <w:lang w:val="en-US"/>
        </w:rPr>
        <w:t xml:space="preserve">include individual, family, organisational, socioeconomic, and policy-related issues. In relation to barriers, these </w:t>
      </w:r>
      <w:r>
        <w:rPr>
          <w:rFonts w:ascii="Arial" w:hAnsi="Arial" w:cs="Arial"/>
          <w:sz w:val="22"/>
          <w:szCs w:val="22"/>
          <w:lang w:val="en-US"/>
        </w:rPr>
        <w:t>include</w:t>
      </w:r>
      <w:r w:rsidR="00D00388" w:rsidRPr="00D00388">
        <w:rPr>
          <w:rFonts w:ascii="Arial" w:hAnsi="Arial" w:cs="Arial"/>
          <w:sz w:val="22"/>
          <w:szCs w:val="22"/>
          <w:lang w:val="en-US"/>
        </w:rPr>
        <w:t xml:space="preserve"> waiting times, referral thresholds, rejected or refused referrals, poor communication, socioeconomic inequality, regional disparities, stigma associated with mental illness, lack of awareness, fragmented pathways, and poor continuity of care (Children's Commissioner, 2024; Scottish Government, 2018; Radez et al., 2022; Appleton et al., 2022). Barriers are interconnected and are not isolated in nature; for example, workforce shortages can contribute to waiting times, higher thresholds may result in greater numbers of rejected referrals, while socioeconomic disadvantage makes it more difficult for families to contest any decision or access alternative sources of help (Marmot et al., 2020; Parkin and Long, 2024).</w:t>
      </w:r>
    </w:p>
    <w:p w14:paraId="569105B1" w14:textId="77777777" w:rsidR="00D00388" w:rsidRPr="00D00388" w:rsidRDefault="00D00388" w:rsidP="00D00388">
      <w:pPr>
        <w:spacing w:line="360" w:lineRule="auto"/>
        <w:jc w:val="both"/>
        <w:rPr>
          <w:rFonts w:ascii="Arial" w:hAnsi="Arial" w:cs="Arial"/>
          <w:sz w:val="22"/>
          <w:szCs w:val="22"/>
          <w:lang w:val="en-US"/>
        </w:rPr>
      </w:pPr>
    </w:p>
    <w:p w14:paraId="14944141" w14:textId="5CD88CB6"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lastRenderedPageBreak/>
        <w:t xml:space="preserve">Enablers include early identification of need, the presence of trusted individuals, mental health supports provided at school, the use of general practitioners, MHSTs, good referral pathways, proper signposting, communication options, and collaboration between health, education, social care, and voluntary organisations (Department of Health and Department for Education, 2017; Sayal et al., 2010; NHS England, 2025; Parkin and Long, 2024). These facilitators of CAMHS access tend to be more effective </w:t>
      </w:r>
      <w:r w:rsidR="00AD4920">
        <w:rPr>
          <w:rFonts w:ascii="Arial" w:hAnsi="Arial" w:cs="Arial"/>
          <w:sz w:val="22"/>
          <w:szCs w:val="22"/>
          <w:lang w:val="en-US"/>
        </w:rPr>
        <w:t xml:space="preserve">if they do not further burden families </w:t>
      </w:r>
      <w:r w:rsidRPr="00D00388">
        <w:rPr>
          <w:rFonts w:ascii="Arial" w:hAnsi="Arial" w:cs="Arial"/>
          <w:sz w:val="22"/>
          <w:szCs w:val="22"/>
          <w:lang w:val="en-US"/>
        </w:rPr>
        <w:t>and connect children or young people to services before problems become too severe (Radez et al., 2022; Appleton et al., 2022).</w:t>
      </w:r>
    </w:p>
    <w:p w14:paraId="169807F3" w14:textId="77777777" w:rsidR="00D00388" w:rsidRPr="00D00388" w:rsidRDefault="00D00388" w:rsidP="00D00388">
      <w:pPr>
        <w:spacing w:line="360" w:lineRule="auto"/>
        <w:jc w:val="both"/>
        <w:rPr>
          <w:rFonts w:ascii="Arial" w:hAnsi="Arial" w:cs="Arial"/>
          <w:sz w:val="22"/>
          <w:szCs w:val="22"/>
          <w:lang w:val="en-US"/>
        </w:rPr>
      </w:pPr>
    </w:p>
    <w:p w14:paraId="6175A4A1" w14:textId="224CD190"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t xml:space="preserve">To summarise, CAMHS access in the United Kingdom </w:t>
      </w:r>
      <w:r w:rsidR="00B56FD2">
        <w:rPr>
          <w:rFonts w:ascii="Arial" w:hAnsi="Arial" w:cs="Arial"/>
          <w:sz w:val="22"/>
          <w:szCs w:val="22"/>
          <w:lang w:val="en-US"/>
        </w:rPr>
        <w:t>results</w:t>
      </w:r>
      <w:r w:rsidRPr="00D00388">
        <w:rPr>
          <w:rFonts w:ascii="Arial" w:hAnsi="Arial" w:cs="Arial"/>
          <w:sz w:val="22"/>
          <w:szCs w:val="22"/>
          <w:lang w:val="en-US"/>
        </w:rPr>
        <w:t xml:space="preserve"> from </w:t>
      </w:r>
      <w:r w:rsidR="00AD4920">
        <w:rPr>
          <w:rFonts w:ascii="Arial" w:hAnsi="Arial" w:cs="Arial"/>
          <w:sz w:val="22"/>
          <w:szCs w:val="22"/>
          <w:lang w:val="en-US"/>
        </w:rPr>
        <w:t>interactions between need, family resources, professional recognition, service capacity, referral processes, local provision, and policy implementation</w:t>
      </w:r>
      <w:r w:rsidRPr="00D00388">
        <w:rPr>
          <w:rFonts w:ascii="Arial" w:hAnsi="Arial" w:cs="Arial"/>
          <w:sz w:val="22"/>
          <w:szCs w:val="22"/>
          <w:lang w:val="en-US"/>
        </w:rPr>
        <w:t xml:space="preserve">. CAMHS access is not a function of clinical need </w:t>
      </w:r>
      <w:r w:rsidR="00AD4920" w:rsidRPr="00D00388">
        <w:rPr>
          <w:rFonts w:ascii="Arial" w:hAnsi="Arial" w:cs="Arial"/>
          <w:sz w:val="22"/>
          <w:szCs w:val="22"/>
          <w:lang w:val="en-US"/>
        </w:rPr>
        <w:t>alone but</w:t>
      </w:r>
      <w:r w:rsidRPr="00D00388">
        <w:rPr>
          <w:rFonts w:ascii="Arial" w:hAnsi="Arial" w:cs="Arial"/>
          <w:sz w:val="22"/>
          <w:szCs w:val="22"/>
          <w:lang w:val="en-US"/>
        </w:rPr>
        <w:t xml:space="preserve"> also depends upon the family's ability to navigate the system, capacity of schools and GPs to identify mental health concerns, capacity of local services, and whether children/youth receive continuity following referral or assessment (Reardon et al., 2017; Children's Commissioner, 2024; Parkin and Long, 2024).</w:t>
      </w:r>
    </w:p>
    <w:p w14:paraId="7939ACE5" w14:textId="77777777" w:rsidR="00D00388" w:rsidRPr="00D00388" w:rsidRDefault="00D00388" w:rsidP="00D00388">
      <w:pPr>
        <w:spacing w:line="360" w:lineRule="auto"/>
        <w:jc w:val="both"/>
        <w:rPr>
          <w:rFonts w:ascii="Arial" w:hAnsi="Arial" w:cs="Arial"/>
          <w:sz w:val="22"/>
          <w:szCs w:val="22"/>
          <w:lang w:val="en-US"/>
        </w:rPr>
      </w:pPr>
    </w:p>
    <w:p w14:paraId="34AAC96C" w14:textId="77777777" w:rsidR="00D00388" w:rsidRPr="00D00388" w:rsidRDefault="00D00388" w:rsidP="00D00388">
      <w:pPr>
        <w:pStyle w:val="Heading2"/>
        <w:rPr>
          <w:lang w:val="en-US"/>
        </w:rPr>
      </w:pPr>
      <w:bookmarkStart w:id="53" w:name="_Toc233629148"/>
      <w:r w:rsidRPr="00D00388">
        <w:rPr>
          <w:lang w:val="en-US"/>
        </w:rPr>
        <w:t>5.3 Summary of Key Findings</w:t>
      </w:r>
      <w:bookmarkEnd w:id="53"/>
    </w:p>
    <w:p w14:paraId="16FE145F" w14:textId="77777777" w:rsidR="00D00388" w:rsidRPr="00D00388" w:rsidRDefault="00D00388" w:rsidP="00D00388">
      <w:pPr>
        <w:spacing w:line="360" w:lineRule="auto"/>
        <w:jc w:val="both"/>
        <w:rPr>
          <w:rFonts w:ascii="Arial" w:hAnsi="Arial" w:cs="Arial"/>
          <w:sz w:val="22"/>
          <w:szCs w:val="22"/>
          <w:lang w:val="en-US"/>
        </w:rPr>
      </w:pPr>
    </w:p>
    <w:p w14:paraId="2C6035B6" w14:textId="2A37DF24"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t xml:space="preserve">The first key finding is that long waiting times remain an important barrier to CAMHS access. Such delays mean </w:t>
      </w:r>
      <w:r w:rsidR="00AD4920">
        <w:rPr>
          <w:rFonts w:ascii="Arial" w:hAnsi="Arial" w:cs="Arial"/>
          <w:sz w:val="22"/>
          <w:szCs w:val="22"/>
          <w:lang w:val="en-US"/>
        </w:rPr>
        <w:t>children cannot receive support, placing an additional burden on families or schools and allowing</w:t>
      </w:r>
      <w:r w:rsidRPr="00D00388">
        <w:rPr>
          <w:rFonts w:ascii="Arial" w:hAnsi="Arial" w:cs="Arial"/>
          <w:sz w:val="22"/>
          <w:szCs w:val="22"/>
          <w:lang w:val="en-US"/>
        </w:rPr>
        <w:t xml:space="preserve"> problems to worsen before any action can be taken (Frith, 2017; Edbrooke-Childs and Deighton, 2020; Children's Commissioner, 2024). Waiting for access to CAMHS should be understood not just </w:t>
      </w:r>
      <w:r w:rsidR="00AD4920">
        <w:rPr>
          <w:rFonts w:ascii="Arial" w:hAnsi="Arial" w:cs="Arial"/>
          <w:sz w:val="22"/>
          <w:szCs w:val="22"/>
          <w:lang w:val="en-US"/>
        </w:rPr>
        <w:t xml:space="preserve">as a service performance measure, but </w:t>
      </w:r>
      <w:r w:rsidRPr="00D00388">
        <w:rPr>
          <w:rFonts w:ascii="Arial" w:hAnsi="Arial" w:cs="Arial"/>
          <w:sz w:val="22"/>
          <w:szCs w:val="22"/>
          <w:lang w:val="en-US"/>
        </w:rPr>
        <w:t>as a frustrating experience of uncertainty and unmet needs (Appleton et al., 2020; Appleton et al., 2022).</w:t>
      </w:r>
    </w:p>
    <w:p w14:paraId="01F95F9D" w14:textId="77777777" w:rsidR="00D00388" w:rsidRPr="00D00388" w:rsidRDefault="00D00388" w:rsidP="00D00388">
      <w:pPr>
        <w:spacing w:line="360" w:lineRule="auto"/>
        <w:jc w:val="both"/>
        <w:rPr>
          <w:rFonts w:ascii="Arial" w:hAnsi="Arial" w:cs="Arial"/>
          <w:sz w:val="22"/>
          <w:szCs w:val="22"/>
          <w:lang w:val="en-US"/>
        </w:rPr>
      </w:pPr>
    </w:p>
    <w:p w14:paraId="56D5AB01" w14:textId="21053836"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t xml:space="preserve">Secondly, referral thresholds and rejected/refused referrals are significant barriers to CAMHS access. On the one hand, </w:t>
      </w:r>
      <w:r w:rsidR="00B56FD2">
        <w:rPr>
          <w:rFonts w:ascii="Arial" w:hAnsi="Arial" w:cs="Arial"/>
          <w:sz w:val="22"/>
          <w:szCs w:val="22"/>
          <w:lang w:val="en-US"/>
        </w:rPr>
        <w:t>thresholds may indeed</w:t>
      </w:r>
      <w:r w:rsidRPr="00D00388">
        <w:rPr>
          <w:rFonts w:ascii="Arial" w:hAnsi="Arial" w:cs="Arial"/>
          <w:sz w:val="22"/>
          <w:szCs w:val="22"/>
          <w:lang w:val="en-US"/>
        </w:rPr>
        <w:t xml:space="preserve"> be needed </w:t>
      </w:r>
      <w:r w:rsidR="00B56FD2">
        <w:rPr>
          <w:rFonts w:ascii="Arial" w:hAnsi="Arial" w:cs="Arial"/>
          <w:sz w:val="22"/>
          <w:szCs w:val="22"/>
          <w:lang w:val="en-US"/>
        </w:rPr>
        <w:t>to</w:t>
      </w:r>
      <w:r w:rsidRPr="00D00388">
        <w:rPr>
          <w:rFonts w:ascii="Arial" w:hAnsi="Arial" w:cs="Arial"/>
          <w:sz w:val="22"/>
          <w:szCs w:val="22"/>
          <w:lang w:val="en-US"/>
        </w:rPr>
        <w:t xml:space="preserve"> allocate available specialist services </w:t>
      </w:r>
      <w:r w:rsidR="00B56FD2">
        <w:rPr>
          <w:rFonts w:ascii="Arial" w:hAnsi="Arial" w:cs="Arial"/>
          <w:sz w:val="22"/>
          <w:szCs w:val="22"/>
          <w:lang w:val="en-US"/>
        </w:rPr>
        <w:t>more efficiently. However, this means children and young people may have no access to specialist services because they fall below a certain severity threshold</w:t>
      </w:r>
      <w:r w:rsidRPr="00D00388">
        <w:rPr>
          <w:rFonts w:ascii="Arial" w:hAnsi="Arial" w:cs="Arial"/>
          <w:sz w:val="22"/>
          <w:szCs w:val="22"/>
          <w:lang w:val="en-US"/>
        </w:rPr>
        <w:t xml:space="preserve"> (Scottish Government, 2018; Appleton et al., 2020). Refused/rejected referrals pose a problem</w:t>
      </w:r>
      <w:r w:rsidR="00B56FD2">
        <w:rPr>
          <w:rFonts w:ascii="Arial" w:hAnsi="Arial" w:cs="Arial"/>
          <w:sz w:val="22"/>
          <w:szCs w:val="22"/>
          <w:lang w:val="en-US"/>
        </w:rPr>
        <w:t>, particularly</w:t>
      </w:r>
      <w:r w:rsidRPr="00D00388">
        <w:rPr>
          <w:rFonts w:ascii="Arial" w:hAnsi="Arial" w:cs="Arial"/>
          <w:sz w:val="22"/>
          <w:szCs w:val="22"/>
          <w:lang w:val="en-US"/>
        </w:rPr>
        <w:t xml:space="preserve"> where there is a lack of clarity about such a decision, poor signposting, and inadequate support thereafter (Scottish Government, 2018; Children's Commissioner, 2024).</w:t>
      </w:r>
    </w:p>
    <w:p w14:paraId="5E0E1C35" w14:textId="77777777" w:rsidR="00D00388" w:rsidRPr="00D00388" w:rsidRDefault="00D00388" w:rsidP="00D00388">
      <w:pPr>
        <w:spacing w:line="360" w:lineRule="auto"/>
        <w:jc w:val="both"/>
        <w:rPr>
          <w:rFonts w:ascii="Arial" w:hAnsi="Arial" w:cs="Arial"/>
          <w:sz w:val="22"/>
          <w:szCs w:val="22"/>
          <w:lang w:val="en-US"/>
        </w:rPr>
      </w:pPr>
    </w:p>
    <w:p w14:paraId="5E5CFBBD" w14:textId="5E781F4E"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lastRenderedPageBreak/>
        <w:t xml:space="preserve">Thirdly, socioeconomic disparities impact CAMHS access and mental health needs among young people. Families who experience poverty, insecure housing, digital exclusion, problems with transport, language barriers, or low trust in mental health services may face obstacles in helping their child overcome mental health problems (Marmot et al., 2020; Radez et al., 2022). As a consequence, CAMHS access </w:t>
      </w:r>
      <w:r w:rsidR="00AD4920">
        <w:rPr>
          <w:rFonts w:ascii="Arial" w:hAnsi="Arial" w:cs="Arial"/>
          <w:sz w:val="22"/>
          <w:szCs w:val="22"/>
          <w:lang w:val="en-US"/>
        </w:rPr>
        <w:t xml:space="preserve">involves not only clinical considerations but also </w:t>
      </w:r>
      <w:r w:rsidRPr="00D00388">
        <w:rPr>
          <w:rFonts w:ascii="Arial" w:hAnsi="Arial" w:cs="Arial"/>
          <w:sz w:val="22"/>
          <w:szCs w:val="22"/>
          <w:lang w:val="en-US"/>
        </w:rPr>
        <w:t>equity concerns (Marmot et al., 2020; Parkin and Long, 2024).</w:t>
      </w:r>
    </w:p>
    <w:p w14:paraId="30325D60" w14:textId="77777777" w:rsidR="00D00388" w:rsidRPr="00D00388" w:rsidRDefault="00D00388" w:rsidP="00D00388">
      <w:pPr>
        <w:spacing w:line="360" w:lineRule="auto"/>
        <w:jc w:val="both"/>
        <w:rPr>
          <w:rFonts w:ascii="Arial" w:hAnsi="Arial" w:cs="Arial"/>
          <w:sz w:val="22"/>
          <w:szCs w:val="22"/>
          <w:lang w:val="en-US"/>
        </w:rPr>
      </w:pPr>
    </w:p>
    <w:p w14:paraId="1734EBF1" w14:textId="34F258BD"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t xml:space="preserve">Fourthly, schools, GPs, and MHSTs </w:t>
      </w:r>
      <w:r w:rsidR="00AD4920">
        <w:rPr>
          <w:rFonts w:ascii="Arial" w:hAnsi="Arial" w:cs="Arial"/>
          <w:sz w:val="22"/>
          <w:szCs w:val="22"/>
          <w:lang w:val="en-US"/>
        </w:rPr>
        <w:t>are crucial enablers of</w:t>
      </w:r>
      <w:r w:rsidRPr="00D00388">
        <w:rPr>
          <w:rFonts w:ascii="Arial" w:hAnsi="Arial" w:cs="Arial"/>
          <w:sz w:val="22"/>
          <w:szCs w:val="22"/>
          <w:lang w:val="en-US"/>
        </w:rPr>
        <w:t xml:space="preserve"> CAMHS access. Schools can help </w:t>
      </w:r>
      <w:r w:rsidR="00B56FD2">
        <w:rPr>
          <w:rFonts w:ascii="Arial" w:hAnsi="Arial" w:cs="Arial"/>
          <w:sz w:val="22"/>
          <w:szCs w:val="22"/>
          <w:lang w:val="en-US"/>
        </w:rPr>
        <w:t>identify needs early</w:t>
      </w:r>
      <w:r w:rsidRPr="00D00388">
        <w:rPr>
          <w:rFonts w:ascii="Arial" w:hAnsi="Arial" w:cs="Arial"/>
          <w:sz w:val="22"/>
          <w:szCs w:val="22"/>
          <w:lang w:val="en-US"/>
        </w:rPr>
        <w:t>, GPs can offer advice and make referrals, and MHSTs can facilitate early intervention for mild-to-moderate concerns. Yet at the same time, neither educational institutions nor primary healthcare professionals can be a replacement for specialist CAMHS where children and youth suffer from serious mental disorders (Children's Commissioner, 2024; Parkin and Long, 2024).</w:t>
      </w:r>
    </w:p>
    <w:p w14:paraId="644C3BA3" w14:textId="77777777" w:rsidR="00D00388" w:rsidRPr="00D00388" w:rsidRDefault="00D00388" w:rsidP="00D00388">
      <w:pPr>
        <w:spacing w:line="360" w:lineRule="auto"/>
        <w:jc w:val="both"/>
        <w:rPr>
          <w:rFonts w:ascii="Arial" w:hAnsi="Arial" w:cs="Arial"/>
          <w:sz w:val="22"/>
          <w:szCs w:val="22"/>
          <w:lang w:val="en-US"/>
        </w:rPr>
      </w:pPr>
    </w:p>
    <w:p w14:paraId="5B98DA2B" w14:textId="6C3DC946"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t xml:space="preserve">Fifthly, continuity is crucial for CAMHS access. </w:t>
      </w:r>
      <w:r w:rsidR="00AD4920">
        <w:rPr>
          <w:rFonts w:ascii="Arial" w:hAnsi="Arial" w:cs="Arial"/>
          <w:sz w:val="22"/>
          <w:szCs w:val="22"/>
          <w:lang w:val="en-US"/>
        </w:rPr>
        <w:t xml:space="preserve">CAMHS access should be measured not only by whether a referral was made, but also by whether continuity has been maintained after assessment and referral </w:t>
      </w:r>
      <w:r w:rsidRPr="00D00388">
        <w:rPr>
          <w:rFonts w:ascii="Arial" w:hAnsi="Arial" w:cs="Arial"/>
          <w:sz w:val="22"/>
          <w:szCs w:val="22"/>
          <w:lang w:val="en-US"/>
        </w:rPr>
        <w:t>(Appleton et al., 2020; Appleton et al., 2022).</w:t>
      </w:r>
    </w:p>
    <w:p w14:paraId="11F68A6D" w14:textId="77777777" w:rsidR="00D00388" w:rsidRPr="00D00388" w:rsidRDefault="00D00388" w:rsidP="00D00388">
      <w:pPr>
        <w:spacing w:line="360" w:lineRule="auto"/>
        <w:jc w:val="both"/>
        <w:rPr>
          <w:rFonts w:ascii="Arial" w:hAnsi="Arial" w:cs="Arial"/>
          <w:sz w:val="22"/>
          <w:szCs w:val="22"/>
          <w:lang w:val="en-US"/>
        </w:rPr>
      </w:pPr>
    </w:p>
    <w:p w14:paraId="3A29332B" w14:textId="77777777" w:rsidR="00D00388" w:rsidRPr="00D00388" w:rsidRDefault="00D00388" w:rsidP="00D00388">
      <w:pPr>
        <w:pStyle w:val="Heading2"/>
        <w:rPr>
          <w:lang w:val="en-US"/>
        </w:rPr>
      </w:pPr>
      <w:bookmarkStart w:id="54" w:name="_Toc233629149"/>
      <w:r w:rsidRPr="00D00388">
        <w:rPr>
          <w:lang w:val="en-US"/>
        </w:rPr>
        <w:t>5.4 Contribution of the Dissertation</w:t>
      </w:r>
      <w:bookmarkEnd w:id="54"/>
    </w:p>
    <w:p w14:paraId="599CBB9B" w14:textId="77777777" w:rsidR="00D00388" w:rsidRPr="00D00388" w:rsidRDefault="00D00388" w:rsidP="00D00388">
      <w:pPr>
        <w:spacing w:line="360" w:lineRule="auto"/>
        <w:jc w:val="both"/>
        <w:rPr>
          <w:rFonts w:ascii="Arial" w:hAnsi="Arial" w:cs="Arial"/>
          <w:sz w:val="22"/>
          <w:szCs w:val="22"/>
          <w:lang w:val="en-US"/>
        </w:rPr>
      </w:pPr>
    </w:p>
    <w:p w14:paraId="6CD611FB" w14:textId="7E43481E"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t xml:space="preserve">The dissertation contributes to existing scholarly knowledge </w:t>
      </w:r>
      <w:r w:rsidR="00AD4920">
        <w:rPr>
          <w:rFonts w:ascii="Arial" w:hAnsi="Arial" w:cs="Arial"/>
          <w:sz w:val="22"/>
          <w:szCs w:val="22"/>
          <w:lang w:val="en-US"/>
        </w:rPr>
        <w:t>by providing</w:t>
      </w:r>
      <w:r w:rsidRPr="00D00388">
        <w:rPr>
          <w:rFonts w:ascii="Arial" w:hAnsi="Arial" w:cs="Arial"/>
          <w:sz w:val="22"/>
          <w:szCs w:val="22"/>
          <w:lang w:val="en-US"/>
        </w:rPr>
        <w:t xml:space="preserve"> a UK-specific review of barriers and enablers to CAMHS access. The first and foremost contribution is connected with the thesis statement itself, as the approach adopted for studying CAMHS access enables consideration of barriers before, during, and after the referral, thus explaining the phenomenon of non-engagement even after help has been sought out by families (Reardon et al., 2017; Children's Commissioner, 2024).</w:t>
      </w:r>
    </w:p>
    <w:p w14:paraId="6B7CC0DE" w14:textId="77777777" w:rsidR="00D00388" w:rsidRPr="00D00388" w:rsidRDefault="00D00388" w:rsidP="00D00388">
      <w:pPr>
        <w:spacing w:line="360" w:lineRule="auto"/>
        <w:jc w:val="both"/>
        <w:rPr>
          <w:rFonts w:ascii="Arial" w:hAnsi="Arial" w:cs="Arial"/>
          <w:sz w:val="22"/>
          <w:szCs w:val="22"/>
          <w:lang w:val="en-US"/>
        </w:rPr>
      </w:pPr>
    </w:p>
    <w:p w14:paraId="2BFFFA10" w14:textId="3C29852C" w:rsidR="00D00388" w:rsidRPr="00D00388" w:rsidRDefault="00D00388" w:rsidP="00D00388">
      <w:pPr>
        <w:spacing w:line="360" w:lineRule="auto"/>
        <w:jc w:val="both"/>
        <w:rPr>
          <w:rFonts w:ascii="Arial" w:hAnsi="Arial" w:cs="Arial"/>
          <w:sz w:val="22"/>
          <w:szCs w:val="22"/>
          <w:lang w:val="en-US"/>
        </w:rPr>
      </w:pPr>
      <w:r w:rsidRPr="00D00388">
        <w:rPr>
          <w:rFonts w:ascii="Arial" w:hAnsi="Arial" w:cs="Arial"/>
          <w:sz w:val="22"/>
          <w:szCs w:val="22"/>
          <w:lang w:val="en-US"/>
        </w:rPr>
        <w:t xml:space="preserve">Another way </w:t>
      </w:r>
      <w:r w:rsidR="009122E7">
        <w:rPr>
          <w:rFonts w:ascii="Arial" w:hAnsi="Arial" w:cs="Arial"/>
          <w:sz w:val="22"/>
          <w:szCs w:val="22"/>
          <w:lang w:val="en-US"/>
        </w:rPr>
        <w:t xml:space="preserve">the dissertation contributes to relevant scholarly debates is by linking barriers </w:t>
      </w:r>
      <w:r w:rsidR="00B56FD2">
        <w:rPr>
          <w:rFonts w:ascii="Arial" w:hAnsi="Arial" w:cs="Arial"/>
          <w:sz w:val="22"/>
          <w:szCs w:val="22"/>
          <w:lang w:val="en-US"/>
        </w:rPr>
        <w:t>to and enablers of</w:t>
      </w:r>
      <w:r w:rsidR="009122E7">
        <w:rPr>
          <w:rFonts w:ascii="Arial" w:hAnsi="Arial" w:cs="Arial"/>
          <w:sz w:val="22"/>
          <w:szCs w:val="22"/>
          <w:lang w:val="en-US"/>
        </w:rPr>
        <w:t xml:space="preserve"> CAMHS access with</w:t>
      </w:r>
      <w:r w:rsidRPr="00D00388">
        <w:rPr>
          <w:rFonts w:ascii="Arial" w:hAnsi="Arial" w:cs="Arial"/>
          <w:sz w:val="22"/>
          <w:szCs w:val="22"/>
          <w:lang w:val="en-US"/>
        </w:rPr>
        <w:t xml:space="preserve"> the social determinants of health. The literature suggests that CAMHS access involves poverty, family resourcefulness, local services, regional disparities, school </w:t>
      </w:r>
      <w:r w:rsidR="009122E7" w:rsidRPr="00D00388">
        <w:rPr>
          <w:rFonts w:ascii="Arial" w:hAnsi="Arial" w:cs="Arial"/>
          <w:sz w:val="22"/>
          <w:szCs w:val="22"/>
          <w:lang w:val="en-US"/>
        </w:rPr>
        <w:t>support</w:t>
      </w:r>
      <w:r w:rsidRPr="00D00388">
        <w:rPr>
          <w:rFonts w:ascii="Arial" w:hAnsi="Arial" w:cs="Arial"/>
          <w:sz w:val="22"/>
          <w:szCs w:val="22"/>
          <w:lang w:val="en-US"/>
        </w:rPr>
        <w:t xml:space="preserve">, and </w:t>
      </w:r>
      <w:r w:rsidR="009122E7">
        <w:rPr>
          <w:rFonts w:ascii="Arial" w:hAnsi="Arial" w:cs="Arial"/>
          <w:sz w:val="22"/>
          <w:szCs w:val="22"/>
          <w:lang w:val="en-US"/>
        </w:rPr>
        <w:t>policy implementation</w:t>
      </w:r>
      <w:r w:rsidRPr="00D00388">
        <w:rPr>
          <w:rFonts w:ascii="Arial" w:hAnsi="Arial" w:cs="Arial"/>
          <w:sz w:val="22"/>
          <w:szCs w:val="22"/>
          <w:lang w:val="en-US"/>
        </w:rPr>
        <w:t xml:space="preserve"> (Bellis et al., 2014; Marmot et al., 2020; Parkin and Long, 2024). Hence, improving access does not </w:t>
      </w:r>
      <w:r w:rsidR="009122E7">
        <w:rPr>
          <w:rFonts w:ascii="Arial" w:hAnsi="Arial" w:cs="Arial"/>
          <w:sz w:val="22"/>
          <w:szCs w:val="22"/>
          <w:lang w:val="en-US"/>
        </w:rPr>
        <w:t>mean working with specialist CAMHS alone; it</w:t>
      </w:r>
      <w:r w:rsidRPr="00D00388">
        <w:rPr>
          <w:rFonts w:ascii="Arial" w:hAnsi="Arial" w:cs="Arial"/>
          <w:sz w:val="22"/>
          <w:szCs w:val="22"/>
          <w:lang w:val="en-US"/>
        </w:rPr>
        <w:t xml:space="preserve"> must involve cross-sector actions (NHS England, 2019; Parkin and Long, 2024).</w:t>
      </w:r>
    </w:p>
    <w:p w14:paraId="16290391" w14:textId="77777777" w:rsidR="00D00388" w:rsidRPr="00D00388" w:rsidRDefault="00D00388" w:rsidP="00D00388">
      <w:pPr>
        <w:spacing w:line="360" w:lineRule="auto"/>
        <w:jc w:val="both"/>
        <w:rPr>
          <w:rFonts w:ascii="Arial" w:hAnsi="Arial" w:cs="Arial"/>
          <w:sz w:val="22"/>
          <w:szCs w:val="22"/>
          <w:lang w:val="en-US"/>
        </w:rPr>
      </w:pPr>
    </w:p>
    <w:p w14:paraId="3E7A9DA7" w14:textId="77777777" w:rsidR="00D00388" w:rsidRPr="00106C49" w:rsidRDefault="00D00388" w:rsidP="00B61D57">
      <w:pPr>
        <w:pStyle w:val="Heading2"/>
        <w:rPr>
          <w:lang w:val="en-US"/>
        </w:rPr>
      </w:pPr>
      <w:bookmarkStart w:id="55" w:name="_Toc233629150"/>
      <w:r w:rsidRPr="00D00388">
        <w:rPr>
          <w:lang w:val="en-US"/>
        </w:rPr>
        <w:lastRenderedPageBreak/>
        <w:t>5.5 Recommendations for Policy and Practice</w:t>
      </w:r>
      <w:bookmarkEnd w:id="55"/>
    </w:p>
    <w:p w14:paraId="5225C634" w14:textId="04A511D1" w:rsidR="00B61D57" w:rsidRPr="00B61D57" w:rsidRDefault="00B61D57" w:rsidP="00B61D57">
      <w:pPr>
        <w:rPr>
          <w:lang w:val="en-US"/>
        </w:rPr>
      </w:pPr>
      <w:r w:rsidRPr="00B61D57">
        <w:rPr>
          <w:lang w:val="en-US"/>
        </w:rPr>
        <w:t>Table 8: Recommendations for policy, practice and future research</w:t>
      </w:r>
    </w:p>
    <w:tbl>
      <w:tblPr>
        <w:tblStyle w:val="TableGrid"/>
        <w:tblW w:w="0" w:type="auto"/>
        <w:tblLook w:val="04A0" w:firstRow="1" w:lastRow="0" w:firstColumn="1" w:lastColumn="0" w:noHBand="0" w:noVBand="1"/>
      </w:tblPr>
      <w:tblGrid>
        <w:gridCol w:w="1606"/>
        <w:gridCol w:w="4737"/>
        <w:gridCol w:w="3002"/>
      </w:tblGrid>
      <w:tr w:rsidR="00D00388" w14:paraId="1E36C7A0" w14:textId="77777777" w:rsidTr="00B61D57">
        <w:tc>
          <w:tcPr>
            <w:tcW w:w="1606" w:type="dxa"/>
          </w:tcPr>
          <w:p w14:paraId="6D68FB40" w14:textId="78C86045" w:rsidR="00D00388" w:rsidRPr="00B61D57" w:rsidRDefault="00B61D57" w:rsidP="00B61D57">
            <w:pPr>
              <w:spacing w:line="360" w:lineRule="auto"/>
              <w:rPr>
                <w:rFonts w:ascii="Arial" w:hAnsi="Arial" w:cs="Arial"/>
                <w:b/>
                <w:bCs/>
                <w:sz w:val="20"/>
                <w:szCs w:val="20"/>
                <w:lang w:val="en-US"/>
              </w:rPr>
            </w:pPr>
            <w:r w:rsidRPr="00B61D57">
              <w:rPr>
                <w:rFonts w:ascii="Arial" w:hAnsi="Arial" w:cs="Arial"/>
                <w:b/>
                <w:bCs/>
                <w:sz w:val="20"/>
                <w:szCs w:val="20"/>
              </w:rPr>
              <w:t>Area</w:t>
            </w:r>
          </w:p>
        </w:tc>
        <w:tc>
          <w:tcPr>
            <w:tcW w:w="4737" w:type="dxa"/>
          </w:tcPr>
          <w:p w14:paraId="6F7BBB96" w14:textId="6F6F9E63" w:rsidR="00D00388" w:rsidRPr="00B61D57" w:rsidRDefault="00B61D57" w:rsidP="00B61D57">
            <w:pPr>
              <w:spacing w:line="360" w:lineRule="auto"/>
              <w:rPr>
                <w:rFonts w:ascii="Arial" w:hAnsi="Arial" w:cs="Arial"/>
                <w:b/>
                <w:bCs/>
                <w:sz w:val="20"/>
                <w:szCs w:val="20"/>
                <w:lang w:val="en-US"/>
              </w:rPr>
            </w:pPr>
            <w:r w:rsidRPr="00B61D57">
              <w:rPr>
                <w:rFonts w:ascii="Arial" w:hAnsi="Arial" w:cs="Arial"/>
                <w:b/>
                <w:bCs/>
                <w:sz w:val="20"/>
                <w:szCs w:val="20"/>
              </w:rPr>
              <w:t>Recommendation</w:t>
            </w:r>
          </w:p>
        </w:tc>
        <w:tc>
          <w:tcPr>
            <w:tcW w:w="3002" w:type="dxa"/>
          </w:tcPr>
          <w:p w14:paraId="78D854B6" w14:textId="5062AED3" w:rsidR="00D00388" w:rsidRPr="00B61D57" w:rsidRDefault="00B61D57" w:rsidP="00B61D57">
            <w:pPr>
              <w:spacing w:line="360" w:lineRule="auto"/>
              <w:rPr>
                <w:rFonts w:ascii="Arial" w:hAnsi="Arial" w:cs="Arial"/>
                <w:b/>
                <w:bCs/>
                <w:sz w:val="20"/>
                <w:szCs w:val="20"/>
                <w:lang w:val="en-US"/>
              </w:rPr>
            </w:pPr>
            <w:r w:rsidRPr="00B61D57">
              <w:rPr>
                <w:rFonts w:ascii="Arial" w:hAnsi="Arial" w:cs="Arial"/>
                <w:b/>
                <w:bCs/>
                <w:sz w:val="20"/>
                <w:szCs w:val="20"/>
              </w:rPr>
              <w:t>Rationale</w:t>
            </w:r>
          </w:p>
        </w:tc>
      </w:tr>
      <w:tr w:rsidR="00D00388" w:rsidRPr="00437257" w14:paraId="0E648091" w14:textId="77777777" w:rsidTr="00B61D57">
        <w:tc>
          <w:tcPr>
            <w:tcW w:w="1606" w:type="dxa"/>
          </w:tcPr>
          <w:p w14:paraId="36950231" w14:textId="268BC899"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rPr>
              <w:t>Waiting times</w:t>
            </w:r>
          </w:p>
        </w:tc>
        <w:tc>
          <w:tcPr>
            <w:tcW w:w="4737" w:type="dxa"/>
          </w:tcPr>
          <w:p w14:paraId="0D81ED11" w14:textId="232E33D9"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Increase specialist CAMHS capacity and provide interim support while children wait.</w:t>
            </w:r>
          </w:p>
        </w:tc>
        <w:tc>
          <w:tcPr>
            <w:tcW w:w="3002" w:type="dxa"/>
          </w:tcPr>
          <w:p w14:paraId="4C7061CB" w14:textId="0F2EDF45"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Long waits can worsen distress and place pressure on families, schools and GPs.</w:t>
            </w:r>
          </w:p>
        </w:tc>
      </w:tr>
      <w:tr w:rsidR="00D00388" w:rsidRPr="00437257" w14:paraId="4BB68E32" w14:textId="77777777" w:rsidTr="00B61D57">
        <w:tc>
          <w:tcPr>
            <w:tcW w:w="1606" w:type="dxa"/>
          </w:tcPr>
          <w:p w14:paraId="40A4E9A8" w14:textId="1CFE23AF"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rPr>
              <w:t>Referral thresholds</w:t>
            </w:r>
          </w:p>
        </w:tc>
        <w:tc>
          <w:tcPr>
            <w:tcW w:w="4737" w:type="dxa"/>
          </w:tcPr>
          <w:p w14:paraId="11A4A79A" w14:textId="04A74044"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 xml:space="preserve">Provide clear explanations and active onward </w:t>
            </w:r>
            <w:r w:rsidR="009122E7" w:rsidRPr="00B61D57">
              <w:rPr>
                <w:rFonts w:ascii="Arial" w:hAnsi="Arial" w:cs="Arial"/>
                <w:sz w:val="20"/>
                <w:szCs w:val="20"/>
                <w:lang w:val="en-US"/>
              </w:rPr>
              <w:t>referrals</w:t>
            </w:r>
            <w:r w:rsidRPr="00B61D57">
              <w:rPr>
                <w:rFonts w:ascii="Arial" w:hAnsi="Arial" w:cs="Arial"/>
                <w:sz w:val="20"/>
                <w:szCs w:val="20"/>
                <w:lang w:val="en-US"/>
              </w:rPr>
              <w:t xml:space="preserve"> when CAMHS referrals are rejected.</w:t>
            </w:r>
          </w:p>
        </w:tc>
        <w:tc>
          <w:tcPr>
            <w:tcW w:w="3002" w:type="dxa"/>
          </w:tcPr>
          <w:p w14:paraId="74BE830D" w14:textId="1B5D8081"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Rejected referrals can leave families without practical support or understanding of next steps.</w:t>
            </w:r>
          </w:p>
        </w:tc>
      </w:tr>
      <w:tr w:rsidR="00D00388" w:rsidRPr="00437257" w14:paraId="47C93838" w14:textId="77777777" w:rsidTr="00B61D57">
        <w:tc>
          <w:tcPr>
            <w:tcW w:w="1606" w:type="dxa"/>
          </w:tcPr>
          <w:p w14:paraId="3579F366" w14:textId="738B900A"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rPr>
              <w:t>Socioeconomic inequality</w:t>
            </w:r>
          </w:p>
        </w:tc>
        <w:tc>
          <w:tcPr>
            <w:tcW w:w="4737" w:type="dxa"/>
          </w:tcPr>
          <w:p w14:paraId="227B64BA" w14:textId="15AF6633"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Design access routes that consider poverty, transport, digital exclusion, language and SEND needs.</w:t>
            </w:r>
          </w:p>
        </w:tc>
        <w:tc>
          <w:tcPr>
            <w:tcW w:w="3002" w:type="dxa"/>
          </w:tcPr>
          <w:p w14:paraId="72D3F0C9" w14:textId="2FAA261F"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Families with fewer resources may face greater barriers to navigating services.</w:t>
            </w:r>
          </w:p>
        </w:tc>
      </w:tr>
      <w:tr w:rsidR="00D00388" w:rsidRPr="00437257" w14:paraId="234BA4F4" w14:textId="77777777" w:rsidTr="00B61D57">
        <w:tc>
          <w:tcPr>
            <w:tcW w:w="1606" w:type="dxa"/>
          </w:tcPr>
          <w:p w14:paraId="0D7E9716" w14:textId="67A29942"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rPr>
              <w:t>Schools and early intervention</w:t>
            </w:r>
          </w:p>
        </w:tc>
        <w:tc>
          <w:tcPr>
            <w:tcW w:w="4737" w:type="dxa"/>
          </w:tcPr>
          <w:p w14:paraId="4C76D932" w14:textId="0C992730"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Continue expanding school-based support and MHST coverage while maintaining escalation routes to specialist CAMHS.</w:t>
            </w:r>
          </w:p>
        </w:tc>
        <w:tc>
          <w:tcPr>
            <w:tcW w:w="3002" w:type="dxa"/>
          </w:tcPr>
          <w:p w14:paraId="06772178" w14:textId="148A7659"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Early support can improve access, but specialist care remains essential for complex needs.</w:t>
            </w:r>
          </w:p>
        </w:tc>
      </w:tr>
      <w:tr w:rsidR="00D00388" w:rsidRPr="00437257" w14:paraId="28E71B57" w14:textId="77777777" w:rsidTr="00B61D57">
        <w:tc>
          <w:tcPr>
            <w:tcW w:w="1606" w:type="dxa"/>
          </w:tcPr>
          <w:p w14:paraId="2803EC80" w14:textId="00FD3DD7"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rPr>
              <w:t>Communication</w:t>
            </w:r>
          </w:p>
        </w:tc>
        <w:tc>
          <w:tcPr>
            <w:tcW w:w="4737" w:type="dxa"/>
          </w:tcPr>
          <w:p w14:paraId="3994A565" w14:textId="7B763C2F"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Improve communication with families about waiting times, eligibility, confidentiality and available alternatives.</w:t>
            </w:r>
          </w:p>
        </w:tc>
        <w:tc>
          <w:tcPr>
            <w:tcW w:w="3002" w:type="dxa"/>
          </w:tcPr>
          <w:p w14:paraId="1699E4B1" w14:textId="06131E41"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Clear communication can reduce uncertainty and improve trust.</w:t>
            </w:r>
          </w:p>
        </w:tc>
      </w:tr>
      <w:tr w:rsidR="00D00388" w:rsidRPr="00437257" w14:paraId="6F99E4F3" w14:textId="77777777" w:rsidTr="00B61D57">
        <w:tc>
          <w:tcPr>
            <w:tcW w:w="1606" w:type="dxa"/>
          </w:tcPr>
          <w:p w14:paraId="4510A58F" w14:textId="7D627124"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rPr>
              <w:t>Integrated working</w:t>
            </w:r>
          </w:p>
        </w:tc>
        <w:tc>
          <w:tcPr>
            <w:tcW w:w="4737" w:type="dxa"/>
          </w:tcPr>
          <w:p w14:paraId="2AAC2755" w14:textId="37FC1F56"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 xml:space="preserve">Strengthen collaboration between CAMHS, schools, GPs, social care and voluntary </w:t>
            </w:r>
            <w:r w:rsidR="009122E7">
              <w:rPr>
                <w:rFonts w:ascii="Arial" w:hAnsi="Arial" w:cs="Arial"/>
                <w:sz w:val="20"/>
                <w:szCs w:val="20"/>
                <w:lang w:val="en-US"/>
              </w:rPr>
              <w:t>organisations</w:t>
            </w:r>
            <w:r w:rsidRPr="00B61D57">
              <w:rPr>
                <w:rFonts w:ascii="Arial" w:hAnsi="Arial" w:cs="Arial"/>
                <w:sz w:val="20"/>
                <w:szCs w:val="20"/>
                <w:lang w:val="en-US"/>
              </w:rPr>
              <w:t>.</w:t>
            </w:r>
          </w:p>
        </w:tc>
        <w:tc>
          <w:tcPr>
            <w:tcW w:w="3002" w:type="dxa"/>
          </w:tcPr>
          <w:p w14:paraId="296DAD30" w14:textId="7ACE1FA6"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 xml:space="preserve">Children’s mental health needs often cross professional and </w:t>
            </w:r>
            <w:r w:rsidR="009122E7">
              <w:rPr>
                <w:rFonts w:ascii="Arial" w:hAnsi="Arial" w:cs="Arial"/>
                <w:sz w:val="20"/>
                <w:szCs w:val="20"/>
                <w:lang w:val="en-US"/>
              </w:rPr>
              <w:t>organisational</w:t>
            </w:r>
            <w:r w:rsidRPr="00B61D57">
              <w:rPr>
                <w:rFonts w:ascii="Arial" w:hAnsi="Arial" w:cs="Arial"/>
                <w:sz w:val="20"/>
                <w:szCs w:val="20"/>
                <w:lang w:val="en-US"/>
              </w:rPr>
              <w:t xml:space="preserve"> boundaries.</w:t>
            </w:r>
          </w:p>
        </w:tc>
      </w:tr>
      <w:tr w:rsidR="00D00388" w:rsidRPr="00437257" w14:paraId="262119BF" w14:textId="77777777" w:rsidTr="00B61D57">
        <w:tc>
          <w:tcPr>
            <w:tcW w:w="1606" w:type="dxa"/>
          </w:tcPr>
          <w:p w14:paraId="7DF1284C" w14:textId="6418B5B6"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rPr>
              <w:t>Future research</w:t>
            </w:r>
          </w:p>
        </w:tc>
        <w:tc>
          <w:tcPr>
            <w:tcW w:w="47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61D57" w:rsidRPr="00B61D57" w14:paraId="39C5A331" w14:textId="77777777">
              <w:trPr>
                <w:tblCellSpacing w:w="15" w:type="dxa"/>
              </w:trPr>
              <w:tc>
                <w:tcPr>
                  <w:tcW w:w="0" w:type="auto"/>
                  <w:vAlign w:val="center"/>
                  <w:hideMark/>
                </w:tcPr>
                <w:p w14:paraId="48608470" w14:textId="77777777" w:rsidR="00B61D57" w:rsidRPr="00B61D57" w:rsidRDefault="00B61D57" w:rsidP="00B61D57">
                  <w:pPr>
                    <w:spacing w:after="0" w:line="360" w:lineRule="auto"/>
                    <w:rPr>
                      <w:rFonts w:ascii="Arial" w:hAnsi="Arial" w:cs="Arial"/>
                      <w:sz w:val="20"/>
                      <w:szCs w:val="20"/>
                    </w:rPr>
                  </w:pPr>
                </w:p>
              </w:tc>
            </w:tr>
          </w:tbl>
          <w:p w14:paraId="6E1254DB" w14:textId="77777777" w:rsidR="00B61D57" w:rsidRPr="00B61D57" w:rsidRDefault="00B61D57" w:rsidP="00B61D57">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21"/>
            </w:tblGrid>
            <w:tr w:rsidR="00B61D57" w:rsidRPr="00437257" w14:paraId="674896A7" w14:textId="77777777">
              <w:trPr>
                <w:tblCellSpacing w:w="15" w:type="dxa"/>
              </w:trPr>
              <w:tc>
                <w:tcPr>
                  <w:tcW w:w="0" w:type="auto"/>
                  <w:vAlign w:val="center"/>
                  <w:hideMark/>
                </w:tcPr>
                <w:p w14:paraId="504E4F64" w14:textId="77777777" w:rsidR="00B61D57" w:rsidRPr="00B61D57" w:rsidRDefault="00B61D57" w:rsidP="00B61D57">
                  <w:pPr>
                    <w:spacing w:after="0" w:line="360" w:lineRule="auto"/>
                    <w:rPr>
                      <w:rFonts w:ascii="Arial" w:hAnsi="Arial" w:cs="Arial"/>
                      <w:sz w:val="20"/>
                      <w:szCs w:val="20"/>
                      <w:lang w:val="en-US"/>
                    </w:rPr>
                  </w:pPr>
                  <w:r w:rsidRPr="00B61D57">
                    <w:rPr>
                      <w:rFonts w:ascii="Arial" w:hAnsi="Arial" w:cs="Arial"/>
                      <w:sz w:val="20"/>
                      <w:szCs w:val="20"/>
                      <w:lang w:val="en-US"/>
                    </w:rPr>
                    <w:t>Increase UK qualitative research with underrepresented groups, including children in care, minority ethnic groups, children with SEND and families in poverty.</w:t>
                  </w:r>
                </w:p>
              </w:tc>
            </w:tr>
          </w:tbl>
          <w:p w14:paraId="27A3ECB6" w14:textId="77777777" w:rsidR="00D00388" w:rsidRPr="00B61D57" w:rsidRDefault="00D00388" w:rsidP="00B61D57">
            <w:pPr>
              <w:spacing w:line="360" w:lineRule="auto"/>
              <w:rPr>
                <w:rFonts w:ascii="Arial" w:hAnsi="Arial" w:cs="Arial"/>
                <w:sz w:val="20"/>
                <w:szCs w:val="20"/>
                <w:lang w:val="en-US"/>
              </w:rPr>
            </w:pPr>
          </w:p>
        </w:tc>
        <w:tc>
          <w:tcPr>
            <w:tcW w:w="3002" w:type="dxa"/>
          </w:tcPr>
          <w:p w14:paraId="56BCDAC2" w14:textId="450228E3" w:rsidR="00D00388" w:rsidRPr="00B61D57" w:rsidRDefault="00B61D57" w:rsidP="00B61D57">
            <w:pPr>
              <w:spacing w:line="360" w:lineRule="auto"/>
              <w:rPr>
                <w:rFonts w:ascii="Arial" w:hAnsi="Arial" w:cs="Arial"/>
                <w:sz w:val="20"/>
                <w:szCs w:val="20"/>
                <w:lang w:val="en-US"/>
              </w:rPr>
            </w:pPr>
            <w:r w:rsidRPr="00B61D57">
              <w:rPr>
                <w:rFonts w:ascii="Arial" w:hAnsi="Arial" w:cs="Arial"/>
                <w:sz w:val="20"/>
                <w:szCs w:val="20"/>
                <w:lang w:val="en-US"/>
              </w:rPr>
              <w:t>Current evidence may not fully represent groups facing the greatest access barriers.</w:t>
            </w:r>
          </w:p>
        </w:tc>
      </w:tr>
    </w:tbl>
    <w:p w14:paraId="4B8257E1" w14:textId="77777777" w:rsidR="00B61D57" w:rsidRPr="00106C49" w:rsidRDefault="00B61D57" w:rsidP="00B61D57">
      <w:pPr>
        <w:spacing w:line="360" w:lineRule="auto"/>
        <w:jc w:val="both"/>
        <w:rPr>
          <w:rFonts w:ascii="Arial" w:hAnsi="Arial" w:cs="Arial"/>
          <w:sz w:val="22"/>
          <w:szCs w:val="22"/>
          <w:lang w:val="en-US"/>
        </w:rPr>
      </w:pPr>
    </w:p>
    <w:p w14:paraId="250CF2C1" w14:textId="7015499E" w:rsidR="00B61D57" w:rsidRPr="00B61D57" w:rsidRDefault="00B61D57" w:rsidP="00B61D57">
      <w:pPr>
        <w:spacing w:line="360" w:lineRule="auto"/>
        <w:jc w:val="both"/>
        <w:rPr>
          <w:rFonts w:ascii="Arial" w:hAnsi="Arial" w:cs="Arial"/>
          <w:sz w:val="22"/>
          <w:szCs w:val="22"/>
          <w:lang w:val="en-US"/>
        </w:rPr>
      </w:pPr>
      <w:r w:rsidRPr="00B61D57">
        <w:rPr>
          <w:rFonts w:ascii="Arial" w:hAnsi="Arial" w:cs="Arial"/>
          <w:sz w:val="22"/>
          <w:szCs w:val="22"/>
          <w:lang w:val="en-US"/>
        </w:rPr>
        <w:t xml:space="preserve">Firstly, policies should focus on </w:t>
      </w:r>
      <w:r w:rsidR="009122E7">
        <w:rPr>
          <w:rFonts w:ascii="Arial" w:hAnsi="Arial" w:cs="Arial"/>
          <w:sz w:val="22"/>
          <w:szCs w:val="22"/>
          <w:lang w:val="en-US"/>
        </w:rPr>
        <w:t>reducing wait times through increased investment in the CAMHS specialist workforce</w:t>
      </w:r>
      <w:r w:rsidRPr="00B61D57">
        <w:rPr>
          <w:rFonts w:ascii="Arial" w:hAnsi="Arial" w:cs="Arial"/>
          <w:sz w:val="22"/>
          <w:szCs w:val="22"/>
          <w:lang w:val="en-US"/>
        </w:rPr>
        <w:t xml:space="preserve"> (Children's Commissioner, 2024; Parkin &amp; Long, 2024). Although early intervention plays an important role in addressing </w:t>
      </w:r>
      <w:r w:rsidR="009122E7">
        <w:rPr>
          <w:rFonts w:ascii="Arial" w:hAnsi="Arial" w:cs="Arial"/>
          <w:sz w:val="22"/>
          <w:szCs w:val="22"/>
          <w:lang w:val="en-US"/>
        </w:rPr>
        <w:t>the mental health needs of children, this should not come at the expense of specialist services needed in cases</w:t>
      </w:r>
      <w:r w:rsidRPr="00B61D57">
        <w:rPr>
          <w:rFonts w:ascii="Arial" w:hAnsi="Arial" w:cs="Arial"/>
          <w:sz w:val="22"/>
          <w:szCs w:val="22"/>
          <w:lang w:val="en-US"/>
        </w:rPr>
        <w:t xml:space="preserve"> of severe, complicated, or risky problems (Children's Commissioner, 2024; Parkin &amp; Long, 2024). Children waiting to see a CAMHS specialist should receive </w:t>
      </w:r>
      <w:r w:rsidR="00B56FD2">
        <w:rPr>
          <w:rFonts w:ascii="Arial" w:hAnsi="Arial" w:cs="Arial"/>
          <w:sz w:val="22"/>
          <w:szCs w:val="22"/>
          <w:lang w:val="en-US"/>
        </w:rPr>
        <w:t>support, guidance about risks, and information rather than being left without contact</w:t>
      </w:r>
      <w:r w:rsidRPr="00B61D57">
        <w:rPr>
          <w:rFonts w:ascii="Arial" w:hAnsi="Arial" w:cs="Arial"/>
          <w:sz w:val="22"/>
          <w:szCs w:val="22"/>
          <w:lang w:val="en-US"/>
        </w:rPr>
        <w:t xml:space="preserve"> before assessment (Children's Commissioner, 2024).</w:t>
      </w:r>
    </w:p>
    <w:p w14:paraId="7CC999C5" w14:textId="77777777" w:rsidR="00B61D57" w:rsidRPr="00B61D57" w:rsidRDefault="00B61D57" w:rsidP="00B61D57">
      <w:pPr>
        <w:spacing w:line="360" w:lineRule="auto"/>
        <w:jc w:val="both"/>
        <w:rPr>
          <w:rFonts w:ascii="Arial" w:hAnsi="Arial" w:cs="Arial"/>
          <w:sz w:val="22"/>
          <w:szCs w:val="22"/>
          <w:lang w:val="en-US"/>
        </w:rPr>
      </w:pPr>
    </w:p>
    <w:p w14:paraId="5D1D1B97" w14:textId="23A63239" w:rsidR="00B61D57" w:rsidRPr="00B61D57" w:rsidRDefault="00B61D57" w:rsidP="00B61D57">
      <w:pPr>
        <w:spacing w:line="360" w:lineRule="auto"/>
        <w:jc w:val="both"/>
        <w:rPr>
          <w:rFonts w:ascii="Arial" w:hAnsi="Arial" w:cs="Arial"/>
          <w:sz w:val="22"/>
          <w:szCs w:val="22"/>
          <w:lang w:val="en-US"/>
        </w:rPr>
      </w:pPr>
      <w:r w:rsidRPr="00B61D57">
        <w:rPr>
          <w:rFonts w:ascii="Arial" w:hAnsi="Arial" w:cs="Arial"/>
          <w:sz w:val="22"/>
          <w:szCs w:val="22"/>
          <w:lang w:val="en-US"/>
        </w:rPr>
        <w:t xml:space="preserve">Secondly, practices should focus on improving the process associated with rejecting referrals. </w:t>
      </w:r>
      <w:r w:rsidR="00B56FD2">
        <w:rPr>
          <w:rFonts w:ascii="Arial" w:hAnsi="Arial" w:cs="Arial"/>
          <w:sz w:val="22"/>
          <w:szCs w:val="22"/>
          <w:lang w:val="en-US"/>
        </w:rPr>
        <w:t xml:space="preserve">Rejecting a referral to specialist CAMHS should include an explanation, an onward referral, and </w:t>
      </w:r>
      <w:r w:rsidR="00B56FD2">
        <w:rPr>
          <w:rFonts w:ascii="Arial" w:hAnsi="Arial" w:cs="Arial"/>
          <w:sz w:val="22"/>
          <w:szCs w:val="22"/>
          <w:lang w:val="en-US"/>
        </w:rPr>
        <w:lastRenderedPageBreak/>
        <w:t>clear guidance on</w:t>
      </w:r>
      <w:r w:rsidRPr="00B61D57">
        <w:rPr>
          <w:rFonts w:ascii="Arial" w:hAnsi="Arial" w:cs="Arial"/>
          <w:sz w:val="22"/>
          <w:szCs w:val="22"/>
          <w:lang w:val="en-US"/>
        </w:rPr>
        <w:t xml:space="preserve"> what to do if the child's condition deteriorates (Scottish Government, 2018; Appleton et al., 2020). </w:t>
      </w:r>
      <w:r w:rsidR="009122E7">
        <w:rPr>
          <w:rFonts w:ascii="Arial" w:hAnsi="Arial" w:cs="Arial"/>
          <w:sz w:val="22"/>
          <w:szCs w:val="22"/>
          <w:lang w:val="en-US"/>
        </w:rPr>
        <w:t xml:space="preserve">Where </w:t>
      </w:r>
      <w:r w:rsidR="00B56FD2">
        <w:rPr>
          <w:rFonts w:ascii="Arial" w:hAnsi="Arial" w:cs="Arial"/>
          <w:sz w:val="22"/>
          <w:szCs w:val="22"/>
          <w:lang w:val="en-US"/>
        </w:rPr>
        <w:t xml:space="preserve">services are unavailable, unsuitable, or hard to access, avoid passive signposting </w:t>
      </w:r>
      <w:r w:rsidRPr="00B61D57">
        <w:rPr>
          <w:rFonts w:ascii="Arial" w:hAnsi="Arial" w:cs="Arial"/>
          <w:sz w:val="22"/>
          <w:szCs w:val="22"/>
          <w:lang w:val="en-US"/>
        </w:rPr>
        <w:t>(Scottish Government, 2018).</w:t>
      </w:r>
    </w:p>
    <w:p w14:paraId="40B867F7" w14:textId="77777777" w:rsidR="00B61D57" w:rsidRPr="00B61D57" w:rsidRDefault="00B61D57" w:rsidP="00B61D57">
      <w:pPr>
        <w:spacing w:line="360" w:lineRule="auto"/>
        <w:jc w:val="both"/>
        <w:rPr>
          <w:rFonts w:ascii="Arial" w:hAnsi="Arial" w:cs="Arial"/>
          <w:sz w:val="22"/>
          <w:szCs w:val="22"/>
          <w:lang w:val="en-US"/>
        </w:rPr>
      </w:pPr>
    </w:p>
    <w:p w14:paraId="7D794F16" w14:textId="1AD63D2D" w:rsidR="00B61D57" w:rsidRPr="00B61D57" w:rsidRDefault="00B61D57" w:rsidP="00B61D57">
      <w:pPr>
        <w:spacing w:line="360" w:lineRule="auto"/>
        <w:jc w:val="both"/>
        <w:rPr>
          <w:rFonts w:ascii="Arial" w:hAnsi="Arial" w:cs="Arial"/>
          <w:sz w:val="22"/>
          <w:szCs w:val="22"/>
          <w:lang w:val="en-US"/>
        </w:rPr>
      </w:pPr>
      <w:r w:rsidRPr="00B61D57">
        <w:rPr>
          <w:rFonts w:ascii="Arial" w:hAnsi="Arial" w:cs="Arial"/>
          <w:sz w:val="22"/>
          <w:szCs w:val="22"/>
          <w:lang w:val="en-US"/>
        </w:rPr>
        <w:t xml:space="preserve">Thirdly, </w:t>
      </w:r>
      <w:r w:rsidR="009122E7">
        <w:rPr>
          <w:rFonts w:ascii="Arial" w:hAnsi="Arial" w:cs="Arial"/>
          <w:sz w:val="22"/>
          <w:szCs w:val="22"/>
          <w:lang w:val="en-US"/>
        </w:rPr>
        <w:t>all parties involved should take an equitable approach</w:t>
      </w:r>
      <w:r w:rsidRPr="00B61D57">
        <w:rPr>
          <w:rFonts w:ascii="Arial" w:hAnsi="Arial" w:cs="Arial"/>
          <w:sz w:val="22"/>
          <w:szCs w:val="22"/>
          <w:lang w:val="en-US"/>
        </w:rPr>
        <w:t xml:space="preserve"> when facilitating access to mental health services. CAMHS referral pathways should </w:t>
      </w:r>
      <w:r w:rsidR="009122E7" w:rsidRPr="00B61D57">
        <w:rPr>
          <w:rFonts w:ascii="Arial" w:hAnsi="Arial" w:cs="Arial"/>
          <w:sz w:val="22"/>
          <w:szCs w:val="22"/>
          <w:lang w:val="en-US"/>
        </w:rPr>
        <w:t>consider</w:t>
      </w:r>
      <w:r w:rsidRPr="00B61D57">
        <w:rPr>
          <w:rFonts w:ascii="Arial" w:hAnsi="Arial" w:cs="Arial"/>
          <w:sz w:val="22"/>
          <w:szCs w:val="22"/>
          <w:lang w:val="en-US"/>
        </w:rPr>
        <w:t xml:space="preserve"> poverty, SEND status, ethnicity, </w:t>
      </w:r>
      <w:r w:rsidR="00B56FD2">
        <w:rPr>
          <w:rFonts w:ascii="Arial" w:hAnsi="Arial" w:cs="Arial"/>
          <w:sz w:val="22"/>
          <w:szCs w:val="22"/>
          <w:lang w:val="en-US"/>
        </w:rPr>
        <w:t>language barriers, digital exclusion, transport issues</w:t>
      </w:r>
      <w:r w:rsidRPr="00B61D57">
        <w:rPr>
          <w:rFonts w:ascii="Arial" w:hAnsi="Arial" w:cs="Arial"/>
          <w:sz w:val="22"/>
          <w:szCs w:val="22"/>
          <w:lang w:val="en-US"/>
        </w:rPr>
        <w:t xml:space="preserve">, and additional family-related stresses that affect </w:t>
      </w:r>
      <w:r w:rsidR="009122E7">
        <w:rPr>
          <w:rFonts w:ascii="Arial" w:hAnsi="Arial" w:cs="Arial"/>
          <w:sz w:val="22"/>
          <w:szCs w:val="22"/>
          <w:lang w:val="en-US"/>
        </w:rPr>
        <w:t>particular children's access</w:t>
      </w:r>
      <w:r w:rsidRPr="00B61D57">
        <w:rPr>
          <w:rFonts w:ascii="Arial" w:hAnsi="Arial" w:cs="Arial"/>
          <w:sz w:val="22"/>
          <w:szCs w:val="22"/>
          <w:lang w:val="en-US"/>
        </w:rPr>
        <w:t xml:space="preserve"> to CAMHS (Marmot et al., 2020; Radez et al., 2022). Possible measures </w:t>
      </w:r>
      <w:r w:rsidR="009122E7">
        <w:rPr>
          <w:rFonts w:ascii="Arial" w:hAnsi="Arial" w:cs="Arial"/>
          <w:sz w:val="22"/>
          <w:szCs w:val="22"/>
          <w:lang w:val="en-US"/>
        </w:rPr>
        <w:t>include flexible appointments, clear information, culturally appropriate communication, improved liaison with parents/guardians, and general support</w:t>
      </w:r>
      <w:r w:rsidRPr="00B61D57">
        <w:rPr>
          <w:rFonts w:ascii="Arial" w:hAnsi="Arial" w:cs="Arial"/>
          <w:sz w:val="22"/>
          <w:szCs w:val="22"/>
          <w:lang w:val="en-US"/>
        </w:rPr>
        <w:t xml:space="preserve"> (Reardon et al., 2017; Parkin &amp; Long, 2024).</w:t>
      </w:r>
    </w:p>
    <w:p w14:paraId="31DBEF76" w14:textId="77777777" w:rsidR="00B61D57" w:rsidRPr="00B61D57" w:rsidRDefault="00B61D57" w:rsidP="00B61D57">
      <w:pPr>
        <w:spacing w:line="360" w:lineRule="auto"/>
        <w:jc w:val="both"/>
        <w:rPr>
          <w:rFonts w:ascii="Arial" w:hAnsi="Arial" w:cs="Arial"/>
          <w:sz w:val="22"/>
          <w:szCs w:val="22"/>
          <w:lang w:val="en-US"/>
        </w:rPr>
      </w:pPr>
    </w:p>
    <w:p w14:paraId="5D7E4E11" w14:textId="02AB2331" w:rsidR="00B61D57" w:rsidRPr="00B61D57" w:rsidRDefault="00B61D57" w:rsidP="00B61D57">
      <w:pPr>
        <w:spacing w:line="360" w:lineRule="auto"/>
        <w:jc w:val="both"/>
        <w:rPr>
          <w:rFonts w:ascii="Arial" w:hAnsi="Arial" w:cs="Arial"/>
          <w:sz w:val="22"/>
          <w:szCs w:val="22"/>
          <w:lang w:val="en-US"/>
        </w:rPr>
      </w:pPr>
      <w:r w:rsidRPr="00B61D57">
        <w:rPr>
          <w:rFonts w:ascii="Arial" w:hAnsi="Arial" w:cs="Arial"/>
          <w:sz w:val="22"/>
          <w:szCs w:val="22"/>
          <w:lang w:val="en-US"/>
        </w:rPr>
        <w:t xml:space="preserve">Fourthly, schools, GPs, and MHSTs should be </w:t>
      </w:r>
      <w:r w:rsidR="009122E7">
        <w:rPr>
          <w:rFonts w:ascii="Arial" w:hAnsi="Arial" w:cs="Arial"/>
          <w:sz w:val="22"/>
          <w:szCs w:val="22"/>
          <w:lang w:val="en-US"/>
        </w:rPr>
        <w:t>utilised</w:t>
      </w:r>
      <w:r w:rsidRPr="00B61D57">
        <w:rPr>
          <w:rFonts w:ascii="Arial" w:hAnsi="Arial" w:cs="Arial"/>
          <w:sz w:val="22"/>
          <w:szCs w:val="22"/>
          <w:lang w:val="en-US"/>
        </w:rPr>
        <w:t xml:space="preserve"> as facilitators to increase access to CAMHS services while ensuring links to specialists. School support can contribute significantly to early identification and meeting milder needs, but serious cases still need </w:t>
      </w:r>
      <w:r w:rsidR="009122E7">
        <w:rPr>
          <w:rFonts w:ascii="Arial" w:hAnsi="Arial" w:cs="Arial"/>
          <w:sz w:val="22"/>
          <w:szCs w:val="22"/>
          <w:lang w:val="en-US"/>
        </w:rPr>
        <w:t xml:space="preserve">appropriate CAMHS services </w:t>
      </w:r>
      <w:r w:rsidRPr="00B61D57">
        <w:rPr>
          <w:rFonts w:ascii="Arial" w:hAnsi="Arial" w:cs="Arial"/>
          <w:sz w:val="22"/>
          <w:szCs w:val="22"/>
          <w:lang w:val="en-US"/>
        </w:rPr>
        <w:t xml:space="preserve">(Department of Health and Department for Education, 2017; NHS England, 2025; Children's Commissioner, 2024). Collaboration </w:t>
      </w:r>
      <w:r w:rsidR="009122E7">
        <w:rPr>
          <w:rFonts w:ascii="Arial" w:hAnsi="Arial" w:cs="Arial"/>
          <w:sz w:val="22"/>
          <w:szCs w:val="22"/>
          <w:lang w:val="en-US"/>
        </w:rPr>
        <w:t>among the education sector, primary health services, social care organisations, CAMHS professionals, and the voluntary sector should be viewed as crucial to</w:t>
      </w:r>
      <w:r w:rsidRPr="00B61D57">
        <w:rPr>
          <w:rFonts w:ascii="Arial" w:hAnsi="Arial" w:cs="Arial"/>
          <w:sz w:val="22"/>
          <w:szCs w:val="22"/>
          <w:lang w:val="en-US"/>
        </w:rPr>
        <w:t xml:space="preserve"> improving access (NHS England, 2019; Parkin &amp; Long, 2024).</w:t>
      </w:r>
    </w:p>
    <w:p w14:paraId="5185D7F6" w14:textId="77777777" w:rsidR="00B61D57" w:rsidRPr="00B61D57" w:rsidRDefault="00B61D57" w:rsidP="00B61D57">
      <w:pPr>
        <w:spacing w:line="360" w:lineRule="auto"/>
        <w:jc w:val="both"/>
        <w:rPr>
          <w:rFonts w:ascii="Arial" w:hAnsi="Arial" w:cs="Arial"/>
          <w:sz w:val="22"/>
          <w:szCs w:val="22"/>
          <w:lang w:val="en-US"/>
        </w:rPr>
      </w:pPr>
    </w:p>
    <w:p w14:paraId="16BAE6E4" w14:textId="77777777" w:rsidR="00B61D57" w:rsidRPr="00B61D57" w:rsidRDefault="00B61D57" w:rsidP="00B61D57">
      <w:pPr>
        <w:pStyle w:val="Heading2"/>
        <w:rPr>
          <w:lang w:val="en-US"/>
        </w:rPr>
      </w:pPr>
      <w:bookmarkStart w:id="56" w:name="_Toc233629151"/>
      <w:r w:rsidRPr="00B61D57">
        <w:rPr>
          <w:lang w:val="en-US"/>
        </w:rPr>
        <w:t>5.6 Recommendations for Future Research</w:t>
      </w:r>
      <w:bookmarkEnd w:id="56"/>
    </w:p>
    <w:p w14:paraId="1B38693C" w14:textId="77777777" w:rsidR="00B61D57" w:rsidRPr="00B61D57" w:rsidRDefault="00B61D57" w:rsidP="00B61D57">
      <w:pPr>
        <w:spacing w:line="360" w:lineRule="auto"/>
        <w:jc w:val="both"/>
        <w:rPr>
          <w:rFonts w:ascii="Arial" w:hAnsi="Arial" w:cs="Arial"/>
          <w:sz w:val="22"/>
          <w:szCs w:val="22"/>
          <w:lang w:val="en-US"/>
        </w:rPr>
      </w:pPr>
    </w:p>
    <w:p w14:paraId="5E29E34F" w14:textId="14EDDA91" w:rsidR="00B61D57" w:rsidRPr="00B61D57" w:rsidRDefault="009122E7" w:rsidP="00B61D57">
      <w:pPr>
        <w:spacing w:line="360" w:lineRule="auto"/>
        <w:jc w:val="both"/>
        <w:rPr>
          <w:rFonts w:ascii="Arial" w:hAnsi="Arial" w:cs="Arial"/>
          <w:sz w:val="22"/>
          <w:szCs w:val="22"/>
          <w:lang w:val="en-US"/>
        </w:rPr>
      </w:pPr>
      <w:r>
        <w:rPr>
          <w:rFonts w:ascii="Arial" w:hAnsi="Arial" w:cs="Arial"/>
          <w:sz w:val="22"/>
          <w:szCs w:val="22"/>
          <w:lang w:val="en-US"/>
        </w:rPr>
        <w:t>Future</w:t>
      </w:r>
      <w:r w:rsidR="00B61D57" w:rsidRPr="00B61D57">
        <w:rPr>
          <w:rFonts w:ascii="Arial" w:hAnsi="Arial" w:cs="Arial"/>
          <w:sz w:val="22"/>
          <w:szCs w:val="22"/>
          <w:lang w:val="en-US"/>
        </w:rPr>
        <w:t xml:space="preserve"> research </w:t>
      </w:r>
      <w:r w:rsidR="00B56FD2">
        <w:rPr>
          <w:rFonts w:ascii="Arial" w:hAnsi="Arial" w:cs="Arial"/>
          <w:sz w:val="22"/>
          <w:szCs w:val="22"/>
          <w:lang w:val="en-US"/>
        </w:rPr>
        <w:t>in this field should include UK qualitative studies involving children, young people, and families likely to face</w:t>
      </w:r>
      <w:r w:rsidR="00B61D57" w:rsidRPr="00B61D57">
        <w:rPr>
          <w:rFonts w:ascii="Arial" w:hAnsi="Arial" w:cs="Arial"/>
          <w:sz w:val="22"/>
          <w:szCs w:val="22"/>
          <w:lang w:val="en-US"/>
        </w:rPr>
        <w:t xml:space="preserve"> barriers to accessing CAMHS. Specifically, these studies </w:t>
      </w:r>
      <w:r>
        <w:rPr>
          <w:rFonts w:ascii="Arial" w:hAnsi="Arial" w:cs="Arial"/>
          <w:sz w:val="22"/>
          <w:szCs w:val="22"/>
          <w:lang w:val="en-US"/>
        </w:rPr>
        <w:t>should cover the perspectives of children living in care homes, children with SEND, young people from ethnic minorities, impoverished families, rural residents, and families whose referrals were rejected or closed before</w:t>
      </w:r>
      <w:r w:rsidR="00B61D57" w:rsidRPr="00B61D57">
        <w:rPr>
          <w:rFonts w:ascii="Arial" w:hAnsi="Arial" w:cs="Arial"/>
          <w:sz w:val="22"/>
          <w:szCs w:val="22"/>
          <w:lang w:val="en-US"/>
        </w:rPr>
        <w:t xml:space="preserve"> receiving any treatment (Marmot et al., 2020; Children's Commissioner, 2024). </w:t>
      </w:r>
      <w:r>
        <w:rPr>
          <w:rFonts w:ascii="Arial" w:hAnsi="Arial" w:cs="Arial"/>
          <w:sz w:val="22"/>
          <w:szCs w:val="22"/>
          <w:lang w:val="en-US"/>
        </w:rPr>
        <w:t>This is because these population segments face higher barriers and are underrepresented</w:t>
      </w:r>
      <w:r w:rsidR="00B61D57" w:rsidRPr="00B61D57">
        <w:rPr>
          <w:rFonts w:ascii="Arial" w:hAnsi="Arial" w:cs="Arial"/>
          <w:sz w:val="22"/>
          <w:szCs w:val="22"/>
          <w:lang w:val="en-US"/>
        </w:rPr>
        <w:t>.</w:t>
      </w:r>
    </w:p>
    <w:p w14:paraId="0802369A" w14:textId="77777777" w:rsidR="00B61D57" w:rsidRPr="00B61D57" w:rsidRDefault="00B61D57" w:rsidP="00B61D57">
      <w:pPr>
        <w:spacing w:line="360" w:lineRule="auto"/>
        <w:jc w:val="both"/>
        <w:rPr>
          <w:rFonts w:ascii="Arial" w:hAnsi="Arial" w:cs="Arial"/>
          <w:sz w:val="22"/>
          <w:szCs w:val="22"/>
          <w:lang w:val="en-US"/>
        </w:rPr>
      </w:pPr>
    </w:p>
    <w:p w14:paraId="57F570CF" w14:textId="09F0A590" w:rsidR="00B61D57" w:rsidRPr="00B61D57" w:rsidRDefault="00B61D57" w:rsidP="00B61D57">
      <w:pPr>
        <w:spacing w:line="360" w:lineRule="auto"/>
        <w:jc w:val="both"/>
        <w:rPr>
          <w:rFonts w:ascii="Arial" w:hAnsi="Arial" w:cs="Arial"/>
          <w:sz w:val="22"/>
          <w:szCs w:val="22"/>
          <w:lang w:val="en-US"/>
        </w:rPr>
      </w:pPr>
      <w:r w:rsidRPr="00B61D57">
        <w:rPr>
          <w:rFonts w:ascii="Arial" w:hAnsi="Arial" w:cs="Arial"/>
          <w:sz w:val="22"/>
          <w:szCs w:val="22"/>
          <w:lang w:val="en-US"/>
        </w:rPr>
        <w:t xml:space="preserve">Furthermore, another important area for future exploration would concern outcomes related to CAMHS rejected referrals. There is evidence showing that rejection leads to disengagement, recurrent seeking of help, </w:t>
      </w:r>
      <w:r w:rsidR="009122E7">
        <w:rPr>
          <w:rFonts w:ascii="Arial" w:hAnsi="Arial" w:cs="Arial"/>
          <w:sz w:val="22"/>
          <w:szCs w:val="22"/>
          <w:lang w:val="en-US"/>
        </w:rPr>
        <w:t>utilisation</w:t>
      </w:r>
      <w:r w:rsidRPr="00B61D57">
        <w:rPr>
          <w:rFonts w:ascii="Arial" w:hAnsi="Arial" w:cs="Arial"/>
          <w:sz w:val="22"/>
          <w:szCs w:val="22"/>
          <w:lang w:val="en-US"/>
        </w:rPr>
        <w:t xml:space="preserve"> of private services, or worsening of psychological distress. However, qualitative studies are needed to describe in detail what happens to patients' families after such a referral result (Scottish Government, 2018; Appleton et al., 2020). Further studies </w:t>
      </w:r>
      <w:r w:rsidRPr="00B61D57">
        <w:rPr>
          <w:rFonts w:ascii="Arial" w:hAnsi="Arial" w:cs="Arial"/>
          <w:sz w:val="22"/>
          <w:szCs w:val="22"/>
          <w:lang w:val="en-US"/>
        </w:rPr>
        <w:lastRenderedPageBreak/>
        <w:t>can also consider how MHSTs, school interventions, and integrated care pathways help disadvantaged children access services (NHS England, 2025; Parkin &amp; Long, 2024).</w:t>
      </w:r>
    </w:p>
    <w:p w14:paraId="7DF59E3F" w14:textId="77777777" w:rsidR="00B61D57" w:rsidRPr="00B61D57" w:rsidRDefault="00B61D57" w:rsidP="00B61D57">
      <w:pPr>
        <w:spacing w:line="360" w:lineRule="auto"/>
        <w:jc w:val="both"/>
        <w:rPr>
          <w:rFonts w:ascii="Arial" w:hAnsi="Arial" w:cs="Arial"/>
          <w:sz w:val="22"/>
          <w:szCs w:val="22"/>
          <w:lang w:val="en-US"/>
        </w:rPr>
      </w:pPr>
    </w:p>
    <w:p w14:paraId="52C4CA0D" w14:textId="77777777" w:rsidR="00B61D57" w:rsidRPr="00B61D57" w:rsidRDefault="00B61D57" w:rsidP="00B61D57">
      <w:pPr>
        <w:pStyle w:val="Heading2"/>
        <w:rPr>
          <w:lang w:val="en-US"/>
        </w:rPr>
      </w:pPr>
      <w:bookmarkStart w:id="57" w:name="_Toc233629152"/>
      <w:r w:rsidRPr="00B61D57">
        <w:rPr>
          <w:lang w:val="en-US"/>
        </w:rPr>
        <w:t>5.7 Final Conclusion</w:t>
      </w:r>
      <w:bookmarkEnd w:id="57"/>
    </w:p>
    <w:p w14:paraId="6288359A" w14:textId="77777777" w:rsidR="00B61D57" w:rsidRPr="00B61D57" w:rsidRDefault="00B61D57" w:rsidP="00B61D57">
      <w:pPr>
        <w:spacing w:line="360" w:lineRule="auto"/>
        <w:jc w:val="both"/>
        <w:rPr>
          <w:rFonts w:ascii="Arial" w:hAnsi="Arial" w:cs="Arial"/>
          <w:sz w:val="22"/>
          <w:szCs w:val="22"/>
          <w:lang w:val="en-US"/>
        </w:rPr>
      </w:pPr>
    </w:p>
    <w:p w14:paraId="1E7D4FD5" w14:textId="3B3B9391" w:rsidR="00B61D57" w:rsidRPr="00B61D57" w:rsidRDefault="00B56FD2" w:rsidP="00B61D57">
      <w:pPr>
        <w:spacing w:line="360" w:lineRule="auto"/>
        <w:jc w:val="both"/>
        <w:rPr>
          <w:rFonts w:ascii="Arial" w:hAnsi="Arial" w:cs="Arial"/>
          <w:sz w:val="22"/>
          <w:szCs w:val="22"/>
          <w:lang w:val="en-US"/>
        </w:rPr>
      </w:pPr>
      <w:r>
        <w:rPr>
          <w:rFonts w:ascii="Arial" w:hAnsi="Arial" w:cs="Arial"/>
          <w:sz w:val="22"/>
          <w:szCs w:val="22"/>
          <w:lang w:val="en-US"/>
        </w:rPr>
        <w:t>The analysis shows that numerous barriers and enabling factors shape access to CAMHS in the UK</w:t>
      </w:r>
      <w:r w:rsidR="00B61D57" w:rsidRPr="00B61D57">
        <w:rPr>
          <w:rFonts w:ascii="Arial" w:hAnsi="Arial" w:cs="Arial"/>
          <w:sz w:val="22"/>
          <w:szCs w:val="22"/>
          <w:lang w:val="en-US"/>
        </w:rPr>
        <w:t xml:space="preserve">. Barriers </w:t>
      </w:r>
      <w:r>
        <w:rPr>
          <w:rFonts w:ascii="Arial" w:hAnsi="Arial" w:cs="Arial"/>
          <w:sz w:val="22"/>
          <w:szCs w:val="22"/>
          <w:lang w:val="en-US"/>
        </w:rPr>
        <w:t>include wait times, referral criteria, referral rejection</w:t>
      </w:r>
      <w:r w:rsidR="00B61D57" w:rsidRPr="00B61D57">
        <w:rPr>
          <w:rFonts w:ascii="Arial" w:hAnsi="Arial" w:cs="Arial"/>
          <w:sz w:val="22"/>
          <w:szCs w:val="22"/>
          <w:lang w:val="en-US"/>
        </w:rPr>
        <w:t>, socioeconomic inequalities, regional differences, stigma, fragmentation, and poor continuity of care (Children's Commissioner, 2024; Scottish Government, 2018; Radez et al., 2022; Appleton et al., 2022). Enablers include schools, GPs, MHSTs, early intervention, clear communication, helpful signposting, and collaboration (Department of Health and Department for Education, 2017; Sayal et al., 2010; NHS England, 2025).</w:t>
      </w:r>
    </w:p>
    <w:p w14:paraId="486C4DA9" w14:textId="77777777" w:rsidR="00B61D57" w:rsidRPr="00B61D57" w:rsidRDefault="00B61D57" w:rsidP="00B61D57">
      <w:pPr>
        <w:spacing w:line="360" w:lineRule="auto"/>
        <w:jc w:val="both"/>
        <w:rPr>
          <w:rFonts w:ascii="Arial" w:hAnsi="Arial" w:cs="Arial"/>
          <w:sz w:val="22"/>
          <w:szCs w:val="22"/>
          <w:lang w:val="en-US"/>
        </w:rPr>
      </w:pPr>
    </w:p>
    <w:p w14:paraId="0B32FE28" w14:textId="6046E6DD" w:rsidR="00501C21" w:rsidRPr="00B7158F" w:rsidRDefault="00B61D57" w:rsidP="00B61D57">
      <w:pPr>
        <w:spacing w:line="360" w:lineRule="auto"/>
        <w:jc w:val="both"/>
        <w:rPr>
          <w:rFonts w:ascii="Arial" w:hAnsi="Arial" w:cs="Arial"/>
          <w:sz w:val="22"/>
          <w:szCs w:val="22"/>
          <w:lang w:val="en-US"/>
        </w:rPr>
      </w:pPr>
      <w:r w:rsidRPr="00B61D57">
        <w:rPr>
          <w:rFonts w:ascii="Arial" w:hAnsi="Arial" w:cs="Arial"/>
          <w:sz w:val="22"/>
          <w:szCs w:val="22"/>
          <w:lang w:val="en-US"/>
        </w:rPr>
        <w:t xml:space="preserve">Therefore, access to CAMHS must be considered a question of public health equity. Increasing access goes far beyond increasing referrals or raising awareness; it </w:t>
      </w:r>
      <w:r w:rsidR="00B56FD2">
        <w:rPr>
          <w:rFonts w:ascii="Arial" w:hAnsi="Arial" w:cs="Arial"/>
          <w:sz w:val="22"/>
          <w:szCs w:val="22"/>
          <w:lang w:val="en-US"/>
        </w:rPr>
        <w:t>requires timely specialist capacity, early identification of needs, clearer referral pathways, effective communication, support for</w:t>
      </w:r>
      <w:r w:rsidRPr="00B61D57">
        <w:rPr>
          <w:rFonts w:ascii="Arial" w:hAnsi="Arial" w:cs="Arial"/>
          <w:sz w:val="22"/>
          <w:szCs w:val="22"/>
          <w:lang w:val="en-US"/>
        </w:rPr>
        <w:t xml:space="preserve"> rejected referrals, and improved integration (Marmot et al., 2020; Parkin &amp; Long, 2024). </w:t>
      </w:r>
      <w:r w:rsidR="00B56FD2">
        <w:rPr>
          <w:rFonts w:ascii="Arial" w:hAnsi="Arial" w:cs="Arial"/>
          <w:sz w:val="22"/>
          <w:szCs w:val="22"/>
          <w:lang w:val="en-US"/>
        </w:rPr>
        <w:t xml:space="preserve">Developing an equitable access pathway focused on children is crucial to ensure </w:t>
      </w:r>
      <w:r w:rsidRPr="00B61D57">
        <w:rPr>
          <w:rFonts w:ascii="Arial" w:hAnsi="Arial" w:cs="Arial"/>
          <w:sz w:val="22"/>
          <w:szCs w:val="22"/>
          <w:lang w:val="en-US"/>
        </w:rPr>
        <w:t>they benefit from services at the right time.</w:t>
      </w:r>
      <w:r w:rsidR="00501C21" w:rsidRPr="00B7158F">
        <w:rPr>
          <w:rFonts w:ascii="Arial" w:hAnsi="Arial" w:cs="Arial"/>
          <w:sz w:val="22"/>
          <w:szCs w:val="22"/>
          <w:lang w:val="en-US"/>
        </w:rPr>
        <w:br w:type="page"/>
      </w:r>
    </w:p>
    <w:p w14:paraId="46A1F624" w14:textId="2A06A4CC" w:rsidR="00D84D25" w:rsidRPr="00D84D25" w:rsidRDefault="00D84D25" w:rsidP="00D84D25">
      <w:pPr>
        <w:pStyle w:val="Heading1"/>
        <w:rPr>
          <w:lang w:val="en-US"/>
        </w:rPr>
      </w:pPr>
      <w:bookmarkStart w:id="58" w:name="_Toc233629153"/>
      <w:r w:rsidRPr="00D84D25">
        <w:rPr>
          <w:lang w:val="en-US"/>
        </w:rPr>
        <w:lastRenderedPageBreak/>
        <w:t>Reference</w:t>
      </w:r>
      <w:r>
        <w:rPr>
          <w:lang w:val="en-US"/>
        </w:rPr>
        <w:t>s</w:t>
      </w:r>
      <w:bookmarkEnd w:id="58"/>
    </w:p>
    <w:p w14:paraId="4E6CA1C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Allen, J. and Donkin, A. (2015) The Impact of Adverse Experiences in the Home on the Health of Children and Young People, and Inequalities in Prevalence and Effects. London: Institute of Health Equity.</w:t>
      </w:r>
    </w:p>
    <w:p w14:paraId="38878CA3"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Anderson, J.K., Howarth, E., Vainre, M., Jones, P.B. and Humphrey, A. (2017) ‘A scoping literature review of service-level barriers for access and engagement with mental health services for children and young people’, Children and Youth Services Review, 77, pp. 164–176. doi:10.1016/j.childyouth.2017.04.017.</w:t>
      </w:r>
    </w:p>
    <w:p w14:paraId="432B234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Appleton, R., Connell, C., Fairclough, E., Tuomainen, H., Singh, S.P. and Maxfield, M. (2022) ‘Young people who have fallen through the mental health transition gap: a qualitative study on primary care support’, British Journal of General Practice, 72(719), pp. e413–e420. doi:10.3399/BJGP.2021.0678.</w:t>
      </w:r>
    </w:p>
    <w:p w14:paraId="68F5415E" w14:textId="79AAAAA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Appleton, R., Tuomainen, H., Canaway, A., Singh, S.P. and Maxfield, M. (</w:t>
      </w:r>
      <w:r w:rsidR="009122E7" w:rsidRPr="00D84D25">
        <w:rPr>
          <w:rFonts w:ascii="Arial" w:hAnsi="Arial" w:cs="Arial"/>
          <w:sz w:val="22"/>
          <w:szCs w:val="22"/>
          <w:lang w:val="en-US"/>
        </w:rPr>
        <w:t xml:space="preserve">2020) </w:t>
      </w:r>
      <w:r w:rsidRPr="00D84D25">
        <w:rPr>
          <w:rFonts w:ascii="Arial" w:hAnsi="Arial" w:cs="Arial"/>
          <w:sz w:val="22"/>
          <w:szCs w:val="22"/>
          <w:lang w:val="en-US"/>
        </w:rPr>
        <w:t xml:space="preserve">New models of care in general practice for the youth mental health transition </w:t>
      </w:r>
      <w:r w:rsidR="00B56FD2">
        <w:rPr>
          <w:rFonts w:ascii="Arial" w:hAnsi="Arial" w:cs="Arial"/>
          <w:sz w:val="22"/>
          <w:szCs w:val="22"/>
          <w:lang w:val="en-US"/>
        </w:rPr>
        <w:t>gap</w:t>
      </w:r>
      <w:r w:rsidRPr="00D84D25">
        <w:rPr>
          <w:rFonts w:ascii="Arial" w:hAnsi="Arial" w:cs="Arial"/>
          <w:sz w:val="22"/>
          <w:szCs w:val="22"/>
          <w:lang w:val="en-US"/>
        </w:rPr>
        <w:t>, BJGP Open, 4(5). doi:10.3399/bjgpopen20X101133.</w:t>
      </w:r>
    </w:p>
    <w:p w14:paraId="23D9A68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Audit Scotland (2018) Children and Young People’s Mental Health. Edinburgh: Audit Scotland.</w:t>
      </w:r>
    </w:p>
    <w:p w14:paraId="6FD6CB7B"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Aveyard, H. (2023) Doing a Literature Review in Health and Social Care: A Practical Guide. 5th edn. London: Open University Press.</w:t>
      </w:r>
    </w:p>
    <w:p w14:paraId="1E49153D" w14:textId="76F9E07C"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Bellis, M.A., Hughes, K., Leckenby, N., Perkins, C. and Lowey, H. (</w:t>
      </w:r>
      <w:r w:rsidR="009122E7" w:rsidRPr="00D84D25">
        <w:rPr>
          <w:rFonts w:ascii="Arial" w:hAnsi="Arial" w:cs="Arial"/>
          <w:sz w:val="22"/>
          <w:szCs w:val="22"/>
          <w:lang w:val="en-US"/>
        </w:rPr>
        <w:t xml:space="preserve">2014) </w:t>
      </w:r>
      <w:r w:rsidRPr="00D84D25">
        <w:rPr>
          <w:rFonts w:ascii="Arial" w:hAnsi="Arial" w:cs="Arial"/>
          <w:sz w:val="22"/>
          <w:szCs w:val="22"/>
          <w:lang w:val="en-US"/>
        </w:rPr>
        <w:t xml:space="preserve">National household survey of adverse childhood experiences and their relationship with resilience to health-harming behaviours in </w:t>
      </w:r>
      <w:r w:rsidR="00B56FD2">
        <w:rPr>
          <w:rFonts w:ascii="Arial" w:hAnsi="Arial" w:cs="Arial"/>
          <w:sz w:val="22"/>
          <w:szCs w:val="22"/>
          <w:lang w:val="en-US"/>
        </w:rPr>
        <w:t>England</w:t>
      </w:r>
      <w:r w:rsidRPr="00D84D25">
        <w:rPr>
          <w:rFonts w:ascii="Arial" w:hAnsi="Arial" w:cs="Arial"/>
          <w:sz w:val="22"/>
          <w:szCs w:val="22"/>
          <w:lang w:val="en-US"/>
        </w:rPr>
        <w:t>, BMC Medicine, 12(1), Article 72. doi:10.1186/1741-7015-12-72.</w:t>
      </w:r>
    </w:p>
    <w:p w14:paraId="74C079D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Bignall, T., Jeraj, S., Helsby, E. and Butt, J. (2019) Racial Disparities in Mental Health: Literature and Evidence Review. London: Race Equality Foundation.</w:t>
      </w:r>
    </w:p>
    <w:p w14:paraId="170ED4D2"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British Medical Association (2018) Lost in Transit: Funding for Mental Health Services in England. London: British Medical Association.</w:t>
      </w:r>
    </w:p>
    <w:p w14:paraId="2F073A42"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British Medical Association (2019) Failing a Generation: Delays in Waiting Times from Referral to Diagnostic Assessment for Children and Young People. London: British Medical Association.</w:t>
      </w:r>
    </w:p>
    <w:p w14:paraId="4352B1C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British Medical Association (2023) Mental Health Pressures in England. London: British Medical Association.</w:t>
      </w:r>
    </w:p>
    <w:p w14:paraId="567AAA7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British Medical Association (2024) Child and Adolescent Mental Health Services: Workforce and Access Pressures. London: British Medical Association.</w:t>
      </w:r>
    </w:p>
    <w:p w14:paraId="3AEA26D1"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lastRenderedPageBreak/>
        <w:t>British Psychological Society (2020) Back to School: Using Psychological Perspectives to Support Re-Engagement and Recovery. Leicester: British Psychological Society.</w:t>
      </w:r>
    </w:p>
    <w:p w14:paraId="43DFF15F"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Braun, V. and Clarke, V. (2006) ‘Using thematic analysis in psychology’, Qualitative Research in Psychology, 3(2), pp. 77–101. doi:10.1191/1478088706qp063oa.</w:t>
      </w:r>
    </w:p>
    <w:p w14:paraId="013BB45D" w14:textId="2191FC0C"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Braun, V. and Clarke, V. (</w:t>
      </w:r>
      <w:r w:rsidR="009122E7" w:rsidRPr="00D84D25">
        <w:rPr>
          <w:rFonts w:ascii="Arial" w:hAnsi="Arial" w:cs="Arial"/>
          <w:sz w:val="22"/>
          <w:szCs w:val="22"/>
          <w:lang w:val="en-US"/>
        </w:rPr>
        <w:t xml:space="preserve">2021) </w:t>
      </w:r>
      <w:r w:rsidRPr="00D84D25">
        <w:rPr>
          <w:rFonts w:ascii="Arial" w:hAnsi="Arial" w:cs="Arial"/>
          <w:sz w:val="22"/>
          <w:szCs w:val="22"/>
          <w:lang w:val="en-US"/>
        </w:rPr>
        <w:t>One size fits all? What counts as quality practice in reflexive thematic analysis?’, Qualitative Research in Psychology, 18(3), pp. 328–352. doi:10.1080/14780887.2020.1769238.</w:t>
      </w:r>
    </w:p>
    <w:p w14:paraId="6A830802"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Care Quality Commission (2018) Are We Listening? A Review of Children and Young People’s Mental Health Services. Newcastle upon Tyne: Care Quality Commission.</w:t>
      </w:r>
    </w:p>
    <w:p w14:paraId="3FD725B8"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Care Quality Commission (2020) The State of Health Care and Adult Social Care in England 2019/20. Newcastle upon Tyne: Care Quality Commission.</w:t>
      </w:r>
    </w:p>
    <w:p w14:paraId="3BCEE5D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Care Quality Commission (2022) Monitoring the Mental Health Act in 2021/22. Newcastle upon Tyne: Care Quality Commission.</w:t>
      </w:r>
    </w:p>
    <w:p w14:paraId="0B54A62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Care Quality Commission (2023) The State of Health Care and Adult Social Care in England 2022/23. Newcastle upon Tyne: Care Quality Commission.</w:t>
      </w:r>
    </w:p>
    <w:p w14:paraId="4976E45C"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Care Quality Commission (2024) The State of Health Care and Adult Social Care in England 2023/24. Newcastle upon Tyne: Care Quality Commission.</w:t>
      </w:r>
    </w:p>
    <w:p w14:paraId="71236E1E"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CASP (2018) CASP Qualitative Studies Checklist. Oxford: Critical Appraisal Skills Programme.</w:t>
      </w:r>
    </w:p>
    <w:p w14:paraId="774466C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Centre for Mental Health (2016) Missed Opportunities: A Review of Recent Evidence into Children and Young People’s Mental Health. London: Centre for Mental Health.</w:t>
      </w:r>
    </w:p>
    <w:p w14:paraId="162830D2"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Centre for Mental Health (2020) Covid-19 and the Nation’s Mental Health: Forecasting Needs and Risks in the UK. London: Centre for Mental Health.</w:t>
      </w:r>
    </w:p>
    <w:p w14:paraId="1EE5AF40"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Centre for Mental Health (2021) Now or Never: A Systemic Investment Review of Mental Health Care in England. London: Centre for Mental Health.</w:t>
      </w:r>
    </w:p>
    <w:p w14:paraId="6C80DE3F"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 and Young People’s Mental Health Coalition (2023) Children and Young People’s Mental Health: An Independent Review into Policy Success and Challenges over the Last Decade. London: Children and Young People’s Mental Health Coalition.</w:t>
      </w:r>
    </w:p>
    <w:p w14:paraId="26DB195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Children’s Commissioner (2016) Lightning Review: Access to Child and Adolescent Mental Health Services. London: Children’s Commissioner for England.</w:t>
      </w:r>
    </w:p>
    <w:p w14:paraId="3E67DB3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Children’s Commissioner (2017) Briefing: Children’s Mental Healthcare in England. London: Children’s Commissioner for England.</w:t>
      </w:r>
    </w:p>
    <w:p w14:paraId="3151F186"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lastRenderedPageBreak/>
        <w:t>Children’s Commissioner (2018) Children’s Mental Health Briefing. London: Children’s Commissioner for England.</w:t>
      </w:r>
    </w:p>
    <w:p w14:paraId="2FAB7706"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Children’s Commissioner (2019) Early Access to Mental Health Support. London: Children’s Commissioner for England.</w:t>
      </w:r>
    </w:p>
    <w:p w14:paraId="6001F6BF"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Children’s Commissioner (2020) The State of Children’s Mental Health Services 2019/20. London: Children’s Commissioner for England.</w:t>
      </w:r>
    </w:p>
    <w:p w14:paraId="4663E7DC"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Children’s Commissioner (2021a) Children’s Mental Health Services 2020/21. London: Children’s Commissioner for England.</w:t>
      </w:r>
    </w:p>
    <w:p w14:paraId="01C2C10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Children’s Commissioner (2021b) The Big Ask: The Big Answer. London: Children’s Commissioner for England.</w:t>
      </w:r>
    </w:p>
    <w:p w14:paraId="27742F24"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Children’s Commissioner (2022) Briefing on Children’s Mental Health Services. London: Children’s Commissioner for England.</w:t>
      </w:r>
    </w:p>
    <w:p w14:paraId="2F414CC0"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Children’s Commissioner (2024) Children’s Mental Health Services 2022–23. London: Children’s Commissioner for England.</w:t>
      </w:r>
    </w:p>
    <w:p w14:paraId="772A35F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Children’s Commissioner (2025) Children’s Mental Health Services 2023–24. London: Children’s Commissioner for England.</w:t>
      </w:r>
    </w:p>
    <w:p w14:paraId="29654B3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Crenna-Jennings, W. and Hutchinson, J. (2020) Access to Child and Adolescent Mental Health Services in 2019. London: Education Policy Institute.</w:t>
      </w:r>
    </w:p>
    <w:p w14:paraId="2E03CBB6"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Creswell, J.W. and Creswell, J.D. (2018) Research Design: Qualitative, Quantitative, and Mixed Methods Approaches. 5th edn. London: SAGE.</w:t>
      </w:r>
    </w:p>
    <w:p w14:paraId="62AABE36" w14:textId="781C0B44"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Crouch, L., Reardon, T., Farrington, A., Glover, F. and Creswell, C. (2019) ‘“Just keep pushing”: parents’ experiences of accessing child and adolescent mental health services for child anxiety problems’, Child: Care, Health and Development, 45(4), pp. 491–499</w:t>
      </w:r>
      <w:r w:rsidR="00B56FD2">
        <w:rPr>
          <w:rFonts w:ascii="Arial" w:hAnsi="Arial" w:cs="Arial"/>
          <w:sz w:val="22"/>
          <w:szCs w:val="22"/>
          <w:lang w:val="en-US"/>
        </w:rPr>
        <w:t>—doi:10.1111</w:t>
      </w:r>
      <w:r w:rsidRPr="00D84D25">
        <w:rPr>
          <w:rFonts w:ascii="Arial" w:hAnsi="Arial" w:cs="Arial"/>
          <w:sz w:val="22"/>
          <w:szCs w:val="22"/>
          <w:lang w:val="en-US"/>
        </w:rPr>
        <w:t>/cch.12672.</w:t>
      </w:r>
    </w:p>
    <w:p w14:paraId="4B500731"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Department for Education (2018) Mental Health and Behaviour in Schools. London: Department for Education.</w:t>
      </w:r>
    </w:p>
    <w:p w14:paraId="5830BA04"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Department for Education (2021) Senior Mental Health Lead Training: Guidance for Schools and Colleges. London: Department for Education.</w:t>
      </w:r>
    </w:p>
    <w:p w14:paraId="605D15C6"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Department for Education (2024) Promoting and Supporting Mental Health and Wellbeing in Schools and Colleges. London: Department for Education.</w:t>
      </w:r>
    </w:p>
    <w:p w14:paraId="6E19437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Department for Education and Department of Health (2015) Special Educational Needs and Disability Code of Practice: 0 to 25 Years. London: Department for Education.</w:t>
      </w:r>
    </w:p>
    <w:p w14:paraId="5A3E13B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lastRenderedPageBreak/>
        <w:t>Department of Health (2015) Future in Mind: Promoting, Protecting and Improving Our Children and Young People’s Mental Health and Wellbeing. London: Department of Health.</w:t>
      </w:r>
    </w:p>
    <w:p w14:paraId="1A86DAC0"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Department of Health and Department for Education (2017) Transforming Children and Young People’s Mental Health Provision: A Green Paper. London: Department of Health and Department for Education.</w:t>
      </w:r>
    </w:p>
    <w:p w14:paraId="4282C2F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Department of Health and Social Care (2021) COVID-19 Mental Health and Wellbeing Recovery Action Plan. London: Department of Health and Social Care.</w:t>
      </w:r>
    </w:p>
    <w:p w14:paraId="2D7ED8BF"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Department of Health and Social Care (2022) The Government’s Response to the Health and Social Care Committee Report: Children and Young People’s Mental Health. London: Department of Health and Social Care.</w:t>
      </w:r>
    </w:p>
    <w:p w14:paraId="764DEEC0"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Department of Health and Social Care and Department for Education (2018) Government Response to the Consultation on Transforming Children and Young People’s Mental Health Provision: A Green Paper and Next Steps. London: Department of Health and Social Care.</w:t>
      </w:r>
    </w:p>
    <w:p w14:paraId="26CD3403" w14:textId="2EA633C1"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Edbrooke-Childs, J. and Deighton, J. (</w:t>
      </w:r>
      <w:r w:rsidR="00B56FD2" w:rsidRPr="00D84D25">
        <w:rPr>
          <w:rFonts w:ascii="Arial" w:hAnsi="Arial" w:cs="Arial"/>
          <w:sz w:val="22"/>
          <w:szCs w:val="22"/>
          <w:lang w:val="en-US"/>
        </w:rPr>
        <w:t xml:space="preserve">2020) </w:t>
      </w:r>
      <w:r w:rsidRPr="00D84D25">
        <w:rPr>
          <w:rFonts w:ascii="Arial" w:hAnsi="Arial" w:cs="Arial"/>
          <w:sz w:val="22"/>
          <w:szCs w:val="22"/>
          <w:lang w:val="en-US"/>
        </w:rPr>
        <w:t xml:space="preserve">Problem severity and waiting times for young people accessing mental health </w:t>
      </w:r>
      <w:r w:rsidR="00B56FD2">
        <w:rPr>
          <w:rFonts w:ascii="Arial" w:hAnsi="Arial" w:cs="Arial"/>
          <w:sz w:val="22"/>
          <w:szCs w:val="22"/>
          <w:lang w:val="en-US"/>
        </w:rPr>
        <w:t>services</w:t>
      </w:r>
      <w:r w:rsidRPr="00D84D25">
        <w:rPr>
          <w:rFonts w:ascii="Arial" w:hAnsi="Arial" w:cs="Arial"/>
          <w:sz w:val="22"/>
          <w:szCs w:val="22"/>
          <w:lang w:val="en-US"/>
        </w:rPr>
        <w:t>, BJPsych Open, 6(6), e118</w:t>
      </w:r>
      <w:r w:rsidR="00B56FD2">
        <w:rPr>
          <w:rFonts w:ascii="Arial" w:hAnsi="Arial" w:cs="Arial"/>
          <w:sz w:val="22"/>
          <w:szCs w:val="22"/>
          <w:lang w:val="en-US"/>
        </w:rPr>
        <w:t>—doi:10.1192</w:t>
      </w:r>
      <w:r w:rsidRPr="00D84D25">
        <w:rPr>
          <w:rFonts w:ascii="Arial" w:hAnsi="Arial" w:cs="Arial"/>
          <w:sz w:val="22"/>
          <w:szCs w:val="22"/>
          <w:lang w:val="en-US"/>
        </w:rPr>
        <w:t>/bjo.2020.103.</w:t>
      </w:r>
    </w:p>
    <w:p w14:paraId="29511F1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Education Policy Institute (2016) Children and Young People’s Mental Health: The State of the Nation. London: Education Policy Institute.</w:t>
      </w:r>
    </w:p>
    <w:p w14:paraId="2822CAE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Education Policy Institute (2017) Access and Waiting Times in Children and Young People’s Mental Health Services. London: Education Policy Institute.</w:t>
      </w:r>
    </w:p>
    <w:p w14:paraId="59CF3BC3"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Education Policy Institute (2018) Mental Health Services and Schools Link Pilots: Evaluation Report. London: Education Policy Institute.</w:t>
      </w:r>
    </w:p>
    <w:p w14:paraId="7E348FFD" w14:textId="0E8195A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Ellins, J., Singh, K., Al-Haboubi, M., Newbould, J., Hocking, L., Bousfield, J. and Mays, N. (</w:t>
      </w:r>
      <w:r w:rsidR="00B56FD2" w:rsidRPr="00D84D25">
        <w:rPr>
          <w:rFonts w:ascii="Arial" w:hAnsi="Arial" w:cs="Arial"/>
          <w:sz w:val="22"/>
          <w:szCs w:val="22"/>
          <w:lang w:val="en-US"/>
        </w:rPr>
        <w:t xml:space="preserve">2023) </w:t>
      </w:r>
      <w:r w:rsidRPr="00D84D25">
        <w:rPr>
          <w:rFonts w:ascii="Arial" w:hAnsi="Arial" w:cs="Arial"/>
          <w:sz w:val="22"/>
          <w:szCs w:val="22"/>
          <w:lang w:val="en-US"/>
        </w:rPr>
        <w:t xml:space="preserve">Implementing mental health support teams in schools and colleges: the perspectives of programme implementers and service </w:t>
      </w:r>
      <w:r w:rsidR="00B56FD2">
        <w:rPr>
          <w:rFonts w:ascii="Arial" w:hAnsi="Arial" w:cs="Arial"/>
          <w:sz w:val="22"/>
          <w:szCs w:val="22"/>
          <w:lang w:val="en-US"/>
        </w:rPr>
        <w:t>providers</w:t>
      </w:r>
      <w:r w:rsidRPr="00D84D25">
        <w:rPr>
          <w:rFonts w:ascii="Arial" w:hAnsi="Arial" w:cs="Arial"/>
          <w:sz w:val="22"/>
          <w:szCs w:val="22"/>
          <w:lang w:val="en-US"/>
        </w:rPr>
        <w:t>, BMC Health Services Research, 23, Article 1279. doi:10.1186/s12913-023-10139-1.</w:t>
      </w:r>
    </w:p>
    <w:p w14:paraId="4184C92F"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Fazel, M., Hoagwood, K., Stephan, S. and Ford, T. (2014) ‘Mental health interventions in schools in high-income countries’, The Lancet Psychiatry, 1(5), pp. 377–387. doi:10.1016/S2215-0366(14)70312-8.</w:t>
      </w:r>
    </w:p>
    <w:p w14:paraId="1E26D5AF" w14:textId="49EE59F3"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Ford, T., Hamilton, H., Meltzer, H. and Goodman, R. (2007) ‘Child mental health is everybody’s business: the prevalence of contact with public sector services by type of disorder among British school children in </w:t>
      </w:r>
      <w:r w:rsidR="00B56FD2">
        <w:rPr>
          <w:rFonts w:ascii="Arial" w:hAnsi="Arial" w:cs="Arial"/>
          <w:sz w:val="22"/>
          <w:szCs w:val="22"/>
          <w:lang w:val="en-US"/>
        </w:rPr>
        <w:t>three years</w:t>
      </w:r>
      <w:r w:rsidRPr="00D84D25">
        <w:rPr>
          <w:rFonts w:ascii="Arial" w:hAnsi="Arial" w:cs="Arial"/>
          <w:sz w:val="22"/>
          <w:szCs w:val="22"/>
          <w:lang w:val="en-US"/>
        </w:rPr>
        <w:t xml:space="preserve">’, Child and Adolescent Mental Health, 12(1), pp. 13–20. </w:t>
      </w:r>
      <w:hyperlink r:id="rId18" w:history="1">
        <w:r w:rsidR="009122E7" w:rsidRPr="00BF3BC5">
          <w:rPr>
            <w:rStyle w:val="Hyperlink"/>
            <w:rFonts w:ascii="Arial" w:hAnsi="Arial" w:cs="Arial"/>
            <w:sz w:val="22"/>
            <w:szCs w:val="22"/>
            <w:lang w:val="en-US"/>
          </w:rPr>
          <w:t>https://acamh.onlinelibrary.wiley.com/doi/10.1111/j.1475-3588.2006.00414.x</w:t>
        </w:r>
      </w:hyperlink>
      <w:r w:rsidR="009122E7">
        <w:rPr>
          <w:rFonts w:ascii="Arial" w:hAnsi="Arial" w:cs="Arial"/>
          <w:sz w:val="22"/>
          <w:szCs w:val="22"/>
          <w:lang w:val="en-US"/>
        </w:rPr>
        <w:t xml:space="preserve"> </w:t>
      </w:r>
    </w:p>
    <w:p w14:paraId="52E06A9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lastRenderedPageBreak/>
        <w:t>Ford, T., Vizard, T., Sadler, K., McManus, S., Goodman, A., Merad, S., Tejerina-Arreal, M. and Collinson, D. (2020) ‘Data resource profile: The Mental Health of Children and Young People Surveys’, International Journal of Epidemiology, 49(2), pp. 363–364g. doi:10.1093/ije/dyz259.</w:t>
      </w:r>
    </w:p>
    <w:p w14:paraId="06664920"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Frith, E. (2016) Children and Young People’s Mental Health: State of the Nation. London: Education Policy Institute.</w:t>
      </w:r>
    </w:p>
    <w:p w14:paraId="1D10066D"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Frith, E. (2017) Access and Waiting Times in Children and Young People’s Mental Health Services. London: Education Policy Institute.</w:t>
      </w:r>
    </w:p>
    <w:p w14:paraId="0AD3471D" w14:textId="39ADE5A1"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Gondek, D., Edbrooke-Childs, J., Velikonja, T., Chapman, L., Saunders, F., Hayes, D. and Wolpert, M. (2017) ‘Facilitators and barriers to person-centred care in child and young people mental health services: a systematic review’, Clinical Psychology &amp; Psychotherapy, 24(4), pp. 870–886</w:t>
      </w:r>
      <w:r w:rsidR="00B56FD2">
        <w:rPr>
          <w:rFonts w:ascii="Arial" w:hAnsi="Arial" w:cs="Arial"/>
          <w:sz w:val="22"/>
          <w:szCs w:val="22"/>
          <w:lang w:val="en-US"/>
        </w:rPr>
        <w:t>—doi:10.1002</w:t>
      </w:r>
      <w:r w:rsidRPr="00D84D25">
        <w:rPr>
          <w:rFonts w:ascii="Arial" w:hAnsi="Arial" w:cs="Arial"/>
          <w:sz w:val="22"/>
          <w:szCs w:val="22"/>
          <w:lang w:val="en-US"/>
        </w:rPr>
        <w:t>/cpp.2052.</w:t>
      </w:r>
    </w:p>
    <w:p w14:paraId="665BC9E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GOV.UK (2024) Mental Health Resources for Children, Students, Parents, Carers and School/College Staff. London: Department for Education.</w:t>
      </w:r>
    </w:p>
    <w:p w14:paraId="6A5D5664"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Green, H., McGinnity, A., Meltzer, H., Ford, T. and Goodman, R. (2005) Mental Health of Children and Young People in Great Britain, 2004. Basingstoke: Palgrave Macmillan.</w:t>
      </w:r>
    </w:p>
    <w:p w14:paraId="19C8325E"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Gulliver, A., Griffiths, K.M. and Christensen, H. (2010) ‘Perceived barriers and facilitators to mental health help-seeking in young people: a systematic review’, BMC Psychiatry, 10, Article 113. doi:10.1186/1471-244X-10-113.</w:t>
      </w:r>
    </w:p>
    <w:p w14:paraId="3040F32D"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Gurpinar-Morgan, A., Murray, C. and Beck, A. (2014) ‘Ethnicity and the therapeutic relationship: views of young people accessing cognitive behavioural therapy’, Mental Health, Religion &amp; Culture, 17(7), pp. 714–725. doi:10.1080/13674676.2014.903388.</w:t>
      </w:r>
    </w:p>
    <w:p w14:paraId="46BDD393" w14:textId="743DF710"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Hards, E., Loades, M.E., Higson-Sweeney, N., Shafran, R., Serafimova, T., Brigden, A., Reynolds, S., Crawley, E., Chatburn, E., Linney, C., McManus, M.N. and Borwick, C. (2022) ‘Loneliness and mental health in children and adolescents with pre-existing mental health problems: a rapid systematic review’, British Journal of Clinical Psychology, 61(2), pp. 313–334. </w:t>
      </w:r>
      <w:hyperlink r:id="rId19" w:history="1">
        <w:r w:rsidR="00B56FD2" w:rsidRPr="00BF3BC5">
          <w:rPr>
            <w:rStyle w:val="Hyperlink"/>
            <w:rFonts w:ascii="Arial" w:hAnsi="Arial" w:cs="Arial"/>
            <w:sz w:val="22"/>
            <w:szCs w:val="22"/>
            <w:lang w:val="en-US"/>
          </w:rPr>
          <w:t>https://bpspsychub.onlinelibrary.wiley.com/doi/10.1111/bjc.12331</w:t>
        </w:r>
      </w:hyperlink>
      <w:r w:rsidR="00B56FD2">
        <w:rPr>
          <w:rFonts w:ascii="Arial" w:hAnsi="Arial" w:cs="Arial"/>
          <w:sz w:val="22"/>
          <w:szCs w:val="22"/>
          <w:lang w:val="en-US"/>
        </w:rPr>
        <w:t xml:space="preserve"> </w:t>
      </w:r>
    </w:p>
    <w:p w14:paraId="7B6A7A2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Health and Social Care Committee (2021) Children and Young People’s Mental Health. London: House of Commons.</w:t>
      </w:r>
    </w:p>
    <w:p w14:paraId="3EDD1C82"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HM Government (2018) Working Together to Safeguard Children: A Guide to Inter-agency Working to Safeguard and Promote the Welfare of Children. London: HM Government.</w:t>
      </w:r>
    </w:p>
    <w:p w14:paraId="439B8842"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HM Government (2023) Working Together to Safeguard Children 2023: A Guide to Multi-agency Working to Help, Protect and Promote the Welfare of Children. London: HM Government.</w:t>
      </w:r>
    </w:p>
    <w:p w14:paraId="40C72E6F"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lastRenderedPageBreak/>
        <w:t>House of Commons Library (2023) Mental Health Policy in England. London: House of Commons Library.</w:t>
      </w:r>
    </w:p>
    <w:p w14:paraId="344D25B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House of Commons Library (2024) Children and Young People’s Mental Health: Policy, CAMHS Services, Funding and Education. London: House of Commons Library.</w:t>
      </w:r>
    </w:p>
    <w:p w14:paraId="0EAD1C67" w14:textId="76AAED6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Humphrey, N. and Wigelsworth, M. (2016) ‘Making the case for universal school-based mental health screening’, Emotional and Behavioural Difficulties, 21(1), pp. 22–42. </w:t>
      </w:r>
      <w:hyperlink r:id="rId20" w:history="1">
        <w:r w:rsidR="00B56FD2" w:rsidRPr="00BF3BC5">
          <w:rPr>
            <w:rStyle w:val="Hyperlink"/>
            <w:rFonts w:ascii="Arial" w:hAnsi="Arial" w:cs="Arial"/>
            <w:sz w:val="22"/>
            <w:szCs w:val="22"/>
            <w:lang w:val="en-US"/>
          </w:rPr>
          <w:t>https://www.tandfonline.com/doi/full/10.1080/13632752.2015.1120051</w:t>
        </w:r>
      </w:hyperlink>
      <w:r w:rsidR="00B56FD2">
        <w:rPr>
          <w:rFonts w:ascii="Arial" w:hAnsi="Arial" w:cs="Arial"/>
          <w:sz w:val="22"/>
          <w:szCs w:val="22"/>
          <w:lang w:val="en-US"/>
        </w:rPr>
        <w:t xml:space="preserve"> </w:t>
      </w:r>
    </w:p>
    <w:p w14:paraId="22274801"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Institute of Health Equity (2020) Health Equity in England: The Marmot Review 10 Years On. London: Institute of Health Equity.</w:t>
      </w:r>
    </w:p>
    <w:p w14:paraId="580204C3"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Joint Commissioning Panel for Mental Health (2013) Guidance for Commissioners of Child and Adolescent Mental Health Services. London: Joint Commissioning Panel for Mental Health.</w:t>
      </w:r>
    </w:p>
    <w:p w14:paraId="607D81BB" w14:textId="3886E85A"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Lee, J. (</w:t>
      </w:r>
      <w:r w:rsidR="00B56FD2" w:rsidRPr="00D84D25">
        <w:rPr>
          <w:rFonts w:ascii="Arial" w:hAnsi="Arial" w:cs="Arial"/>
          <w:sz w:val="22"/>
          <w:szCs w:val="22"/>
          <w:lang w:val="en-US"/>
        </w:rPr>
        <w:t xml:space="preserve">2020) </w:t>
      </w:r>
      <w:r w:rsidRPr="00D84D25">
        <w:rPr>
          <w:rFonts w:ascii="Arial" w:hAnsi="Arial" w:cs="Arial"/>
          <w:sz w:val="22"/>
          <w:szCs w:val="22"/>
          <w:lang w:val="en-US"/>
        </w:rPr>
        <w:t xml:space="preserve">Mental health effects of school closures during </w:t>
      </w:r>
      <w:r w:rsidR="00B56FD2">
        <w:rPr>
          <w:rFonts w:ascii="Arial" w:hAnsi="Arial" w:cs="Arial"/>
          <w:sz w:val="22"/>
          <w:szCs w:val="22"/>
          <w:lang w:val="en-US"/>
        </w:rPr>
        <w:t>COVID-19,</w:t>
      </w:r>
      <w:r w:rsidRPr="00D84D25">
        <w:rPr>
          <w:rFonts w:ascii="Arial" w:hAnsi="Arial" w:cs="Arial"/>
          <w:sz w:val="22"/>
          <w:szCs w:val="22"/>
          <w:lang w:val="en-US"/>
        </w:rPr>
        <w:t xml:space="preserve"> The Lancet Child &amp; Adolescent Health, 4(6), p. </w:t>
      </w:r>
      <w:r w:rsidR="00B56FD2">
        <w:rPr>
          <w:rFonts w:ascii="Arial" w:hAnsi="Arial" w:cs="Arial"/>
          <w:sz w:val="22"/>
          <w:szCs w:val="22"/>
          <w:lang w:val="en-US"/>
        </w:rPr>
        <w:t xml:space="preserve">421. </w:t>
      </w:r>
      <w:hyperlink r:id="rId21" w:history="1">
        <w:r w:rsidR="00B56FD2" w:rsidRPr="00BF3BC5">
          <w:rPr>
            <w:rStyle w:val="Hyperlink"/>
            <w:rFonts w:ascii="Arial" w:hAnsi="Arial" w:cs="Arial"/>
            <w:sz w:val="22"/>
            <w:szCs w:val="22"/>
            <w:lang w:val="en-US"/>
          </w:rPr>
          <w:t>https://www.thelancet.com/journals/lanchi/article/PIIS2352-4642(20)30109-7/fulltext</w:t>
        </w:r>
      </w:hyperlink>
      <w:r w:rsidR="00B56FD2">
        <w:rPr>
          <w:rFonts w:ascii="Arial" w:hAnsi="Arial" w:cs="Arial"/>
          <w:sz w:val="22"/>
          <w:szCs w:val="22"/>
          <w:lang w:val="en-US"/>
        </w:rPr>
        <w:t xml:space="preserve">    </w:t>
      </w:r>
    </w:p>
    <w:p w14:paraId="49E6DB6B"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Local Government Association (2018) Local Government Association Response to the Transforming Children and Young People’s Mental Health Provision Green Paper. London: Local Government Association.</w:t>
      </w:r>
    </w:p>
    <w:p w14:paraId="387C74B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Local Government Association (2021) Children and Young People’s Mental Health: An Update. London: Local Government Association.</w:t>
      </w:r>
    </w:p>
    <w:p w14:paraId="19961F9E"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Local Government Association (2023) Children and Young People’s Mental Health: An Independent Review of Policy Success and Challenges over the Last Decade. London: Local Government Association.</w:t>
      </w:r>
    </w:p>
    <w:p w14:paraId="2F47BE66" w14:textId="6F95614F"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Long, H.A., French, D.P. and Brooks, J.M. (2020) ‘Optimising the value of the critical appraisal skills programme checklist for qualitative research’, Research Methods in Medicine &amp; Health Sciences, 1(1), pp. 31–42. </w:t>
      </w:r>
      <w:hyperlink r:id="rId22" w:history="1">
        <w:r w:rsidR="00B56FD2" w:rsidRPr="00BF3BC5">
          <w:rPr>
            <w:rStyle w:val="Hyperlink"/>
            <w:rFonts w:ascii="Arial" w:hAnsi="Arial" w:cs="Arial"/>
            <w:sz w:val="22"/>
            <w:szCs w:val="22"/>
            <w:lang w:val="en-US"/>
          </w:rPr>
          <w:t>https://journals.sagepub.com/doi/10.1177/2632084320947559</w:t>
        </w:r>
      </w:hyperlink>
      <w:r w:rsidR="00B56FD2">
        <w:rPr>
          <w:rFonts w:ascii="Arial" w:hAnsi="Arial" w:cs="Arial"/>
          <w:sz w:val="22"/>
          <w:szCs w:val="22"/>
          <w:lang w:val="en-US"/>
        </w:rPr>
        <w:t xml:space="preserve"> </w:t>
      </w:r>
    </w:p>
    <w:p w14:paraId="6E602C43"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Marmot, M. (2010) Fair Society, Healthy Lives: The Marmot Review. London: Institute of Health Equity.</w:t>
      </w:r>
    </w:p>
    <w:p w14:paraId="7A8F050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Marmot, M., Allen, J., Boyce, T., Goldblatt, P. and Morrison, J. (2020) Health Equity in England: The Marmot Review 10 Years On. London: Institute of Health Equity.</w:t>
      </w:r>
    </w:p>
    <w:p w14:paraId="5BC156D4"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McManus, S., Bebbington, P., Jenkins, R. and Brugha, T. (eds.) (2016) Mental Health and Wellbeing in England: Adult Psychiatric Morbidity Survey 2014. Leeds: NHS Digital.</w:t>
      </w:r>
    </w:p>
    <w:p w14:paraId="232CE92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Mental Health Foundation (2016) Fundamental Facts about Mental Health 2016. London: Mental Health Foundation.</w:t>
      </w:r>
    </w:p>
    <w:p w14:paraId="0CF8FA06"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lastRenderedPageBreak/>
        <w:t>Mental Health Foundation (2020) Children and Young People’s Mental Health in the UK. London: Mental Health Foundation.</w:t>
      </w:r>
    </w:p>
    <w:p w14:paraId="469C79E4" w14:textId="77777777" w:rsidR="00D84D25" w:rsidRPr="00106C49"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Mind (2021) Not Making the Grade: Why Our Approach to Mental Health at Secondary School is Failing Young People. </w:t>
      </w:r>
      <w:r w:rsidRPr="00106C49">
        <w:rPr>
          <w:rFonts w:ascii="Arial" w:hAnsi="Arial" w:cs="Arial"/>
          <w:sz w:val="22"/>
          <w:szCs w:val="22"/>
          <w:lang w:val="en-US"/>
        </w:rPr>
        <w:t>London: Mind.</w:t>
      </w:r>
    </w:p>
    <w:p w14:paraId="7BFD0521"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National Audit Office (2018) Improving Children and Young People’s Mental Health Services. London: National Audit Office.</w:t>
      </w:r>
    </w:p>
    <w:p w14:paraId="34BAB302"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National Collaborating Centre for Mental Health (2019) The Mental Health Care Pathway for Children and Young People with Mental Health Difficulties. London: National Collaborating Centre for Mental Health.</w:t>
      </w:r>
    </w:p>
    <w:p w14:paraId="79721C7B"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(2024) Children and Young People’s Mental Health Services. London: National Health Service.</w:t>
      </w:r>
    </w:p>
    <w:p w14:paraId="29BB82D6"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Digital (2018) Mental Health of Children and Young People in England, 2017. Leeds: NHS Digital.</w:t>
      </w:r>
    </w:p>
    <w:p w14:paraId="199711CE" w14:textId="1FCFBFEF"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NHS Digital (2020) Mental Health of Children and Young People in England, 2020: Wave 1 </w:t>
      </w:r>
      <w:r w:rsidR="00B56FD2">
        <w:rPr>
          <w:rFonts w:ascii="Arial" w:hAnsi="Arial" w:cs="Arial"/>
          <w:sz w:val="22"/>
          <w:szCs w:val="22"/>
          <w:lang w:val="en-US"/>
        </w:rPr>
        <w:t>Follow-up</w:t>
      </w:r>
      <w:r w:rsidRPr="00D84D25">
        <w:rPr>
          <w:rFonts w:ascii="Arial" w:hAnsi="Arial" w:cs="Arial"/>
          <w:sz w:val="22"/>
          <w:szCs w:val="22"/>
          <w:lang w:val="en-US"/>
        </w:rPr>
        <w:t xml:space="preserve"> to the 2017 Survey. Leeds: NHS Digital.</w:t>
      </w:r>
    </w:p>
    <w:p w14:paraId="5392B8F1" w14:textId="1A284DB5"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NHS Digital (2021) Mental Health of Children and Young People in England, 2021: Wave 2 </w:t>
      </w:r>
      <w:r w:rsidR="00B56FD2">
        <w:rPr>
          <w:rFonts w:ascii="Arial" w:hAnsi="Arial" w:cs="Arial"/>
          <w:sz w:val="22"/>
          <w:szCs w:val="22"/>
          <w:lang w:val="en-US"/>
        </w:rPr>
        <w:t>Follow-up</w:t>
      </w:r>
      <w:r w:rsidRPr="00D84D25">
        <w:rPr>
          <w:rFonts w:ascii="Arial" w:hAnsi="Arial" w:cs="Arial"/>
          <w:sz w:val="22"/>
          <w:szCs w:val="22"/>
          <w:lang w:val="en-US"/>
        </w:rPr>
        <w:t xml:space="preserve"> to the 2017 Survey. Leeds: NHS Digital.</w:t>
      </w:r>
    </w:p>
    <w:p w14:paraId="3ECDDCBA" w14:textId="4B6A66AD"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NHS Digital (2022) Mental Health of Children and Young People in England, 2022: Wave 3 </w:t>
      </w:r>
      <w:r w:rsidR="00B56FD2">
        <w:rPr>
          <w:rFonts w:ascii="Arial" w:hAnsi="Arial" w:cs="Arial"/>
          <w:sz w:val="22"/>
          <w:szCs w:val="22"/>
          <w:lang w:val="en-US"/>
        </w:rPr>
        <w:t>Follow-up</w:t>
      </w:r>
      <w:r w:rsidRPr="00D84D25">
        <w:rPr>
          <w:rFonts w:ascii="Arial" w:hAnsi="Arial" w:cs="Arial"/>
          <w:sz w:val="22"/>
          <w:szCs w:val="22"/>
          <w:lang w:val="en-US"/>
        </w:rPr>
        <w:t xml:space="preserve"> to the 2017 Survey. Leeds: NHS Digital.</w:t>
      </w:r>
    </w:p>
    <w:p w14:paraId="7A99A9FA" w14:textId="3BA6A5DE"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NHS Digital (2023) Mental Health of Children and Young People in England, 2023: Wave 4 </w:t>
      </w:r>
      <w:r w:rsidR="00B56FD2">
        <w:rPr>
          <w:rFonts w:ascii="Arial" w:hAnsi="Arial" w:cs="Arial"/>
          <w:sz w:val="22"/>
          <w:szCs w:val="22"/>
          <w:lang w:val="en-US"/>
        </w:rPr>
        <w:t>Follow-up</w:t>
      </w:r>
      <w:r w:rsidRPr="00D84D25">
        <w:rPr>
          <w:rFonts w:ascii="Arial" w:hAnsi="Arial" w:cs="Arial"/>
          <w:sz w:val="22"/>
          <w:szCs w:val="22"/>
          <w:lang w:val="en-US"/>
        </w:rPr>
        <w:t xml:space="preserve"> to the 2017 Survey. Leeds: NHS Digital.</w:t>
      </w:r>
    </w:p>
    <w:p w14:paraId="741AD6ED"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Digital (2024) Mental Health Services Monthly Statistics. Leeds: NHS Digital.</w:t>
      </w:r>
    </w:p>
    <w:p w14:paraId="44B42CB8"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(2015) Future in Mind: Promoting, Protecting and Improving Our Children and Young People’s Mental Health and Wellbeing. London: NHS England.</w:t>
      </w:r>
    </w:p>
    <w:p w14:paraId="4F247AF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(2016) Implementing the Five Year Forward View for Mental Health. London: NHS England.</w:t>
      </w:r>
    </w:p>
    <w:p w14:paraId="458E33B1"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(2019a) The NHS Long Term Plan. London: NHS England.</w:t>
      </w:r>
    </w:p>
    <w:p w14:paraId="7B61DE98"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(2019b) NHS Mental Health Implementation Plan 2019/20–2023/24. London: NHS England.</w:t>
      </w:r>
    </w:p>
    <w:p w14:paraId="74A5707D"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(2019c) Mental Health Support Teams for Children and Young People in Education: The Manual. London: NHS England.</w:t>
      </w:r>
    </w:p>
    <w:p w14:paraId="09D9749C"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lastRenderedPageBreak/>
        <w:t>NHS England (2021) Children and Young People’s Mental Health Services: Transformation Update. London: NHS England.</w:t>
      </w:r>
    </w:p>
    <w:p w14:paraId="765B2843"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(2023) Children and Young People’s Mental Health Access and Waiting Times Data. London: NHS England.</w:t>
      </w:r>
    </w:p>
    <w:p w14:paraId="222476E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(2024a) Urgent and Emergency Mental Health Care for Children and Young People: National Implementation Guidance. London: NHS England.</w:t>
      </w:r>
    </w:p>
    <w:p w14:paraId="6BF2000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(2024b) Children and Young People’s Mental Health Services: Service Model and Access Guidance. London: NHS England.</w:t>
      </w:r>
    </w:p>
    <w:p w14:paraId="3DF8591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(2025a) Mental Health Support in Schools and Colleges. London: NHS England.</w:t>
      </w:r>
    </w:p>
    <w:p w14:paraId="7B7EE96C"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NHS England (2025b) Children and Young People’s Mental Health Services. London: NHS England.</w:t>
      </w:r>
    </w:p>
    <w:p w14:paraId="4ECDD02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NICE (2019) Depression in Children and Young People: Identification and Management. NICE Guideline NG134. London: National Institute for Health and Care Excellence.</w:t>
      </w:r>
    </w:p>
    <w:p w14:paraId="48B7C5E1"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NICE (2022a) Self-harm: Assessment, Management and Preventing Recurrence. NICE Guideline NG225. London: National Institute for Health and Care Excellence.</w:t>
      </w:r>
    </w:p>
    <w:p w14:paraId="4D2F34C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NICE (2022b) Social, Emotional and Mental Wellbeing in Primary and Secondary Education. NICE Guideline NG223. London: National Institute for Health and Care Excellence.</w:t>
      </w:r>
    </w:p>
    <w:p w14:paraId="2708DA03"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NICE (2023) Mental Wellbeing at Work. NICE Guideline NG212. London: National Institute for Health and Care Excellence.</w:t>
      </w:r>
    </w:p>
    <w:p w14:paraId="19A07A83"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NSPCC (2025) Child Mental Health: Recognising and Responding to Issues. London: National Society for the Prevention of Cruelty to Children.</w:t>
      </w:r>
    </w:p>
    <w:p w14:paraId="3C88A9C3"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Office for Health Improvement and Disparities (2021) Promoting Children and Young People’s Mental Health and Wellbeing: A Whole School or College Approach. London: Office for Health Improvement and Disparities.</w:t>
      </w:r>
    </w:p>
    <w:p w14:paraId="61E58431"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Office for National Statistics (2018) Children’s and Young People’s Experiences of Loneliness: 2018. Newport: Office for National Statistics.</w:t>
      </w:r>
    </w:p>
    <w:p w14:paraId="3D0D2A4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Office for National Statistics (2020) Coronavirus and the Impact on Young People in Great Britain. Newport: Office for National Statistics.</w:t>
      </w:r>
    </w:p>
    <w:p w14:paraId="3D1C0E3B"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Office for National Statistics (2022) Children’s Wellbeing and Social Relationships, UK: 2022. Newport: Office for National Statistics.</w:t>
      </w:r>
    </w:p>
    <w:p w14:paraId="785AD3DC"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Page, M.J., McKenzie, J.E., Bossuyt, P.M., Boutron, I., Hoffmann, T.C., Mulrow, C.D., Shamseer, L., Tetzlaff, J.M., Akl, E.A., Brennan, S.E., Chou, R., Glanville, J., Grimshaw, J.M., Hróbjartsson, </w:t>
      </w:r>
      <w:r w:rsidRPr="00D84D25">
        <w:rPr>
          <w:rFonts w:ascii="Arial" w:hAnsi="Arial" w:cs="Arial"/>
          <w:sz w:val="22"/>
          <w:szCs w:val="22"/>
          <w:lang w:val="en-US"/>
        </w:rPr>
        <w:lastRenderedPageBreak/>
        <w:t>A., Lalu, M.M., Li, T., Loder, E.W., Mayo-Wilson, E., McDonald, S. and McGuinness, L.A. (2021) ‘The PRISMA 2020 statement: an updated guideline for reporting systematic reviews’, BMJ, 372, n71. doi:10.1136/bmj.n71.</w:t>
      </w:r>
    </w:p>
    <w:p w14:paraId="4F7E8460"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Parkin, E. and Long, R. (2024) Children and Young People’s Mental Health: Policy, CAMHS Services, Funding and Education. London: House of Commons Library.</w:t>
      </w:r>
    </w:p>
    <w:p w14:paraId="43A92E9E"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Place2Be (2022) Children’s Mental Health and Schools: The Role of Early Support. London: Place2Be.</w:t>
      </w:r>
    </w:p>
    <w:p w14:paraId="4C6E31C6"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Public Health England (2015) Promoting Children and Young People’s Emotional Health and Wellbeing: A Whole School and College Approach. London: Public Health England.</w:t>
      </w:r>
    </w:p>
    <w:p w14:paraId="3A78529F"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Public Health England (2016) The Mental Health of Children and Young People in England. London: Public Health England.</w:t>
      </w:r>
    </w:p>
    <w:p w14:paraId="3506617F"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Public Health England (2019) No Child Left Behind: A Public Health Informed Approach to Improving Outcomes for Vulnerable Children. London: Public Health England.</w:t>
      </w:r>
    </w:p>
    <w:p w14:paraId="50D726C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Public Health Scotland (2024) Child and Adolescent Mental Health Services Waiting Times in Scotland. Edinburgh: Public Health Scotland.</w:t>
      </w:r>
    </w:p>
    <w:p w14:paraId="68F7210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Public Health Scotland (2025) Child and Adolescent Mental Health Services Waiting Times: Quarterly Report. Edinburgh: Public Health Scotland.</w:t>
      </w:r>
    </w:p>
    <w:p w14:paraId="6BBB75C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Radez, J., Reardon, T., Creswell, C., Lawrence, P.J., Evdoka-Burton, G. and Waite, P. (2021) ‘Why do children and adolescents (not) seek and access professional help for their mental health problems? A systematic review of quantitative and qualitative studies’, European Child &amp; Adolescent Psychiatry, 30(2), pp. 183–211. doi:10.1007/s00787-019-01469-4.</w:t>
      </w:r>
    </w:p>
    <w:p w14:paraId="11A2BB93"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Radez, J., Reardon, T., Creswell, C., Orchard, F. and Waite, P. (2022) ‘Adolescents’ perceived barriers and facilitators to seeking and accessing professional help for anxiety and depressive disorders: a qualitative interview study’, European Child &amp; Adolescent Psychiatry, 31(6), pp. 891–907. doi:10.1007/s00787-020-01707-0.</w:t>
      </w:r>
    </w:p>
    <w:p w14:paraId="2B02AD2D"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Reardon, T., Harvey, K., Baranowska, M., O’Brien, D., Smith, L. and Creswell, C. (2017) ‘What do parents perceive are the barriers and facilitators to accessing psychological treatment for mental health problems in children and adolescents? A systematic review of qualitative and quantitative studies’, European Child &amp; Adolescent Psychiatry, 26, pp. 623–647. doi:10.1007/s00787-016-0930-6.</w:t>
      </w:r>
    </w:p>
    <w:p w14:paraId="20BA68B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Royal College of Paediatrics and Child Health (2021) Children and Young People’s Mental Health. London: Royal College of Paediatrics and Child Health.</w:t>
      </w:r>
    </w:p>
    <w:p w14:paraId="2A503EB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lastRenderedPageBreak/>
        <w:t>Royal College of Psychiatrists (2020) Technology Use and the Mental Health of Children and Young People. London: Royal College of Psychiatrists.</w:t>
      </w:r>
    </w:p>
    <w:p w14:paraId="63831DE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Royal College of Psychiatrists (2021) Country in the Grip of a Mental Health Crisis with Children Worst Affected. London: Royal College of Psychiatrists.</w:t>
      </w:r>
    </w:p>
    <w:p w14:paraId="381F8AA0"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Royal College of Psychiatrists (2023) Child and Adolescent Mental Health Services Workforce Census. London: Royal College of Psychiatrists.</w:t>
      </w:r>
    </w:p>
    <w:p w14:paraId="2D15F631"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Sadler, K., Vizard, T., Ford, T., Marcheselli, F., Pearce, N., Mandalia, D., Davis, J., Brodie, E., Forbes, N., Goodman, A., Goodman, R. and McManus, S. (2018) Mental Health of Children and Young People in England, 2017. Leeds: NHS Digital.</w:t>
      </w:r>
    </w:p>
    <w:p w14:paraId="3E927604"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Saunders, C.H., Sierpe, A., von Plessen, C., Kennedy, A.M., Leviton, L.C., Bernstein, S.L., Goldwag, J., King, J.R., Marx, C.M., Pogue, J.A., Saunders, R.K., Aricca, V.C., Yen, R.W., Elwyn, G. and Leyenaar, J.K. (2023) ‘Practical thematic analysis: a guide for multidisciplinary health services research teams engaging in qualitative analysis’, BMJ, 381, e074256. doi:10.1136/bmj-2022-074256.</w:t>
      </w:r>
    </w:p>
    <w:p w14:paraId="13C6447C"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Sayal, K., Goodman, R. and Ford, T. (2006) ‘Barriers to the identification of children with attention deficit/hyperactivity disorder’, Journal of Child Psychology and Psychiatry, 47(7), pp. 744–750. doi:10.1111/j.1469-7610.2005.01553.x.</w:t>
      </w:r>
    </w:p>
    <w:p w14:paraId="383DF20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Sayal, K., Tischler, V., Coope, C., Robotham, S., Ashworth, M., Day, C., Tylee, A. and Simonoff, E. (2010) ‘Parental help-seeking in primary care for child and adolescent mental health concerns: qualitative study’, British Journal of Psychiatry, 197(6), pp. 476–481. doi:10.1192/bjp.bp.110.081448.</w:t>
      </w:r>
    </w:p>
    <w:p w14:paraId="3B7B0475"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Scottish Government (2017) Mental Health Strategy 2017–2027. Edinburgh: Scottish Government.</w:t>
      </w:r>
    </w:p>
    <w:p w14:paraId="7966D764"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Scottish Government (2018) Rejected Referrals to Child and Adolescent Mental Health Services: A Qualitative and Quantitative Audit. Edinburgh: Scottish Government.</w:t>
      </w:r>
    </w:p>
    <w:p w14:paraId="7961FDD4"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Scottish Government (2023) Mental Health and Wellbeing Strategy. Edinburgh: Scottish Government.</w:t>
      </w:r>
    </w:p>
    <w:p w14:paraId="3F539A70"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Scottish Government (2024) Child and Adolescent Mental Health Services Waiting Times in Scotland. Edinburgh: Scottish Government.</w:t>
      </w:r>
    </w:p>
    <w:p w14:paraId="05588E3D"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The King’s Fund (2022) Mental Health Services: Addressing the Care Deficit. London: The King’s Fund.</w:t>
      </w:r>
    </w:p>
    <w:p w14:paraId="31555B94"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The King’s Fund (2023) Integrated Care Systems Explained. London: The King’s Fund.</w:t>
      </w:r>
    </w:p>
    <w:p w14:paraId="32A7170E"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lastRenderedPageBreak/>
        <w:t>Vizard, T., Sadler, K., Ford, T., Newlove-Delgado, T., McManus, S., Marcheselli, F., Davis, J., Williams, T., Leach, C., Mandalia, D., Cartwright, C. and Goodman, A. (2020) Mental Health of Children and Young People in England, 2020: Wave 1 Follow Up to the 2017 Survey. Leeds: NHS Digital.</w:t>
      </w:r>
    </w:p>
    <w:p w14:paraId="4F2C4934" w14:textId="3395701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Vizard, T., Sadler, K., Ford, T., Newlove-Delgado, T., McManus, S., Marcheselli, F., Davis, J., Williams, T., Leach, C., Mandalia, D., Cartwright, C. and Goodman, A. (2021) Mental Health of Children and Young People in England, 2021: Wave 2 </w:t>
      </w:r>
      <w:r w:rsidR="00B56FD2">
        <w:rPr>
          <w:rFonts w:ascii="Arial" w:hAnsi="Arial" w:cs="Arial"/>
          <w:sz w:val="22"/>
          <w:szCs w:val="22"/>
          <w:lang w:val="en-US"/>
        </w:rPr>
        <w:t>Follow-up</w:t>
      </w:r>
      <w:r w:rsidRPr="00D84D25">
        <w:rPr>
          <w:rFonts w:ascii="Arial" w:hAnsi="Arial" w:cs="Arial"/>
          <w:sz w:val="22"/>
          <w:szCs w:val="22"/>
          <w:lang w:val="en-US"/>
        </w:rPr>
        <w:t xml:space="preserve"> to the 2017 Survey. Leeds: NHS Digital.</w:t>
      </w:r>
    </w:p>
    <w:p w14:paraId="710136E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Welsh Government (2015) Together for Children and Young People: Programme for Improving Mental Health Services for Children and Young People in Wales. Cardiff: Welsh Government.</w:t>
      </w:r>
    </w:p>
    <w:p w14:paraId="56A4A5D8"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Welsh Government (2021) Framework on Embedding a Whole-School Approach to Emotional and Mental Wellbeing. Cardiff: Welsh Government.</w:t>
      </w:r>
    </w:p>
    <w:p w14:paraId="057B2C9C"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Welsh Government (2022) Review of the Together for Children and Young People Programme. Cardiff: Welsh Government.</w:t>
      </w:r>
    </w:p>
    <w:p w14:paraId="616B07AE"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Welsh Government (2023) Together for Mental Health Delivery Plan. Cardiff: Welsh Government.</w:t>
      </w:r>
    </w:p>
    <w:p w14:paraId="6212821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Wolpert, M., Harris, R., Hodges, S., Fuggle, P., James, R., Wiener, A., McKenna, C., Law, D., York, A., Jones, M., Fonagy, P., Fleming, I. and Munk, S. (2019) THRIVE Framework for System Change. London: Anna Freud National Centre for Children and Families and Tavistock and Portman NHS Foundation Trust.</w:t>
      </w:r>
    </w:p>
    <w:p w14:paraId="7B158B10" w14:textId="7DC8469C"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 xml:space="preserve">World Health </w:t>
      </w:r>
      <w:r w:rsidR="00B56FD2">
        <w:rPr>
          <w:rFonts w:ascii="Arial" w:hAnsi="Arial" w:cs="Arial"/>
          <w:sz w:val="22"/>
          <w:szCs w:val="22"/>
          <w:lang w:val="en-US"/>
        </w:rPr>
        <w:t>Organisation</w:t>
      </w:r>
      <w:r w:rsidRPr="00D84D25">
        <w:rPr>
          <w:rFonts w:ascii="Arial" w:hAnsi="Arial" w:cs="Arial"/>
          <w:sz w:val="22"/>
          <w:szCs w:val="22"/>
          <w:lang w:val="en-US"/>
        </w:rPr>
        <w:t xml:space="preserve"> (2022) Social Determinants of Health. Geneva: World Health </w:t>
      </w:r>
      <w:r w:rsidR="00B56FD2">
        <w:rPr>
          <w:rFonts w:ascii="Arial" w:hAnsi="Arial" w:cs="Arial"/>
          <w:sz w:val="22"/>
          <w:szCs w:val="22"/>
          <w:lang w:val="en-US"/>
        </w:rPr>
        <w:t>Organisation</w:t>
      </w:r>
      <w:r w:rsidRPr="00D84D25">
        <w:rPr>
          <w:rFonts w:ascii="Arial" w:hAnsi="Arial" w:cs="Arial"/>
          <w:sz w:val="22"/>
          <w:szCs w:val="22"/>
          <w:lang w:val="en-US"/>
        </w:rPr>
        <w:t>.</w:t>
      </w:r>
    </w:p>
    <w:p w14:paraId="0484D56F"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YoungMinds (2018) A New Era for Young People’s Mental Health. London: YoungMinds.</w:t>
      </w:r>
    </w:p>
    <w:p w14:paraId="76FCB719"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YoungMinds (2020) Coronavirus: Impact on Young People with Mental Health Needs. London: YoungMinds.</w:t>
      </w:r>
    </w:p>
    <w:p w14:paraId="580927A0"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YoungMinds (2021) The Impact of COVID-19 on Young People with Mental Health Needs. London: YoungMinds.</w:t>
      </w:r>
    </w:p>
    <w:p w14:paraId="7242148A"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YoungMinds (2022) End the Wait: Improving Access to Mental Health Support for Young People. London: YoungMinds.</w:t>
      </w:r>
    </w:p>
    <w:p w14:paraId="6C1AF62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YoungMinds (2023) Beyond Tomorrow: Young People’s Mental Health in the UK. London: YoungMinds.</w:t>
      </w:r>
    </w:p>
    <w:p w14:paraId="61623877" w14:textId="77777777" w:rsidR="00D84D25" w:rsidRPr="00D84D25"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YoungMinds (2024) Young People’s Mental Health and Waiting for Support. London: YoungMinds.</w:t>
      </w:r>
    </w:p>
    <w:p w14:paraId="0B0D2321" w14:textId="4FE37BBF" w:rsidR="00501C21" w:rsidRPr="00B7158F" w:rsidRDefault="00501C21" w:rsidP="00B7158F">
      <w:pPr>
        <w:spacing w:line="360" w:lineRule="auto"/>
        <w:jc w:val="both"/>
        <w:rPr>
          <w:rFonts w:ascii="Arial" w:hAnsi="Arial" w:cs="Arial"/>
          <w:sz w:val="22"/>
          <w:szCs w:val="22"/>
          <w:lang w:val="en-US"/>
        </w:rPr>
      </w:pPr>
    </w:p>
    <w:p w14:paraId="453C9826" w14:textId="79D6D307" w:rsidR="00D84D25" w:rsidRPr="00106C49" w:rsidRDefault="00D84D25" w:rsidP="00D84D25">
      <w:pPr>
        <w:pStyle w:val="Heading1"/>
        <w:rPr>
          <w:lang w:val="en-US"/>
        </w:rPr>
      </w:pPr>
      <w:bookmarkStart w:id="59" w:name="_Toc233629154"/>
      <w:r w:rsidRPr="00D84D25">
        <w:rPr>
          <w:lang w:val="en-US"/>
        </w:rPr>
        <w:lastRenderedPageBreak/>
        <w:t>Appendices</w:t>
      </w:r>
      <w:bookmarkEnd w:id="59"/>
    </w:p>
    <w:p w14:paraId="3094B688" w14:textId="0FD35E0E" w:rsidR="00D84D25" w:rsidRPr="00106C49" w:rsidRDefault="00D84D25" w:rsidP="00D84D25">
      <w:pPr>
        <w:pStyle w:val="Heading2"/>
        <w:rPr>
          <w:lang w:val="en-US"/>
        </w:rPr>
      </w:pPr>
      <w:bookmarkStart w:id="60" w:name="_Toc233629155"/>
      <w:r w:rsidRPr="00D84D25">
        <w:rPr>
          <w:lang w:val="en-US"/>
        </w:rPr>
        <w:t>Appendix 1: Search Strategy</w:t>
      </w:r>
      <w:bookmarkEnd w:id="60"/>
    </w:p>
    <w:p w14:paraId="1B59B699" w14:textId="774B0562" w:rsidR="00D84D25" w:rsidRPr="00106C49" w:rsidRDefault="00B56FD2" w:rsidP="00D84D25">
      <w:pPr>
        <w:spacing w:line="360" w:lineRule="auto"/>
        <w:jc w:val="both"/>
        <w:rPr>
          <w:rFonts w:ascii="Arial" w:hAnsi="Arial" w:cs="Arial"/>
          <w:sz w:val="22"/>
          <w:szCs w:val="22"/>
          <w:lang w:val="en-US"/>
        </w:rPr>
      </w:pPr>
      <w:r>
        <w:rPr>
          <w:rFonts w:ascii="Arial" w:hAnsi="Arial" w:cs="Arial"/>
          <w:sz w:val="22"/>
          <w:szCs w:val="22"/>
          <w:lang w:val="en-US"/>
        </w:rPr>
        <w:t>This appendix describes the process used to develop the search strategy for the systematic review</w:t>
      </w:r>
      <w:r w:rsidR="00D84D25" w:rsidRPr="00D84D25">
        <w:rPr>
          <w:rFonts w:ascii="Arial" w:hAnsi="Arial" w:cs="Arial"/>
          <w:sz w:val="22"/>
          <w:szCs w:val="22"/>
          <w:lang w:val="en-US"/>
        </w:rPr>
        <w:t xml:space="preserve">. This strategy was developed </w:t>
      </w:r>
      <w:r>
        <w:rPr>
          <w:rFonts w:ascii="Arial" w:hAnsi="Arial" w:cs="Arial"/>
          <w:sz w:val="22"/>
          <w:szCs w:val="22"/>
          <w:lang w:val="en-US"/>
        </w:rPr>
        <w:t>to retrieve literature from databases and other relevant sources on qualitative and mixed-methods studies of barriers/enablers to access to</w:t>
      </w:r>
      <w:r w:rsidR="00D84D25" w:rsidRPr="00D84D25">
        <w:rPr>
          <w:rFonts w:ascii="Arial" w:hAnsi="Arial" w:cs="Arial"/>
          <w:sz w:val="22"/>
          <w:szCs w:val="22"/>
          <w:lang w:val="en-US"/>
        </w:rPr>
        <w:t xml:space="preserve"> Child and Adolescent Mental Health Services (CAMHS) in the UK.</w:t>
      </w:r>
    </w:p>
    <w:p w14:paraId="4421012B" w14:textId="3D3F2ED2" w:rsidR="00D84D25" w:rsidRPr="00106C49" w:rsidRDefault="00D84D25" w:rsidP="00D84D25">
      <w:pPr>
        <w:spacing w:line="360" w:lineRule="auto"/>
        <w:jc w:val="both"/>
        <w:rPr>
          <w:rFonts w:ascii="Arial" w:hAnsi="Arial" w:cs="Arial"/>
          <w:b/>
          <w:bCs/>
          <w:sz w:val="22"/>
          <w:szCs w:val="22"/>
          <w:lang w:val="en-US"/>
        </w:rPr>
      </w:pPr>
      <w:r w:rsidRPr="00D84D25">
        <w:rPr>
          <w:rFonts w:ascii="Arial" w:hAnsi="Arial" w:cs="Arial"/>
          <w:b/>
          <w:bCs/>
          <w:sz w:val="22"/>
          <w:szCs w:val="22"/>
          <w:lang w:val="en-US"/>
        </w:rPr>
        <w:t>Research question:</w:t>
      </w:r>
    </w:p>
    <w:p w14:paraId="66FB1EC8" w14:textId="3BF408F4" w:rsidR="00D84D25" w:rsidRPr="00106C49" w:rsidRDefault="00D84D25" w:rsidP="00D84D25">
      <w:pPr>
        <w:spacing w:line="360" w:lineRule="auto"/>
        <w:jc w:val="both"/>
        <w:rPr>
          <w:rFonts w:ascii="Arial" w:hAnsi="Arial" w:cs="Arial"/>
          <w:sz w:val="22"/>
          <w:szCs w:val="22"/>
          <w:lang w:val="en-US"/>
        </w:rPr>
      </w:pPr>
      <w:r w:rsidRPr="00D84D25">
        <w:rPr>
          <w:rFonts w:ascii="Arial" w:hAnsi="Arial" w:cs="Arial"/>
          <w:sz w:val="22"/>
          <w:szCs w:val="22"/>
          <w:lang w:val="en-US"/>
        </w:rPr>
        <w:t>What are the barriers/enablers impacting access to Child and Adolescent Mental Health Services (CAMHS) in the United Kingdom?</w:t>
      </w:r>
    </w:p>
    <w:p w14:paraId="0514D896" w14:textId="77777777" w:rsidR="00D84D25" w:rsidRDefault="00D84D25" w:rsidP="00D84D25">
      <w:pPr>
        <w:spacing w:line="360" w:lineRule="auto"/>
        <w:jc w:val="both"/>
        <w:rPr>
          <w:rFonts w:ascii="Arial" w:hAnsi="Arial" w:cs="Arial"/>
          <w:b/>
          <w:bCs/>
          <w:sz w:val="22"/>
          <w:szCs w:val="22"/>
        </w:rPr>
      </w:pPr>
      <w:r w:rsidRPr="00D84D25">
        <w:rPr>
          <w:rFonts w:ascii="Arial" w:hAnsi="Arial" w:cs="Arial"/>
          <w:b/>
          <w:bCs/>
          <w:sz w:val="22"/>
          <w:szCs w:val="22"/>
          <w:lang w:val="en-US"/>
        </w:rPr>
        <w:t>Databases/ sources searched:</w:t>
      </w:r>
    </w:p>
    <w:p w14:paraId="28D505F7"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PubMed</w:t>
      </w:r>
    </w:p>
    <w:p w14:paraId="72968135"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PsycINFO</w:t>
      </w:r>
    </w:p>
    <w:p w14:paraId="35A6D50A"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CINAHL</w:t>
      </w:r>
    </w:p>
    <w:p w14:paraId="3A6FA107"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Scopus</w:t>
      </w:r>
    </w:p>
    <w:p w14:paraId="7DA3108D"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Google Scholar</w:t>
      </w:r>
    </w:p>
    <w:p w14:paraId="2B540008"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NHS England</w:t>
      </w:r>
    </w:p>
    <w:p w14:paraId="4BB188A2"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NHS Digital</w:t>
      </w:r>
    </w:p>
    <w:p w14:paraId="1A4F792C"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GOV.UK</w:t>
      </w:r>
    </w:p>
    <w:p w14:paraId="40DD611E"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Children’s Commissioner</w:t>
      </w:r>
    </w:p>
    <w:p w14:paraId="13B40A31"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House of Commons Library</w:t>
      </w:r>
    </w:p>
    <w:p w14:paraId="56809E56"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Scottish Government</w:t>
      </w:r>
    </w:p>
    <w:p w14:paraId="1A7CA3CB" w14:textId="77777777" w:rsidR="00D84D25" w:rsidRPr="00D84D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Public Health Scotland</w:t>
      </w:r>
    </w:p>
    <w:p w14:paraId="6C5C2A5C" w14:textId="77777777" w:rsidR="00527A25" w:rsidRPr="00527A25" w:rsidRDefault="00D84D25" w:rsidP="00527A25">
      <w:pPr>
        <w:pStyle w:val="ListParagraph"/>
        <w:numPr>
          <w:ilvl w:val="0"/>
          <w:numId w:val="1"/>
        </w:numPr>
        <w:spacing w:line="240" w:lineRule="auto"/>
        <w:rPr>
          <w:rFonts w:ascii="Arial" w:hAnsi="Arial" w:cs="Arial"/>
          <w:sz w:val="22"/>
          <w:szCs w:val="22"/>
          <w:lang w:val="en-US"/>
        </w:rPr>
      </w:pPr>
      <w:r w:rsidRPr="00D84D25">
        <w:rPr>
          <w:rFonts w:ascii="Arial" w:hAnsi="Arial" w:cs="Arial"/>
          <w:sz w:val="22"/>
          <w:szCs w:val="22"/>
          <w:lang w:val="en-US"/>
        </w:rPr>
        <w:t>UWTSD Library</w:t>
      </w:r>
    </w:p>
    <w:p w14:paraId="6497D55B" w14:textId="32CC0446" w:rsidR="00527A25" w:rsidRPr="00527A25" w:rsidRDefault="00527A25" w:rsidP="00527A25">
      <w:pPr>
        <w:spacing w:line="360" w:lineRule="auto"/>
        <w:rPr>
          <w:rFonts w:ascii="Arial" w:eastAsia="Times New Roman" w:hAnsi="Arial" w:cs="Arial"/>
          <w:b/>
          <w:bCs/>
          <w:kern w:val="0"/>
          <w:sz w:val="22"/>
          <w:szCs w:val="22"/>
          <w:lang w:val="en-US" w:eastAsia="ru-RU"/>
          <w14:ligatures w14:val="none"/>
        </w:rPr>
      </w:pPr>
      <w:r w:rsidRPr="00527A25">
        <w:rPr>
          <w:rFonts w:ascii="Arial" w:eastAsia="Times New Roman" w:hAnsi="Arial" w:cs="Arial"/>
          <w:b/>
          <w:bCs/>
          <w:kern w:val="0"/>
          <w:sz w:val="22"/>
          <w:szCs w:val="22"/>
          <w:lang w:eastAsia="ru-RU"/>
          <w14:ligatures w14:val="none"/>
        </w:rPr>
        <w:t>Example Boolean search query:</w:t>
      </w:r>
    </w:p>
    <w:p w14:paraId="61CFE52A" w14:textId="57CCC0ED" w:rsidR="00527A25" w:rsidRPr="00527A25" w:rsidRDefault="00527A25" w:rsidP="00527A25">
      <w:pPr>
        <w:spacing w:line="360" w:lineRule="auto"/>
        <w:rPr>
          <w:rFonts w:ascii="Arial" w:eastAsia="Times New Roman" w:hAnsi="Arial" w:cs="Arial"/>
          <w:kern w:val="0"/>
          <w:sz w:val="22"/>
          <w:szCs w:val="22"/>
          <w:lang w:val="en-US" w:eastAsia="ru-RU"/>
          <w14:ligatures w14:val="none"/>
        </w:rPr>
      </w:pPr>
      <w:r w:rsidRPr="00527A25">
        <w:rPr>
          <w:rFonts w:ascii="Arial" w:eastAsia="Times New Roman" w:hAnsi="Arial" w:cs="Arial"/>
          <w:kern w:val="0"/>
          <w:sz w:val="22"/>
          <w:szCs w:val="22"/>
          <w:lang w:val="en-US" w:eastAsia="ru-RU"/>
          <w14:ligatures w14:val="none"/>
        </w:rPr>
        <w:t>("CAMHS" OR "Child and Adolescent Mental Health Services" OR "children and young people's mental health services" OR "CYPMHS") AND (access OR referral OR "waiting times" OR "help-seeking" OR pathway) AND (barrier* OR enabler* OR facilitator* OR threshold* OR inequalit*) AND ("United Kingdom" OR UK OR England OR Scotland OR Wales OR "Northern Ireland").</w:t>
      </w:r>
    </w:p>
    <w:p w14:paraId="6C9AE592" w14:textId="65123995" w:rsidR="00527A25" w:rsidRPr="00527A25" w:rsidRDefault="00527A25" w:rsidP="00527A25">
      <w:pPr>
        <w:spacing w:line="360" w:lineRule="auto"/>
        <w:rPr>
          <w:rFonts w:ascii="Arial" w:eastAsia="Times New Roman" w:hAnsi="Arial" w:cs="Arial"/>
          <w:b/>
          <w:bCs/>
          <w:kern w:val="0"/>
          <w:sz w:val="22"/>
          <w:szCs w:val="22"/>
          <w:lang w:val="en-US" w:eastAsia="ru-RU"/>
          <w14:ligatures w14:val="none"/>
        </w:rPr>
      </w:pPr>
      <w:r w:rsidRPr="00527A25">
        <w:rPr>
          <w:rFonts w:ascii="Arial" w:eastAsia="Times New Roman" w:hAnsi="Arial" w:cs="Arial"/>
          <w:b/>
          <w:bCs/>
          <w:kern w:val="0"/>
          <w:sz w:val="22"/>
          <w:szCs w:val="22"/>
          <w:lang w:val="en-US" w:eastAsia="ru-RU"/>
          <w14:ligatures w14:val="none"/>
        </w:rPr>
        <w:t>Limitations to Search:</w:t>
      </w:r>
    </w:p>
    <w:p w14:paraId="0D65F9D1" w14:textId="77777777" w:rsidR="00527A25" w:rsidRPr="00527A25" w:rsidRDefault="00527A25" w:rsidP="00527A25">
      <w:pPr>
        <w:spacing w:line="360" w:lineRule="auto"/>
        <w:rPr>
          <w:rFonts w:ascii="Arial" w:eastAsia="Times New Roman" w:hAnsi="Arial" w:cs="Arial"/>
          <w:kern w:val="0"/>
          <w:sz w:val="22"/>
          <w:szCs w:val="22"/>
          <w:lang w:val="en-US" w:eastAsia="ru-RU"/>
          <w14:ligatures w14:val="none"/>
        </w:rPr>
      </w:pPr>
      <w:r w:rsidRPr="00527A25">
        <w:rPr>
          <w:rFonts w:ascii="Arial" w:eastAsia="Times New Roman" w:hAnsi="Arial" w:cs="Arial"/>
          <w:b/>
          <w:bCs/>
          <w:kern w:val="0"/>
          <w:sz w:val="22"/>
          <w:szCs w:val="22"/>
          <w:lang w:val="en-US" w:eastAsia="ru-RU"/>
          <w14:ligatures w14:val="none"/>
        </w:rPr>
        <w:t>Dates of publication</w:t>
      </w:r>
      <w:r w:rsidRPr="00527A25">
        <w:rPr>
          <w:rFonts w:ascii="Arial" w:eastAsia="Times New Roman" w:hAnsi="Arial" w:cs="Arial"/>
          <w:kern w:val="0"/>
          <w:sz w:val="22"/>
          <w:szCs w:val="22"/>
          <w:lang w:val="en-US" w:eastAsia="ru-RU"/>
          <w14:ligatures w14:val="none"/>
        </w:rPr>
        <w:t>: 2015 – 2025</w:t>
      </w:r>
    </w:p>
    <w:p w14:paraId="1C2D906F" w14:textId="77777777" w:rsidR="00527A25" w:rsidRPr="00527A25" w:rsidRDefault="00527A25" w:rsidP="00527A25">
      <w:pPr>
        <w:spacing w:line="360" w:lineRule="auto"/>
        <w:rPr>
          <w:rFonts w:ascii="Arial" w:eastAsia="Times New Roman" w:hAnsi="Arial" w:cs="Arial"/>
          <w:kern w:val="0"/>
          <w:sz w:val="22"/>
          <w:szCs w:val="22"/>
          <w:lang w:val="en-US" w:eastAsia="ru-RU"/>
          <w14:ligatures w14:val="none"/>
        </w:rPr>
      </w:pPr>
      <w:r w:rsidRPr="00527A25">
        <w:rPr>
          <w:rFonts w:ascii="Arial" w:eastAsia="Times New Roman" w:hAnsi="Arial" w:cs="Arial"/>
          <w:b/>
          <w:bCs/>
          <w:kern w:val="0"/>
          <w:sz w:val="22"/>
          <w:szCs w:val="22"/>
          <w:lang w:val="en-US" w:eastAsia="ru-RU"/>
          <w14:ligatures w14:val="none"/>
        </w:rPr>
        <w:t>Language</w:t>
      </w:r>
      <w:r w:rsidRPr="00527A25">
        <w:rPr>
          <w:rFonts w:ascii="Arial" w:eastAsia="Times New Roman" w:hAnsi="Arial" w:cs="Arial"/>
          <w:kern w:val="0"/>
          <w:sz w:val="22"/>
          <w:szCs w:val="22"/>
          <w:lang w:val="en-US" w:eastAsia="ru-RU"/>
          <w14:ligatures w14:val="none"/>
        </w:rPr>
        <w:t>: English</w:t>
      </w:r>
    </w:p>
    <w:p w14:paraId="1B0AAD12" w14:textId="77777777" w:rsidR="00527A25" w:rsidRPr="00527A25" w:rsidRDefault="00527A25" w:rsidP="00527A25">
      <w:pPr>
        <w:spacing w:line="360" w:lineRule="auto"/>
        <w:rPr>
          <w:rFonts w:ascii="Arial" w:eastAsia="Times New Roman" w:hAnsi="Arial" w:cs="Arial"/>
          <w:kern w:val="0"/>
          <w:sz w:val="22"/>
          <w:szCs w:val="22"/>
          <w:lang w:val="en-US" w:eastAsia="ru-RU"/>
          <w14:ligatures w14:val="none"/>
        </w:rPr>
      </w:pPr>
      <w:r w:rsidRPr="00527A25">
        <w:rPr>
          <w:rFonts w:ascii="Arial" w:eastAsia="Times New Roman" w:hAnsi="Arial" w:cs="Arial"/>
          <w:b/>
          <w:bCs/>
          <w:kern w:val="0"/>
          <w:sz w:val="22"/>
          <w:szCs w:val="22"/>
          <w:lang w:val="en-US" w:eastAsia="ru-RU"/>
          <w14:ligatures w14:val="none"/>
        </w:rPr>
        <w:t>Region</w:t>
      </w:r>
      <w:r w:rsidRPr="00527A25">
        <w:rPr>
          <w:rFonts w:ascii="Arial" w:eastAsia="Times New Roman" w:hAnsi="Arial" w:cs="Arial"/>
          <w:kern w:val="0"/>
          <w:sz w:val="22"/>
          <w:szCs w:val="22"/>
          <w:lang w:val="en-US" w:eastAsia="ru-RU"/>
          <w14:ligatures w14:val="none"/>
        </w:rPr>
        <w:t>: United Kingdom</w:t>
      </w:r>
    </w:p>
    <w:p w14:paraId="039E4E9B" w14:textId="77777777" w:rsidR="00527A25" w:rsidRPr="00527A25" w:rsidRDefault="00527A25" w:rsidP="00527A25">
      <w:pPr>
        <w:spacing w:line="360" w:lineRule="auto"/>
        <w:rPr>
          <w:rFonts w:ascii="Arial" w:eastAsia="Times New Roman" w:hAnsi="Arial" w:cs="Arial"/>
          <w:kern w:val="0"/>
          <w:sz w:val="22"/>
          <w:szCs w:val="22"/>
          <w:lang w:val="en-US" w:eastAsia="ru-RU"/>
          <w14:ligatures w14:val="none"/>
        </w:rPr>
      </w:pPr>
      <w:r w:rsidRPr="00527A25">
        <w:rPr>
          <w:rFonts w:ascii="Arial" w:eastAsia="Times New Roman" w:hAnsi="Arial" w:cs="Arial"/>
          <w:b/>
          <w:bCs/>
          <w:kern w:val="0"/>
          <w:sz w:val="22"/>
          <w:szCs w:val="22"/>
          <w:lang w:val="en-US" w:eastAsia="ru-RU"/>
          <w14:ligatures w14:val="none"/>
        </w:rPr>
        <w:t>Methodological type</w:t>
      </w:r>
      <w:r w:rsidRPr="00527A25">
        <w:rPr>
          <w:rFonts w:ascii="Arial" w:eastAsia="Times New Roman" w:hAnsi="Arial" w:cs="Arial"/>
          <w:kern w:val="0"/>
          <w:sz w:val="22"/>
          <w:szCs w:val="22"/>
          <w:lang w:val="en-US" w:eastAsia="ru-RU"/>
          <w14:ligatures w14:val="none"/>
        </w:rPr>
        <w:t>: qualitative studies, mixed-method studies which include qualitative data, and UK-based grey literature</w:t>
      </w:r>
    </w:p>
    <w:p w14:paraId="650F364F" w14:textId="6B3A3339" w:rsidR="00501C21" w:rsidRPr="00527A25" w:rsidRDefault="00527A25" w:rsidP="00527A25">
      <w:pPr>
        <w:spacing w:line="360" w:lineRule="auto"/>
        <w:rPr>
          <w:rFonts w:ascii="Arial" w:hAnsi="Arial" w:cs="Arial"/>
          <w:sz w:val="22"/>
          <w:szCs w:val="22"/>
          <w:lang w:val="en-US"/>
        </w:rPr>
      </w:pPr>
      <w:r w:rsidRPr="00527A25">
        <w:rPr>
          <w:rFonts w:ascii="Arial" w:eastAsia="Times New Roman" w:hAnsi="Arial" w:cs="Arial"/>
          <w:b/>
          <w:bCs/>
          <w:kern w:val="0"/>
          <w:sz w:val="22"/>
          <w:szCs w:val="22"/>
          <w:lang w:val="en-US" w:eastAsia="ru-RU"/>
          <w14:ligatures w14:val="none"/>
        </w:rPr>
        <w:t>Population</w:t>
      </w:r>
      <w:r w:rsidRPr="00527A25">
        <w:rPr>
          <w:rFonts w:ascii="Arial" w:eastAsia="Times New Roman" w:hAnsi="Arial" w:cs="Arial"/>
          <w:kern w:val="0"/>
          <w:sz w:val="22"/>
          <w:szCs w:val="22"/>
          <w:lang w:val="en-US" w:eastAsia="ru-RU"/>
          <w14:ligatures w14:val="none"/>
        </w:rPr>
        <w:t>: Children, young people, parents, carers, schools, GPs, CAMHS professionals and other professionals involved in access pathways</w:t>
      </w:r>
      <w:r w:rsidR="00501C21" w:rsidRPr="00527A25">
        <w:rPr>
          <w:rFonts w:ascii="Arial" w:hAnsi="Arial" w:cs="Arial"/>
          <w:sz w:val="22"/>
          <w:szCs w:val="22"/>
          <w:lang w:val="en-US"/>
        </w:rPr>
        <w:br w:type="page"/>
      </w:r>
    </w:p>
    <w:p w14:paraId="79BABE33" w14:textId="77777777" w:rsidR="00527A25" w:rsidRPr="00527A25" w:rsidRDefault="00527A25" w:rsidP="00527A25">
      <w:pPr>
        <w:pStyle w:val="Heading2"/>
        <w:rPr>
          <w:lang w:val="en-US"/>
        </w:rPr>
      </w:pPr>
      <w:bookmarkStart w:id="61" w:name="_Toc233629156"/>
      <w:r w:rsidRPr="00527A25">
        <w:rPr>
          <w:lang w:val="en-US"/>
        </w:rPr>
        <w:lastRenderedPageBreak/>
        <w:t>Appendix 2: Inclusion and Exclusion Criteria</w:t>
      </w:r>
      <w:bookmarkEnd w:id="61"/>
    </w:p>
    <w:p w14:paraId="0C1FAA5C" w14:textId="77777777" w:rsidR="00527A25" w:rsidRPr="00527A25" w:rsidRDefault="00527A25" w:rsidP="00527A25">
      <w:pPr>
        <w:spacing w:line="360" w:lineRule="auto"/>
        <w:jc w:val="both"/>
        <w:rPr>
          <w:rFonts w:ascii="Arial" w:hAnsi="Arial" w:cs="Arial"/>
          <w:sz w:val="22"/>
          <w:szCs w:val="22"/>
          <w:lang w:val="en-US"/>
        </w:rPr>
      </w:pPr>
      <w:r w:rsidRPr="00527A25">
        <w:rPr>
          <w:rFonts w:ascii="Arial" w:hAnsi="Arial" w:cs="Arial"/>
          <w:sz w:val="22"/>
          <w:szCs w:val="22"/>
          <w:lang w:val="en-US"/>
        </w:rPr>
        <w:t>This appendix presents the inclusion and exclusion criteria used to screen evidence for the systematic review.</w:t>
      </w:r>
    </w:p>
    <w:tbl>
      <w:tblPr>
        <w:tblStyle w:val="TableGrid"/>
        <w:tblW w:w="0" w:type="auto"/>
        <w:tblLook w:val="04A0" w:firstRow="1" w:lastRow="0" w:firstColumn="1" w:lastColumn="0" w:noHBand="0" w:noVBand="1"/>
      </w:tblPr>
      <w:tblGrid>
        <w:gridCol w:w="1838"/>
        <w:gridCol w:w="3827"/>
        <w:gridCol w:w="3680"/>
      </w:tblGrid>
      <w:tr w:rsidR="00527A25" w14:paraId="7EC057C6" w14:textId="77777777" w:rsidTr="00527A25">
        <w:tc>
          <w:tcPr>
            <w:tcW w:w="1838" w:type="dxa"/>
          </w:tcPr>
          <w:p w14:paraId="1554C2AA" w14:textId="65CBDC70" w:rsidR="00527A25" w:rsidRPr="00527A25" w:rsidRDefault="00527A25" w:rsidP="00527A25">
            <w:pPr>
              <w:spacing w:line="360" w:lineRule="auto"/>
              <w:rPr>
                <w:rFonts w:ascii="Arial" w:hAnsi="Arial" w:cs="Arial"/>
                <w:b/>
                <w:bCs/>
                <w:sz w:val="20"/>
                <w:szCs w:val="20"/>
                <w:lang w:val="en-US"/>
              </w:rPr>
            </w:pPr>
            <w:r w:rsidRPr="00527A25">
              <w:rPr>
                <w:rFonts w:ascii="Arial" w:hAnsi="Arial" w:cs="Arial"/>
                <w:b/>
                <w:bCs/>
                <w:sz w:val="20"/>
                <w:szCs w:val="20"/>
                <w:lang w:val="en-US"/>
              </w:rPr>
              <w:t>Criteria</w:t>
            </w:r>
          </w:p>
        </w:tc>
        <w:tc>
          <w:tcPr>
            <w:tcW w:w="3827" w:type="dxa"/>
          </w:tcPr>
          <w:p w14:paraId="6FBCBF5C" w14:textId="0134F494" w:rsidR="00527A25" w:rsidRPr="00527A25" w:rsidRDefault="00527A25" w:rsidP="00527A25">
            <w:pPr>
              <w:spacing w:line="360" w:lineRule="auto"/>
              <w:rPr>
                <w:rFonts w:ascii="Arial" w:hAnsi="Arial" w:cs="Arial"/>
                <w:b/>
                <w:bCs/>
                <w:sz w:val="20"/>
                <w:szCs w:val="20"/>
                <w:lang w:val="en-US"/>
              </w:rPr>
            </w:pPr>
            <w:r w:rsidRPr="00527A25">
              <w:rPr>
                <w:rFonts w:ascii="Arial" w:hAnsi="Arial" w:cs="Arial"/>
                <w:b/>
                <w:bCs/>
                <w:sz w:val="20"/>
                <w:szCs w:val="20"/>
                <w:lang w:val="en-US"/>
              </w:rPr>
              <w:t>Inclusion criteria</w:t>
            </w:r>
          </w:p>
        </w:tc>
        <w:tc>
          <w:tcPr>
            <w:tcW w:w="3680" w:type="dxa"/>
          </w:tcPr>
          <w:p w14:paraId="370610D4" w14:textId="1BCE08AF" w:rsidR="00527A25" w:rsidRPr="00527A25" w:rsidRDefault="00527A25" w:rsidP="00527A25">
            <w:pPr>
              <w:spacing w:line="360" w:lineRule="auto"/>
              <w:rPr>
                <w:rFonts w:ascii="Arial" w:hAnsi="Arial" w:cs="Arial"/>
                <w:b/>
                <w:bCs/>
                <w:sz w:val="20"/>
                <w:szCs w:val="20"/>
                <w:lang w:val="en-US"/>
              </w:rPr>
            </w:pPr>
            <w:r w:rsidRPr="00527A25">
              <w:rPr>
                <w:rFonts w:ascii="Arial" w:hAnsi="Arial" w:cs="Arial"/>
                <w:b/>
                <w:bCs/>
                <w:sz w:val="20"/>
                <w:szCs w:val="20"/>
              </w:rPr>
              <w:t>Exclusion criteria</w:t>
            </w:r>
          </w:p>
        </w:tc>
      </w:tr>
      <w:tr w:rsidR="00527A25" w:rsidRPr="00437257" w14:paraId="3BF2A29F" w14:textId="77777777" w:rsidTr="00527A25">
        <w:tc>
          <w:tcPr>
            <w:tcW w:w="1838" w:type="dxa"/>
          </w:tcPr>
          <w:p w14:paraId="33F44110" w14:textId="5F22DF1B"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rPr>
              <w:t>Location</w:t>
            </w:r>
          </w:p>
        </w:tc>
        <w:tc>
          <w:tcPr>
            <w:tcW w:w="3827" w:type="dxa"/>
          </w:tcPr>
          <w:p w14:paraId="3C70DFA6" w14:textId="720AE48A"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Studies or reports focused on the United Kingdom, England, Scotland, Wales or Northern Ireland.</w:t>
            </w:r>
          </w:p>
        </w:tc>
        <w:tc>
          <w:tcPr>
            <w:tcW w:w="3680" w:type="dxa"/>
          </w:tcPr>
          <w:p w14:paraId="5140BF2B" w14:textId="5398381F"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Studies focused only on non-UK countries or international systems without UK-specific findings.</w:t>
            </w:r>
          </w:p>
        </w:tc>
      </w:tr>
      <w:tr w:rsidR="00527A25" w:rsidRPr="00437257" w14:paraId="38214AE2" w14:textId="77777777" w:rsidTr="00527A25">
        <w:tc>
          <w:tcPr>
            <w:tcW w:w="1838" w:type="dxa"/>
          </w:tcPr>
          <w:p w14:paraId="66558AF8" w14:textId="1D3BF06C"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rPr>
              <w:t>Topic</w:t>
            </w:r>
          </w:p>
        </w:tc>
        <w:tc>
          <w:tcPr>
            <w:tcW w:w="3827" w:type="dxa"/>
          </w:tcPr>
          <w:p w14:paraId="7AC14ACB" w14:textId="4360DF77"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Evidence examining access to CAMHS or children and young people’s mental health services.</w:t>
            </w:r>
          </w:p>
        </w:tc>
        <w:tc>
          <w:tcPr>
            <w:tcW w:w="3680" w:type="dxa"/>
          </w:tcPr>
          <w:p w14:paraId="645F53DE" w14:textId="52BBFCFD"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Evidence focused only on adult mental health services or unrelated child health services.</w:t>
            </w:r>
          </w:p>
        </w:tc>
      </w:tr>
      <w:tr w:rsidR="00527A25" w:rsidRPr="00437257" w14:paraId="59D2C730" w14:textId="77777777" w:rsidTr="00527A25">
        <w:tc>
          <w:tcPr>
            <w:tcW w:w="1838" w:type="dxa"/>
          </w:tcPr>
          <w:p w14:paraId="704294C5" w14:textId="21E5855A"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rPr>
              <w:t>Population</w:t>
            </w:r>
          </w:p>
        </w:tc>
        <w:tc>
          <w:tcPr>
            <w:tcW w:w="3827" w:type="dxa"/>
          </w:tcPr>
          <w:p w14:paraId="45522D25" w14:textId="3A4DF53C"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Children, young people, parents, carers, GPs, schools, CAMHS staff or other professionals involved in access pathways.</w:t>
            </w:r>
          </w:p>
        </w:tc>
        <w:tc>
          <w:tcPr>
            <w:tcW w:w="3680" w:type="dxa"/>
          </w:tcPr>
          <w:p w14:paraId="7C9ACDB6" w14:textId="40CD6432"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Studies focused only on adults, unless adults were included as parents, carers or professionals supporting children’s mental health access.</w:t>
            </w:r>
          </w:p>
        </w:tc>
      </w:tr>
      <w:tr w:rsidR="00527A25" w:rsidRPr="00437257" w14:paraId="3B94D463" w14:textId="77777777" w:rsidTr="00527A25">
        <w:tc>
          <w:tcPr>
            <w:tcW w:w="1838" w:type="dxa"/>
          </w:tcPr>
          <w:p w14:paraId="063050E3" w14:textId="1A628821"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rPr>
              <w:t>Methodology</w:t>
            </w:r>
          </w:p>
        </w:tc>
        <w:tc>
          <w:tcPr>
            <w:tcW w:w="3827" w:type="dxa"/>
          </w:tcPr>
          <w:p w14:paraId="069BBCC8" w14:textId="1851A1AC"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Qualitative studies, mixed-method studies with qualitative findings, systematic reviews relevant to help-seeking/access, and relevant UK grey literature.</w:t>
            </w:r>
          </w:p>
        </w:tc>
        <w:tc>
          <w:tcPr>
            <w:tcW w:w="3680" w:type="dxa"/>
          </w:tcPr>
          <w:p w14:paraId="1FA5ED7F" w14:textId="73F57802"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Quantitative-only studies with no access-related interpretation, unless used only for background context.</w:t>
            </w:r>
          </w:p>
        </w:tc>
      </w:tr>
      <w:tr w:rsidR="00527A25" w:rsidRPr="00437257" w14:paraId="2C9E87C5" w14:textId="77777777" w:rsidTr="00527A25">
        <w:tc>
          <w:tcPr>
            <w:tcW w:w="1838" w:type="dxa"/>
          </w:tcPr>
          <w:p w14:paraId="57A4BD18" w14:textId="15CC4686"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rPr>
              <w:t>Date</w:t>
            </w:r>
          </w:p>
        </w:tc>
        <w:tc>
          <w:tcPr>
            <w:tcW w:w="3827" w:type="dxa"/>
          </w:tcPr>
          <w:p w14:paraId="65F72778" w14:textId="61398114"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Main evidence published between 2015 and 2025.</w:t>
            </w:r>
          </w:p>
        </w:tc>
        <w:tc>
          <w:tcPr>
            <w:tcW w:w="3680" w:type="dxa"/>
          </w:tcPr>
          <w:p w14:paraId="55B21A0F" w14:textId="7962B40F"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Studies published before 2015, except foundational methodological or background sources.</w:t>
            </w:r>
          </w:p>
        </w:tc>
      </w:tr>
      <w:tr w:rsidR="00527A25" w14:paraId="1E8741C5" w14:textId="77777777" w:rsidTr="00527A25">
        <w:tc>
          <w:tcPr>
            <w:tcW w:w="1838" w:type="dxa"/>
          </w:tcPr>
          <w:p w14:paraId="58CB4DA2" w14:textId="5EAC3106"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rPr>
              <w:t>Language</w:t>
            </w:r>
          </w:p>
        </w:tc>
        <w:tc>
          <w:tcPr>
            <w:tcW w:w="3827" w:type="dxa"/>
          </w:tcPr>
          <w:p w14:paraId="0A6E1B1E" w14:textId="6BF357C0"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rPr>
              <w:t>English-language publications.</w:t>
            </w:r>
          </w:p>
        </w:tc>
        <w:tc>
          <w:tcPr>
            <w:tcW w:w="3680" w:type="dxa"/>
          </w:tcPr>
          <w:p w14:paraId="3D130A84" w14:textId="14E45817"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rPr>
              <w:t>Non-English publications.</w:t>
            </w:r>
          </w:p>
        </w:tc>
      </w:tr>
      <w:tr w:rsidR="00527A25" w:rsidRPr="00437257" w14:paraId="2CF29D78" w14:textId="77777777" w:rsidTr="00527A25">
        <w:tc>
          <w:tcPr>
            <w:tcW w:w="1838" w:type="dxa"/>
          </w:tcPr>
          <w:p w14:paraId="45F2F7E9" w14:textId="17D47A42"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rPr>
              <w:t>Evidence type</w:t>
            </w:r>
          </w:p>
        </w:tc>
        <w:tc>
          <w:tcPr>
            <w:tcW w:w="3827" w:type="dxa"/>
          </w:tcPr>
          <w:p w14:paraId="151D7B37" w14:textId="54473031"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Peer-reviewed studies, NHS documents, government reports, parliamentary briefings, NICE guidance and relevant third-sector reports.</w:t>
            </w:r>
          </w:p>
        </w:tc>
        <w:tc>
          <w:tcPr>
            <w:tcW w:w="3680" w:type="dxa"/>
          </w:tcPr>
          <w:p w14:paraId="270CB118" w14:textId="20F3133A" w:rsidR="00527A25" w:rsidRPr="00527A25" w:rsidRDefault="00527A25" w:rsidP="00527A25">
            <w:pPr>
              <w:spacing w:line="360" w:lineRule="auto"/>
              <w:rPr>
                <w:rFonts w:ascii="Arial" w:hAnsi="Arial" w:cs="Arial"/>
                <w:sz w:val="20"/>
                <w:szCs w:val="20"/>
                <w:lang w:val="en-US"/>
              </w:rPr>
            </w:pPr>
            <w:r w:rsidRPr="00527A25">
              <w:rPr>
                <w:rFonts w:ascii="Arial" w:hAnsi="Arial" w:cs="Arial"/>
                <w:sz w:val="20"/>
                <w:szCs w:val="20"/>
                <w:lang w:val="en-US"/>
              </w:rPr>
              <w:t>Blogs, unsupported opinion pieces, media articles and sources without clear evidence value.</w:t>
            </w:r>
          </w:p>
        </w:tc>
      </w:tr>
    </w:tbl>
    <w:p w14:paraId="2BBEC049" w14:textId="72BF3ADA" w:rsidR="00501C21" w:rsidRDefault="00501C21" w:rsidP="00B7158F">
      <w:pPr>
        <w:spacing w:line="360" w:lineRule="auto"/>
        <w:jc w:val="both"/>
        <w:rPr>
          <w:rFonts w:ascii="Arial" w:hAnsi="Arial" w:cs="Arial"/>
          <w:sz w:val="22"/>
          <w:szCs w:val="22"/>
          <w:lang w:val="en-US"/>
        </w:rPr>
      </w:pPr>
    </w:p>
    <w:p w14:paraId="7724D29D" w14:textId="4AF652BD" w:rsidR="00527A25" w:rsidRPr="00527A25" w:rsidRDefault="00527A25" w:rsidP="00527A25">
      <w:pPr>
        <w:spacing w:line="360" w:lineRule="auto"/>
        <w:jc w:val="both"/>
        <w:rPr>
          <w:rFonts w:ascii="Arial" w:hAnsi="Arial" w:cs="Arial"/>
          <w:b/>
          <w:bCs/>
          <w:sz w:val="22"/>
          <w:szCs w:val="22"/>
          <w:lang w:val="en-US"/>
        </w:rPr>
      </w:pPr>
      <w:r w:rsidRPr="00527A25">
        <w:rPr>
          <w:rFonts w:ascii="Arial" w:hAnsi="Arial" w:cs="Arial"/>
          <w:b/>
          <w:bCs/>
          <w:sz w:val="22"/>
          <w:szCs w:val="22"/>
          <w:lang w:val="en-US"/>
        </w:rPr>
        <w:t>Screening criteria:</w:t>
      </w:r>
    </w:p>
    <w:p w14:paraId="2F0BC5CB" w14:textId="5035663B" w:rsidR="00527A25" w:rsidRPr="00B7158F" w:rsidRDefault="00B56FD2" w:rsidP="00527A25">
      <w:pPr>
        <w:spacing w:line="360" w:lineRule="auto"/>
        <w:jc w:val="both"/>
        <w:rPr>
          <w:rFonts w:ascii="Arial" w:hAnsi="Arial" w:cs="Arial"/>
          <w:sz w:val="22"/>
          <w:szCs w:val="22"/>
          <w:lang w:val="en-US"/>
        </w:rPr>
      </w:pPr>
      <w:r>
        <w:rPr>
          <w:rFonts w:ascii="Arial" w:hAnsi="Arial" w:cs="Arial"/>
          <w:sz w:val="22"/>
          <w:szCs w:val="22"/>
          <w:lang w:val="en-US"/>
        </w:rPr>
        <w:t>We conducted a first-level evidence screen</w:t>
      </w:r>
      <w:r w:rsidR="00527A25" w:rsidRPr="00527A25">
        <w:rPr>
          <w:rFonts w:ascii="Arial" w:hAnsi="Arial" w:cs="Arial"/>
          <w:sz w:val="22"/>
          <w:szCs w:val="22"/>
          <w:lang w:val="en-US"/>
        </w:rPr>
        <w:t xml:space="preserve"> based on title and abstract (or summary). </w:t>
      </w:r>
      <w:r>
        <w:rPr>
          <w:rFonts w:ascii="Arial" w:hAnsi="Arial" w:cs="Arial"/>
          <w:sz w:val="22"/>
          <w:szCs w:val="22"/>
          <w:lang w:val="en-US"/>
        </w:rPr>
        <w:t>Full texts were then screened according to the identified criteria</w:t>
      </w:r>
      <w:r w:rsidR="00527A25" w:rsidRPr="00527A25">
        <w:rPr>
          <w:rFonts w:ascii="Arial" w:hAnsi="Arial" w:cs="Arial"/>
          <w:sz w:val="22"/>
          <w:szCs w:val="22"/>
          <w:lang w:val="en-US"/>
        </w:rPr>
        <w:t xml:space="preserve">. Sources were excluded if they </w:t>
      </w:r>
      <w:r>
        <w:rPr>
          <w:rFonts w:ascii="Arial" w:hAnsi="Arial" w:cs="Arial"/>
          <w:sz w:val="22"/>
          <w:szCs w:val="22"/>
          <w:lang w:val="en-US"/>
        </w:rPr>
        <w:t>did not address</w:t>
      </w:r>
      <w:r w:rsidR="00527A25" w:rsidRPr="00527A25">
        <w:rPr>
          <w:rFonts w:ascii="Arial" w:hAnsi="Arial" w:cs="Arial"/>
          <w:sz w:val="22"/>
          <w:szCs w:val="22"/>
          <w:lang w:val="en-US"/>
        </w:rPr>
        <w:t xml:space="preserve"> access, referral, waiting, thresholds, barriers, facilitators, inequalities, and/or service pathways related to CAMHS or services for the mental well-being of children and youth in the UK.</w:t>
      </w:r>
    </w:p>
    <w:p w14:paraId="2D41A56C"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02139ACB" w14:textId="004C9241" w:rsidR="00C10370" w:rsidRPr="00106C49" w:rsidRDefault="00C10370" w:rsidP="00C10370">
      <w:pPr>
        <w:pStyle w:val="Heading2"/>
        <w:rPr>
          <w:lang w:val="en-US"/>
        </w:rPr>
      </w:pPr>
      <w:bookmarkStart w:id="62" w:name="_Toc233629157"/>
      <w:r w:rsidRPr="00C10370">
        <w:rPr>
          <w:lang w:val="en-US"/>
        </w:rPr>
        <w:lastRenderedPageBreak/>
        <w:t>Appendix 3: PRISMA 2020 Flow Diagram Data</w:t>
      </w:r>
      <w:bookmarkEnd w:id="62"/>
    </w:p>
    <w:p w14:paraId="6218F63D" w14:textId="2A9670CF" w:rsidR="00C10370" w:rsidRPr="00106C49"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xml:space="preserve">This appendix details the data </w:t>
      </w:r>
      <w:r w:rsidR="00B56FD2">
        <w:rPr>
          <w:rFonts w:ascii="Arial" w:hAnsi="Arial" w:cs="Arial"/>
          <w:sz w:val="22"/>
          <w:szCs w:val="22"/>
          <w:lang w:val="en-US"/>
        </w:rPr>
        <w:t>needed to create</w:t>
      </w:r>
      <w:r w:rsidRPr="00C10370">
        <w:rPr>
          <w:rFonts w:ascii="Arial" w:hAnsi="Arial" w:cs="Arial"/>
          <w:sz w:val="22"/>
          <w:szCs w:val="22"/>
          <w:lang w:val="en-US"/>
        </w:rPr>
        <w:t xml:space="preserve"> the PRISMA 2020 flow diagram. </w:t>
      </w:r>
      <w:r w:rsidR="00B56FD2">
        <w:rPr>
          <w:rFonts w:ascii="Arial" w:hAnsi="Arial" w:cs="Arial"/>
          <w:sz w:val="22"/>
          <w:szCs w:val="22"/>
          <w:lang w:val="en-US"/>
        </w:rPr>
        <w:t xml:space="preserve">Record counts must be finalised after conducting </w:t>
      </w:r>
      <w:r w:rsidRPr="00C10370">
        <w:rPr>
          <w:rFonts w:ascii="Arial" w:hAnsi="Arial" w:cs="Arial"/>
          <w:sz w:val="22"/>
          <w:szCs w:val="22"/>
          <w:lang w:val="en-US"/>
        </w:rPr>
        <w:t>searches in academic databases and grey literature.</w:t>
      </w:r>
    </w:p>
    <w:p w14:paraId="72AB7672" w14:textId="77777777" w:rsidR="00C10370" w:rsidRPr="00C10370" w:rsidRDefault="00C10370" w:rsidP="00C10370">
      <w:pPr>
        <w:spacing w:line="360" w:lineRule="auto"/>
        <w:jc w:val="both"/>
        <w:rPr>
          <w:rFonts w:ascii="Arial" w:hAnsi="Arial" w:cs="Arial"/>
          <w:b/>
          <w:bCs/>
          <w:sz w:val="22"/>
          <w:szCs w:val="22"/>
          <w:lang w:val="en-US"/>
        </w:rPr>
      </w:pPr>
      <w:r w:rsidRPr="00C10370">
        <w:rPr>
          <w:rFonts w:ascii="Arial" w:hAnsi="Arial" w:cs="Arial"/>
          <w:b/>
          <w:bCs/>
          <w:sz w:val="22"/>
          <w:szCs w:val="22"/>
          <w:lang w:val="en-US"/>
        </w:rPr>
        <w:t>Identification:</w:t>
      </w:r>
    </w:p>
    <w:p w14:paraId="36EBF005" w14:textId="77777777"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Number of records identified through academic databases: n = 1,248</w:t>
      </w:r>
    </w:p>
    <w:p w14:paraId="1463CC5B" w14:textId="77777777"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Number of records identified via grey literature sources: n = 87</w:t>
      </w:r>
    </w:p>
    <w:p w14:paraId="53A37F0C" w14:textId="64B1B3ED"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xml:space="preserve">- </w:t>
      </w:r>
      <w:r w:rsidR="00B56FD2">
        <w:rPr>
          <w:rFonts w:ascii="Arial" w:hAnsi="Arial" w:cs="Arial"/>
          <w:sz w:val="22"/>
          <w:szCs w:val="22"/>
          <w:lang w:val="en-US"/>
        </w:rPr>
        <w:t>Total number of</w:t>
      </w:r>
      <w:r w:rsidRPr="00C10370">
        <w:rPr>
          <w:rFonts w:ascii="Arial" w:hAnsi="Arial" w:cs="Arial"/>
          <w:sz w:val="22"/>
          <w:szCs w:val="22"/>
          <w:lang w:val="en-US"/>
        </w:rPr>
        <w:t xml:space="preserve"> records identified: n = 1,335</w:t>
      </w:r>
    </w:p>
    <w:p w14:paraId="3DDEB32E" w14:textId="76790EF6" w:rsidR="00C10370" w:rsidRPr="00106C49"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Number of duplicate records identified and removed: n = 215</w:t>
      </w:r>
    </w:p>
    <w:p w14:paraId="238CD224" w14:textId="77777777" w:rsidR="00C10370" w:rsidRPr="00C10370" w:rsidRDefault="00C10370" w:rsidP="00C10370">
      <w:pPr>
        <w:spacing w:line="360" w:lineRule="auto"/>
        <w:jc w:val="both"/>
        <w:rPr>
          <w:rFonts w:ascii="Arial" w:hAnsi="Arial" w:cs="Arial"/>
          <w:b/>
          <w:bCs/>
          <w:sz w:val="22"/>
          <w:szCs w:val="22"/>
          <w:lang w:val="en-US"/>
        </w:rPr>
      </w:pPr>
      <w:r w:rsidRPr="00C10370">
        <w:rPr>
          <w:rFonts w:ascii="Arial" w:hAnsi="Arial" w:cs="Arial"/>
          <w:b/>
          <w:bCs/>
          <w:sz w:val="22"/>
          <w:szCs w:val="22"/>
          <w:lang w:val="en-US"/>
        </w:rPr>
        <w:t>Screening:</w:t>
      </w:r>
    </w:p>
    <w:p w14:paraId="6C666E2A" w14:textId="77777777"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Number of records screened based on titles and abstracts: n = 1,120</w:t>
      </w:r>
    </w:p>
    <w:p w14:paraId="1B8EE17F" w14:textId="2E4977A5" w:rsidR="00C10370" w:rsidRPr="00106C49"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xml:space="preserve">- Number of records excluded at the title and </w:t>
      </w:r>
      <w:r w:rsidR="00B56FD2">
        <w:rPr>
          <w:rFonts w:ascii="Arial" w:hAnsi="Arial" w:cs="Arial"/>
          <w:sz w:val="22"/>
          <w:szCs w:val="22"/>
          <w:lang w:val="en-US"/>
        </w:rPr>
        <w:t>abstract</w:t>
      </w:r>
      <w:r w:rsidRPr="00C10370">
        <w:rPr>
          <w:rFonts w:ascii="Arial" w:hAnsi="Arial" w:cs="Arial"/>
          <w:sz w:val="22"/>
          <w:szCs w:val="22"/>
          <w:lang w:val="en-US"/>
        </w:rPr>
        <w:t xml:space="preserve"> screening level: n = 980</w:t>
      </w:r>
    </w:p>
    <w:p w14:paraId="536D87AC" w14:textId="77777777" w:rsidR="00C10370" w:rsidRPr="00C10370" w:rsidRDefault="00C10370" w:rsidP="00C10370">
      <w:pPr>
        <w:spacing w:line="360" w:lineRule="auto"/>
        <w:jc w:val="both"/>
        <w:rPr>
          <w:rFonts w:ascii="Arial" w:hAnsi="Arial" w:cs="Arial"/>
          <w:b/>
          <w:bCs/>
          <w:sz w:val="22"/>
          <w:szCs w:val="22"/>
          <w:lang w:val="en-US"/>
        </w:rPr>
      </w:pPr>
      <w:r w:rsidRPr="00C10370">
        <w:rPr>
          <w:rFonts w:ascii="Arial" w:hAnsi="Arial" w:cs="Arial"/>
          <w:b/>
          <w:bCs/>
          <w:sz w:val="22"/>
          <w:szCs w:val="22"/>
          <w:lang w:val="en-US"/>
        </w:rPr>
        <w:t>Eligibility:</w:t>
      </w:r>
    </w:p>
    <w:p w14:paraId="2BFAB6B7" w14:textId="77777777"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Number of full-text records assessed for eligibility: n = 140</w:t>
      </w:r>
    </w:p>
    <w:p w14:paraId="59DD376C" w14:textId="36F11E79" w:rsidR="00C10370" w:rsidRPr="00106C49"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Number of full-text records excluded at eligibility level: n = 120</w:t>
      </w:r>
    </w:p>
    <w:p w14:paraId="16A40B0B" w14:textId="77777777" w:rsidR="00C10370" w:rsidRPr="00C10370" w:rsidRDefault="00C10370" w:rsidP="00C10370">
      <w:pPr>
        <w:spacing w:line="360" w:lineRule="auto"/>
        <w:jc w:val="both"/>
        <w:rPr>
          <w:rFonts w:ascii="Arial" w:hAnsi="Arial" w:cs="Arial"/>
          <w:b/>
          <w:bCs/>
          <w:sz w:val="22"/>
          <w:szCs w:val="22"/>
          <w:lang w:val="en-US"/>
        </w:rPr>
      </w:pPr>
      <w:r w:rsidRPr="00C10370">
        <w:rPr>
          <w:rFonts w:ascii="Arial" w:hAnsi="Arial" w:cs="Arial"/>
          <w:b/>
          <w:bCs/>
          <w:sz w:val="22"/>
          <w:szCs w:val="22"/>
          <w:lang w:val="en-US"/>
        </w:rPr>
        <w:t>Reasons for excluding full-text records:</w:t>
      </w:r>
    </w:p>
    <w:p w14:paraId="2E48728C" w14:textId="12CD5780"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xml:space="preserve">- Research not conducted in </w:t>
      </w:r>
      <w:r w:rsidR="00B56FD2">
        <w:rPr>
          <w:rFonts w:ascii="Arial" w:hAnsi="Arial" w:cs="Arial"/>
          <w:sz w:val="22"/>
          <w:szCs w:val="22"/>
          <w:lang w:val="en-US"/>
        </w:rPr>
        <w:t xml:space="preserve">the </w:t>
      </w:r>
      <w:r w:rsidRPr="00C10370">
        <w:rPr>
          <w:rFonts w:ascii="Arial" w:hAnsi="Arial" w:cs="Arial"/>
          <w:sz w:val="22"/>
          <w:szCs w:val="22"/>
          <w:lang w:val="en-US"/>
        </w:rPr>
        <w:t>UK: n = 38</w:t>
      </w:r>
    </w:p>
    <w:p w14:paraId="2C5F3EA0" w14:textId="77777777"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Study used solely quantitative method; qualitative data were missing: n = 27</w:t>
      </w:r>
    </w:p>
    <w:p w14:paraId="5CF24AD4" w14:textId="77777777"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Did not cover access to CAMHS or CYPMH services: n = 24</w:t>
      </w:r>
    </w:p>
    <w:p w14:paraId="562D8486" w14:textId="77777777"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Research focused only on access to adult MH services: n = 11</w:t>
      </w:r>
    </w:p>
    <w:p w14:paraId="2B41FCE5" w14:textId="77777777"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Publication date not within selected date ranges: n = 9</w:t>
      </w:r>
    </w:p>
    <w:p w14:paraId="2BD831D1" w14:textId="5B2ADE46" w:rsidR="00C10370" w:rsidRPr="00106C49"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Duplicates or obsolete reports: n = 11</w:t>
      </w:r>
    </w:p>
    <w:p w14:paraId="57282FE7" w14:textId="1A6DAA2D" w:rsidR="00C10370" w:rsidRPr="00C10370" w:rsidRDefault="00C10370" w:rsidP="00C10370">
      <w:pPr>
        <w:spacing w:line="360" w:lineRule="auto"/>
        <w:jc w:val="both"/>
        <w:rPr>
          <w:rFonts w:ascii="Arial" w:hAnsi="Arial" w:cs="Arial"/>
          <w:b/>
          <w:bCs/>
          <w:sz w:val="22"/>
          <w:szCs w:val="22"/>
          <w:lang w:val="en-US"/>
        </w:rPr>
      </w:pPr>
      <w:r w:rsidRPr="00C10370">
        <w:rPr>
          <w:rFonts w:ascii="Arial" w:hAnsi="Arial" w:cs="Arial"/>
          <w:b/>
          <w:bCs/>
          <w:sz w:val="22"/>
          <w:szCs w:val="22"/>
          <w:lang w:val="en-US"/>
        </w:rPr>
        <w:t>Included:</w:t>
      </w:r>
    </w:p>
    <w:p w14:paraId="1B89E22B" w14:textId="7C264774" w:rsidR="00C10370"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Number of studies/reports included in final review: n = 20</w:t>
      </w:r>
    </w:p>
    <w:p w14:paraId="13B65534" w14:textId="77777777" w:rsidR="00C10370" w:rsidRPr="00C10370" w:rsidRDefault="00C10370" w:rsidP="00C10370">
      <w:pPr>
        <w:spacing w:line="360" w:lineRule="auto"/>
        <w:jc w:val="both"/>
        <w:rPr>
          <w:rFonts w:ascii="Arial" w:hAnsi="Arial" w:cs="Arial"/>
          <w:b/>
          <w:bCs/>
          <w:sz w:val="22"/>
          <w:szCs w:val="22"/>
          <w:lang w:val="en-US"/>
        </w:rPr>
      </w:pPr>
      <w:r w:rsidRPr="00C10370">
        <w:rPr>
          <w:rFonts w:ascii="Arial" w:hAnsi="Arial" w:cs="Arial"/>
          <w:b/>
          <w:bCs/>
          <w:sz w:val="22"/>
          <w:szCs w:val="22"/>
          <w:lang w:val="en-US"/>
        </w:rPr>
        <w:t>Caption for figure 2:</w:t>
      </w:r>
    </w:p>
    <w:p w14:paraId="0069B7DD" w14:textId="091482FA" w:rsidR="00501C21" w:rsidRPr="00C10370"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Figure 2: PRISMA 2020 flow diagram showing identification, screening, eligibility and inclusion of studies.</w:t>
      </w:r>
    </w:p>
    <w:p w14:paraId="296F3A07"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3B0A1C8A" w14:textId="25373271" w:rsidR="00C10370" w:rsidRPr="00C10370" w:rsidRDefault="00C10370" w:rsidP="00C10370">
      <w:pPr>
        <w:pStyle w:val="Heading2"/>
        <w:rPr>
          <w:lang w:val="en-US"/>
        </w:rPr>
      </w:pPr>
      <w:bookmarkStart w:id="63" w:name="_Toc233629158"/>
      <w:r w:rsidRPr="00C10370">
        <w:rPr>
          <w:lang w:val="en-US"/>
        </w:rPr>
        <w:lastRenderedPageBreak/>
        <w:t>Appendix 4: Quality Appraisal Tool</w:t>
      </w:r>
      <w:bookmarkEnd w:id="63"/>
    </w:p>
    <w:p w14:paraId="5E86F9FC" w14:textId="68728BBD" w:rsidR="00501C21" w:rsidRDefault="00C10370" w:rsidP="00C10370">
      <w:pPr>
        <w:spacing w:line="360" w:lineRule="auto"/>
        <w:jc w:val="both"/>
        <w:rPr>
          <w:rFonts w:ascii="Arial" w:hAnsi="Arial" w:cs="Arial"/>
          <w:sz w:val="22"/>
          <w:szCs w:val="22"/>
          <w:lang w:val="en-US"/>
        </w:rPr>
      </w:pPr>
      <w:r w:rsidRPr="00C10370">
        <w:rPr>
          <w:rFonts w:ascii="Arial" w:hAnsi="Arial" w:cs="Arial"/>
          <w:sz w:val="22"/>
          <w:szCs w:val="22"/>
          <w:lang w:val="en-US"/>
        </w:rPr>
        <w:t xml:space="preserve">This appendix outlines the framework used </w:t>
      </w:r>
      <w:r w:rsidR="00B56FD2">
        <w:rPr>
          <w:rFonts w:ascii="Arial" w:hAnsi="Arial" w:cs="Arial"/>
          <w:sz w:val="22"/>
          <w:szCs w:val="22"/>
          <w:lang w:val="en-US"/>
        </w:rPr>
        <w:t>to assess the quality and rigour</w:t>
      </w:r>
      <w:r w:rsidRPr="00C10370">
        <w:rPr>
          <w:rFonts w:ascii="Arial" w:hAnsi="Arial" w:cs="Arial"/>
          <w:sz w:val="22"/>
          <w:szCs w:val="22"/>
          <w:lang w:val="en-US"/>
        </w:rPr>
        <w:t xml:space="preserve"> of the qualitative and mixed-methods studies included in this review. In this case, </w:t>
      </w:r>
      <w:r w:rsidR="00B56FD2">
        <w:rPr>
          <w:rFonts w:ascii="Arial" w:hAnsi="Arial" w:cs="Arial"/>
          <w:sz w:val="22"/>
          <w:szCs w:val="22"/>
          <w:lang w:val="en-US"/>
        </w:rPr>
        <w:t xml:space="preserve">the </w:t>
      </w:r>
      <w:r w:rsidRPr="00C10370">
        <w:rPr>
          <w:rFonts w:ascii="Arial" w:hAnsi="Arial" w:cs="Arial"/>
          <w:sz w:val="22"/>
          <w:szCs w:val="22"/>
          <w:lang w:val="en-US"/>
        </w:rPr>
        <w:t>CASP Qualitative Checklist was used as the tool for conducting quality assessment.</w:t>
      </w:r>
    </w:p>
    <w:tbl>
      <w:tblPr>
        <w:tblStyle w:val="TableGrid"/>
        <w:tblW w:w="0" w:type="auto"/>
        <w:tblLook w:val="04A0" w:firstRow="1" w:lastRow="0" w:firstColumn="1" w:lastColumn="0" w:noHBand="0" w:noVBand="1"/>
      </w:tblPr>
      <w:tblGrid>
        <w:gridCol w:w="1980"/>
        <w:gridCol w:w="5103"/>
        <w:gridCol w:w="2262"/>
      </w:tblGrid>
      <w:tr w:rsidR="00C10370" w14:paraId="10A4E057" w14:textId="77777777" w:rsidTr="00C10370">
        <w:tc>
          <w:tcPr>
            <w:tcW w:w="1980" w:type="dxa"/>
          </w:tcPr>
          <w:p w14:paraId="5114A753" w14:textId="039FF372" w:rsidR="00C10370" w:rsidRPr="00C10370" w:rsidRDefault="00C10370" w:rsidP="00C10370">
            <w:pPr>
              <w:spacing w:line="360" w:lineRule="auto"/>
              <w:rPr>
                <w:rFonts w:ascii="Arial" w:hAnsi="Arial" w:cs="Arial"/>
                <w:b/>
                <w:bCs/>
                <w:sz w:val="22"/>
                <w:szCs w:val="22"/>
                <w:lang w:val="en-US"/>
              </w:rPr>
            </w:pPr>
            <w:r w:rsidRPr="00C10370">
              <w:rPr>
                <w:rFonts w:ascii="Arial" w:hAnsi="Arial" w:cs="Arial"/>
                <w:b/>
                <w:bCs/>
                <w:sz w:val="22"/>
                <w:szCs w:val="22"/>
              </w:rPr>
              <w:t>Appraisal area</w:t>
            </w:r>
          </w:p>
        </w:tc>
        <w:tc>
          <w:tcPr>
            <w:tcW w:w="5103" w:type="dxa"/>
          </w:tcPr>
          <w:p w14:paraId="2063F658" w14:textId="0E860823" w:rsidR="00C10370" w:rsidRPr="00C10370" w:rsidRDefault="00C10370" w:rsidP="00C10370">
            <w:pPr>
              <w:spacing w:line="360" w:lineRule="auto"/>
              <w:rPr>
                <w:rFonts w:ascii="Arial" w:hAnsi="Arial" w:cs="Arial"/>
                <w:b/>
                <w:bCs/>
                <w:sz w:val="22"/>
                <w:szCs w:val="22"/>
                <w:lang w:val="en-US"/>
              </w:rPr>
            </w:pPr>
            <w:r w:rsidRPr="00C10370">
              <w:rPr>
                <w:rFonts w:ascii="Arial" w:hAnsi="Arial" w:cs="Arial"/>
                <w:b/>
                <w:bCs/>
                <w:sz w:val="22"/>
                <w:szCs w:val="22"/>
              </w:rPr>
              <w:t>Appraisal question</w:t>
            </w:r>
          </w:p>
        </w:tc>
        <w:tc>
          <w:tcPr>
            <w:tcW w:w="2262" w:type="dxa"/>
          </w:tcPr>
          <w:p w14:paraId="35EE439E" w14:textId="256A4A46" w:rsidR="00C10370" w:rsidRPr="00C10370" w:rsidRDefault="00C10370" w:rsidP="00C10370">
            <w:pPr>
              <w:spacing w:line="360" w:lineRule="auto"/>
              <w:rPr>
                <w:rFonts w:ascii="Arial" w:hAnsi="Arial" w:cs="Arial"/>
                <w:b/>
                <w:bCs/>
                <w:sz w:val="22"/>
                <w:szCs w:val="22"/>
                <w:lang w:val="en-US"/>
              </w:rPr>
            </w:pPr>
            <w:r w:rsidRPr="00C10370">
              <w:rPr>
                <w:rFonts w:ascii="Arial" w:hAnsi="Arial" w:cs="Arial"/>
                <w:b/>
                <w:bCs/>
                <w:sz w:val="22"/>
                <w:szCs w:val="22"/>
              </w:rPr>
              <w:t>Rating</w:t>
            </w:r>
          </w:p>
        </w:tc>
      </w:tr>
      <w:tr w:rsidR="00C10370" w14:paraId="640FD7D4" w14:textId="77777777" w:rsidTr="00C10370">
        <w:tc>
          <w:tcPr>
            <w:tcW w:w="1980" w:type="dxa"/>
          </w:tcPr>
          <w:p w14:paraId="203F1837" w14:textId="6D79737E"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Clarity of aims</w:t>
            </w:r>
          </w:p>
        </w:tc>
        <w:tc>
          <w:tcPr>
            <w:tcW w:w="5103" w:type="dxa"/>
          </w:tcPr>
          <w:p w14:paraId="2F90A8B5" w14:textId="6AA7D88E" w:rsidR="00C10370" w:rsidRPr="00C10370" w:rsidRDefault="00C10370" w:rsidP="00C10370">
            <w:pPr>
              <w:spacing w:line="360" w:lineRule="auto"/>
              <w:rPr>
                <w:rFonts w:ascii="Arial" w:hAnsi="Arial" w:cs="Arial"/>
                <w:sz w:val="22"/>
                <w:szCs w:val="22"/>
                <w:lang w:val="en-US"/>
              </w:rPr>
            </w:pPr>
            <w:r w:rsidRPr="00C10370">
              <w:rPr>
                <w:rFonts w:ascii="Arial" w:hAnsi="Arial" w:cs="Arial"/>
                <w:sz w:val="22"/>
                <w:szCs w:val="22"/>
                <w:lang w:val="en-US"/>
              </w:rPr>
              <w:t>Does the source clearly state its aim or research question?</w:t>
            </w:r>
          </w:p>
        </w:tc>
        <w:tc>
          <w:tcPr>
            <w:tcW w:w="2262" w:type="dxa"/>
          </w:tcPr>
          <w:p w14:paraId="5BA50078" w14:textId="7E27E293"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High / Medium / Low</w:t>
            </w:r>
          </w:p>
        </w:tc>
      </w:tr>
      <w:tr w:rsidR="00C10370" w14:paraId="519C2320" w14:textId="77777777" w:rsidTr="00C10370">
        <w:tc>
          <w:tcPr>
            <w:tcW w:w="1980" w:type="dxa"/>
          </w:tcPr>
          <w:p w14:paraId="4ED7D0DB" w14:textId="4C4F8D40"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Methodological fit</w:t>
            </w:r>
          </w:p>
        </w:tc>
        <w:tc>
          <w:tcPr>
            <w:tcW w:w="5103" w:type="dxa"/>
          </w:tcPr>
          <w:p w14:paraId="48745087" w14:textId="0C93634F" w:rsidR="00C10370" w:rsidRPr="00C10370" w:rsidRDefault="00C10370" w:rsidP="00C10370">
            <w:pPr>
              <w:spacing w:line="360" w:lineRule="auto"/>
              <w:rPr>
                <w:rFonts w:ascii="Arial" w:hAnsi="Arial" w:cs="Arial"/>
                <w:sz w:val="22"/>
                <w:szCs w:val="22"/>
                <w:lang w:val="en-US"/>
              </w:rPr>
            </w:pPr>
            <w:r w:rsidRPr="00C10370">
              <w:rPr>
                <w:rFonts w:ascii="Arial" w:hAnsi="Arial" w:cs="Arial"/>
                <w:sz w:val="22"/>
                <w:szCs w:val="22"/>
                <w:lang w:val="en-US"/>
              </w:rPr>
              <w:t>Is the chosen design appropriate for the aim?</w:t>
            </w:r>
          </w:p>
        </w:tc>
        <w:tc>
          <w:tcPr>
            <w:tcW w:w="2262" w:type="dxa"/>
          </w:tcPr>
          <w:p w14:paraId="31422542" w14:textId="3F7B5884"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High / Medium / Low</w:t>
            </w:r>
          </w:p>
        </w:tc>
      </w:tr>
      <w:tr w:rsidR="00C10370" w14:paraId="684C40A2" w14:textId="77777777" w:rsidTr="00C10370">
        <w:tc>
          <w:tcPr>
            <w:tcW w:w="1980" w:type="dxa"/>
          </w:tcPr>
          <w:p w14:paraId="6DFC6DC5" w14:textId="30CA27B1"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Sample and setting</w:t>
            </w:r>
          </w:p>
        </w:tc>
        <w:tc>
          <w:tcPr>
            <w:tcW w:w="5103" w:type="dxa"/>
          </w:tcPr>
          <w:p w14:paraId="080C1508" w14:textId="5546C000" w:rsidR="00C10370" w:rsidRPr="00C10370" w:rsidRDefault="00C10370" w:rsidP="00C10370">
            <w:pPr>
              <w:spacing w:line="360" w:lineRule="auto"/>
              <w:rPr>
                <w:rFonts w:ascii="Arial" w:hAnsi="Arial" w:cs="Arial"/>
                <w:sz w:val="22"/>
                <w:szCs w:val="22"/>
                <w:lang w:val="en-US"/>
              </w:rPr>
            </w:pPr>
            <w:r w:rsidRPr="00C10370">
              <w:rPr>
                <w:rFonts w:ascii="Arial" w:hAnsi="Arial" w:cs="Arial"/>
                <w:sz w:val="22"/>
                <w:szCs w:val="22"/>
                <w:lang w:val="en-US"/>
              </w:rPr>
              <w:t>Are participants, setting and recruitment clearly described?</w:t>
            </w:r>
          </w:p>
        </w:tc>
        <w:tc>
          <w:tcPr>
            <w:tcW w:w="2262" w:type="dxa"/>
          </w:tcPr>
          <w:p w14:paraId="528F8E20" w14:textId="285BCC9C"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High / Medium / Low</w:t>
            </w:r>
          </w:p>
        </w:tc>
      </w:tr>
      <w:tr w:rsidR="00C10370" w14:paraId="0E37C864" w14:textId="77777777" w:rsidTr="00C10370">
        <w:tc>
          <w:tcPr>
            <w:tcW w:w="1980" w:type="dxa"/>
          </w:tcPr>
          <w:p w14:paraId="50586CFA" w14:textId="2D424FE7"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Data collection</w:t>
            </w:r>
          </w:p>
        </w:tc>
        <w:tc>
          <w:tcPr>
            <w:tcW w:w="5103" w:type="dxa"/>
          </w:tcPr>
          <w:p w14:paraId="6B59A2C3" w14:textId="6D75AB7F" w:rsidR="00C10370" w:rsidRPr="00C10370" w:rsidRDefault="00C10370" w:rsidP="00C10370">
            <w:pPr>
              <w:spacing w:line="360" w:lineRule="auto"/>
              <w:rPr>
                <w:rFonts w:ascii="Arial" w:hAnsi="Arial" w:cs="Arial"/>
                <w:sz w:val="22"/>
                <w:szCs w:val="22"/>
                <w:lang w:val="en-US"/>
              </w:rPr>
            </w:pPr>
            <w:r w:rsidRPr="00C10370">
              <w:rPr>
                <w:rFonts w:ascii="Arial" w:hAnsi="Arial" w:cs="Arial"/>
                <w:sz w:val="22"/>
                <w:szCs w:val="22"/>
                <w:lang w:val="en-US"/>
              </w:rPr>
              <w:t>Are interviews, focus groups, survey responses, documents or other data sources clearly explained?</w:t>
            </w:r>
          </w:p>
        </w:tc>
        <w:tc>
          <w:tcPr>
            <w:tcW w:w="2262" w:type="dxa"/>
          </w:tcPr>
          <w:p w14:paraId="68C5FAEA" w14:textId="384B0969"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High / Medium / Low</w:t>
            </w:r>
          </w:p>
        </w:tc>
      </w:tr>
      <w:tr w:rsidR="00C10370" w14:paraId="053259B0" w14:textId="77777777" w:rsidTr="00C10370">
        <w:tc>
          <w:tcPr>
            <w:tcW w:w="1980" w:type="dxa"/>
          </w:tcPr>
          <w:p w14:paraId="0D0F4E97" w14:textId="2DF25262"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Ethical consideration</w:t>
            </w:r>
          </w:p>
        </w:tc>
        <w:tc>
          <w:tcPr>
            <w:tcW w:w="5103" w:type="dxa"/>
          </w:tcPr>
          <w:p w14:paraId="1F46BB6B" w14:textId="3A93E708" w:rsidR="00C10370" w:rsidRPr="00C10370" w:rsidRDefault="00C10370" w:rsidP="00C10370">
            <w:pPr>
              <w:spacing w:line="360" w:lineRule="auto"/>
              <w:rPr>
                <w:rFonts w:ascii="Arial" w:hAnsi="Arial" w:cs="Arial"/>
                <w:sz w:val="22"/>
                <w:szCs w:val="22"/>
                <w:lang w:val="en-US"/>
              </w:rPr>
            </w:pPr>
            <w:r w:rsidRPr="00C10370">
              <w:rPr>
                <w:rFonts w:ascii="Arial" w:hAnsi="Arial" w:cs="Arial"/>
                <w:sz w:val="22"/>
                <w:szCs w:val="22"/>
                <w:lang w:val="en-US"/>
              </w:rPr>
              <w:t>Are consent, confidentiality, safeguarding or ethical approval discussed where relevant?</w:t>
            </w:r>
          </w:p>
        </w:tc>
        <w:tc>
          <w:tcPr>
            <w:tcW w:w="2262" w:type="dxa"/>
          </w:tcPr>
          <w:p w14:paraId="7790B310" w14:textId="0F835A4A"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High / Medium / Low</w:t>
            </w:r>
          </w:p>
        </w:tc>
      </w:tr>
      <w:tr w:rsidR="00C10370" w14:paraId="000F2E0B" w14:textId="77777777" w:rsidTr="00C10370">
        <w:tc>
          <w:tcPr>
            <w:tcW w:w="1980" w:type="dxa"/>
          </w:tcPr>
          <w:p w14:paraId="77A76590" w14:textId="64987621"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Data analysis</w:t>
            </w:r>
          </w:p>
        </w:tc>
        <w:tc>
          <w:tcPr>
            <w:tcW w:w="5103" w:type="dxa"/>
          </w:tcPr>
          <w:p w14:paraId="6BF04117" w14:textId="6B9D2132" w:rsidR="00C10370" w:rsidRPr="00C10370" w:rsidRDefault="00C10370" w:rsidP="00C10370">
            <w:pPr>
              <w:spacing w:line="360" w:lineRule="auto"/>
              <w:rPr>
                <w:rFonts w:ascii="Arial" w:hAnsi="Arial" w:cs="Arial"/>
                <w:sz w:val="22"/>
                <w:szCs w:val="22"/>
                <w:lang w:val="en-US"/>
              </w:rPr>
            </w:pPr>
            <w:r w:rsidRPr="00C10370">
              <w:rPr>
                <w:rFonts w:ascii="Arial" w:hAnsi="Arial" w:cs="Arial"/>
                <w:sz w:val="22"/>
                <w:szCs w:val="22"/>
                <w:lang w:val="en-US"/>
              </w:rPr>
              <w:t>Is the analysis process clearly described?</w:t>
            </w:r>
          </w:p>
        </w:tc>
        <w:tc>
          <w:tcPr>
            <w:tcW w:w="2262" w:type="dxa"/>
          </w:tcPr>
          <w:p w14:paraId="7AFE1240" w14:textId="6B6E8CE7"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High / Medium / Low</w:t>
            </w:r>
          </w:p>
        </w:tc>
      </w:tr>
      <w:tr w:rsidR="00C10370" w14:paraId="6A89190E" w14:textId="77777777" w:rsidTr="00C10370">
        <w:tc>
          <w:tcPr>
            <w:tcW w:w="1980" w:type="dxa"/>
          </w:tcPr>
          <w:p w14:paraId="61661B29" w14:textId="2C7649DD"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Findings</w:t>
            </w:r>
          </w:p>
        </w:tc>
        <w:tc>
          <w:tcPr>
            <w:tcW w:w="5103" w:type="dxa"/>
          </w:tcPr>
          <w:p w14:paraId="252CD275" w14:textId="792711B8" w:rsidR="00C10370" w:rsidRPr="00C10370" w:rsidRDefault="00C10370" w:rsidP="00C10370">
            <w:pPr>
              <w:spacing w:line="360" w:lineRule="auto"/>
              <w:rPr>
                <w:rFonts w:ascii="Arial" w:hAnsi="Arial" w:cs="Arial"/>
                <w:sz w:val="22"/>
                <w:szCs w:val="22"/>
                <w:lang w:val="en-US"/>
              </w:rPr>
            </w:pPr>
            <w:r w:rsidRPr="00C10370">
              <w:rPr>
                <w:rFonts w:ascii="Arial" w:hAnsi="Arial" w:cs="Arial"/>
                <w:sz w:val="22"/>
                <w:szCs w:val="22"/>
                <w:lang w:val="en-US"/>
              </w:rPr>
              <w:t>Are findings supported by qualitative evidence, quotations, themes or transparent reporting?</w:t>
            </w:r>
          </w:p>
        </w:tc>
        <w:tc>
          <w:tcPr>
            <w:tcW w:w="2262" w:type="dxa"/>
          </w:tcPr>
          <w:p w14:paraId="43929C75" w14:textId="2982D0C4"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High / Medium / Low</w:t>
            </w:r>
          </w:p>
        </w:tc>
      </w:tr>
      <w:tr w:rsidR="00C10370" w14:paraId="29D6BA4F" w14:textId="77777777" w:rsidTr="00C10370">
        <w:tc>
          <w:tcPr>
            <w:tcW w:w="1980" w:type="dxa"/>
          </w:tcPr>
          <w:p w14:paraId="28932526" w14:textId="0E252353"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UK relevance</w:t>
            </w:r>
          </w:p>
        </w:tc>
        <w:tc>
          <w:tcPr>
            <w:tcW w:w="5103" w:type="dxa"/>
          </w:tcPr>
          <w:p w14:paraId="3004EE55" w14:textId="00343AB2" w:rsidR="00C10370" w:rsidRPr="00C10370" w:rsidRDefault="00C10370" w:rsidP="00C10370">
            <w:pPr>
              <w:spacing w:line="360" w:lineRule="auto"/>
              <w:rPr>
                <w:rFonts w:ascii="Arial" w:hAnsi="Arial" w:cs="Arial"/>
                <w:sz w:val="22"/>
                <w:szCs w:val="22"/>
                <w:lang w:val="en-US"/>
              </w:rPr>
            </w:pPr>
            <w:r w:rsidRPr="00C10370">
              <w:rPr>
                <w:rFonts w:ascii="Arial" w:hAnsi="Arial" w:cs="Arial"/>
                <w:sz w:val="22"/>
                <w:szCs w:val="22"/>
                <w:lang w:val="en-US"/>
              </w:rPr>
              <w:t>Does the source provide evidence relevant to CAMHS access in the United Kingdom?</w:t>
            </w:r>
          </w:p>
        </w:tc>
        <w:tc>
          <w:tcPr>
            <w:tcW w:w="2262" w:type="dxa"/>
          </w:tcPr>
          <w:p w14:paraId="48381050" w14:textId="29102C7B"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High / Medium / Low</w:t>
            </w:r>
          </w:p>
        </w:tc>
      </w:tr>
      <w:tr w:rsidR="00C10370" w14:paraId="52D366DB" w14:textId="77777777" w:rsidTr="00C10370">
        <w:tc>
          <w:tcPr>
            <w:tcW w:w="1980" w:type="dxa"/>
          </w:tcPr>
          <w:p w14:paraId="2DB63C19" w14:textId="56D97CDD"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Overall contribution</w:t>
            </w:r>
          </w:p>
        </w:tc>
        <w:tc>
          <w:tcPr>
            <w:tcW w:w="5103" w:type="dxa"/>
          </w:tcPr>
          <w:p w14:paraId="432C44ED" w14:textId="2BF33973" w:rsidR="00C10370" w:rsidRPr="00C10370" w:rsidRDefault="00C10370" w:rsidP="00C10370">
            <w:pPr>
              <w:spacing w:line="360" w:lineRule="auto"/>
              <w:rPr>
                <w:rFonts w:ascii="Arial" w:hAnsi="Arial" w:cs="Arial"/>
                <w:sz w:val="22"/>
                <w:szCs w:val="22"/>
                <w:lang w:val="en-US"/>
              </w:rPr>
            </w:pPr>
            <w:r w:rsidRPr="00C10370">
              <w:rPr>
                <w:rFonts w:ascii="Arial" w:hAnsi="Arial" w:cs="Arial"/>
                <w:sz w:val="22"/>
                <w:szCs w:val="22"/>
                <w:lang w:val="en-US"/>
              </w:rPr>
              <w:t>Does the source contribute meaningfully to answering the research question?</w:t>
            </w:r>
          </w:p>
        </w:tc>
        <w:tc>
          <w:tcPr>
            <w:tcW w:w="2262" w:type="dxa"/>
          </w:tcPr>
          <w:p w14:paraId="145D1AA2" w14:textId="2CF51C51" w:rsidR="00C10370" w:rsidRDefault="00C10370" w:rsidP="00C10370">
            <w:pPr>
              <w:spacing w:line="360" w:lineRule="auto"/>
              <w:rPr>
                <w:rFonts w:ascii="Arial" w:hAnsi="Arial" w:cs="Arial"/>
                <w:sz w:val="22"/>
                <w:szCs w:val="22"/>
                <w:lang w:val="en-US"/>
              </w:rPr>
            </w:pPr>
            <w:r w:rsidRPr="00C10370">
              <w:rPr>
                <w:rFonts w:ascii="Arial" w:hAnsi="Arial" w:cs="Arial"/>
                <w:sz w:val="22"/>
                <w:szCs w:val="22"/>
              </w:rPr>
              <w:t>High / Medium / Low</w:t>
            </w:r>
          </w:p>
        </w:tc>
      </w:tr>
    </w:tbl>
    <w:p w14:paraId="69799D42" w14:textId="77777777" w:rsidR="00C10370" w:rsidRPr="00B7158F" w:rsidRDefault="00C10370" w:rsidP="00C10370">
      <w:pPr>
        <w:spacing w:line="360" w:lineRule="auto"/>
        <w:jc w:val="both"/>
        <w:rPr>
          <w:rFonts w:ascii="Arial" w:hAnsi="Arial" w:cs="Arial"/>
          <w:sz w:val="22"/>
          <w:szCs w:val="22"/>
          <w:lang w:val="en-US"/>
        </w:rPr>
      </w:pPr>
    </w:p>
    <w:p w14:paraId="3159106D"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195E2F3C" w14:textId="77777777" w:rsidR="00E01217" w:rsidRPr="00E01217" w:rsidRDefault="00E01217" w:rsidP="00E01217">
      <w:pPr>
        <w:pStyle w:val="Heading2"/>
        <w:rPr>
          <w:lang w:val="en-US"/>
        </w:rPr>
      </w:pPr>
      <w:bookmarkStart w:id="64" w:name="_Toc233629159"/>
      <w:r w:rsidRPr="00E01217">
        <w:rPr>
          <w:lang w:val="en-US"/>
        </w:rPr>
        <w:lastRenderedPageBreak/>
        <w:t>Appendix 5: Framework for Information Extraction</w:t>
      </w:r>
      <w:bookmarkEnd w:id="64"/>
    </w:p>
    <w:p w14:paraId="4D46E218" w14:textId="77777777" w:rsidR="00E01217" w:rsidRPr="00E01217" w:rsidRDefault="00E01217" w:rsidP="00E01217">
      <w:pPr>
        <w:spacing w:line="360" w:lineRule="auto"/>
        <w:jc w:val="both"/>
        <w:rPr>
          <w:rFonts w:ascii="Arial" w:hAnsi="Arial" w:cs="Arial"/>
          <w:sz w:val="22"/>
          <w:szCs w:val="22"/>
          <w:lang w:val="en-US"/>
        </w:rPr>
      </w:pPr>
    </w:p>
    <w:p w14:paraId="00FEF653" w14:textId="664FD852"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This appendix provides an overview of the key information obtained from every source used in the study.</w:t>
      </w:r>
    </w:p>
    <w:p w14:paraId="503C71AB" w14:textId="77777777" w:rsidR="00E01217" w:rsidRPr="00E01217" w:rsidRDefault="00E01217" w:rsidP="00E01217">
      <w:pPr>
        <w:spacing w:line="360" w:lineRule="auto"/>
        <w:jc w:val="both"/>
        <w:rPr>
          <w:rFonts w:ascii="Arial" w:hAnsi="Arial" w:cs="Arial"/>
          <w:b/>
          <w:bCs/>
          <w:sz w:val="22"/>
          <w:szCs w:val="22"/>
          <w:lang w:val="en-US"/>
        </w:rPr>
      </w:pPr>
      <w:r w:rsidRPr="00E01217">
        <w:rPr>
          <w:rFonts w:ascii="Arial" w:hAnsi="Arial" w:cs="Arial"/>
          <w:b/>
          <w:bCs/>
          <w:sz w:val="22"/>
          <w:szCs w:val="22"/>
          <w:lang w:val="en-US"/>
        </w:rPr>
        <w:t>From every included source, the following pieces of information were obtained:</w:t>
      </w:r>
    </w:p>
    <w:p w14:paraId="39E18AB5"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Author/organization name and year of publication</w:t>
      </w:r>
    </w:p>
    <w:p w14:paraId="1C93220A"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United Kingdom geographical location</w:t>
      </w:r>
    </w:p>
    <w:p w14:paraId="538D9CC5"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Nature of evidence</w:t>
      </w:r>
    </w:p>
    <w:p w14:paraId="7AC401D0"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Purpose of the research</w:t>
      </w:r>
    </w:p>
    <w:p w14:paraId="4C867702"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Target population</w:t>
      </w:r>
    </w:p>
    <w:p w14:paraId="5D9057AC"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Research methodology/dataset</w:t>
      </w:r>
    </w:p>
    <w:p w14:paraId="05805A6C"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Evidence on barriers to care</w:t>
      </w:r>
    </w:p>
    <w:p w14:paraId="28199B28"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Evidence on facilitators of care</w:t>
      </w:r>
    </w:p>
    <w:p w14:paraId="796210AA"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Main findings</w:t>
      </w:r>
    </w:p>
    <w:p w14:paraId="4226405F" w14:textId="7777777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Theme assigned</w:t>
      </w:r>
    </w:p>
    <w:p w14:paraId="63D72AE3" w14:textId="202AB867" w:rsidR="00E01217" w:rsidRP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Relationship to the research question</w:t>
      </w:r>
    </w:p>
    <w:p w14:paraId="6A47A6B9" w14:textId="0316FC7F" w:rsidR="00501C21" w:rsidRPr="00B7158F"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xml:space="preserve">Information extraction </w:t>
      </w:r>
      <w:r w:rsidR="00B56FD2">
        <w:rPr>
          <w:rFonts w:ascii="Arial" w:hAnsi="Arial" w:cs="Arial"/>
          <w:sz w:val="22"/>
          <w:szCs w:val="22"/>
          <w:lang w:val="en-US"/>
        </w:rPr>
        <w:t>enabled</w:t>
      </w:r>
      <w:r w:rsidRPr="00E01217">
        <w:rPr>
          <w:rFonts w:ascii="Arial" w:hAnsi="Arial" w:cs="Arial"/>
          <w:sz w:val="22"/>
          <w:szCs w:val="22"/>
          <w:lang w:val="en-US"/>
        </w:rPr>
        <w:t xml:space="preserve"> cross-study comparisons and helped identify the themes discussed in Chapter 4. The purpose of the extraction stage was to </w:t>
      </w:r>
      <w:r w:rsidR="00B56FD2">
        <w:rPr>
          <w:rFonts w:ascii="Arial" w:hAnsi="Arial" w:cs="Arial"/>
          <w:sz w:val="22"/>
          <w:szCs w:val="22"/>
          <w:lang w:val="en-US"/>
        </w:rPr>
        <w:t>ensure the analysis highlighted</w:t>
      </w:r>
      <w:r w:rsidRPr="00E01217">
        <w:rPr>
          <w:rFonts w:ascii="Arial" w:hAnsi="Arial" w:cs="Arial"/>
          <w:sz w:val="22"/>
          <w:szCs w:val="22"/>
          <w:lang w:val="en-US"/>
        </w:rPr>
        <w:t xml:space="preserve"> repetitive patterns within the selected evidence base.</w:t>
      </w:r>
    </w:p>
    <w:p w14:paraId="52B18B71"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21F2702E" w14:textId="70BE06E5" w:rsidR="00E01217" w:rsidRPr="00E01217" w:rsidRDefault="00E01217" w:rsidP="00E01217">
      <w:pPr>
        <w:pStyle w:val="Heading2"/>
        <w:rPr>
          <w:lang w:val="en-US"/>
        </w:rPr>
      </w:pPr>
      <w:bookmarkStart w:id="65" w:name="_Toc233629160"/>
      <w:r w:rsidRPr="00E01217">
        <w:rPr>
          <w:lang w:val="en-US"/>
        </w:rPr>
        <w:lastRenderedPageBreak/>
        <w:t>Appendix 6: Source Table for Review Analysis – Twenty Sources</w:t>
      </w:r>
      <w:bookmarkEnd w:id="65"/>
    </w:p>
    <w:p w14:paraId="3A77B176" w14:textId="23E13C27" w:rsidR="00501C21"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The following is an accurate list of twenty sources used in the analysis process and thematic synthesis. It must be noted that all sources used herein were written within a period of ten years</w:t>
      </w:r>
      <w:r w:rsidR="00B56FD2">
        <w:rPr>
          <w:rFonts w:ascii="Arial" w:hAnsi="Arial" w:cs="Arial"/>
          <w:sz w:val="22"/>
          <w:szCs w:val="22"/>
          <w:lang w:val="en-US"/>
        </w:rPr>
        <w:t>,</w:t>
      </w:r>
      <w:r w:rsidRPr="00E01217">
        <w:rPr>
          <w:rFonts w:ascii="Arial" w:hAnsi="Arial" w:cs="Arial"/>
          <w:sz w:val="22"/>
          <w:szCs w:val="22"/>
          <w:lang w:val="en-US"/>
        </w:rPr>
        <w:t xml:space="preserve"> ranging from 2017 to 2025.</w:t>
      </w:r>
    </w:p>
    <w:tbl>
      <w:tblPr>
        <w:tblStyle w:val="TableGrid"/>
        <w:tblW w:w="0" w:type="auto"/>
        <w:tblLook w:val="04A0" w:firstRow="1" w:lastRow="0" w:firstColumn="1" w:lastColumn="0" w:noHBand="0" w:noVBand="1"/>
      </w:tblPr>
      <w:tblGrid>
        <w:gridCol w:w="571"/>
        <w:gridCol w:w="3612"/>
        <w:gridCol w:w="706"/>
        <w:gridCol w:w="1750"/>
        <w:gridCol w:w="2706"/>
      </w:tblGrid>
      <w:tr w:rsidR="00E01217" w14:paraId="68C4990D" w14:textId="77777777" w:rsidTr="00E01217">
        <w:tc>
          <w:tcPr>
            <w:tcW w:w="571" w:type="dxa"/>
          </w:tcPr>
          <w:p w14:paraId="48F7C99E" w14:textId="45D974C2"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No.</w:t>
            </w:r>
          </w:p>
        </w:tc>
        <w:tc>
          <w:tcPr>
            <w:tcW w:w="3819" w:type="dxa"/>
          </w:tcPr>
          <w:p w14:paraId="64FE9680" w14:textId="0D8D09FA"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Source</w:t>
            </w:r>
          </w:p>
        </w:tc>
        <w:tc>
          <w:tcPr>
            <w:tcW w:w="708" w:type="dxa"/>
          </w:tcPr>
          <w:p w14:paraId="15E0A01E" w14:textId="10493AC3"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Year</w:t>
            </w:r>
          </w:p>
        </w:tc>
        <w:tc>
          <w:tcPr>
            <w:tcW w:w="1418" w:type="dxa"/>
          </w:tcPr>
          <w:p w14:paraId="656B5CCA" w14:textId="729808B8"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Type</w:t>
            </w:r>
          </w:p>
        </w:tc>
        <w:tc>
          <w:tcPr>
            <w:tcW w:w="2829" w:type="dxa"/>
          </w:tcPr>
          <w:p w14:paraId="62D38C92" w14:textId="670E1A4F"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rPr>
              <w:t>Main use in dissertation</w:t>
            </w:r>
          </w:p>
        </w:tc>
      </w:tr>
      <w:tr w:rsidR="00E01217" w:rsidRPr="00437257" w14:paraId="41DB58B3" w14:textId="77777777" w:rsidTr="00E01217">
        <w:tc>
          <w:tcPr>
            <w:tcW w:w="571" w:type="dxa"/>
          </w:tcPr>
          <w:p w14:paraId="593063A9" w14:textId="42611A5B"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w:t>
            </w:r>
          </w:p>
        </w:tc>
        <w:tc>
          <w:tcPr>
            <w:tcW w:w="3819" w:type="dxa"/>
          </w:tcPr>
          <w:p w14:paraId="306C1F5D" w14:textId="3E6B4FC1"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Children’s Commissioner, Children’s Mental Health Services 2022–23</w:t>
            </w:r>
          </w:p>
        </w:tc>
        <w:tc>
          <w:tcPr>
            <w:tcW w:w="708" w:type="dxa"/>
          </w:tcPr>
          <w:p w14:paraId="3EFC0BE0" w14:textId="71893720"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2024</w:t>
            </w:r>
          </w:p>
        </w:tc>
        <w:tc>
          <w:tcPr>
            <w:tcW w:w="1418" w:type="dxa"/>
          </w:tcPr>
          <w:p w14:paraId="66606917" w14:textId="06D31A93"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National report</w:t>
            </w:r>
          </w:p>
        </w:tc>
        <w:tc>
          <w:tcPr>
            <w:tcW w:w="2829" w:type="dxa"/>
          </w:tcPr>
          <w:p w14:paraId="1BAC7398" w14:textId="5E71CEA6"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Waiting lists, referral outcomes and closed referrals.</w:t>
            </w:r>
          </w:p>
        </w:tc>
      </w:tr>
      <w:tr w:rsidR="00E01217" w:rsidRPr="00437257" w14:paraId="52F9820C" w14:textId="77777777" w:rsidTr="00E01217">
        <w:tc>
          <w:tcPr>
            <w:tcW w:w="571" w:type="dxa"/>
          </w:tcPr>
          <w:p w14:paraId="16E693A3" w14:textId="223CF3C5"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2</w:t>
            </w:r>
          </w:p>
        </w:tc>
        <w:tc>
          <w:tcPr>
            <w:tcW w:w="3819" w:type="dxa"/>
          </w:tcPr>
          <w:p w14:paraId="26BA8811" w14:textId="720CA38A"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Children’s Commissioner, Children’s Mental Health Services 2023–24</w:t>
            </w:r>
          </w:p>
        </w:tc>
        <w:tc>
          <w:tcPr>
            <w:tcW w:w="708" w:type="dxa"/>
          </w:tcPr>
          <w:p w14:paraId="5D02C253" w14:textId="67D7F07A"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2025</w:t>
            </w:r>
          </w:p>
        </w:tc>
        <w:tc>
          <w:tcPr>
            <w:tcW w:w="1418" w:type="dxa"/>
          </w:tcPr>
          <w:p w14:paraId="4DE5D54D" w14:textId="0C467554"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National report</w:t>
            </w:r>
          </w:p>
        </w:tc>
        <w:tc>
          <w:tcPr>
            <w:tcW w:w="2829" w:type="dxa"/>
          </w:tcPr>
          <w:p w14:paraId="0534BB13" w14:textId="46CE234B"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Updated children’s mental health access context.</w:t>
            </w:r>
          </w:p>
        </w:tc>
      </w:tr>
      <w:tr w:rsidR="00E01217" w:rsidRPr="00437257" w14:paraId="18511C5C" w14:textId="77777777" w:rsidTr="00E01217">
        <w:tc>
          <w:tcPr>
            <w:tcW w:w="571" w:type="dxa"/>
          </w:tcPr>
          <w:p w14:paraId="48FEDE66" w14:textId="176096D3"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3</w:t>
            </w:r>
          </w:p>
        </w:tc>
        <w:tc>
          <w:tcPr>
            <w:tcW w:w="3819" w:type="dxa"/>
          </w:tcPr>
          <w:p w14:paraId="74A6D94D" w14:textId="007FD2B1"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NHS Digital, Mental Health of Children and Young People in England, 2023</w:t>
            </w:r>
          </w:p>
        </w:tc>
        <w:tc>
          <w:tcPr>
            <w:tcW w:w="708" w:type="dxa"/>
          </w:tcPr>
          <w:p w14:paraId="3FEB4E8B" w14:textId="756CEDDD"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2023</w:t>
            </w:r>
          </w:p>
        </w:tc>
        <w:tc>
          <w:tcPr>
            <w:tcW w:w="1418" w:type="dxa"/>
          </w:tcPr>
          <w:p w14:paraId="4130EFCE" w14:textId="4B41C585"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National statistics</w:t>
            </w:r>
          </w:p>
        </w:tc>
        <w:tc>
          <w:tcPr>
            <w:tcW w:w="2829" w:type="dxa"/>
          </w:tcPr>
          <w:p w14:paraId="0D6C8C5A" w14:textId="35358D7D"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Prevalence of probable mental disorder.</w:t>
            </w:r>
          </w:p>
        </w:tc>
      </w:tr>
      <w:tr w:rsidR="00E01217" w:rsidRPr="00437257" w14:paraId="254B811D" w14:textId="77777777" w:rsidTr="00E01217">
        <w:tc>
          <w:tcPr>
            <w:tcW w:w="571" w:type="dxa"/>
          </w:tcPr>
          <w:p w14:paraId="7AB9A9B8" w14:textId="6F86D05A"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4</w:t>
            </w:r>
          </w:p>
        </w:tc>
        <w:tc>
          <w:tcPr>
            <w:tcW w:w="3819" w:type="dxa"/>
          </w:tcPr>
          <w:p w14:paraId="3FB0EFCE" w14:textId="39C1ACAA"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NHS England, Mental Health Support in Schools and Colleges</w:t>
            </w:r>
          </w:p>
        </w:tc>
        <w:tc>
          <w:tcPr>
            <w:tcW w:w="708" w:type="dxa"/>
          </w:tcPr>
          <w:p w14:paraId="01EC8456" w14:textId="0C03DE93"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2025</w:t>
            </w:r>
          </w:p>
        </w:tc>
        <w:tc>
          <w:tcPr>
            <w:tcW w:w="1418" w:type="dxa"/>
          </w:tcPr>
          <w:p w14:paraId="699D8A31" w14:textId="42AFDD48"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NHS service evidence</w:t>
            </w:r>
          </w:p>
        </w:tc>
        <w:tc>
          <w:tcPr>
            <w:tcW w:w="2829" w:type="dxa"/>
          </w:tcPr>
          <w:p w14:paraId="5BCB676C" w14:textId="71CD7F0A"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MHST coverage and school-based early intervention.</w:t>
            </w:r>
          </w:p>
        </w:tc>
      </w:tr>
      <w:tr w:rsidR="00E01217" w:rsidRPr="00437257" w14:paraId="387A68FA" w14:textId="77777777" w:rsidTr="00E01217">
        <w:tc>
          <w:tcPr>
            <w:tcW w:w="571" w:type="dxa"/>
          </w:tcPr>
          <w:p w14:paraId="5CA4F812" w14:textId="21F3F346"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5</w:t>
            </w:r>
          </w:p>
        </w:tc>
        <w:tc>
          <w:tcPr>
            <w:tcW w:w="3819" w:type="dxa"/>
          </w:tcPr>
          <w:p w14:paraId="3FCDAFC4" w14:textId="6ABE87A0"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House of Commons Library, Children and Young People’s Mental Health: Policy, CAMHS Services, Funding and Education</w:t>
            </w:r>
          </w:p>
        </w:tc>
        <w:tc>
          <w:tcPr>
            <w:tcW w:w="708" w:type="dxa"/>
          </w:tcPr>
          <w:p w14:paraId="50DCDB40" w14:textId="5D02C2CA"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2024</w:t>
            </w:r>
          </w:p>
        </w:tc>
        <w:tc>
          <w:tcPr>
            <w:tcW w:w="1418" w:type="dxa"/>
          </w:tcPr>
          <w:p w14:paraId="43D4196A" w14:textId="62CF8A3C"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Parliamentary briefing</w:t>
            </w:r>
          </w:p>
        </w:tc>
        <w:tc>
          <w:tcPr>
            <w:tcW w:w="2829" w:type="dxa"/>
          </w:tcPr>
          <w:p w14:paraId="3ADFD851" w14:textId="4C6EFB77"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CAMHS policy, funding and service context.</w:t>
            </w:r>
          </w:p>
        </w:tc>
      </w:tr>
      <w:tr w:rsidR="00E01217" w:rsidRPr="00437257" w14:paraId="7218A2B4" w14:textId="77777777" w:rsidTr="00E01217">
        <w:tc>
          <w:tcPr>
            <w:tcW w:w="571" w:type="dxa"/>
          </w:tcPr>
          <w:p w14:paraId="4B1A1896" w14:textId="26C89188"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6</w:t>
            </w:r>
          </w:p>
        </w:tc>
        <w:tc>
          <w:tcPr>
            <w:tcW w:w="3819" w:type="dxa"/>
          </w:tcPr>
          <w:p w14:paraId="432DFD32" w14:textId="4FC80B81"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Scottish Government, Rejected Referrals to Child and Adolescent Mental Health Services</w:t>
            </w:r>
          </w:p>
        </w:tc>
        <w:tc>
          <w:tcPr>
            <w:tcW w:w="708" w:type="dxa"/>
          </w:tcPr>
          <w:p w14:paraId="565744AC" w14:textId="40BC187B"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2018</w:t>
            </w:r>
          </w:p>
        </w:tc>
        <w:tc>
          <w:tcPr>
            <w:tcW w:w="1418" w:type="dxa"/>
          </w:tcPr>
          <w:p w14:paraId="6CF26EB2" w14:textId="630949CF"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Government audit</w:t>
            </w:r>
          </w:p>
        </w:tc>
        <w:tc>
          <w:tcPr>
            <w:tcW w:w="2829" w:type="dxa"/>
          </w:tcPr>
          <w:p w14:paraId="2B8D984E" w14:textId="7FEF3A90"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Rejected referrals and threshold issues.</w:t>
            </w:r>
          </w:p>
        </w:tc>
      </w:tr>
      <w:tr w:rsidR="00E01217" w:rsidRPr="00437257" w14:paraId="4A99FC81" w14:textId="77777777" w:rsidTr="00E01217">
        <w:tc>
          <w:tcPr>
            <w:tcW w:w="571" w:type="dxa"/>
          </w:tcPr>
          <w:p w14:paraId="3626C056" w14:textId="7783E4B8"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7</w:t>
            </w:r>
          </w:p>
        </w:tc>
        <w:tc>
          <w:tcPr>
            <w:tcW w:w="3819" w:type="dxa"/>
          </w:tcPr>
          <w:p w14:paraId="07AD8148" w14:textId="758649FD"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Appleton et al., Young People Who Have Fallen Through the Mental Health Transition Gap</w:t>
            </w:r>
          </w:p>
        </w:tc>
        <w:tc>
          <w:tcPr>
            <w:tcW w:w="708" w:type="dxa"/>
          </w:tcPr>
          <w:p w14:paraId="2645590F" w14:textId="3967143F"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2022</w:t>
            </w:r>
          </w:p>
        </w:tc>
        <w:tc>
          <w:tcPr>
            <w:tcW w:w="1418" w:type="dxa"/>
          </w:tcPr>
          <w:p w14:paraId="4D766D3D" w14:textId="2CC9D88F"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Qualitative study</w:t>
            </w:r>
          </w:p>
        </w:tc>
        <w:tc>
          <w:tcPr>
            <w:tcW w:w="2829" w:type="dxa"/>
          </w:tcPr>
          <w:p w14:paraId="5349A05D" w14:textId="6A9815B1"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Transition gaps and continuity of care.</w:t>
            </w:r>
          </w:p>
        </w:tc>
      </w:tr>
      <w:tr w:rsidR="00E01217" w:rsidRPr="00437257" w14:paraId="0B39FFF2" w14:textId="77777777" w:rsidTr="00E01217">
        <w:tc>
          <w:tcPr>
            <w:tcW w:w="571" w:type="dxa"/>
          </w:tcPr>
          <w:p w14:paraId="1078D036" w14:textId="19EA70A4"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8</w:t>
            </w:r>
          </w:p>
        </w:tc>
        <w:tc>
          <w:tcPr>
            <w:tcW w:w="3819" w:type="dxa"/>
          </w:tcPr>
          <w:p w14:paraId="05D857F3" w14:textId="09229DAE"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Appleton et al., New Models of Care in General Practice for the Youth Mental Health Transition Gap</w:t>
            </w:r>
          </w:p>
        </w:tc>
        <w:tc>
          <w:tcPr>
            <w:tcW w:w="708" w:type="dxa"/>
          </w:tcPr>
          <w:p w14:paraId="57B2BED2" w14:textId="04C0BF52"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2020</w:t>
            </w:r>
          </w:p>
        </w:tc>
        <w:tc>
          <w:tcPr>
            <w:tcW w:w="1418" w:type="dxa"/>
          </w:tcPr>
          <w:p w14:paraId="7F4F6B4E" w14:textId="52B2D366"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Qualitative/mixed evidence</w:t>
            </w:r>
          </w:p>
        </w:tc>
        <w:tc>
          <w:tcPr>
            <w:tcW w:w="2829" w:type="dxa"/>
          </w:tcPr>
          <w:p w14:paraId="24D49A8E" w14:textId="72837304"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GP role and transition support.</w:t>
            </w:r>
          </w:p>
        </w:tc>
      </w:tr>
      <w:tr w:rsidR="00E01217" w:rsidRPr="00437257" w14:paraId="66D555BB" w14:textId="77777777" w:rsidTr="00E01217">
        <w:tc>
          <w:tcPr>
            <w:tcW w:w="571" w:type="dxa"/>
          </w:tcPr>
          <w:p w14:paraId="4B1CAFE5" w14:textId="51EFF88D"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9</w:t>
            </w:r>
          </w:p>
        </w:tc>
        <w:tc>
          <w:tcPr>
            <w:tcW w:w="3819" w:type="dxa"/>
          </w:tcPr>
          <w:p w14:paraId="2694BAE3" w14:textId="424EFC36"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Radez et al., Adolescents’ Perceived Barriers and Facilitators to Seeking and Accessing Professional Help</w:t>
            </w:r>
          </w:p>
        </w:tc>
        <w:tc>
          <w:tcPr>
            <w:tcW w:w="708" w:type="dxa"/>
          </w:tcPr>
          <w:p w14:paraId="32D25003" w14:textId="4D16D7EA"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2022</w:t>
            </w:r>
          </w:p>
        </w:tc>
        <w:tc>
          <w:tcPr>
            <w:tcW w:w="1418" w:type="dxa"/>
          </w:tcPr>
          <w:p w14:paraId="495449BF" w14:textId="32553E28"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Qualitative study</w:t>
            </w:r>
          </w:p>
        </w:tc>
        <w:tc>
          <w:tcPr>
            <w:tcW w:w="2829" w:type="dxa"/>
          </w:tcPr>
          <w:p w14:paraId="419E093E" w14:textId="124A52AC"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Help-seeking barriers and facilitators.</w:t>
            </w:r>
          </w:p>
        </w:tc>
      </w:tr>
      <w:tr w:rsidR="00E01217" w:rsidRPr="00437257" w14:paraId="7E5A39DB" w14:textId="77777777" w:rsidTr="00E01217">
        <w:tc>
          <w:tcPr>
            <w:tcW w:w="571" w:type="dxa"/>
          </w:tcPr>
          <w:p w14:paraId="2146C858" w14:textId="0B9522AF"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10</w:t>
            </w:r>
          </w:p>
        </w:tc>
        <w:tc>
          <w:tcPr>
            <w:tcW w:w="3819" w:type="dxa"/>
          </w:tcPr>
          <w:p w14:paraId="3380908A" w14:textId="3B087F99"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Radez et al., Why Do Children and Adolescents (not) Seek and Access Professional Help?</w:t>
            </w:r>
          </w:p>
        </w:tc>
        <w:tc>
          <w:tcPr>
            <w:tcW w:w="708" w:type="dxa"/>
          </w:tcPr>
          <w:p w14:paraId="6635DD4A" w14:textId="699CCD32"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2021</w:t>
            </w:r>
          </w:p>
        </w:tc>
        <w:tc>
          <w:tcPr>
            <w:tcW w:w="1418" w:type="dxa"/>
          </w:tcPr>
          <w:p w14:paraId="3B7753F3" w14:textId="1600D9A5"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Systematic review</w:t>
            </w:r>
          </w:p>
        </w:tc>
        <w:tc>
          <w:tcPr>
            <w:tcW w:w="2829" w:type="dxa"/>
          </w:tcPr>
          <w:p w14:paraId="6BDC529D" w14:textId="5C3A5ACC"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Help-seeking, stigma and access barriers.</w:t>
            </w:r>
          </w:p>
        </w:tc>
      </w:tr>
      <w:tr w:rsidR="00E01217" w:rsidRPr="00437257" w14:paraId="0314714B" w14:textId="77777777" w:rsidTr="00E01217">
        <w:tc>
          <w:tcPr>
            <w:tcW w:w="571" w:type="dxa"/>
          </w:tcPr>
          <w:p w14:paraId="666A8B41" w14:textId="4EF75661"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11</w:t>
            </w:r>
          </w:p>
        </w:tc>
        <w:tc>
          <w:tcPr>
            <w:tcW w:w="3819" w:type="dxa"/>
          </w:tcPr>
          <w:p w14:paraId="206D30D4" w14:textId="65C39403"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Reardon et al., Parent-Perceived Barriers and Facilitators to Accessing Psychological Treatment</w:t>
            </w:r>
          </w:p>
        </w:tc>
        <w:tc>
          <w:tcPr>
            <w:tcW w:w="708" w:type="dxa"/>
          </w:tcPr>
          <w:p w14:paraId="17F7044B" w14:textId="15A164D3"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2017</w:t>
            </w:r>
          </w:p>
        </w:tc>
        <w:tc>
          <w:tcPr>
            <w:tcW w:w="1418" w:type="dxa"/>
          </w:tcPr>
          <w:p w14:paraId="7A6C6B76" w14:textId="6442E587"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Systematic review</w:t>
            </w:r>
          </w:p>
        </w:tc>
        <w:tc>
          <w:tcPr>
            <w:tcW w:w="2829" w:type="dxa"/>
          </w:tcPr>
          <w:p w14:paraId="2C63933E" w14:textId="6E78AD7B"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Parent/carer role in access and navigation.</w:t>
            </w:r>
          </w:p>
        </w:tc>
      </w:tr>
      <w:tr w:rsidR="00E01217" w:rsidRPr="00437257" w14:paraId="51B02CD3" w14:textId="77777777" w:rsidTr="00E01217">
        <w:tc>
          <w:tcPr>
            <w:tcW w:w="571" w:type="dxa"/>
          </w:tcPr>
          <w:p w14:paraId="424AED76" w14:textId="482EDBE8"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lastRenderedPageBreak/>
              <w:t>12</w:t>
            </w:r>
          </w:p>
        </w:tc>
        <w:tc>
          <w:tcPr>
            <w:tcW w:w="3819" w:type="dxa"/>
          </w:tcPr>
          <w:p w14:paraId="4F84AFF2" w14:textId="1E43987B"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Crouch et al., Parents’ Experiences of Accessing CAMHS for Child Anxiety Problems</w:t>
            </w:r>
          </w:p>
        </w:tc>
        <w:tc>
          <w:tcPr>
            <w:tcW w:w="708" w:type="dxa"/>
          </w:tcPr>
          <w:p w14:paraId="305EACDC" w14:textId="6C31E2B9"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2019</w:t>
            </w:r>
          </w:p>
        </w:tc>
        <w:tc>
          <w:tcPr>
            <w:tcW w:w="1418" w:type="dxa"/>
          </w:tcPr>
          <w:p w14:paraId="3B1A3483" w14:textId="1AD20EFB"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Qualitative study</w:t>
            </w:r>
          </w:p>
        </w:tc>
        <w:tc>
          <w:tcPr>
            <w:tcW w:w="2829" w:type="dxa"/>
          </w:tcPr>
          <w:p w14:paraId="775D4F17" w14:textId="54E99536"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Parent experiences of seeking specialist help.</w:t>
            </w:r>
          </w:p>
        </w:tc>
      </w:tr>
      <w:tr w:rsidR="00E01217" w:rsidRPr="00437257" w14:paraId="65511256" w14:textId="77777777" w:rsidTr="00E01217">
        <w:tc>
          <w:tcPr>
            <w:tcW w:w="571" w:type="dxa"/>
          </w:tcPr>
          <w:p w14:paraId="6EB48413" w14:textId="33EF4219"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13</w:t>
            </w:r>
          </w:p>
        </w:tc>
        <w:tc>
          <w:tcPr>
            <w:tcW w:w="3819" w:type="dxa"/>
          </w:tcPr>
          <w:p w14:paraId="1E3BBC8C" w14:textId="3E72DB7B"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Edbrooke-Childs and Deighton, Problem Severity and Waiting Times</w:t>
            </w:r>
          </w:p>
        </w:tc>
        <w:tc>
          <w:tcPr>
            <w:tcW w:w="708" w:type="dxa"/>
          </w:tcPr>
          <w:p w14:paraId="74BD1335" w14:textId="520A348D"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2020</w:t>
            </w:r>
          </w:p>
        </w:tc>
        <w:tc>
          <w:tcPr>
            <w:tcW w:w="1418" w:type="dxa"/>
          </w:tcPr>
          <w:p w14:paraId="1496DBFB" w14:textId="11521141"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Service data study</w:t>
            </w:r>
          </w:p>
        </w:tc>
        <w:tc>
          <w:tcPr>
            <w:tcW w:w="2829" w:type="dxa"/>
          </w:tcPr>
          <w:p w14:paraId="7A81EC3E" w14:textId="027C48AA"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Waiting times and problem severity context.</w:t>
            </w:r>
          </w:p>
        </w:tc>
      </w:tr>
      <w:tr w:rsidR="00E01217" w:rsidRPr="00437257" w14:paraId="39CB4E92" w14:textId="77777777" w:rsidTr="00E01217">
        <w:tc>
          <w:tcPr>
            <w:tcW w:w="571" w:type="dxa"/>
          </w:tcPr>
          <w:p w14:paraId="72396B58" w14:textId="0B658710"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14</w:t>
            </w:r>
          </w:p>
        </w:tc>
        <w:tc>
          <w:tcPr>
            <w:tcW w:w="3819" w:type="dxa"/>
          </w:tcPr>
          <w:p w14:paraId="1FD803B6" w14:textId="05E26958"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Department of Health and Department for Education, Transforming Children and Young People’s Mental Health Provision</w:t>
            </w:r>
          </w:p>
        </w:tc>
        <w:tc>
          <w:tcPr>
            <w:tcW w:w="708" w:type="dxa"/>
          </w:tcPr>
          <w:p w14:paraId="3D131098" w14:textId="7C70AD0D"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2017</w:t>
            </w:r>
          </w:p>
        </w:tc>
        <w:tc>
          <w:tcPr>
            <w:tcW w:w="1418" w:type="dxa"/>
          </w:tcPr>
          <w:p w14:paraId="1F7068E5" w14:textId="624D8886"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Policy document</w:t>
            </w:r>
          </w:p>
        </w:tc>
        <w:tc>
          <w:tcPr>
            <w:tcW w:w="282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1217" w:rsidRPr="00E01217" w14:paraId="07C6F7BB" w14:textId="77777777">
              <w:trPr>
                <w:tblCellSpacing w:w="15" w:type="dxa"/>
              </w:trPr>
              <w:tc>
                <w:tcPr>
                  <w:tcW w:w="0" w:type="auto"/>
                  <w:vAlign w:val="center"/>
                  <w:hideMark/>
                </w:tcPr>
                <w:p w14:paraId="2148FAB7" w14:textId="77777777" w:rsidR="00E01217" w:rsidRPr="00E01217" w:rsidRDefault="00E01217" w:rsidP="00E01217">
                  <w:pPr>
                    <w:spacing w:after="0" w:line="360" w:lineRule="auto"/>
                    <w:rPr>
                      <w:rFonts w:ascii="Arial" w:hAnsi="Arial" w:cs="Arial"/>
                      <w:sz w:val="20"/>
                      <w:szCs w:val="20"/>
                    </w:rPr>
                  </w:pPr>
                </w:p>
              </w:tc>
            </w:tr>
          </w:tbl>
          <w:p w14:paraId="771A6BB7" w14:textId="77777777" w:rsidR="00E01217" w:rsidRPr="00E01217" w:rsidRDefault="00E01217" w:rsidP="00E01217">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0"/>
            </w:tblGrid>
            <w:tr w:rsidR="00E01217" w:rsidRPr="00437257" w14:paraId="50FA7D26" w14:textId="77777777">
              <w:trPr>
                <w:tblCellSpacing w:w="15" w:type="dxa"/>
              </w:trPr>
              <w:tc>
                <w:tcPr>
                  <w:tcW w:w="0" w:type="auto"/>
                  <w:vAlign w:val="center"/>
                  <w:hideMark/>
                </w:tcPr>
                <w:p w14:paraId="4BA340D1" w14:textId="77777777" w:rsidR="00E01217" w:rsidRPr="00E01217" w:rsidRDefault="00E01217" w:rsidP="00E01217">
                  <w:pPr>
                    <w:spacing w:after="0" w:line="360" w:lineRule="auto"/>
                    <w:rPr>
                      <w:rFonts w:ascii="Arial" w:hAnsi="Arial" w:cs="Arial"/>
                      <w:sz w:val="20"/>
                      <w:szCs w:val="20"/>
                      <w:lang w:val="en-US"/>
                    </w:rPr>
                  </w:pPr>
                  <w:r w:rsidRPr="00E01217">
                    <w:rPr>
                      <w:rFonts w:ascii="Arial" w:hAnsi="Arial" w:cs="Arial"/>
                      <w:sz w:val="20"/>
                      <w:szCs w:val="20"/>
                      <w:lang w:val="en-US"/>
                    </w:rPr>
                    <w:t>Schools, MHSTs and early intervention policy.</w:t>
                  </w:r>
                </w:p>
              </w:tc>
            </w:tr>
          </w:tbl>
          <w:p w14:paraId="3674CC38" w14:textId="77777777" w:rsidR="00E01217" w:rsidRPr="00E01217" w:rsidRDefault="00E01217" w:rsidP="00E01217">
            <w:pPr>
              <w:spacing w:line="360" w:lineRule="auto"/>
              <w:rPr>
                <w:rFonts w:ascii="Arial" w:hAnsi="Arial" w:cs="Arial"/>
                <w:sz w:val="20"/>
                <w:szCs w:val="20"/>
                <w:lang w:val="en-US"/>
              </w:rPr>
            </w:pPr>
          </w:p>
        </w:tc>
      </w:tr>
      <w:tr w:rsidR="00E01217" w:rsidRPr="00437257" w14:paraId="52CFAEE5" w14:textId="77777777" w:rsidTr="00E01217">
        <w:tc>
          <w:tcPr>
            <w:tcW w:w="571" w:type="dxa"/>
          </w:tcPr>
          <w:p w14:paraId="479202CB" w14:textId="4D27C281"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15</w:t>
            </w:r>
          </w:p>
        </w:tc>
        <w:tc>
          <w:tcPr>
            <w:tcW w:w="3819" w:type="dxa"/>
          </w:tcPr>
          <w:p w14:paraId="4781F1B9" w14:textId="7A00E79C" w:rsidR="00E01217" w:rsidRPr="00E01217" w:rsidRDefault="00E01217" w:rsidP="00E01217">
            <w:pPr>
              <w:spacing w:line="360" w:lineRule="auto"/>
              <w:jc w:val="center"/>
              <w:rPr>
                <w:rFonts w:ascii="Arial" w:hAnsi="Arial" w:cs="Arial"/>
                <w:sz w:val="20"/>
                <w:szCs w:val="20"/>
                <w:lang w:val="en-US"/>
              </w:rPr>
            </w:pPr>
            <w:r w:rsidRPr="00E01217">
              <w:rPr>
                <w:rFonts w:ascii="Arial" w:hAnsi="Arial" w:cs="Arial"/>
                <w:sz w:val="20"/>
                <w:szCs w:val="20"/>
                <w:lang w:val="en-US"/>
              </w:rPr>
              <w:t>NHS England, The NHS Long Term Plan</w:t>
            </w:r>
          </w:p>
        </w:tc>
        <w:tc>
          <w:tcPr>
            <w:tcW w:w="708" w:type="dxa"/>
          </w:tcPr>
          <w:p w14:paraId="5F232716" w14:textId="37BEC25E"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2019</w:t>
            </w:r>
          </w:p>
        </w:tc>
        <w:tc>
          <w:tcPr>
            <w:tcW w:w="1418" w:type="dxa"/>
          </w:tcPr>
          <w:p w14:paraId="629F71DF" w14:textId="5B494323"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NHS policy document</w:t>
            </w:r>
          </w:p>
        </w:tc>
        <w:tc>
          <w:tcPr>
            <w:tcW w:w="2829" w:type="dxa"/>
          </w:tcPr>
          <w:p w14:paraId="19E07405" w14:textId="79BE4853"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Expansion of children and young people’s mental health services.</w:t>
            </w:r>
          </w:p>
        </w:tc>
      </w:tr>
      <w:tr w:rsidR="00E01217" w:rsidRPr="00437257" w14:paraId="3D852F3A" w14:textId="77777777" w:rsidTr="00E01217">
        <w:tc>
          <w:tcPr>
            <w:tcW w:w="571" w:type="dxa"/>
          </w:tcPr>
          <w:p w14:paraId="0475612F" w14:textId="68B657B7"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16</w:t>
            </w:r>
          </w:p>
        </w:tc>
        <w:tc>
          <w:tcPr>
            <w:tcW w:w="381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1217" w:rsidRPr="00E01217" w14:paraId="6338430A" w14:textId="77777777">
              <w:trPr>
                <w:tblCellSpacing w:w="15" w:type="dxa"/>
              </w:trPr>
              <w:tc>
                <w:tcPr>
                  <w:tcW w:w="0" w:type="auto"/>
                  <w:vAlign w:val="center"/>
                  <w:hideMark/>
                </w:tcPr>
                <w:p w14:paraId="6690FC9F" w14:textId="77777777" w:rsidR="00E01217" w:rsidRPr="00E01217" w:rsidRDefault="00E01217" w:rsidP="00E01217">
                  <w:pPr>
                    <w:spacing w:after="0" w:line="360" w:lineRule="auto"/>
                    <w:rPr>
                      <w:rFonts w:ascii="Arial" w:hAnsi="Arial" w:cs="Arial"/>
                      <w:sz w:val="20"/>
                      <w:szCs w:val="20"/>
                    </w:rPr>
                  </w:pPr>
                </w:p>
              </w:tc>
            </w:tr>
          </w:tbl>
          <w:p w14:paraId="0070CA54" w14:textId="77777777" w:rsidR="00E01217" w:rsidRPr="00E01217" w:rsidRDefault="00E01217" w:rsidP="00E01217">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6"/>
            </w:tblGrid>
            <w:tr w:rsidR="00E01217" w:rsidRPr="00437257" w14:paraId="04C42529" w14:textId="77777777">
              <w:trPr>
                <w:tblCellSpacing w:w="15" w:type="dxa"/>
              </w:trPr>
              <w:tc>
                <w:tcPr>
                  <w:tcW w:w="0" w:type="auto"/>
                  <w:vAlign w:val="center"/>
                  <w:hideMark/>
                </w:tcPr>
                <w:p w14:paraId="020E9704" w14:textId="77777777" w:rsidR="00E01217" w:rsidRPr="00E01217" w:rsidRDefault="00E01217" w:rsidP="00E01217">
                  <w:pPr>
                    <w:spacing w:after="0" w:line="360" w:lineRule="auto"/>
                    <w:rPr>
                      <w:rFonts w:ascii="Arial" w:hAnsi="Arial" w:cs="Arial"/>
                      <w:sz w:val="20"/>
                      <w:szCs w:val="20"/>
                      <w:lang w:val="en-US"/>
                    </w:rPr>
                  </w:pPr>
                  <w:r w:rsidRPr="00E01217">
                    <w:rPr>
                      <w:rFonts w:ascii="Arial" w:hAnsi="Arial" w:cs="Arial"/>
                      <w:sz w:val="20"/>
                      <w:szCs w:val="20"/>
                      <w:lang w:val="en-US"/>
                    </w:rPr>
                    <w:t>NICE, Depression in Children and Young People: Identification and Management</w:t>
                  </w:r>
                </w:p>
              </w:tc>
            </w:tr>
          </w:tbl>
          <w:p w14:paraId="261E0152" w14:textId="77777777" w:rsidR="00E01217" w:rsidRPr="00E01217" w:rsidRDefault="00E01217" w:rsidP="00E01217">
            <w:pPr>
              <w:spacing w:line="360" w:lineRule="auto"/>
              <w:rPr>
                <w:rFonts w:ascii="Arial" w:hAnsi="Arial" w:cs="Arial"/>
                <w:sz w:val="20"/>
                <w:szCs w:val="20"/>
                <w:lang w:val="en-US"/>
              </w:rPr>
            </w:pPr>
          </w:p>
        </w:tc>
        <w:tc>
          <w:tcPr>
            <w:tcW w:w="708" w:type="dxa"/>
          </w:tcPr>
          <w:p w14:paraId="682577EF" w14:textId="55C3CA89"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2019</w:t>
            </w:r>
          </w:p>
        </w:tc>
        <w:tc>
          <w:tcPr>
            <w:tcW w:w="141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1217" w:rsidRPr="00E01217" w14:paraId="7D83D9B2" w14:textId="77777777">
              <w:trPr>
                <w:tblCellSpacing w:w="15" w:type="dxa"/>
              </w:trPr>
              <w:tc>
                <w:tcPr>
                  <w:tcW w:w="0" w:type="auto"/>
                  <w:vAlign w:val="center"/>
                  <w:hideMark/>
                </w:tcPr>
                <w:p w14:paraId="53FBCA11" w14:textId="77777777" w:rsidR="00E01217" w:rsidRPr="00E01217" w:rsidRDefault="00E01217" w:rsidP="00E01217">
                  <w:pPr>
                    <w:spacing w:after="0" w:line="360" w:lineRule="auto"/>
                    <w:rPr>
                      <w:rFonts w:ascii="Arial" w:hAnsi="Arial" w:cs="Arial"/>
                      <w:sz w:val="20"/>
                      <w:szCs w:val="20"/>
                    </w:rPr>
                  </w:pPr>
                </w:p>
              </w:tc>
            </w:tr>
          </w:tbl>
          <w:p w14:paraId="4643749B" w14:textId="77777777" w:rsidR="00E01217" w:rsidRPr="00E01217" w:rsidRDefault="00E01217" w:rsidP="00E01217">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4"/>
            </w:tblGrid>
            <w:tr w:rsidR="00E01217" w:rsidRPr="00E01217" w14:paraId="53AEF346" w14:textId="77777777">
              <w:trPr>
                <w:tblCellSpacing w:w="15" w:type="dxa"/>
              </w:trPr>
              <w:tc>
                <w:tcPr>
                  <w:tcW w:w="0" w:type="auto"/>
                  <w:vAlign w:val="center"/>
                  <w:hideMark/>
                </w:tcPr>
                <w:p w14:paraId="24DD2A5D" w14:textId="77777777" w:rsidR="00E01217" w:rsidRPr="00E01217" w:rsidRDefault="00E01217" w:rsidP="00E01217">
                  <w:pPr>
                    <w:spacing w:after="0" w:line="360" w:lineRule="auto"/>
                    <w:rPr>
                      <w:rFonts w:ascii="Arial" w:hAnsi="Arial" w:cs="Arial"/>
                      <w:sz w:val="20"/>
                      <w:szCs w:val="20"/>
                    </w:rPr>
                  </w:pPr>
                  <w:r w:rsidRPr="00E01217">
                    <w:rPr>
                      <w:rFonts w:ascii="Arial" w:hAnsi="Arial" w:cs="Arial"/>
                      <w:sz w:val="20"/>
                      <w:szCs w:val="20"/>
                    </w:rPr>
                    <w:t>Clinical guideline</w:t>
                  </w:r>
                </w:p>
              </w:tc>
            </w:tr>
          </w:tbl>
          <w:p w14:paraId="0077012B" w14:textId="77777777" w:rsidR="00E01217" w:rsidRPr="00E01217" w:rsidRDefault="00E01217" w:rsidP="00E01217">
            <w:pPr>
              <w:spacing w:line="360" w:lineRule="auto"/>
              <w:rPr>
                <w:rFonts w:ascii="Arial" w:hAnsi="Arial" w:cs="Arial"/>
                <w:sz w:val="20"/>
                <w:szCs w:val="20"/>
                <w:lang w:val="en-US"/>
              </w:rPr>
            </w:pPr>
          </w:p>
        </w:tc>
        <w:tc>
          <w:tcPr>
            <w:tcW w:w="2829" w:type="dxa"/>
          </w:tcPr>
          <w:p w14:paraId="70746CF7" w14:textId="2C1821D4"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Identification, management and care pathway context.</w:t>
            </w:r>
          </w:p>
        </w:tc>
      </w:tr>
      <w:tr w:rsidR="00E01217" w:rsidRPr="00437257" w14:paraId="73645F3B" w14:textId="77777777" w:rsidTr="00E01217">
        <w:tc>
          <w:tcPr>
            <w:tcW w:w="571" w:type="dxa"/>
          </w:tcPr>
          <w:p w14:paraId="39718DE0" w14:textId="366EDFD1"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17</w:t>
            </w:r>
          </w:p>
        </w:tc>
        <w:tc>
          <w:tcPr>
            <w:tcW w:w="381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1217" w:rsidRPr="00E01217" w14:paraId="2A6AD872" w14:textId="77777777">
              <w:trPr>
                <w:tblCellSpacing w:w="15" w:type="dxa"/>
              </w:trPr>
              <w:tc>
                <w:tcPr>
                  <w:tcW w:w="0" w:type="auto"/>
                  <w:vAlign w:val="center"/>
                  <w:hideMark/>
                </w:tcPr>
                <w:p w14:paraId="47F20306" w14:textId="77777777" w:rsidR="00E01217" w:rsidRPr="00E01217" w:rsidRDefault="00E01217" w:rsidP="00E01217">
                  <w:pPr>
                    <w:spacing w:after="0" w:line="360" w:lineRule="auto"/>
                    <w:rPr>
                      <w:rFonts w:ascii="Arial" w:hAnsi="Arial" w:cs="Arial"/>
                      <w:sz w:val="20"/>
                      <w:szCs w:val="20"/>
                    </w:rPr>
                  </w:pPr>
                </w:p>
              </w:tc>
            </w:tr>
          </w:tbl>
          <w:p w14:paraId="5FFE4A08" w14:textId="77777777" w:rsidR="00E01217" w:rsidRPr="00E01217" w:rsidRDefault="00E01217" w:rsidP="00E01217">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6"/>
            </w:tblGrid>
            <w:tr w:rsidR="00E01217" w:rsidRPr="00437257" w14:paraId="56084A8D" w14:textId="77777777">
              <w:trPr>
                <w:tblCellSpacing w:w="15" w:type="dxa"/>
              </w:trPr>
              <w:tc>
                <w:tcPr>
                  <w:tcW w:w="0" w:type="auto"/>
                  <w:vAlign w:val="center"/>
                  <w:hideMark/>
                </w:tcPr>
                <w:p w14:paraId="396AECB9" w14:textId="77777777" w:rsidR="00E01217" w:rsidRPr="00E01217" w:rsidRDefault="00E01217" w:rsidP="00E01217">
                  <w:pPr>
                    <w:spacing w:after="0" w:line="360" w:lineRule="auto"/>
                    <w:rPr>
                      <w:rFonts w:ascii="Arial" w:hAnsi="Arial" w:cs="Arial"/>
                      <w:sz w:val="20"/>
                      <w:szCs w:val="20"/>
                      <w:lang w:val="en-US"/>
                    </w:rPr>
                  </w:pPr>
                  <w:r w:rsidRPr="00E01217">
                    <w:rPr>
                      <w:rFonts w:ascii="Arial" w:hAnsi="Arial" w:cs="Arial"/>
                      <w:sz w:val="20"/>
                      <w:szCs w:val="20"/>
                      <w:lang w:val="en-US"/>
                    </w:rPr>
                    <w:t>NICE, Social, Emotional and Mental Wellbeing in Primary and Secondary Education</w:t>
                  </w:r>
                </w:p>
              </w:tc>
            </w:tr>
          </w:tbl>
          <w:p w14:paraId="545CA0FE" w14:textId="77777777" w:rsidR="00E01217" w:rsidRPr="00E01217" w:rsidRDefault="00E01217" w:rsidP="00E01217">
            <w:pPr>
              <w:spacing w:line="360" w:lineRule="auto"/>
              <w:rPr>
                <w:rFonts w:ascii="Arial" w:hAnsi="Arial" w:cs="Arial"/>
                <w:sz w:val="20"/>
                <w:szCs w:val="20"/>
                <w:lang w:val="en-US"/>
              </w:rPr>
            </w:pPr>
          </w:p>
        </w:tc>
        <w:tc>
          <w:tcPr>
            <w:tcW w:w="708" w:type="dxa"/>
          </w:tcPr>
          <w:p w14:paraId="00990938" w14:textId="088B618A"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2022</w:t>
            </w:r>
          </w:p>
        </w:tc>
        <w:tc>
          <w:tcPr>
            <w:tcW w:w="1418" w:type="dxa"/>
          </w:tcPr>
          <w:p w14:paraId="0A034DC3" w14:textId="0766EA21"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Public health guideline</w:t>
            </w:r>
          </w:p>
        </w:tc>
        <w:tc>
          <w:tcPr>
            <w:tcW w:w="2829" w:type="dxa"/>
          </w:tcPr>
          <w:p w14:paraId="3BCAEFF5" w14:textId="384C8C7A"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School-based mental health and wellbeing support.</w:t>
            </w:r>
          </w:p>
        </w:tc>
      </w:tr>
      <w:tr w:rsidR="00E01217" w:rsidRPr="00437257" w14:paraId="5BD6FC54" w14:textId="77777777" w:rsidTr="00E01217">
        <w:tc>
          <w:tcPr>
            <w:tcW w:w="571" w:type="dxa"/>
          </w:tcPr>
          <w:p w14:paraId="6CA65F0E" w14:textId="00EBEB04"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18</w:t>
            </w:r>
          </w:p>
        </w:tc>
        <w:tc>
          <w:tcPr>
            <w:tcW w:w="3819" w:type="dxa"/>
          </w:tcPr>
          <w:p w14:paraId="45998968" w14:textId="665696E3"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Institute of Health Equity, Health Equity in England: The Marmot Review 10 Years On</w:t>
            </w:r>
          </w:p>
        </w:tc>
        <w:tc>
          <w:tcPr>
            <w:tcW w:w="708" w:type="dxa"/>
          </w:tcPr>
          <w:p w14:paraId="2E393539" w14:textId="6D34EC97"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2020</w:t>
            </w:r>
          </w:p>
        </w:tc>
        <w:tc>
          <w:tcPr>
            <w:tcW w:w="1418" w:type="dxa"/>
          </w:tcPr>
          <w:p w14:paraId="63BB8866" w14:textId="18B45CE3"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Inequality report</w:t>
            </w:r>
          </w:p>
        </w:tc>
        <w:tc>
          <w:tcPr>
            <w:tcW w:w="2829" w:type="dxa"/>
          </w:tcPr>
          <w:p w14:paraId="2C6C8FD7" w14:textId="3E306A01"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Social determinants and health inequality framework.</w:t>
            </w:r>
          </w:p>
        </w:tc>
      </w:tr>
      <w:tr w:rsidR="00E01217" w14:paraId="773ED230" w14:textId="77777777" w:rsidTr="00E01217">
        <w:tc>
          <w:tcPr>
            <w:tcW w:w="571" w:type="dxa"/>
          </w:tcPr>
          <w:p w14:paraId="619AF875" w14:textId="257A3EF1"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19</w:t>
            </w:r>
          </w:p>
        </w:tc>
        <w:tc>
          <w:tcPr>
            <w:tcW w:w="3819" w:type="dxa"/>
          </w:tcPr>
          <w:p w14:paraId="113A8775" w14:textId="470DC3C3"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lang w:val="en-US"/>
              </w:rPr>
              <w:t>Saunders et al., Practical Thematic Analysis</w:t>
            </w:r>
          </w:p>
        </w:tc>
        <w:tc>
          <w:tcPr>
            <w:tcW w:w="708" w:type="dxa"/>
          </w:tcPr>
          <w:p w14:paraId="0D6B5D03" w14:textId="205C660E"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2023</w:t>
            </w:r>
          </w:p>
        </w:tc>
        <w:tc>
          <w:tcPr>
            <w:tcW w:w="1418" w:type="dxa"/>
          </w:tcPr>
          <w:p w14:paraId="6ADBF6D5" w14:textId="2C394563"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Methodological article</w:t>
            </w:r>
          </w:p>
        </w:tc>
        <w:tc>
          <w:tcPr>
            <w:tcW w:w="2829" w:type="dxa"/>
          </w:tcPr>
          <w:p w14:paraId="139932CE" w14:textId="5E5CABE5"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Thematic analysis process.</w:t>
            </w:r>
          </w:p>
        </w:tc>
      </w:tr>
      <w:tr w:rsidR="00E01217" w:rsidRPr="00437257" w14:paraId="507147E6" w14:textId="77777777" w:rsidTr="00E01217">
        <w:tc>
          <w:tcPr>
            <w:tcW w:w="571" w:type="dxa"/>
          </w:tcPr>
          <w:p w14:paraId="401274F9" w14:textId="2E927F89" w:rsidR="00E01217" w:rsidRPr="00E01217" w:rsidRDefault="00E01217" w:rsidP="00E01217">
            <w:pPr>
              <w:spacing w:line="360" w:lineRule="auto"/>
              <w:rPr>
                <w:rFonts w:ascii="Arial" w:hAnsi="Arial" w:cs="Arial"/>
                <w:b/>
                <w:bCs/>
                <w:sz w:val="22"/>
                <w:szCs w:val="22"/>
                <w:lang w:val="en-US"/>
              </w:rPr>
            </w:pPr>
            <w:r w:rsidRPr="00E01217">
              <w:rPr>
                <w:rFonts w:ascii="Arial" w:hAnsi="Arial" w:cs="Arial"/>
                <w:b/>
                <w:bCs/>
                <w:sz w:val="22"/>
                <w:szCs w:val="22"/>
                <w:lang w:val="en-US"/>
              </w:rPr>
              <w:t>20</w:t>
            </w:r>
          </w:p>
        </w:tc>
        <w:tc>
          <w:tcPr>
            <w:tcW w:w="381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1217" w:rsidRPr="00E01217" w14:paraId="6FC94A04" w14:textId="77777777">
              <w:trPr>
                <w:tblCellSpacing w:w="15" w:type="dxa"/>
              </w:trPr>
              <w:tc>
                <w:tcPr>
                  <w:tcW w:w="0" w:type="auto"/>
                  <w:vAlign w:val="center"/>
                  <w:hideMark/>
                </w:tcPr>
                <w:p w14:paraId="001CE6A7" w14:textId="77777777" w:rsidR="00E01217" w:rsidRPr="00E01217" w:rsidRDefault="00E01217" w:rsidP="00E01217">
                  <w:pPr>
                    <w:spacing w:after="0" w:line="360" w:lineRule="auto"/>
                    <w:rPr>
                      <w:rFonts w:ascii="Arial" w:hAnsi="Arial" w:cs="Arial"/>
                      <w:sz w:val="20"/>
                      <w:szCs w:val="20"/>
                    </w:rPr>
                  </w:pPr>
                </w:p>
              </w:tc>
            </w:tr>
          </w:tbl>
          <w:p w14:paraId="182961E2" w14:textId="77777777" w:rsidR="00E01217" w:rsidRPr="00E01217" w:rsidRDefault="00E01217" w:rsidP="00E01217">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1"/>
            </w:tblGrid>
            <w:tr w:rsidR="00E01217" w:rsidRPr="00437257" w14:paraId="4C96286E" w14:textId="77777777">
              <w:trPr>
                <w:tblCellSpacing w:w="15" w:type="dxa"/>
              </w:trPr>
              <w:tc>
                <w:tcPr>
                  <w:tcW w:w="0" w:type="auto"/>
                  <w:vAlign w:val="center"/>
                  <w:hideMark/>
                </w:tcPr>
                <w:p w14:paraId="069CE8A8" w14:textId="77777777" w:rsidR="00E01217" w:rsidRPr="00E01217" w:rsidRDefault="00E01217" w:rsidP="00E01217">
                  <w:pPr>
                    <w:spacing w:after="0" w:line="360" w:lineRule="auto"/>
                    <w:rPr>
                      <w:rFonts w:ascii="Arial" w:hAnsi="Arial" w:cs="Arial"/>
                      <w:sz w:val="20"/>
                      <w:szCs w:val="20"/>
                      <w:lang w:val="en-US"/>
                    </w:rPr>
                  </w:pPr>
                  <w:r w:rsidRPr="00E01217">
                    <w:rPr>
                      <w:rFonts w:ascii="Arial" w:hAnsi="Arial" w:cs="Arial"/>
                      <w:sz w:val="20"/>
                      <w:szCs w:val="20"/>
                      <w:lang w:val="en-US"/>
                    </w:rPr>
                    <w:t>Page et al., PRISMA 2020 Statement</w:t>
                  </w:r>
                </w:p>
              </w:tc>
            </w:tr>
          </w:tbl>
          <w:p w14:paraId="1F1E3FEA" w14:textId="77777777" w:rsidR="00E01217" w:rsidRPr="00E01217" w:rsidRDefault="00E01217" w:rsidP="00E01217">
            <w:pPr>
              <w:spacing w:line="360" w:lineRule="auto"/>
              <w:rPr>
                <w:rFonts w:ascii="Arial" w:hAnsi="Arial" w:cs="Arial"/>
                <w:sz w:val="20"/>
                <w:szCs w:val="20"/>
                <w:lang w:val="en-US"/>
              </w:rPr>
            </w:pPr>
          </w:p>
        </w:tc>
        <w:tc>
          <w:tcPr>
            <w:tcW w:w="708" w:type="dxa"/>
          </w:tcPr>
          <w:p w14:paraId="6686A41C" w14:textId="27536767" w:rsidR="00E01217" w:rsidRPr="00E01217" w:rsidRDefault="00E01217" w:rsidP="00E01217">
            <w:pPr>
              <w:spacing w:line="360" w:lineRule="auto"/>
              <w:rPr>
                <w:rFonts w:ascii="Arial" w:hAnsi="Arial" w:cs="Arial"/>
                <w:b/>
                <w:bCs/>
                <w:sz w:val="20"/>
                <w:szCs w:val="20"/>
                <w:lang w:val="en-US"/>
              </w:rPr>
            </w:pPr>
            <w:r w:rsidRPr="00E01217">
              <w:rPr>
                <w:rFonts w:ascii="Arial" w:hAnsi="Arial" w:cs="Arial"/>
                <w:b/>
                <w:bCs/>
                <w:sz w:val="20"/>
                <w:szCs w:val="20"/>
                <w:lang w:val="en-US"/>
              </w:rPr>
              <w:t>2021</w:t>
            </w:r>
          </w:p>
        </w:tc>
        <w:tc>
          <w:tcPr>
            <w:tcW w:w="1418" w:type="dxa"/>
          </w:tcPr>
          <w:p w14:paraId="5652B78A" w14:textId="16790E7A" w:rsidR="00E01217" w:rsidRPr="00E01217" w:rsidRDefault="00E01217" w:rsidP="00E01217">
            <w:pPr>
              <w:spacing w:line="360" w:lineRule="auto"/>
              <w:rPr>
                <w:rFonts w:ascii="Arial" w:hAnsi="Arial" w:cs="Arial"/>
                <w:sz w:val="20"/>
                <w:szCs w:val="20"/>
                <w:lang w:val="en-US"/>
              </w:rPr>
            </w:pPr>
            <w:r w:rsidRPr="00E01217">
              <w:rPr>
                <w:rFonts w:ascii="Arial" w:hAnsi="Arial" w:cs="Arial"/>
                <w:sz w:val="20"/>
                <w:szCs w:val="20"/>
              </w:rPr>
              <w:t>Methodological guideline</w:t>
            </w:r>
          </w:p>
        </w:tc>
        <w:tc>
          <w:tcPr>
            <w:tcW w:w="282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1217" w:rsidRPr="00E01217" w14:paraId="210391A9" w14:textId="77777777">
              <w:trPr>
                <w:tblCellSpacing w:w="15" w:type="dxa"/>
              </w:trPr>
              <w:tc>
                <w:tcPr>
                  <w:tcW w:w="0" w:type="auto"/>
                  <w:vAlign w:val="center"/>
                  <w:hideMark/>
                </w:tcPr>
                <w:p w14:paraId="27EBED83" w14:textId="77777777" w:rsidR="00E01217" w:rsidRPr="00E01217" w:rsidRDefault="00E01217" w:rsidP="00E01217">
                  <w:pPr>
                    <w:spacing w:after="0" w:line="360" w:lineRule="auto"/>
                    <w:rPr>
                      <w:rFonts w:ascii="Arial" w:hAnsi="Arial" w:cs="Arial"/>
                      <w:sz w:val="20"/>
                      <w:szCs w:val="20"/>
                    </w:rPr>
                  </w:pPr>
                </w:p>
              </w:tc>
            </w:tr>
          </w:tbl>
          <w:p w14:paraId="20F7B66C" w14:textId="77777777" w:rsidR="00E01217" w:rsidRPr="00E01217" w:rsidRDefault="00E01217" w:rsidP="00E01217">
            <w:pPr>
              <w:spacing w:line="360" w:lineRule="auto"/>
              <w:rPr>
                <w:rFonts w:ascii="Arial" w:hAnsi="Arial" w:cs="Arial"/>
                <w:vanish/>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0"/>
            </w:tblGrid>
            <w:tr w:rsidR="00E01217" w:rsidRPr="00437257" w14:paraId="4BD77A3F" w14:textId="77777777">
              <w:trPr>
                <w:tblCellSpacing w:w="15" w:type="dxa"/>
              </w:trPr>
              <w:tc>
                <w:tcPr>
                  <w:tcW w:w="0" w:type="auto"/>
                  <w:vAlign w:val="center"/>
                  <w:hideMark/>
                </w:tcPr>
                <w:p w14:paraId="5A1DFF49" w14:textId="77777777" w:rsidR="00E01217" w:rsidRPr="00E01217" w:rsidRDefault="00E01217" w:rsidP="00E01217">
                  <w:pPr>
                    <w:spacing w:after="0" w:line="360" w:lineRule="auto"/>
                    <w:rPr>
                      <w:rFonts w:ascii="Arial" w:hAnsi="Arial" w:cs="Arial"/>
                      <w:sz w:val="20"/>
                      <w:szCs w:val="20"/>
                      <w:lang w:val="en-US"/>
                    </w:rPr>
                  </w:pPr>
                  <w:r w:rsidRPr="00E01217">
                    <w:rPr>
                      <w:rFonts w:ascii="Arial" w:hAnsi="Arial" w:cs="Arial"/>
                      <w:sz w:val="20"/>
                      <w:szCs w:val="20"/>
                      <w:lang w:val="en-US"/>
                    </w:rPr>
                    <w:t>Systematic review reporting and PRISMA flow diagram.</w:t>
                  </w:r>
                </w:p>
              </w:tc>
            </w:tr>
          </w:tbl>
          <w:p w14:paraId="3E57FC27" w14:textId="77777777" w:rsidR="00E01217" w:rsidRPr="00E01217" w:rsidRDefault="00E01217" w:rsidP="00E01217">
            <w:pPr>
              <w:spacing w:line="360" w:lineRule="auto"/>
              <w:rPr>
                <w:rFonts w:ascii="Arial" w:hAnsi="Arial" w:cs="Arial"/>
                <w:sz w:val="20"/>
                <w:szCs w:val="20"/>
                <w:lang w:val="en-US"/>
              </w:rPr>
            </w:pPr>
          </w:p>
        </w:tc>
      </w:tr>
    </w:tbl>
    <w:p w14:paraId="492CEBDF" w14:textId="77777777" w:rsidR="00E01217" w:rsidRPr="00B7158F" w:rsidRDefault="00E01217" w:rsidP="00E01217">
      <w:pPr>
        <w:spacing w:line="360" w:lineRule="auto"/>
        <w:jc w:val="both"/>
        <w:rPr>
          <w:rFonts w:ascii="Arial" w:hAnsi="Arial" w:cs="Arial"/>
          <w:sz w:val="22"/>
          <w:szCs w:val="22"/>
          <w:lang w:val="en-US"/>
        </w:rPr>
      </w:pPr>
    </w:p>
    <w:p w14:paraId="751DE4E2"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0400B001" w14:textId="77777777" w:rsidR="00E01217" w:rsidRPr="00E01217" w:rsidRDefault="00E01217" w:rsidP="00E01217">
      <w:pPr>
        <w:pStyle w:val="Heading2"/>
        <w:rPr>
          <w:lang w:val="en-US"/>
        </w:rPr>
      </w:pPr>
      <w:bookmarkStart w:id="66" w:name="_Toc233629161"/>
      <w:r w:rsidRPr="00E01217">
        <w:rPr>
          <w:lang w:val="en-US"/>
        </w:rPr>
        <w:lastRenderedPageBreak/>
        <w:t>Appendix 7: Thematic Coding Summary</w:t>
      </w:r>
      <w:bookmarkEnd w:id="66"/>
    </w:p>
    <w:p w14:paraId="296CBC21" w14:textId="61BD0A89" w:rsidR="00E01217" w:rsidRDefault="00E01217" w:rsidP="00E01217">
      <w:pPr>
        <w:spacing w:line="360" w:lineRule="auto"/>
        <w:jc w:val="both"/>
        <w:rPr>
          <w:rFonts w:ascii="Arial" w:hAnsi="Arial" w:cs="Arial"/>
          <w:sz w:val="22"/>
          <w:szCs w:val="22"/>
          <w:lang w:val="en-US"/>
        </w:rPr>
      </w:pPr>
      <w:r w:rsidRPr="00E01217">
        <w:rPr>
          <w:rFonts w:ascii="Arial" w:hAnsi="Arial" w:cs="Arial"/>
          <w:sz w:val="22"/>
          <w:szCs w:val="22"/>
          <w:lang w:val="en-US"/>
        </w:rPr>
        <w:t xml:space="preserve">This appendix </w:t>
      </w:r>
      <w:r w:rsidR="00B56FD2">
        <w:rPr>
          <w:rFonts w:ascii="Arial" w:hAnsi="Arial" w:cs="Arial"/>
          <w:sz w:val="22"/>
          <w:szCs w:val="22"/>
          <w:lang w:val="en-US"/>
        </w:rPr>
        <w:t>summarises</w:t>
      </w:r>
      <w:r w:rsidRPr="00E01217">
        <w:rPr>
          <w:rFonts w:ascii="Arial" w:hAnsi="Arial" w:cs="Arial"/>
          <w:sz w:val="22"/>
          <w:szCs w:val="22"/>
          <w:lang w:val="en-US"/>
        </w:rPr>
        <w:t xml:space="preserve"> the final themes developed through thematic analysis.</w:t>
      </w:r>
    </w:p>
    <w:tbl>
      <w:tblPr>
        <w:tblStyle w:val="TableGrid"/>
        <w:tblW w:w="0" w:type="auto"/>
        <w:tblLook w:val="04A0" w:firstRow="1" w:lastRow="0" w:firstColumn="1" w:lastColumn="0" w:noHBand="0" w:noVBand="1"/>
      </w:tblPr>
      <w:tblGrid>
        <w:gridCol w:w="3256"/>
        <w:gridCol w:w="6089"/>
      </w:tblGrid>
      <w:tr w:rsidR="00E01217" w14:paraId="38907BEC" w14:textId="77777777" w:rsidTr="00E01217">
        <w:tc>
          <w:tcPr>
            <w:tcW w:w="3256" w:type="dxa"/>
          </w:tcPr>
          <w:p w14:paraId="3E9539E1" w14:textId="37DB9BAE" w:rsidR="00E01217" w:rsidRPr="00E01217" w:rsidRDefault="00E01217" w:rsidP="00E01217">
            <w:pPr>
              <w:spacing w:line="360" w:lineRule="auto"/>
              <w:jc w:val="both"/>
              <w:rPr>
                <w:rFonts w:ascii="Arial" w:hAnsi="Arial" w:cs="Arial"/>
                <w:b/>
                <w:bCs/>
                <w:sz w:val="22"/>
                <w:szCs w:val="22"/>
                <w:lang w:val="en-US"/>
              </w:rPr>
            </w:pPr>
            <w:r w:rsidRPr="00E01217">
              <w:rPr>
                <w:rFonts w:ascii="Arial" w:hAnsi="Arial" w:cs="Arial"/>
                <w:b/>
                <w:bCs/>
                <w:sz w:val="22"/>
                <w:szCs w:val="22"/>
                <w:lang w:val="en-US"/>
              </w:rPr>
              <w:t>Theme</w:t>
            </w:r>
          </w:p>
        </w:tc>
        <w:tc>
          <w:tcPr>
            <w:tcW w:w="6089" w:type="dxa"/>
          </w:tcPr>
          <w:p w14:paraId="7DDA3E2F" w14:textId="2DBE0E1A" w:rsidR="00E01217" w:rsidRPr="00E01217" w:rsidRDefault="00E01217" w:rsidP="00E01217">
            <w:pPr>
              <w:spacing w:line="360" w:lineRule="auto"/>
              <w:jc w:val="both"/>
              <w:rPr>
                <w:rFonts w:ascii="Arial" w:hAnsi="Arial" w:cs="Arial"/>
                <w:b/>
                <w:bCs/>
                <w:sz w:val="22"/>
                <w:szCs w:val="22"/>
                <w:lang w:val="en-US"/>
              </w:rPr>
            </w:pPr>
            <w:r w:rsidRPr="00E01217">
              <w:rPr>
                <w:rFonts w:ascii="Arial" w:hAnsi="Arial" w:cs="Arial"/>
                <w:b/>
                <w:bCs/>
                <w:sz w:val="22"/>
                <w:szCs w:val="22"/>
                <w:lang w:val="en-US"/>
              </w:rPr>
              <w:t>Focus</w:t>
            </w:r>
          </w:p>
        </w:tc>
      </w:tr>
      <w:tr w:rsidR="00E01217" w:rsidRPr="00437257" w14:paraId="249C13FB" w14:textId="77777777" w:rsidTr="00E01217">
        <w:tc>
          <w:tcPr>
            <w:tcW w:w="3256" w:type="dxa"/>
          </w:tcPr>
          <w:p w14:paraId="19EEE77A" w14:textId="387DF8BB"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Waiting times and delayed access</w:t>
            </w:r>
          </w:p>
        </w:tc>
        <w:tc>
          <w:tcPr>
            <w:tcW w:w="6089" w:type="dxa"/>
          </w:tcPr>
          <w:p w14:paraId="7D32E585" w14:textId="2CB302B9"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Long waits, delayed assessment, delayed treatment, uncertainty and deterioration while waiting.</w:t>
            </w:r>
          </w:p>
        </w:tc>
      </w:tr>
      <w:tr w:rsidR="00E01217" w:rsidRPr="00437257" w14:paraId="2ED6EBDD" w14:textId="77777777" w:rsidTr="00E01217">
        <w:tc>
          <w:tcPr>
            <w:tcW w:w="3256" w:type="dxa"/>
          </w:tcPr>
          <w:p w14:paraId="12B756FC" w14:textId="2C4A0DE0"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Referral thresholds and rejected referrals</w:t>
            </w:r>
            <w:r w:rsidR="00B56FD2">
              <w:rPr>
                <w:rFonts w:ascii="Arial" w:hAnsi="Arial" w:cs="Arial"/>
                <w:sz w:val="22"/>
                <w:szCs w:val="22"/>
                <w:lang w:val="en-US"/>
              </w:rPr>
              <w:t>.</w:t>
            </w:r>
          </w:p>
        </w:tc>
        <w:tc>
          <w:tcPr>
            <w:tcW w:w="6089" w:type="dxa"/>
          </w:tcPr>
          <w:p w14:paraId="1E90AA03" w14:textId="6E1A5E06"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High thresholds, rejected referrals, closed referrals, unclear eligibility and weak signposting.</w:t>
            </w:r>
          </w:p>
        </w:tc>
      </w:tr>
      <w:tr w:rsidR="00E01217" w:rsidRPr="00437257" w14:paraId="32B1D75B" w14:textId="77777777" w:rsidTr="00E01217">
        <w:tc>
          <w:tcPr>
            <w:tcW w:w="3256" w:type="dxa"/>
          </w:tcPr>
          <w:p w14:paraId="06234EA9" w14:textId="6C87BF53" w:rsidR="00E01217" w:rsidRDefault="00E01217" w:rsidP="00E01217">
            <w:pPr>
              <w:spacing w:line="360" w:lineRule="auto"/>
              <w:rPr>
                <w:rFonts w:ascii="Arial" w:hAnsi="Arial" w:cs="Arial"/>
                <w:sz w:val="22"/>
                <w:szCs w:val="22"/>
                <w:lang w:val="en-US"/>
              </w:rPr>
            </w:pPr>
            <w:r w:rsidRPr="00E01217">
              <w:rPr>
                <w:rFonts w:ascii="Arial" w:hAnsi="Arial" w:cs="Arial"/>
                <w:sz w:val="22"/>
                <w:szCs w:val="22"/>
              </w:rPr>
              <w:t>Socioeconomic inequalities</w:t>
            </w:r>
          </w:p>
        </w:tc>
        <w:tc>
          <w:tcPr>
            <w:tcW w:w="6089" w:type="dxa"/>
          </w:tcPr>
          <w:p w14:paraId="138D66EA" w14:textId="77612A6F"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Poverty, deprivation, transport barriers, digital exclusion, SEND, ethnicity and family resources.</w:t>
            </w:r>
          </w:p>
        </w:tc>
      </w:tr>
      <w:tr w:rsidR="00E01217" w:rsidRPr="00437257" w14:paraId="62AB955A" w14:textId="77777777" w:rsidTr="00E01217">
        <w:tc>
          <w:tcPr>
            <w:tcW w:w="3256" w:type="dxa"/>
          </w:tcPr>
          <w:p w14:paraId="6B9F884F" w14:textId="2EC3C306"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Regional variation and service capacity</w:t>
            </w:r>
          </w:p>
        </w:tc>
        <w:tc>
          <w:tcPr>
            <w:tcW w:w="6089" w:type="dxa"/>
          </w:tcPr>
          <w:p w14:paraId="623D3F20" w14:textId="4677EC89"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Local service differences, workforce pressure, uneven provision and postcode variation.</w:t>
            </w:r>
          </w:p>
        </w:tc>
      </w:tr>
      <w:tr w:rsidR="00E01217" w:rsidRPr="00437257" w14:paraId="0B7EC0E1" w14:textId="77777777" w:rsidTr="00E01217">
        <w:tc>
          <w:tcPr>
            <w:tcW w:w="3256" w:type="dxa"/>
          </w:tcPr>
          <w:p w14:paraId="6B8D78A8" w14:textId="271D7800"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Stigma, awareness and help-seeking</w:t>
            </w:r>
          </w:p>
        </w:tc>
        <w:tc>
          <w:tcPr>
            <w:tcW w:w="6089" w:type="dxa"/>
          </w:tcPr>
          <w:p w14:paraId="2D5AB281" w14:textId="7526FB7A"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Fear of judgement, confidentiality concerns, parental recognition, low awareness and trust.</w:t>
            </w:r>
          </w:p>
        </w:tc>
      </w:tr>
      <w:tr w:rsidR="00E01217" w:rsidRPr="00437257" w14:paraId="1C8476A3" w14:textId="77777777" w:rsidTr="00E01217">
        <w:tc>
          <w:tcPr>
            <w:tcW w:w="3256" w:type="dxa"/>
          </w:tcPr>
          <w:p w14:paraId="18BA2C31" w14:textId="30916208"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Schools, GPs and early intervention as enablers</w:t>
            </w:r>
          </w:p>
        </w:tc>
        <w:tc>
          <w:tcPr>
            <w:tcW w:w="6089" w:type="dxa"/>
          </w:tcPr>
          <w:p w14:paraId="393E0CF9" w14:textId="6C88F48F"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School support, general practice, MHSTs, trusted adults and early intervention.</w:t>
            </w:r>
          </w:p>
        </w:tc>
      </w:tr>
      <w:tr w:rsidR="00E01217" w:rsidRPr="00437257" w14:paraId="7D05C0B4" w14:textId="77777777" w:rsidTr="00E01217">
        <w:tc>
          <w:tcPr>
            <w:tcW w:w="3256" w:type="dxa"/>
          </w:tcPr>
          <w:p w14:paraId="20C81E50" w14:textId="546A9210"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Continuity of care and transition issues</w:t>
            </w:r>
          </w:p>
        </w:tc>
        <w:tc>
          <w:tcPr>
            <w:tcW w:w="6089" w:type="dxa"/>
          </w:tcPr>
          <w:p w14:paraId="383FA766" w14:textId="1CB22304" w:rsidR="00E01217" w:rsidRPr="00E01217" w:rsidRDefault="00E01217" w:rsidP="00E01217">
            <w:pPr>
              <w:spacing w:line="360" w:lineRule="auto"/>
              <w:rPr>
                <w:rFonts w:ascii="Arial" w:hAnsi="Arial" w:cs="Arial"/>
                <w:sz w:val="22"/>
                <w:szCs w:val="22"/>
                <w:lang w:val="en-US"/>
              </w:rPr>
            </w:pPr>
            <w:r w:rsidRPr="00E01217">
              <w:rPr>
                <w:rFonts w:ascii="Arial" w:hAnsi="Arial" w:cs="Arial"/>
                <w:sz w:val="22"/>
                <w:szCs w:val="22"/>
                <w:lang w:val="en-US"/>
              </w:rPr>
              <w:t>CAMHS-to-adult transition, fragmented care, repeated assessments and poor follow-up.</w:t>
            </w:r>
          </w:p>
        </w:tc>
      </w:tr>
    </w:tbl>
    <w:p w14:paraId="67E5B063" w14:textId="77777777" w:rsidR="00067553" w:rsidRDefault="00067553" w:rsidP="00E01217">
      <w:pPr>
        <w:spacing w:line="360" w:lineRule="auto"/>
        <w:jc w:val="both"/>
        <w:rPr>
          <w:rFonts w:ascii="Arial" w:hAnsi="Arial" w:cs="Arial"/>
          <w:sz w:val="22"/>
          <w:szCs w:val="22"/>
          <w:lang w:val="en-US"/>
        </w:rPr>
      </w:pPr>
    </w:p>
    <w:p w14:paraId="1FADB6F0" w14:textId="7508A66E" w:rsidR="00E01217" w:rsidRPr="00067553" w:rsidRDefault="00067553" w:rsidP="00E01217">
      <w:pPr>
        <w:spacing w:line="360" w:lineRule="auto"/>
        <w:jc w:val="both"/>
        <w:rPr>
          <w:rFonts w:ascii="Arial" w:hAnsi="Arial" w:cs="Arial"/>
          <w:sz w:val="22"/>
          <w:szCs w:val="22"/>
          <w:lang w:val="en-US"/>
        </w:rPr>
      </w:pPr>
      <w:r w:rsidRPr="00067553">
        <w:rPr>
          <w:rFonts w:ascii="Arial" w:hAnsi="Arial" w:cs="Arial"/>
          <w:sz w:val="22"/>
          <w:szCs w:val="22"/>
          <w:lang w:val="en-US"/>
        </w:rPr>
        <w:t>The themes were developed by reading the included evidence, identifying repeated findings, assigning initial codes, grouping similar codes and reviewing themes against the research question.</w:t>
      </w:r>
    </w:p>
    <w:p w14:paraId="17C9BB16" w14:textId="41A109B1" w:rsidR="00501C21" w:rsidRPr="00B7158F" w:rsidRDefault="00501C21" w:rsidP="00B7158F">
      <w:pPr>
        <w:spacing w:line="360" w:lineRule="auto"/>
        <w:jc w:val="both"/>
        <w:rPr>
          <w:rFonts w:ascii="Arial" w:hAnsi="Arial" w:cs="Arial"/>
          <w:sz w:val="22"/>
          <w:szCs w:val="22"/>
          <w:lang w:val="en-US"/>
        </w:rPr>
      </w:pPr>
    </w:p>
    <w:p w14:paraId="59FDACC8"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37F57970" w14:textId="3BB917EB" w:rsidR="00067553" w:rsidRPr="00067553" w:rsidRDefault="00067553" w:rsidP="00067553">
      <w:pPr>
        <w:pStyle w:val="Heading2"/>
        <w:rPr>
          <w:lang w:val="en-US"/>
        </w:rPr>
      </w:pPr>
      <w:bookmarkStart w:id="67" w:name="_Toc233629162"/>
      <w:r w:rsidRPr="00067553">
        <w:rPr>
          <w:lang w:val="en-US"/>
        </w:rPr>
        <w:lastRenderedPageBreak/>
        <w:t>Appendix 8: PRISMA 2020 Checklist Summary</w:t>
      </w:r>
      <w:bookmarkEnd w:id="67"/>
    </w:p>
    <w:p w14:paraId="4D74B708" w14:textId="46D7585B"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This appendix outlines the way PRISMA 2020 criteria were implemented within the dissertation.</w:t>
      </w:r>
    </w:p>
    <w:p w14:paraId="0A8B1366" w14:textId="536F82EC"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 review question, purpose, and aims of the dissertation are explicitly stated; inclusion/exclusion criteria, sources of information, search methods, screening criteria, and numbers of studies identified, screened, excluded, and selected have been described. In addition, the dissertation provides the data extraction strategy, the quality assessment criteria, and the thematic analysis methodology used.</w:t>
      </w:r>
    </w:p>
    <w:p w14:paraId="114C929B" w14:textId="1473DB84" w:rsidR="00501C21" w:rsidRPr="00B7158F"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 flow chart according to PRISMA 2020 guidelines is presented in Figure 2 within Chapter 3 of the dissertation; data for this figure can be found in Appendix 3. Utilization of PRISMA 2020 guidelines makes the research more transparent and traceable.</w:t>
      </w:r>
    </w:p>
    <w:p w14:paraId="60724C98"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6A5D7E6C" w14:textId="0AF060D5" w:rsidR="00067553" w:rsidRPr="00067553" w:rsidRDefault="00067553" w:rsidP="00067553">
      <w:pPr>
        <w:pStyle w:val="Heading2"/>
        <w:rPr>
          <w:lang w:val="en-US"/>
        </w:rPr>
      </w:pPr>
      <w:bookmarkStart w:id="68" w:name="_Toc233629163"/>
      <w:r w:rsidRPr="00067553">
        <w:rPr>
          <w:lang w:val="en-US"/>
        </w:rPr>
        <w:lastRenderedPageBreak/>
        <w:t>Appendix 9: Search Audit Trail</w:t>
      </w:r>
      <w:bookmarkEnd w:id="68"/>
    </w:p>
    <w:p w14:paraId="51CCC1A4" w14:textId="4AA03BBB"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This appendix outlines the key choices made during the review process.</w:t>
      </w:r>
    </w:p>
    <w:p w14:paraId="67E7CAC4" w14:textId="00204A5B"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 review focused on the accessibility of CAMHS services in the United Kingdom since CAMHS referral processes are dependent on UK-specific NHS, educational, social care, and policy frameworks.</w:t>
      </w:r>
    </w:p>
    <w:p w14:paraId="2D9B1163" w14:textId="71D13B3B"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 time period covered was 2015-2025 due to policy changes, service pressures, post-COVID circumstances, and current issues surrounding access.</w:t>
      </w:r>
    </w:p>
    <w:p w14:paraId="07F4EE5C" w14:textId="02DA2CCB"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Qualitative and mixed methods research was given preference since the research question required insight into experience and barriers or facilitators, and not merely prevalence or service provision.</w:t>
      </w:r>
    </w:p>
    <w:p w14:paraId="06273FA5" w14:textId="06F507E5"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 inclusion of appropriate UK gray literature was done since there is an abundance of evidence related to CAMHS accessibility in reports on NHS, governmental, parliamentarian, and children’s rights.</w:t>
      </w:r>
    </w:p>
    <w:p w14:paraId="56F196A0" w14:textId="013C8CC0"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Research using quantitative methodologies only was included in the main synthesis only if it provided important contextual information.</w:t>
      </w:r>
    </w:p>
    <w:p w14:paraId="1AD0FAFD" w14:textId="0D2C630D" w:rsidR="00501C21" w:rsidRPr="00B7158F"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Seven themes were used for the final synthesis because these themes best illustrated the recurring themes in the selected evidence.</w:t>
      </w:r>
    </w:p>
    <w:p w14:paraId="4CD3D259"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5077F16E" w14:textId="0826DC90" w:rsidR="00067553" w:rsidRPr="00067553" w:rsidRDefault="00067553" w:rsidP="00067553">
      <w:pPr>
        <w:pStyle w:val="Heading2"/>
        <w:rPr>
          <w:lang w:val="en-US"/>
        </w:rPr>
      </w:pPr>
      <w:bookmarkStart w:id="69" w:name="_Toc233629164"/>
      <w:r w:rsidRPr="00067553">
        <w:rPr>
          <w:lang w:val="en-US"/>
        </w:rPr>
        <w:lastRenderedPageBreak/>
        <w:t>Appendix 10: Linkage of Themes to Objectives</w:t>
      </w:r>
      <w:bookmarkEnd w:id="69"/>
    </w:p>
    <w:p w14:paraId="5CE8FD58" w14:textId="5A5D4D3C"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 linkage between the final themes and the dissertation objectives is provided below.</w:t>
      </w:r>
    </w:p>
    <w:p w14:paraId="790D23E4" w14:textId="77777777" w:rsidR="00067553" w:rsidRDefault="00067553" w:rsidP="00067553">
      <w:pPr>
        <w:spacing w:line="360" w:lineRule="auto"/>
        <w:jc w:val="both"/>
        <w:rPr>
          <w:rFonts w:ascii="Arial" w:hAnsi="Arial" w:cs="Arial"/>
          <w:sz w:val="22"/>
          <w:szCs w:val="22"/>
          <w:lang w:val="en-US"/>
        </w:rPr>
      </w:pPr>
    </w:p>
    <w:p w14:paraId="714C1007" w14:textId="4868D701"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Theme 1, Theme 2, Theme 4, and Theme 7 were focused on access barriers. Objective 1 explored the structural barriers in CAMHS. Waiting time, referral threshold, availability of services, local differences, and continuity of care issues were emphasized by these themes.</w:t>
      </w:r>
    </w:p>
    <w:p w14:paraId="0E0FCE70" w14:textId="77777777" w:rsidR="00067553" w:rsidRPr="00067553" w:rsidRDefault="00067553" w:rsidP="00067553">
      <w:pPr>
        <w:spacing w:line="360" w:lineRule="auto"/>
        <w:jc w:val="both"/>
        <w:rPr>
          <w:rFonts w:ascii="Arial" w:hAnsi="Arial" w:cs="Arial"/>
          <w:sz w:val="22"/>
          <w:szCs w:val="22"/>
          <w:lang w:val="en-US"/>
        </w:rPr>
      </w:pPr>
    </w:p>
    <w:p w14:paraId="0F6F55C3"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Theme 3 was focused on socioeconomic factors that affected access. Objective 2 explored socioeconomic inequalities and poverty, special educational needs and disabilities, ethnicity, resources, stigma, and local availability of services.</w:t>
      </w:r>
    </w:p>
    <w:p w14:paraId="3D39E0B9" w14:textId="77777777" w:rsidR="00067553" w:rsidRPr="00067553" w:rsidRDefault="00067553" w:rsidP="00067553">
      <w:pPr>
        <w:spacing w:line="360" w:lineRule="auto"/>
        <w:jc w:val="both"/>
        <w:rPr>
          <w:rFonts w:ascii="Arial" w:hAnsi="Arial" w:cs="Arial"/>
          <w:sz w:val="22"/>
          <w:szCs w:val="22"/>
          <w:lang w:val="en-US"/>
        </w:rPr>
      </w:pPr>
    </w:p>
    <w:p w14:paraId="706EEC99"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Theme 6 concentrated on access enablers. Objective 3 was related to enablers of access to CAMHS services. Enabling factors discussed by the theme included schools, GPs, MHSTs, early intervention, trusted adults, and integrated working.</w:t>
      </w:r>
    </w:p>
    <w:p w14:paraId="6A77B027" w14:textId="77777777" w:rsidR="00067553" w:rsidRPr="00067553" w:rsidRDefault="00067553" w:rsidP="00067553">
      <w:pPr>
        <w:spacing w:line="360" w:lineRule="auto"/>
        <w:jc w:val="both"/>
        <w:rPr>
          <w:rFonts w:ascii="Arial" w:hAnsi="Arial" w:cs="Arial"/>
          <w:sz w:val="22"/>
          <w:szCs w:val="22"/>
          <w:lang w:val="en-US"/>
        </w:rPr>
      </w:pPr>
    </w:p>
    <w:p w14:paraId="150A48B9" w14:textId="0CADAAB4" w:rsidR="00501C21" w:rsidRPr="00B7158F"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Theme synthesis and the analysis of qualitative and mixed-methods literature were required for Objective 4, which was linked to all themes.</w:t>
      </w:r>
    </w:p>
    <w:p w14:paraId="0675D944"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24060B32" w14:textId="06975A35" w:rsidR="00067553" w:rsidRPr="00067553" w:rsidRDefault="00067553" w:rsidP="00067553">
      <w:pPr>
        <w:pStyle w:val="Heading2"/>
        <w:rPr>
          <w:lang w:val="en-US"/>
        </w:rPr>
      </w:pPr>
      <w:bookmarkStart w:id="70" w:name="_Toc233629165"/>
      <w:r w:rsidRPr="00067553">
        <w:rPr>
          <w:lang w:val="en-US"/>
        </w:rPr>
        <w:lastRenderedPageBreak/>
        <w:t>Appendix 11: Barriers and Enablers Through the CAMHS Access Pathway</w:t>
      </w:r>
      <w:bookmarkEnd w:id="70"/>
    </w:p>
    <w:p w14:paraId="16E834FD"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The below describes how the barriers and enablers present throughout the CAMHS access pathway:</w:t>
      </w:r>
    </w:p>
    <w:p w14:paraId="65458DBF" w14:textId="77777777" w:rsidR="00067553" w:rsidRPr="00067553" w:rsidRDefault="00067553" w:rsidP="00067553">
      <w:pPr>
        <w:spacing w:line="360" w:lineRule="auto"/>
        <w:jc w:val="both"/>
        <w:rPr>
          <w:rFonts w:ascii="Arial" w:hAnsi="Arial" w:cs="Arial"/>
          <w:sz w:val="22"/>
          <w:szCs w:val="22"/>
          <w:lang w:val="en-US"/>
        </w:rPr>
      </w:pPr>
    </w:p>
    <w:p w14:paraId="385BCF4C"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Recognising the need for CAMHS can be hindered by stigma, hidden needs, and lack of mental health knowledge. This process can be facilitated through school settings, parents/adult carers, and holistic school mental health approaches.</w:t>
      </w:r>
    </w:p>
    <w:p w14:paraId="352C7A91" w14:textId="77777777" w:rsidR="00067553" w:rsidRPr="00067553" w:rsidRDefault="00067553" w:rsidP="00067553">
      <w:pPr>
        <w:spacing w:line="360" w:lineRule="auto"/>
        <w:jc w:val="both"/>
        <w:rPr>
          <w:rFonts w:ascii="Arial" w:hAnsi="Arial" w:cs="Arial"/>
          <w:sz w:val="22"/>
          <w:szCs w:val="22"/>
          <w:lang w:val="en-US"/>
        </w:rPr>
      </w:pPr>
    </w:p>
    <w:p w14:paraId="0666CBFE"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Help seeking can be hampered by fears of being judged, worries about confidentiality issues, and confusion over available help. This process can be helped by youth-friendly communications, provision of appropriate information, and parents/carers who support seeking help.</w:t>
      </w:r>
    </w:p>
    <w:p w14:paraId="30AC9568" w14:textId="77777777" w:rsidR="00067553" w:rsidRPr="00067553" w:rsidRDefault="00067553" w:rsidP="00067553">
      <w:pPr>
        <w:spacing w:line="360" w:lineRule="auto"/>
        <w:jc w:val="both"/>
        <w:rPr>
          <w:rFonts w:ascii="Arial" w:hAnsi="Arial" w:cs="Arial"/>
          <w:sz w:val="22"/>
          <w:szCs w:val="22"/>
          <w:lang w:val="en-US"/>
        </w:rPr>
      </w:pPr>
    </w:p>
    <w:p w14:paraId="67EC9138"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Referral can be constrained by unclear pathways, high referral thresholds, and professionals acting as gatekeepers. Referrals can be made more effective by specifying referral criteria, referrals made by GPs, and cooperation between schools and CAMHS teams.</w:t>
      </w:r>
    </w:p>
    <w:p w14:paraId="798BF465" w14:textId="77777777" w:rsidR="00067553" w:rsidRPr="00067553" w:rsidRDefault="00067553" w:rsidP="00067553">
      <w:pPr>
        <w:spacing w:line="360" w:lineRule="auto"/>
        <w:jc w:val="both"/>
        <w:rPr>
          <w:rFonts w:ascii="Arial" w:hAnsi="Arial" w:cs="Arial"/>
          <w:sz w:val="22"/>
          <w:szCs w:val="22"/>
          <w:lang w:val="en-US"/>
        </w:rPr>
      </w:pPr>
    </w:p>
    <w:p w14:paraId="092BCBD8"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Waiting times for an appointment can cause anxiety, deterioration, and increased pressure for schools and families. This process can be made better through provision of interim support, ongoing communication, input from MHSTs, and crisis information.</w:t>
      </w:r>
    </w:p>
    <w:p w14:paraId="7037C866" w14:textId="77777777" w:rsidR="00067553" w:rsidRPr="00067553" w:rsidRDefault="00067553" w:rsidP="00067553">
      <w:pPr>
        <w:spacing w:line="360" w:lineRule="auto"/>
        <w:jc w:val="both"/>
        <w:rPr>
          <w:rFonts w:ascii="Arial" w:hAnsi="Arial" w:cs="Arial"/>
          <w:sz w:val="22"/>
          <w:szCs w:val="22"/>
          <w:lang w:val="en-US"/>
        </w:rPr>
      </w:pPr>
    </w:p>
    <w:p w14:paraId="270FF455"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Access to treatment can be affected by multiple assessments and miscommunication. Assessment and treatment can be aided through a child-centered assessment process, scheduling flexibility, and building therapeutic relationships.</w:t>
      </w:r>
    </w:p>
    <w:p w14:paraId="2A1D1D59" w14:textId="77777777" w:rsidR="00067553" w:rsidRPr="00067553" w:rsidRDefault="00067553" w:rsidP="00067553">
      <w:pPr>
        <w:spacing w:line="360" w:lineRule="auto"/>
        <w:jc w:val="both"/>
        <w:rPr>
          <w:rFonts w:ascii="Arial" w:hAnsi="Arial" w:cs="Arial"/>
          <w:sz w:val="22"/>
          <w:szCs w:val="22"/>
          <w:lang w:val="en-US"/>
        </w:rPr>
      </w:pPr>
    </w:p>
    <w:p w14:paraId="3C525627" w14:textId="39FBA936" w:rsidR="00501C21" w:rsidRPr="00B7158F"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Continuity of care can be hindered by fragmented care, lack of continuity from CAMHS to adults, and inadequate follow up. Continuity of care can be improved through transition plans, co-management, and working together.</w:t>
      </w:r>
    </w:p>
    <w:p w14:paraId="5E1CAAB7"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1ADC4107" w14:textId="25AF8ECC" w:rsidR="00067553" w:rsidRPr="00067553" w:rsidRDefault="00067553" w:rsidP="00067553">
      <w:pPr>
        <w:pStyle w:val="Heading2"/>
        <w:rPr>
          <w:lang w:val="en-US"/>
        </w:rPr>
      </w:pPr>
      <w:bookmarkStart w:id="71" w:name="_Toc233629166"/>
      <w:r w:rsidRPr="00067553">
        <w:rPr>
          <w:lang w:val="en-US"/>
        </w:rPr>
        <w:lastRenderedPageBreak/>
        <w:t>Appendix 12: Overview of Implementation of Recommendations</w:t>
      </w:r>
      <w:bookmarkEnd w:id="71"/>
    </w:p>
    <w:p w14:paraId="0EB76DE2"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In this appendix, a summary of the recommendations that have been made on the basis of the findings is provided.</w:t>
      </w:r>
    </w:p>
    <w:p w14:paraId="2DFF1D64" w14:textId="77777777" w:rsidR="00067553" w:rsidRPr="00067553" w:rsidRDefault="00067553" w:rsidP="00067553">
      <w:pPr>
        <w:spacing w:line="360" w:lineRule="auto"/>
        <w:jc w:val="both"/>
        <w:rPr>
          <w:rFonts w:ascii="Arial" w:hAnsi="Arial" w:cs="Arial"/>
          <w:sz w:val="22"/>
          <w:szCs w:val="22"/>
          <w:lang w:val="en-US"/>
        </w:rPr>
      </w:pPr>
    </w:p>
    <w:p w14:paraId="2F175833" w14:textId="10603AA2"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1)</w:t>
      </w:r>
      <w:r w:rsidRPr="00067553">
        <w:rPr>
          <w:rFonts w:ascii="Arial" w:hAnsi="Arial" w:cs="Arial"/>
          <w:sz w:val="22"/>
          <w:szCs w:val="22"/>
          <w:lang w:val="en-US"/>
        </w:rPr>
        <w:t xml:space="preserve"> There should be an effort made to increase the capacity of specialist CAMHS to decrease waiting times and provide timely access to assessment and treatment.</w:t>
      </w:r>
    </w:p>
    <w:p w14:paraId="2D9F7252" w14:textId="77777777" w:rsidR="00067553" w:rsidRPr="00067553" w:rsidRDefault="00067553" w:rsidP="00067553">
      <w:pPr>
        <w:spacing w:line="360" w:lineRule="auto"/>
        <w:jc w:val="both"/>
        <w:rPr>
          <w:rFonts w:ascii="Arial" w:hAnsi="Arial" w:cs="Arial"/>
          <w:sz w:val="22"/>
          <w:szCs w:val="22"/>
          <w:lang w:val="en-US"/>
        </w:rPr>
      </w:pPr>
    </w:p>
    <w:p w14:paraId="58F18CCD"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2)</w:t>
      </w:r>
      <w:r w:rsidRPr="00067553">
        <w:rPr>
          <w:rFonts w:ascii="Arial" w:hAnsi="Arial" w:cs="Arial"/>
          <w:sz w:val="22"/>
          <w:szCs w:val="22"/>
          <w:lang w:val="en-US"/>
        </w:rPr>
        <w:t xml:space="preserve"> It is imperative to provide interim support, risk guidelines, and information on escalation when dealing with children and their families who are yet to see a CAMHS.</w:t>
      </w:r>
    </w:p>
    <w:p w14:paraId="45B38C95" w14:textId="77777777" w:rsidR="00067553" w:rsidRPr="00067553" w:rsidRDefault="00067553" w:rsidP="00067553">
      <w:pPr>
        <w:spacing w:line="360" w:lineRule="auto"/>
        <w:jc w:val="both"/>
        <w:rPr>
          <w:rFonts w:ascii="Arial" w:hAnsi="Arial" w:cs="Arial"/>
          <w:sz w:val="22"/>
          <w:szCs w:val="22"/>
          <w:lang w:val="en-US"/>
        </w:rPr>
      </w:pPr>
    </w:p>
    <w:p w14:paraId="1425107D"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3)</w:t>
      </w:r>
      <w:r w:rsidRPr="00067553">
        <w:rPr>
          <w:rFonts w:ascii="Arial" w:hAnsi="Arial" w:cs="Arial"/>
          <w:sz w:val="22"/>
          <w:szCs w:val="22"/>
          <w:lang w:val="en-US"/>
        </w:rPr>
        <w:t xml:space="preserve"> When referrals are either rejected or closed, there should be a process of management through explicit reasoning, proactive referrals, and active follow-up processes rather than mere signposting.</w:t>
      </w:r>
    </w:p>
    <w:p w14:paraId="6CF65583" w14:textId="77777777" w:rsidR="00067553" w:rsidRPr="00067553" w:rsidRDefault="00067553" w:rsidP="00067553">
      <w:pPr>
        <w:spacing w:line="360" w:lineRule="auto"/>
        <w:jc w:val="both"/>
        <w:rPr>
          <w:rFonts w:ascii="Arial" w:hAnsi="Arial" w:cs="Arial"/>
          <w:sz w:val="22"/>
          <w:szCs w:val="22"/>
          <w:lang w:val="en-US"/>
        </w:rPr>
      </w:pPr>
    </w:p>
    <w:p w14:paraId="413B7515"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4)</w:t>
      </w:r>
      <w:r w:rsidRPr="00067553">
        <w:rPr>
          <w:rFonts w:ascii="Arial" w:hAnsi="Arial" w:cs="Arial"/>
          <w:sz w:val="22"/>
          <w:szCs w:val="22"/>
          <w:lang w:val="en-US"/>
        </w:rPr>
        <w:t xml:space="preserve"> It is important that CAMHS pathways be developed in light of certain issues such as poverty, SEND, digital inclusion, transport difficulties, language barriers, stressful environments, and cultural accessibility.</w:t>
      </w:r>
    </w:p>
    <w:p w14:paraId="21076F16" w14:textId="77777777" w:rsidR="00067553" w:rsidRPr="00067553" w:rsidRDefault="00067553" w:rsidP="00067553">
      <w:pPr>
        <w:spacing w:line="360" w:lineRule="auto"/>
        <w:jc w:val="both"/>
        <w:rPr>
          <w:rFonts w:ascii="Arial" w:hAnsi="Arial" w:cs="Arial"/>
          <w:sz w:val="22"/>
          <w:szCs w:val="22"/>
          <w:lang w:val="en-US"/>
        </w:rPr>
      </w:pPr>
    </w:p>
    <w:p w14:paraId="353D6B45"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5)</w:t>
      </w:r>
      <w:r w:rsidRPr="00067553">
        <w:rPr>
          <w:rFonts w:ascii="Arial" w:hAnsi="Arial" w:cs="Arial"/>
          <w:sz w:val="22"/>
          <w:szCs w:val="22"/>
          <w:lang w:val="en-US"/>
        </w:rPr>
        <w:t xml:space="preserve"> Schools, colleges, GPs, and MHSTs can be used as early access routes while still linking them with specialist CAMHS where necessary because of certain complex risks.</w:t>
      </w:r>
    </w:p>
    <w:p w14:paraId="10490C76" w14:textId="77777777" w:rsidR="00067553" w:rsidRPr="00067553" w:rsidRDefault="00067553" w:rsidP="00067553">
      <w:pPr>
        <w:spacing w:line="360" w:lineRule="auto"/>
        <w:jc w:val="both"/>
        <w:rPr>
          <w:rFonts w:ascii="Arial" w:hAnsi="Arial" w:cs="Arial"/>
          <w:sz w:val="22"/>
          <w:szCs w:val="22"/>
          <w:lang w:val="en-US"/>
        </w:rPr>
      </w:pPr>
    </w:p>
    <w:p w14:paraId="5D6FCEE7"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6)</w:t>
      </w:r>
      <w:r w:rsidRPr="00067553">
        <w:rPr>
          <w:rFonts w:ascii="Arial" w:hAnsi="Arial" w:cs="Arial"/>
          <w:sz w:val="22"/>
          <w:szCs w:val="22"/>
          <w:lang w:val="en-US"/>
        </w:rPr>
        <w:t xml:space="preserve"> Better communication needs to be done with families to make sure that waiting times and other aspects such as confidentiality and alternative support services are explained.</w:t>
      </w:r>
    </w:p>
    <w:p w14:paraId="25614B10" w14:textId="77777777" w:rsidR="00067553" w:rsidRPr="00067553" w:rsidRDefault="00067553" w:rsidP="00067553">
      <w:pPr>
        <w:spacing w:line="360" w:lineRule="auto"/>
        <w:jc w:val="both"/>
        <w:rPr>
          <w:rFonts w:ascii="Arial" w:hAnsi="Arial" w:cs="Arial"/>
          <w:sz w:val="22"/>
          <w:szCs w:val="22"/>
          <w:lang w:val="en-US"/>
        </w:rPr>
      </w:pPr>
    </w:p>
    <w:p w14:paraId="530A2A9B" w14:textId="208961CE" w:rsidR="00501C21" w:rsidRPr="00B7158F"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7)</w:t>
      </w:r>
      <w:r w:rsidRPr="00067553">
        <w:rPr>
          <w:rFonts w:ascii="Arial" w:hAnsi="Arial" w:cs="Arial"/>
          <w:sz w:val="22"/>
          <w:szCs w:val="22"/>
          <w:lang w:val="en-US"/>
        </w:rPr>
        <w:t xml:space="preserve"> Future research must include more UK-based qualitative data from minority groups such as children in care, SEND children, ethnic minorities, rural communities, and families in poverty.</w:t>
      </w:r>
    </w:p>
    <w:p w14:paraId="4ACE9DB8" w14:textId="77777777" w:rsidR="00501C21" w:rsidRPr="00B7158F" w:rsidRDefault="00501C21" w:rsidP="00B7158F">
      <w:pPr>
        <w:spacing w:line="360" w:lineRule="auto"/>
        <w:jc w:val="both"/>
        <w:rPr>
          <w:rFonts w:ascii="Arial" w:hAnsi="Arial" w:cs="Arial"/>
          <w:sz w:val="22"/>
          <w:szCs w:val="22"/>
          <w:lang w:val="en-US"/>
        </w:rPr>
      </w:pPr>
      <w:r w:rsidRPr="00B7158F">
        <w:rPr>
          <w:rFonts w:ascii="Arial" w:hAnsi="Arial" w:cs="Arial"/>
          <w:sz w:val="22"/>
          <w:szCs w:val="22"/>
          <w:lang w:val="en-US"/>
        </w:rPr>
        <w:br w:type="page"/>
      </w:r>
    </w:p>
    <w:p w14:paraId="3A22BB4B" w14:textId="161FCCF3" w:rsidR="00067553" w:rsidRPr="00067553" w:rsidRDefault="00067553" w:rsidP="00067553">
      <w:pPr>
        <w:pStyle w:val="Heading2"/>
        <w:rPr>
          <w:lang w:val="en-US"/>
        </w:rPr>
      </w:pPr>
      <w:bookmarkStart w:id="72" w:name="_Toc233629167"/>
      <w:r w:rsidRPr="00067553">
        <w:rPr>
          <w:lang w:val="en-US"/>
        </w:rPr>
        <w:lastRenderedPageBreak/>
        <w:t>Appendix 13: Glossary of Key Terms</w:t>
      </w:r>
      <w:bookmarkEnd w:id="72"/>
    </w:p>
    <w:p w14:paraId="617800FD" w14:textId="7777777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sz w:val="22"/>
          <w:szCs w:val="22"/>
          <w:lang w:val="en-US"/>
        </w:rPr>
        <w:t>CAMHS: Child and Adolescent Mental Health Services; specialist services which assess and help children and young people with their mental health difficulties.</w:t>
      </w:r>
    </w:p>
    <w:p w14:paraId="53CAD475" w14:textId="77777777" w:rsidR="00067553" w:rsidRPr="00067553" w:rsidRDefault="00067553" w:rsidP="00067553">
      <w:pPr>
        <w:spacing w:line="360" w:lineRule="auto"/>
        <w:jc w:val="both"/>
        <w:rPr>
          <w:rFonts w:ascii="Arial" w:hAnsi="Arial" w:cs="Arial"/>
          <w:sz w:val="22"/>
          <w:szCs w:val="22"/>
          <w:lang w:val="en-US"/>
        </w:rPr>
      </w:pPr>
    </w:p>
    <w:p w14:paraId="2E233C3E" w14:textId="6B4D109E"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CYPMHS</w:t>
      </w:r>
      <w:r w:rsidRPr="00067553">
        <w:rPr>
          <w:rFonts w:ascii="Arial" w:hAnsi="Arial" w:cs="Arial"/>
          <w:sz w:val="22"/>
          <w:szCs w:val="22"/>
          <w:lang w:val="en-US"/>
        </w:rPr>
        <w:t>: Children and Young People’s Mental Health Services; a more inclusive term used to refer to mental health support for children and adolescents.</w:t>
      </w:r>
    </w:p>
    <w:p w14:paraId="3BBBF9BC" w14:textId="75BCE93F"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Access</w:t>
      </w:r>
      <w:r w:rsidRPr="00067553">
        <w:rPr>
          <w:rFonts w:ascii="Arial" w:hAnsi="Arial" w:cs="Arial"/>
          <w:sz w:val="22"/>
          <w:szCs w:val="22"/>
          <w:lang w:val="en-US"/>
        </w:rPr>
        <w:t>: The process by which children and their families realize they have a problem, seek help, get referred, receive an assessment, begin treatment and keep getting support.</w:t>
      </w:r>
    </w:p>
    <w:p w14:paraId="037F8872" w14:textId="4FFB4618"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Barrier</w:t>
      </w:r>
      <w:r w:rsidRPr="00067553">
        <w:rPr>
          <w:rFonts w:ascii="Arial" w:hAnsi="Arial" w:cs="Arial"/>
          <w:sz w:val="22"/>
          <w:szCs w:val="22"/>
          <w:lang w:val="en-US"/>
        </w:rPr>
        <w:t>: Anything which impedes, stops or hinders the access to suitable mental health support.</w:t>
      </w:r>
    </w:p>
    <w:p w14:paraId="3C660D17" w14:textId="1B9F7940"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Enabler</w:t>
      </w:r>
      <w:r w:rsidRPr="00067553">
        <w:rPr>
          <w:rFonts w:ascii="Arial" w:hAnsi="Arial" w:cs="Arial"/>
          <w:sz w:val="22"/>
          <w:szCs w:val="22"/>
          <w:lang w:val="en-US"/>
        </w:rPr>
        <w:t>: Anything which improves, helps and strengthens access to suitable mental health support.</w:t>
      </w:r>
    </w:p>
    <w:p w14:paraId="52575CF5" w14:textId="181FEBA3"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Referral threshold</w:t>
      </w:r>
      <w:r w:rsidRPr="00067553">
        <w:rPr>
          <w:rFonts w:ascii="Arial" w:hAnsi="Arial" w:cs="Arial"/>
          <w:sz w:val="22"/>
          <w:szCs w:val="22"/>
          <w:lang w:val="en-US"/>
        </w:rPr>
        <w:t>: The point of severity, risk or complexity at which a child/adolescent will be taken on by the service.</w:t>
      </w:r>
    </w:p>
    <w:p w14:paraId="1FB8CBA9" w14:textId="46CBEBBF"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Rejected referral</w:t>
      </w:r>
      <w:r w:rsidRPr="00067553">
        <w:rPr>
          <w:rFonts w:ascii="Arial" w:hAnsi="Arial" w:cs="Arial"/>
          <w:sz w:val="22"/>
          <w:szCs w:val="22"/>
          <w:lang w:val="en-US"/>
        </w:rPr>
        <w:t>: Referral which was declined by CAMHS or other mental health services.</w:t>
      </w:r>
    </w:p>
    <w:p w14:paraId="6CEC133A" w14:textId="5183C290"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Waiting time</w:t>
      </w:r>
      <w:r w:rsidRPr="00067553">
        <w:rPr>
          <w:rFonts w:ascii="Arial" w:hAnsi="Arial" w:cs="Arial"/>
          <w:sz w:val="22"/>
          <w:szCs w:val="22"/>
          <w:lang w:val="en-US"/>
        </w:rPr>
        <w:t>: The period between being referred and having one’s first assessment, treatment or contact with the service.</w:t>
      </w:r>
    </w:p>
    <w:p w14:paraId="235EECAF" w14:textId="5D06309C"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MHST</w:t>
      </w:r>
      <w:r w:rsidRPr="00067553">
        <w:rPr>
          <w:rFonts w:ascii="Arial" w:hAnsi="Arial" w:cs="Arial"/>
          <w:sz w:val="22"/>
          <w:szCs w:val="22"/>
          <w:lang w:val="en-US"/>
        </w:rPr>
        <w:t>: Mental Health Support Team; a team set up to support schoolchildren and college students for their mild to moderate mental health problems.</w:t>
      </w:r>
    </w:p>
    <w:p w14:paraId="2EFE740F" w14:textId="6CBF7147"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SEND</w:t>
      </w:r>
      <w:r w:rsidRPr="00067553">
        <w:rPr>
          <w:rFonts w:ascii="Arial" w:hAnsi="Arial" w:cs="Arial"/>
          <w:sz w:val="22"/>
          <w:szCs w:val="22"/>
          <w:lang w:val="en-US"/>
        </w:rPr>
        <w:t>: Special Educational Needs and Disabilities.</w:t>
      </w:r>
    </w:p>
    <w:p w14:paraId="767B624F" w14:textId="6FE01CC3"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Thematic analysis</w:t>
      </w:r>
      <w:r w:rsidRPr="00067553">
        <w:rPr>
          <w:rFonts w:ascii="Arial" w:hAnsi="Arial" w:cs="Arial"/>
          <w:sz w:val="22"/>
          <w:szCs w:val="22"/>
          <w:lang w:val="en-US"/>
        </w:rPr>
        <w:t>: Qualitative analysis technique used to extract, organize and interpret common themes found in evidence.</w:t>
      </w:r>
    </w:p>
    <w:p w14:paraId="5C42018C" w14:textId="03BC601A" w:rsidR="00067553" w:rsidRPr="00067553"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PRISMA 2020</w:t>
      </w:r>
      <w:r w:rsidRPr="00067553">
        <w:rPr>
          <w:rFonts w:ascii="Arial" w:hAnsi="Arial" w:cs="Arial"/>
          <w:sz w:val="22"/>
          <w:szCs w:val="22"/>
          <w:lang w:val="en-US"/>
        </w:rPr>
        <w:t>: Preferred Reporting Items for Systematic Reviews and Meta-Analyses; an evidence reporting framework designed to promote transparency of systematic reviews.</w:t>
      </w:r>
    </w:p>
    <w:p w14:paraId="579ABE07" w14:textId="6B423DD6" w:rsidR="00501C21" w:rsidRPr="00B7158F" w:rsidRDefault="00067553" w:rsidP="00067553">
      <w:pPr>
        <w:spacing w:line="360" w:lineRule="auto"/>
        <w:jc w:val="both"/>
        <w:rPr>
          <w:rFonts w:ascii="Arial" w:hAnsi="Arial" w:cs="Arial"/>
          <w:sz w:val="22"/>
          <w:szCs w:val="22"/>
          <w:lang w:val="en-US"/>
        </w:rPr>
      </w:pPr>
      <w:r w:rsidRPr="00067553">
        <w:rPr>
          <w:rFonts w:ascii="Arial" w:hAnsi="Arial" w:cs="Arial"/>
          <w:b/>
          <w:bCs/>
          <w:sz w:val="22"/>
          <w:szCs w:val="22"/>
          <w:lang w:val="en-US"/>
        </w:rPr>
        <w:t>Grey literature</w:t>
      </w:r>
      <w:r w:rsidRPr="00067553">
        <w:rPr>
          <w:rFonts w:ascii="Arial" w:hAnsi="Arial" w:cs="Arial"/>
          <w:sz w:val="22"/>
          <w:szCs w:val="22"/>
          <w:lang w:val="en-US"/>
        </w:rPr>
        <w:t>: Any source of information which does not come from standard scholarly publication and includes official reports, NHS material, and parliamentary briefings.</w:t>
      </w:r>
    </w:p>
    <w:p w14:paraId="692FC58A" w14:textId="488400DA" w:rsidR="00A9329E" w:rsidRPr="00B7158F" w:rsidRDefault="00A9329E" w:rsidP="00B7158F">
      <w:pPr>
        <w:spacing w:line="360" w:lineRule="auto"/>
        <w:jc w:val="both"/>
        <w:rPr>
          <w:rFonts w:ascii="Arial" w:hAnsi="Arial" w:cs="Arial"/>
          <w:sz w:val="22"/>
          <w:szCs w:val="22"/>
          <w:lang w:val="en-US"/>
        </w:rPr>
      </w:pPr>
    </w:p>
    <w:sectPr w:rsidR="00A9329E" w:rsidRPr="00B7158F" w:rsidSect="00501C21">
      <w:footerReference w:type="default" r:id="rId23"/>
      <w:footerReference w:type="first" r:id="rId24"/>
      <w:pgSz w:w="11906" w:h="16838"/>
      <w:pgMar w:top="1134" w:right="850" w:bottom="1134" w:left="1701"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91687" w14:textId="77777777" w:rsidR="005A3523" w:rsidRDefault="005A3523" w:rsidP="00501C21">
      <w:pPr>
        <w:spacing w:after="0" w:line="240" w:lineRule="auto"/>
      </w:pPr>
      <w:r>
        <w:separator/>
      </w:r>
    </w:p>
  </w:endnote>
  <w:endnote w:type="continuationSeparator" w:id="0">
    <w:p w14:paraId="5AE8A685" w14:textId="77777777" w:rsidR="005A3523" w:rsidRDefault="005A3523" w:rsidP="00501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051355"/>
      <w:docPartObj>
        <w:docPartGallery w:val="Page Numbers (Bottom of Page)"/>
        <w:docPartUnique/>
      </w:docPartObj>
    </w:sdtPr>
    <w:sdtEndPr>
      <w:rPr>
        <w:noProof/>
      </w:rPr>
    </w:sdtEndPr>
    <w:sdtContent>
      <w:p w14:paraId="6B756233" w14:textId="27426C2B" w:rsidR="00501C21" w:rsidRDefault="00501C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F43A62" w14:textId="40EF4B91" w:rsidR="00501C21" w:rsidRPr="00501C21" w:rsidRDefault="00501C21">
    <w:pPr>
      <w:pStyle w:val="Footer"/>
      <w:rPr>
        <w:lang w:val="en-US"/>
      </w:rPr>
    </w:pPr>
    <w:r>
      <w:rPr>
        <w:lang w:val="en-US"/>
      </w:rPr>
      <w:t>Adela Slivciuc                                                 Dissertation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0801A" w14:textId="0379F5BA" w:rsidR="00501C21" w:rsidRPr="00501C21" w:rsidRDefault="00501C21" w:rsidP="00501C21">
    <w:pPr>
      <w:pStyle w:val="Footer"/>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EC88C" w14:textId="77777777" w:rsidR="005A3523" w:rsidRDefault="005A3523" w:rsidP="00501C21">
      <w:pPr>
        <w:spacing w:after="0" w:line="240" w:lineRule="auto"/>
      </w:pPr>
      <w:r>
        <w:separator/>
      </w:r>
    </w:p>
  </w:footnote>
  <w:footnote w:type="continuationSeparator" w:id="0">
    <w:p w14:paraId="50AA78B7" w14:textId="77777777" w:rsidR="005A3523" w:rsidRDefault="005A3523" w:rsidP="00501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93AEB"/>
    <w:multiLevelType w:val="hybridMultilevel"/>
    <w:tmpl w:val="107E38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0340E76"/>
    <w:multiLevelType w:val="hybridMultilevel"/>
    <w:tmpl w:val="CEE02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13F448A"/>
    <w:multiLevelType w:val="hybridMultilevel"/>
    <w:tmpl w:val="3E6050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64689632">
    <w:abstractNumId w:val="2"/>
  </w:num>
  <w:num w:numId="2" w16cid:durableId="737095588">
    <w:abstractNumId w:val="1"/>
  </w:num>
  <w:num w:numId="3" w16cid:durableId="42099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144"/>
    <w:rsid w:val="00045AA4"/>
    <w:rsid w:val="00045D8E"/>
    <w:rsid w:val="000613C5"/>
    <w:rsid w:val="00067553"/>
    <w:rsid w:val="000813BC"/>
    <w:rsid w:val="000854D3"/>
    <w:rsid w:val="000A7476"/>
    <w:rsid w:val="000C0883"/>
    <w:rsid w:val="000F2650"/>
    <w:rsid w:val="000F3A29"/>
    <w:rsid w:val="00106C49"/>
    <w:rsid w:val="001B7D33"/>
    <w:rsid w:val="002010F1"/>
    <w:rsid w:val="003457C9"/>
    <w:rsid w:val="00364982"/>
    <w:rsid w:val="003815AA"/>
    <w:rsid w:val="003973AF"/>
    <w:rsid w:val="003E76D6"/>
    <w:rsid w:val="004059DD"/>
    <w:rsid w:val="004106C5"/>
    <w:rsid w:val="00437257"/>
    <w:rsid w:val="00474666"/>
    <w:rsid w:val="00485F83"/>
    <w:rsid w:val="00501C21"/>
    <w:rsid w:val="00503E71"/>
    <w:rsid w:val="00506BAE"/>
    <w:rsid w:val="00525459"/>
    <w:rsid w:val="00527A25"/>
    <w:rsid w:val="0053758B"/>
    <w:rsid w:val="00570611"/>
    <w:rsid w:val="0059784C"/>
    <w:rsid w:val="005A016F"/>
    <w:rsid w:val="005A3523"/>
    <w:rsid w:val="005A374F"/>
    <w:rsid w:val="005A4615"/>
    <w:rsid w:val="006E3540"/>
    <w:rsid w:val="00711DB0"/>
    <w:rsid w:val="007204AC"/>
    <w:rsid w:val="007474EB"/>
    <w:rsid w:val="007A17B3"/>
    <w:rsid w:val="00816737"/>
    <w:rsid w:val="008331C6"/>
    <w:rsid w:val="008527CF"/>
    <w:rsid w:val="008B6D04"/>
    <w:rsid w:val="008E377B"/>
    <w:rsid w:val="009122E7"/>
    <w:rsid w:val="00916D54"/>
    <w:rsid w:val="009874A0"/>
    <w:rsid w:val="009B041E"/>
    <w:rsid w:val="009E51F8"/>
    <w:rsid w:val="00A25C00"/>
    <w:rsid w:val="00A321A2"/>
    <w:rsid w:val="00A9329E"/>
    <w:rsid w:val="00AC2E6F"/>
    <w:rsid w:val="00AD4920"/>
    <w:rsid w:val="00AE4686"/>
    <w:rsid w:val="00B028A8"/>
    <w:rsid w:val="00B56FD2"/>
    <w:rsid w:val="00B61D57"/>
    <w:rsid w:val="00B7158F"/>
    <w:rsid w:val="00BE31E7"/>
    <w:rsid w:val="00BF3144"/>
    <w:rsid w:val="00C10370"/>
    <w:rsid w:val="00CA68DA"/>
    <w:rsid w:val="00D00388"/>
    <w:rsid w:val="00D36119"/>
    <w:rsid w:val="00D446F0"/>
    <w:rsid w:val="00D84D25"/>
    <w:rsid w:val="00DB01CC"/>
    <w:rsid w:val="00E01217"/>
    <w:rsid w:val="00E031AF"/>
    <w:rsid w:val="00E45728"/>
    <w:rsid w:val="00E54EDA"/>
    <w:rsid w:val="00E6400E"/>
    <w:rsid w:val="00E73032"/>
    <w:rsid w:val="00EC5232"/>
    <w:rsid w:val="00F1198F"/>
    <w:rsid w:val="00F13A21"/>
    <w:rsid w:val="00F348FC"/>
    <w:rsid w:val="00F91F94"/>
    <w:rsid w:val="00FB16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44924"/>
  <w15:chartTrackingRefBased/>
  <w15:docId w15:val="{F9F29E31-849C-479F-88DD-9FF6C751F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1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31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1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1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1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1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1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1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1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1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31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1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1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1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1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1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1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144"/>
    <w:rPr>
      <w:rFonts w:eastAsiaTheme="majorEastAsia" w:cstheme="majorBidi"/>
      <w:color w:val="272727" w:themeColor="text1" w:themeTint="D8"/>
    </w:rPr>
  </w:style>
  <w:style w:type="paragraph" w:styleId="Title">
    <w:name w:val="Title"/>
    <w:basedOn w:val="Normal"/>
    <w:next w:val="Normal"/>
    <w:link w:val="TitleChar"/>
    <w:uiPriority w:val="10"/>
    <w:qFormat/>
    <w:rsid w:val="00BF31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1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1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1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144"/>
    <w:pPr>
      <w:spacing w:before="160"/>
      <w:jc w:val="center"/>
    </w:pPr>
    <w:rPr>
      <w:i/>
      <w:iCs/>
      <w:color w:val="404040" w:themeColor="text1" w:themeTint="BF"/>
    </w:rPr>
  </w:style>
  <w:style w:type="character" w:customStyle="1" w:styleId="QuoteChar">
    <w:name w:val="Quote Char"/>
    <w:basedOn w:val="DefaultParagraphFont"/>
    <w:link w:val="Quote"/>
    <w:uiPriority w:val="29"/>
    <w:rsid w:val="00BF3144"/>
    <w:rPr>
      <w:i/>
      <w:iCs/>
      <w:color w:val="404040" w:themeColor="text1" w:themeTint="BF"/>
    </w:rPr>
  </w:style>
  <w:style w:type="paragraph" w:styleId="ListParagraph">
    <w:name w:val="List Paragraph"/>
    <w:basedOn w:val="Normal"/>
    <w:uiPriority w:val="34"/>
    <w:qFormat/>
    <w:rsid w:val="00BF3144"/>
    <w:pPr>
      <w:ind w:left="720"/>
      <w:contextualSpacing/>
    </w:pPr>
  </w:style>
  <w:style w:type="character" w:styleId="IntenseEmphasis">
    <w:name w:val="Intense Emphasis"/>
    <w:basedOn w:val="DefaultParagraphFont"/>
    <w:uiPriority w:val="21"/>
    <w:qFormat/>
    <w:rsid w:val="00BF3144"/>
    <w:rPr>
      <w:i/>
      <w:iCs/>
      <w:color w:val="0F4761" w:themeColor="accent1" w:themeShade="BF"/>
    </w:rPr>
  </w:style>
  <w:style w:type="paragraph" w:styleId="IntenseQuote">
    <w:name w:val="Intense Quote"/>
    <w:basedOn w:val="Normal"/>
    <w:next w:val="Normal"/>
    <w:link w:val="IntenseQuoteChar"/>
    <w:uiPriority w:val="30"/>
    <w:qFormat/>
    <w:rsid w:val="00BF31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144"/>
    <w:rPr>
      <w:i/>
      <w:iCs/>
      <w:color w:val="0F4761" w:themeColor="accent1" w:themeShade="BF"/>
    </w:rPr>
  </w:style>
  <w:style w:type="character" w:styleId="IntenseReference">
    <w:name w:val="Intense Reference"/>
    <w:basedOn w:val="DefaultParagraphFont"/>
    <w:uiPriority w:val="32"/>
    <w:qFormat/>
    <w:rsid w:val="00BF3144"/>
    <w:rPr>
      <w:b/>
      <w:bCs/>
      <w:smallCaps/>
      <w:color w:val="0F4761" w:themeColor="accent1" w:themeShade="BF"/>
      <w:spacing w:val="5"/>
    </w:rPr>
  </w:style>
  <w:style w:type="paragraph" w:styleId="Header">
    <w:name w:val="header"/>
    <w:basedOn w:val="Normal"/>
    <w:link w:val="HeaderChar"/>
    <w:uiPriority w:val="99"/>
    <w:unhideWhenUsed/>
    <w:rsid w:val="00501C21"/>
    <w:pPr>
      <w:tabs>
        <w:tab w:val="center" w:pos="4677"/>
        <w:tab w:val="right" w:pos="9355"/>
      </w:tabs>
      <w:spacing w:after="0" w:line="240" w:lineRule="auto"/>
    </w:pPr>
  </w:style>
  <w:style w:type="character" w:customStyle="1" w:styleId="HeaderChar">
    <w:name w:val="Header Char"/>
    <w:basedOn w:val="DefaultParagraphFont"/>
    <w:link w:val="Header"/>
    <w:uiPriority w:val="99"/>
    <w:rsid w:val="00501C21"/>
  </w:style>
  <w:style w:type="paragraph" w:styleId="Footer">
    <w:name w:val="footer"/>
    <w:basedOn w:val="Normal"/>
    <w:link w:val="FooterChar"/>
    <w:uiPriority w:val="99"/>
    <w:unhideWhenUsed/>
    <w:rsid w:val="00501C21"/>
    <w:pPr>
      <w:tabs>
        <w:tab w:val="center" w:pos="4677"/>
        <w:tab w:val="right" w:pos="9355"/>
      </w:tabs>
      <w:spacing w:after="0" w:line="240" w:lineRule="auto"/>
    </w:pPr>
  </w:style>
  <w:style w:type="character" w:customStyle="1" w:styleId="FooterChar">
    <w:name w:val="Footer Char"/>
    <w:basedOn w:val="DefaultParagraphFont"/>
    <w:link w:val="Footer"/>
    <w:uiPriority w:val="99"/>
    <w:rsid w:val="00501C21"/>
  </w:style>
  <w:style w:type="table" w:styleId="TableGrid">
    <w:name w:val="Table Grid"/>
    <w:basedOn w:val="TableNormal"/>
    <w:uiPriority w:val="39"/>
    <w:rsid w:val="00711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711DB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isselectedend">
    <w:name w:val="isselectedend"/>
    <w:basedOn w:val="Normal"/>
    <w:rsid w:val="00527A25"/>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TOCHeading">
    <w:name w:val="TOC Heading"/>
    <w:basedOn w:val="Heading1"/>
    <w:next w:val="Normal"/>
    <w:uiPriority w:val="39"/>
    <w:unhideWhenUsed/>
    <w:qFormat/>
    <w:rsid w:val="003457C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57C9"/>
    <w:pPr>
      <w:spacing w:after="100"/>
    </w:pPr>
  </w:style>
  <w:style w:type="paragraph" w:styleId="TOC2">
    <w:name w:val="toc 2"/>
    <w:basedOn w:val="Normal"/>
    <w:next w:val="Normal"/>
    <w:autoRedefine/>
    <w:uiPriority w:val="39"/>
    <w:unhideWhenUsed/>
    <w:rsid w:val="003457C9"/>
    <w:pPr>
      <w:spacing w:after="100"/>
      <w:ind w:left="240"/>
    </w:pPr>
  </w:style>
  <w:style w:type="character" w:styleId="Hyperlink">
    <w:name w:val="Hyperlink"/>
    <w:basedOn w:val="DefaultParagraphFont"/>
    <w:uiPriority w:val="99"/>
    <w:unhideWhenUsed/>
    <w:rsid w:val="003457C9"/>
    <w:rPr>
      <w:color w:val="467886" w:themeColor="hyperlink"/>
      <w:u w:val="single"/>
    </w:rPr>
  </w:style>
  <w:style w:type="character" w:styleId="UnresolvedMention">
    <w:name w:val="Unresolved Mention"/>
    <w:basedOn w:val="DefaultParagraphFont"/>
    <w:uiPriority w:val="99"/>
    <w:semiHidden/>
    <w:unhideWhenUsed/>
    <w:rsid w:val="00912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hyperlink" Target="https://acamh.onlinelibrary.wiley.com/doi/10.1111/j.1475-3588.2006.00414.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helancet.com/journals/lanchi/article/PIIS2352-4642(20)30109-7/fulltext"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tandfonline.com/doi/full/10.1080/13632752.2015.11200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hyperlink" Target="https://bpspsychub.onlinelibrary.wiley.com/doi/10.1111/bjc.12331" TargetMode="Externa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hyperlink" Target="https://journals.sagepub.com/doi/10.1177/2632084320947559"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67935-8A43-4455-968D-D67178CDF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5665</TotalTime>
  <Pages>78</Pages>
  <Words>23074</Words>
  <Characters>131522</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Slivciuc</dc:creator>
  <cp:keywords/>
  <dc:description/>
  <cp:lastModifiedBy>adela andries</cp:lastModifiedBy>
  <cp:revision>6</cp:revision>
  <dcterms:created xsi:type="dcterms:W3CDTF">2026-09-04T12:19:00Z</dcterms:created>
  <dcterms:modified xsi:type="dcterms:W3CDTF">2026-09-08T10:52:00Z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6b588cb1-a8f0-40e1-bc96-114120e31bf9</vt:lpwstr>
  </property>
</Properties>
</file>