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27E36" w14:textId="77777777" w:rsidR="00643337" w:rsidRDefault="00643337" w:rsidP="00643337">
      <w:pPr>
        <w:spacing w:before="240" w:line="360" w:lineRule="auto"/>
        <w:jc w:val="center"/>
        <w:rPr>
          <w:rFonts w:cstheme="minorHAnsi"/>
          <w:b/>
          <w:bCs/>
          <w:sz w:val="88"/>
          <w:szCs w:val="88"/>
        </w:rPr>
      </w:pPr>
    </w:p>
    <w:p w14:paraId="47D01CDD" w14:textId="77777777" w:rsidR="00643337" w:rsidRDefault="00643337" w:rsidP="00643337">
      <w:pPr>
        <w:spacing w:before="240" w:line="360" w:lineRule="auto"/>
        <w:jc w:val="center"/>
        <w:rPr>
          <w:rFonts w:cstheme="minorHAnsi"/>
          <w:b/>
          <w:bCs/>
          <w:sz w:val="88"/>
          <w:szCs w:val="88"/>
        </w:rPr>
      </w:pPr>
    </w:p>
    <w:p w14:paraId="282702FD" w14:textId="464F7D2B" w:rsidR="00BB44DD" w:rsidRPr="00BB44DD" w:rsidRDefault="00BB44DD" w:rsidP="00643337">
      <w:pPr>
        <w:spacing w:before="240" w:line="360" w:lineRule="auto"/>
        <w:jc w:val="center"/>
        <w:rPr>
          <w:rFonts w:cstheme="minorHAnsi"/>
          <w:b/>
          <w:bCs/>
          <w:color w:val="2F5496" w:themeColor="accent1" w:themeShade="BF"/>
          <w:sz w:val="56"/>
          <w:szCs w:val="56"/>
        </w:rPr>
      </w:pPr>
      <w:bookmarkStart w:id="0" w:name="_GoBack"/>
      <w:r w:rsidRPr="00BB44DD">
        <w:rPr>
          <w:rFonts w:cstheme="minorHAnsi"/>
          <w:b/>
          <w:bCs/>
          <w:color w:val="2F5496" w:themeColor="accent1" w:themeShade="BF"/>
          <w:sz w:val="56"/>
          <w:szCs w:val="56"/>
        </w:rPr>
        <w:t>International Business Communications</w:t>
      </w:r>
    </w:p>
    <w:bookmarkEnd w:id="0"/>
    <w:p w14:paraId="113F5E0E" w14:textId="7BAA749B" w:rsidR="00643337" w:rsidRPr="00BB44DD" w:rsidRDefault="00643337" w:rsidP="00643337">
      <w:pPr>
        <w:spacing w:before="240" w:line="360" w:lineRule="auto"/>
        <w:jc w:val="center"/>
        <w:rPr>
          <w:rFonts w:cstheme="minorHAnsi"/>
          <w:b/>
          <w:bCs/>
          <w:color w:val="2F5496" w:themeColor="accent1" w:themeShade="BF"/>
          <w:sz w:val="56"/>
          <w:szCs w:val="56"/>
        </w:rPr>
      </w:pPr>
      <w:r w:rsidRPr="00BB44DD">
        <w:rPr>
          <w:rFonts w:cstheme="minorHAnsi"/>
          <w:b/>
          <w:bCs/>
          <w:color w:val="2F5496" w:themeColor="accent1" w:themeShade="BF"/>
          <w:sz w:val="56"/>
          <w:szCs w:val="56"/>
        </w:rPr>
        <w:t>LCBB6001</w:t>
      </w:r>
    </w:p>
    <w:p w14:paraId="3B88428C" w14:textId="15F030F1" w:rsidR="00643337" w:rsidRPr="00BB44DD" w:rsidRDefault="00643337" w:rsidP="00643337">
      <w:pPr>
        <w:spacing w:before="240" w:line="360" w:lineRule="auto"/>
        <w:jc w:val="center"/>
        <w:rPr>
          <w:rFonts w:cstheme="minorHAnsi"/>
          <w:b/>
          <w:bCs/>
          <w:color w:val="2F5496" w:themeColor="accent1" w:themeShade="BF"/>
          <w:sz w:val="36"/>
          <w:szCs w:val="36"/>
        </w:rPr>
      </w:pPr>
      <w:r w:rsidRPr="00BB44DD">
        <w:rPr>
          <w:rFonts w:cstheme="minorHAnsi"/>
          <w:b/>
          <w:bCs/>
          <w:color w:val="2F5496" w:themeColor="accent1" w:themeShade="BF"/>
          <w:sz w:val="36"/>
          <w:szCs w:val="36"/>
        </w:rPr>
        <w:t>Submitted By:</w:t>
      </w:r>
    </w:p>
    <w:p w14:paraId="7281BD26" w14:textId="2B8E093E" w:rsidR="00BB44DD" w:rsidRPr="00BB44DD" w:rsidRDefault="00BB44DD" w:rsidP="00BB44DD">
      <w:pPr>
        <w:spacing w:after="0" w:line="360" w:lineRule="auto"/>
        <w:jc w:val="center"/>
        <w:rPr>
          <w:rFonts w:cstheme="minorHAnsi"/>
          <w:b/>
          <w:bCs/>
          <w:color w:val="2F5496" w:themeColor="accent1" w:themeShade="BF"/>
          <w:sz w:val="48"/>
          <w:szCs w:val="48"/>
        </w:rPr>
      </w:pPr>
      <w:r w:rsidRPr="00BB44DD">
        <w:rPr>
          <w:rFonts w:cstheme="minorHAnsi"/>
          <w:b/>
          <w:bCs/>
          <w:color w:val="2F5496" w:themeColor="accent1" w:themeShade="BF"/>
          <w:sz w:val="48"/>
          <w:szCs w:val="48"/>
        </w:rPr>
        <w:t>Kristina Valeva Ivanova</w:t>
      </w:r>
    </w:p>
    <w:p w14:paraId="69D856FD" w14:textId="0305677E" w:rsidR="00BB44DD" w:rsidRPr="00BB44DD" w:rsidRDefault="00BB44DD" w:rsidP="00BB44DD">
      <w:pPr>
        <w:spacing w:after="0" w:line="360" w:lineRule="auto"/>
        <w:jc w:val="center"/>
        <w:rPr>
          <w:rFonts w:cstheme="minorHAnsi"/>
          <w:b/>
          <w:bCs/>
          <w:color w:val="2F5496" w:themeColor="accent1" w:themeShade="BF"/>
          <w:sz w:val="48"/>
          <w:szCs w:val="48"/>
        </w:rPr>
      </w:pPr>
      <w:r w:rsidRPr="00BB44DD">
        <w:rPr>
          <w:rFonts w:cstheme="minorHAnsi"/>
          <w:b/>
          <w:bCs/>
          <w:color w:val="2F5496" w:themeColor="accent1" w:themeShade="BF"/>
          <w:sz w:val="48"/>
          <w:szCs w:val="48"/>
        </w:rPr>
        <w:t>2020522</w:t>
      </w:r>
    </w:p>
    <w:p w14:paraId="3A923B2F" w14:textId="16F5454E" w:rsidR="00643337" w:rsidRDefault="00643337" w:rsidP="00643337">
      <w:pPr>
        <w:spacing w:before="240" w:line="360" w:lineRule="auto"/>
        <w:jc w:val="center"/>
        <w:rPr>
          <w:rFonts w:cstheme="minorHAnsi"/>
          <w:b/>
          <w:bCs/>
          <w:sz w:val="88"/>
          <w:szCs w:val="88"/>
        </w:rPr>
      </w:pPr>
    </w:p>
    <w:p w14:paraId="154185E2" w14:textId="77777777" w:rsidR="00643337" w:rsidRPr="00643337" w:rsidRDefault="00643337" w:rsidP="00BB44DD">
      <w:pPr>
        <w:spacing w:before="240" w:line="360" w:lineRule="auto"/>
        <w:rPr>
          <w:rFonts w:cstheme="minorHAnsi"/>
          <w:b/>
          <w:bCs/>
          <w:sz w:val="88"/>
          <w:szCs w:val="88"/>
        </w:rPr>
      </w:pPr>
    </w:p>
    <w:sdt>
      <w:sdtPr>
        <w:rPr>
          <w:rFonts w:asciiTheme="minorHAnsi" w:eastAsiaTheme="minorHAnsi" w:hAnsiTheme="minorHAnsi" w:cstheme="minorBidi"/>
          <w:color w:val="auto"/>
          <w:sz w:val="22"/>
          <w:szCs w:val="22"/>
          <w:lang w:val="en-GB"/>
        </w:rPr>
        <w:id w:val="-1321334684"/>
        <w:docPartObj>
          <w:docPartGallery w:val="Table of Contents"/>
          <w:docPartUnique/>
        </w:docPartObj>
      </w:sdtPr>
      <w:sdtEndPr>
        <w:rPr>
          <w:b/>
          <w:bCs/>
          <w:noProof/>
        </w:rPr>
      </w:sdtEndPr>
      <w:sdtContent>
        <w:p w14:paraId="0B8AA2D5" w14:textId="2F752168" w:rsidR="00643337" w:rsidRDefault="00643337">
          <w:pPr>
            <w:pStyle w:val="TOCHeading"/>
          </w:pPr>
          <w:r>
            <w:t>Table of Contents</w:t>
          </w:r>
        </w:p>
        <w:p w14:paraId="02B803A8" w14:textId="4D1FAF2A" w:rsidR="00643337" w:rsidRDefault="00643337">
          <w:pPr>
            <w:pStyle w:val="TOC1"/>
            <w:tabs>
              <w:tab w:val="right" w:leader="dot" w:pos="9350"/>
            </w:tabs>
            <w:rPr>
              <w:noProof/>
            </w:rPr>
          </w:pPr>
          <w:r>
            <w:fldChar w:fldCharType="begin"/>
          </w:r>
          <w:r>
            <w:instrText xml:space="preserve"> TOC \o "1-3" \h \z \u </w:instrText>
          </w:r>
          <w:r>
            <w:fldChar w:fldCharType="separate"/>
          </w:r>
          <w:hyperlink w:anchor="_Toc132904855" w:history="1">
            <w:r w:rsidRPr="00C41B7C">
              <w:rPr>
                <w:rStyle w:val="Hyperlink"/>
                <w:rFonts w:cstheme="minorHAnsi"/>
                <w:noProof/>
              </w:rPr>
              <w:t>Introduction</w:t>
            </w:r>
            <w:r>
              <w:rPr>
                <w:noProof/>
                <w:webHidden/>
              </w:rPr>
              <w:tab/>
            </w:r>
            <w:r>
              <w:rPr>
                <w:noProof/>
                <w:webHidden/>
              </w:rPr>
              <w:fldChar w:fldCharType="begin"/>
            </w:r>
            <w:r>
              <w:rPr>
                <w:noProof/>
                <w:webHidden/>
              </w:rPr>
              <w:instrText xml:space="preserve"> PAGEREF _Toc132904855 \h </w:instrText>
            </w:r>
            <w:r>
              <w:rPr>
                <w:noProof/>
                <w:webHidden/>
              </w:rPr>
            </w:r>
            <w:r>
              <w:rPr>
                <w:noProof/>
                <w:webHidden/>
              </w:rPr>
              <w:fldChar w:fldCharType="separate"/>
            </w:r>
            <w:r>
              <w:rPr>
                <w:noProof/>
                <w:webHidden/>
              </w:rPr>
              <w:t>2</w:t>
            </w:r>
            <w:r>
              <w:rPr>
                <w:noProof/>
                <w:webHidden/>
              </w:rPr>
              <w:fldChar w:fldCharType="end"/>
            </w:r>
          </w:hyperlink>
        </w:p>
        <w:p w14:paraId="68710524" w14:textId="326FDAF7" w:rsidR="00643337" w:rsidRDefault="00627143">
          <w:pPr>
            <w:pStyle w:val="TOC1"/>
            <w:tabs>
              <w:tab w:val="right" w:leader="dot" w:pos="9350"/>
            </w:tabs>
            <w:rPr>
              <w:noProof/>
            </w:rPr>
          </w:pPr>
          <w:hyperlink w:anchor="_Toc132904856" w:history="1">
            <w:r w:rsidR="00643337" w:rsidRPr="00C41B7C">
              <w:rPr>
                <w:rStyle w:val="Hyperlink"/>
                <w:rFonts w:cstheme="minorHAnsi"/>
                <w:noProof/>
              </w:rPr>
              <w:t>Overview of Novartis UK</w:t>
            </w:r>
            <w:r w:rsidR="00643337">
              <w:rPr>
                <w:noProof/>
                <w:webHidden/>
              </w:rPr>
              <w:tab/>
            </w:r>
            <w:r w:rsidR="00643337">
              <w:rPr>
                <w:noProof/>
                <w:webHidden/>
              </w:rPr>
              <w:fldChar w:fldCharType="begin"/>
            </w:r>
            <w:r w:rsidR="00643337">
              <w:rPr>
                <w:noProof/>
                <w:webHidden/>
              </w:rPr>
              <w:instrText xml:space="preserve"> PAGEREF _Toc132904856 \h </w:instrText>
            </w:r>
            <w:r w:rsidR="00643337">
              <w:rPr>
                <w:noProof/>
                <w:webHidden/>
              </w:rPr>
            </w:r>
            <w:r w:rsidR="00643337">
              <w:rPr>
                <w:noProof/>
                <w:webHidden/>
              </w:rPr>
              <w:fldChar w:fldCharType="separate"/>
            </w:r>
            <w:r w:rsidR="00643337">
              <w:rPr>
                <w:noProof/>
                <w:webHidden/>
              </w:rPr>
              <w:t>2</w:t>
            </w:r>
            <w:r w:rsidR="00643337">
              <w:rPr>
                <w:noProof/>
                <w:webHidden/>
              </w:rPr>
              <w:fldChar w:fldCharType="end"/>
            </w:r>
          </w:hyperlink>
        </w:p>
        <w:p w14:paraId="52DF305D" w14:textId="40A913A9" w:rsidR="00643337" w:rsidRDefault="00627143">
          <w:pPr>
            <w:pStyle w:val="TOC1"/>
            <w:tabs>
              <w:tab w:val="right" w:leader="dot" w:pos="9350"/>
            </w:tabs>
            <w:rPr>
              <w:noProof/>
            </w:rPr>
          </w:pPr>
          <w:hyperlink w:anchor="_Toc132904857" w:history="1">
            <w:r w:rsidR="00643337" w:rsidRPr="00C41B7C">
              <w:rPr>
                <w:rStyle w:val="Hyperlink"/>
                <w:rFonts w:cstheme="minorHAnsi"/>
                <w:noProof/>
              </w:rPr>
              <w:t>Application of Theories.</w:t>
            </w:r>
            <w:r w:rsidR="00643337">
              <w:rPr>
                <w:noProof/>
                <w:webHidden/>
              </w:rPr>
              <w:tab/>
            </w:r>
            <w:r w:rsidR="00643337">
              <w:rPr>
                <w:noProof/>
                <w:webHidden/>
              </w:rPr>
              <w:fldChar w:fldCharType="begin"/>
            </w:r>
            <w:r w:rsidR="00643337">
              <w:rPr>
                <w:noProof/>
                <w:webHidden/>
              </w:rPr>
              <w:instrText xml:space="preserve"> PAGEREF _Toc132904857 \h </w:instrText>
            </w:r>
            <w:r w:rsidR="00643337">
              <w:rPr>
                <w:noProof/>
                <w:webHidden/>
              </w:rPr>
            </w:r>
            <w:r w:rsidR="00643337">
              <w:rPr>
                <w:noProof/>
                <w:webHidden/>
              </w:rPr>
              <w:fldChar w:fldCharType="separate"/>
            </w:r>
            <w:r w:rsidR="00643337">
              <w:rPr>
                <w:noProof/>
                <w:webHidden/>
              </w:rPr>
              <w:t>3</w:t>
            </w:r>
            <w:r w:rsidR="00643337">
              <w:rPr>
                <w:noProof/>
                <w:webHidden/>
              </w:rPr>
              <w:fldChar w:fldCharType="end"/>
            </w:r>
          </w:hyperlink>
        </w:p>
        <w:p w14:paraId="574F3B0C" w14:textId="23B46230" w:rsidR="00643337" w:rsidRDefault="00627143">
          <w:pPr>
            <w:pStyle w:val="TOC2"/>
            <w:tabs>
              <w:tab w:val="right" w:leader="dot" w:pos="9350"/>
            </w:tabs>
            <w:rPr>
              <w:noProof/>
            </w:rPr>
          </w:pPr>
          <w:hyperlink w:anchor="_Toc132904858" w:history="1">
            <w:r w:rsidR="00643337" w:rsidRPr="00C41B7C">
              <w:rPr>
                <w:rStyle w:val="Hyperlink"/>
                <w:rFonts w:cstheme="minorHAnsi"/>
                <w:noProof/>
              </w:rPr>
              <w:t>Hofstede's Cultural Dimensions</w:t>
            </w:r>
            <w:r w:rsidR="00643337">
              <w:rPr>
                <w:noProof/>
                <w:webHidden/>
              </w:rPr>
              <w:tab/>
            </w:r>
            <w:r w:rsidR="00643337">
              <w:rPr>
                <w:noProof/>
                <w:webHidden/>
              </w:rPr>
              <w:fldChar w:fldCharType="begin"/>
            </w:r>
            <w:r w:rsidR="00643337">
              <w:rPr>
                <w:noProof/>
                <w:webHidden/>
              </w:rPr>
              <w:instrText xml:space="preserve"> PAGEREF _Toc132904858 \h </w:instrText>
            </w:r>
            <w:r w:rsidR="00643337">
              <w:rPr>
                <w:noProof/>
                <w:webHidden/>
              </w:rPr>
            </w:r>
            <w:r w:rsidR="00643337">
              <w:rPr>
                <w:noProof/>
                <w:webHidden/>
              </w:rPr>
              <w:fldChar w:fldCharType="separate"/>
            </w:r>
            <w:r w:rsidR="00643337">
              <w:rPr>
                <w:noProof/>
                <w:webHidden/>
              </w:rPr>
              <w:t>3</w:t>
            </w:r>
            <w:r w:rsidR="00643337">
              <w:rPr>
                <w:noProof/>
                <w:webHidden/>
              </w:rPr>
              <w:fldChar w:fldCharType="end"/>
            </w:r>
          </w:hyperlink>
        </w:p>
        <w:p w14:paraId="15991E58" w14:textId="47D60B7C" w:rsidR="00643337" w:rsidRDefault="00627143">
          <w:pPr>
            <w:pStyle w:val="TOC2"/>
            <w:tabs>
              <w:tab w:val="right" w:leader="dot" w:pos="9350"/>
            </w:tabs>
            <w:rPr>
              <w:noProof/>
            </w:rPr>
          </w:pPr>
          <w:hyperlink w:anchor="_Toc132904859" w:history="1">
            <w:r w:rsidR="00643337" w:rsidRPr="00C41B7C">
              <w:rPr>
                <w:rStyle w:val="Hyperlink"/>
                <w:rFonts w:cstheme="minorHAnsi"/>
                <w:noProof/>
              </w:rPr>
              <w:t>Samovar and Porter's Communication Theory</w:t>
            </w:r>
            <w:r w:rsidR="00643337">
              <w:rPr>
                <w:noProof/>
                <w:webHidden/>
              </w:rPr>
              <w:tab/>
            </w:r>
            <w:r w:rsidR="00643337">
              <w:rPr>
                <w:noProof/>
                <w:webHidden/>
              </w:rPr>
              <w:fldChar w:fldCharType="begin"/>
            </w:r>
            <w:r w:rsidR="00643337">
              <w:rPr>
                <w:noProof/>
                <w:webHidden/>
              </w:rPr>
              <w:instrText xml:space="preserve"> PAGEREF _Toc132904859 \h </w:instrText>
            </w:r>
            <w:r w:rsidR="00643337">
              <w:rPr>
                <w:noProof/>
                <w:webHidden/>
              </w:rPr>
            </w:r>
            <w:r w:rsidR="00643337">
              <w:rPr>
                <w:noProof/>
                <w:webHidden/>
              </w:rPr>
              <w:fldChar w:fldCharType="separate"/>
            </w:r>
            <w:r w:rsidR="00643337">
              <w:rPr>
                <w:noProof/>
                <w:webHidden/>
              </w:rPr>
              <w:t>4</w:t>
            </w:r>
            <w:r w:rsidR="00643337">
              <w:rPr>
                <w:noProof/>
                <w:webHidden/>
              </w:rPr>
              <w:fldChar w:fldCharType="end"/>
            </w:r>
          </w:hyperlink>
        </w:p>
        <w:p w14:paraId="2E2DC76C" w14:textId="7C93D4A7" w:rsidR="00643337" w:rsidRDefault="00627143">
          <w:pPr>
            <w:pStyle w:val="TOC2"/>
            <w:tabs>
              <w:tab w:val="right" w:leader="dot" w:pos="9350"/>
            </w:tabs>
            <w:rPr>
              <w:noProof/>
            </w:rPr>
          </w:pPr>
          <w:hyperlink w:anchor="_Toc132904860" w:history="1">
            <w:r w:rsidR="00643337" w:rsidRPr="00C41B7C">
              <w:rPr>
                <w:rStyle w:val="Hyperlink"/>
                <w:rFonts w:cstheme="minorHAnsi"/>
                <w:noProof/>
              </w:rPr>
              <w:t>Jandt's Intercultural Communication Theory</w:t>
            </w:r>
            <w:r w:rsidR="00643337">
              <w:rPr>
                <w:noProof/>
                <w:webHidden/>
              </w:rPr>
              <w:tab/>
            </w:r>
            <w:r w:rsidR="00643337">
              <w:rPr>
                <w:noProof/>
                <w:webHidden/>
              </w:rPr>
              <w:fldChar w:fldCharType="begin"/>
            </w:r>
            <w:r w:rsidR="00643337">
              <w:rPr>
                <w:noProof/>
                <w:webHidden/>
              </w:rPr>
              <w:instrText xml:space="preserve"> PAGEREF _Toc132904860 \h </w:instrText>
            </w:r>
            <w:r w:rsidR="00643337">
              <w:rPr>
                <w:noProof/>
                <w:webHidden/>
              </w:rPr>
            </w:r>
            <w:r w:rsidR="00643337">
              <w:rPr>
                <w:noProof/>
                <w:webHidden/>
              </w:rPr>
              <w:fldChar w:fldCharType="separate"/>
            </w:r>
            <w:r w:rsidR="00643337">
              <w:rPr>
                <w:noProof/>
                <w:webHidden/>
              </w:rPr>
              <w:t>4</w:t>
            </w:r>
            <w:r w:rsidR="00643337">
              <w:rPr>
                <w:noProof/>
                <w:webHidden/>
              </w:rPr>
              <w:fldChar w:fldCharType="end"/>
            </w:r>
          </w:hyperlink>
        </w:p>
        <w:p w14:paraId="2D484F94" w14:textId="522A7C83" w:rsidR="00643337" w:rsidRDefault="00627143">
          <w:pPr>
            <w:pStyle w:val="TOC2"/>
            <w:tabs>
              <w:tab w:val="right" w:leader="dot" w:pos="9350"/>
            </w:tabs>
            <w:rPr>
              <w:noProof/>
            </w:rPr>
          </w:pPr>
          <w:hyperlink w:anchor="_Toc132904861" w:history="1">
            <w:r w:rsidR="00643337" w:rsidRPr="00C41B7C">
              <w:rPr>
                <w:rStyle w:val="Hyperlink"/>
                <w:rFonts w:cstheme="minorHAnsi"/>
                <w:noProof/>
              </w:rPr>
              <w:t>Application of Theories in the UK Context</w:t>
            </w:r>
            <w:r w:rsidR="00643337">
              <w:rPr>
                <w:noProof/>
                <w:webHidden/>
              </w:rPr>
              <w:tab/>
            </w:r>
            <w:r w:rsidR="00643337">
              <w:rPr>
                <w:noProof/>
                <w:webHidden/>
              </w:rPr>
              <w:fldChar w:fldCharType="begin"/>
            </w:r>
            <w:r w:rsidR="00643337">
              <w:rPr>
                <w:noProof/>
                <w:webHidden/>
              </w:rPr>
              <w:instrText xml:space="preserve"> PAGEREF _Toc132904861 \h </w:instrText>
            </w:r>
            <w:r w:rsidR="00643337">
              <w:rPr>
                <w:noProof/>
                <w:webHidden/>
              </w:rPr>
            </w:r>
            <w:r w:rsidR="00643337">
              <w:rPr>
                <w:noProof/>
                <w:webHidden/>
              </w:rPr>
              <w:fldChar w:fldCharType="separate"/>
            </w:r>
            <w:r w:rsidR="00643337">
              <w:rPr>
                <w:noProof/>
                <w:webHidden/>
              </w:rPr>
              <w:t>4</w:t>
            </w:r>
            <w:r w:rsidR="00643337">
              <w:rPr>
                <w:noProof/>
                <w:webHidden/>
              </w:rPr>
              <w:fldChar w:fldCharType="end"/>
            </w:r>
          </w:hyperlink>
        </w:p>
        <w:p w14:paraId="4A21B655" w14:textId="3BC6E9CE" w:rsidR="00643337" w:rsidRDefault="00627143">
          <w:pPr>
            <w:pStyle w:val="TOC1"/>
            <w:tabs>
              <w:tab w:val="right" w:leader="dot" w:pos="9350"/>
            </w:tabs>
            <w:rPr>
              <w:noProof/>
            </w:rPr>
          </w:pPr>
          <w:hyperlink w:anchor="_Toc132904862" w:history="1">
            <w:r w:rsidR="00643337" w:rsidRPr="00C41B7C">
              <w:rPr>
                <w:rStyle w:val="Hyperlink"/>
                <w:rFonts w:cstheme="minorHAnsi"/>
                <w:noProof/>
              </w:rPr>
              <w:t>Evaluation Of Cultural Sensitivity</w:t>
            </w:r>
            <w:r w:rsidR="00643337">
              <w:rPr>
                <w:noProof/>
                <w:webHidden/>
              </w:rPr>
              <w:tab/>
            </w:r>
            <w:r w:rsidR="00643337">
              <w:rPr>
                <w:noProof/>
                <w:webHidden/>
              </w:rPr>
              <w:fldChar w:fldCharType="begin"/>
            </w:r>
            <w:r w:rsidR="00643337">
              <w:rPr>
                <w:noProof/>
                <w:webHidden/>
              </w:rPr>
              <w:instrText xml:space="preserve"> PAGEREF _Toc132904862 \h </w:instrText>
            </w:r>
            <w:r w:rsidR="00643337">
              <w:rPr>
                <w:noProof/>
                <w:webHidden/>
              </w:rPr>
            </w:r>
            <w:r w:rsidR="00643337">
              <w:rPr>
                <w:noProof/>
                <w:webHidden/>
              </w:rPr>
              <w:fldChar w:fldCharType="separate"/>
            </w:r>
            <w:r w:rsidR="00643337">
              <w:rPr>
                <w:noProof/>
                <w:webHidden/>
              </w:rPr>
              <w:t>5</w:t>
            </w:r>
            <w:r w:rsidR="00643337">
              <w:rPr>
                <w:noProof/>
                <w:webHidden/>
              </w:rPr>
              <w:fldChar w:fldCharType="end"/>
            </w:r>
          </w:hyperlink>
        </w:p>
        <w:p w14:paraId="0A5CC55B" w14:textId="0ECDC1AA" w:rsidR="00643337" w:rsidRDefault="00627143">
          <w:pPr>
            <w:pStyle w:val="TOC1"/>
            <w:tabs>
              <w:tab w:val="right" w:leader="dot" w:pos="9350"/>
            </w:tabs>
            <w:rPr>
              <w:noProof/>
            </w:rPr>
          </w:pPr>
          <w:hyperlink w:anchor="_Toc132904863" w:history="1">
            <w:r w:rsidR="00643337" w:rsidRPr="00C41B7C">
              <w:rPr>
                <w:rStyle w:val="Hyperlink"/>
                <w:rFonts w:cstheme="minorHAnsi"/>
                <w:noProof/>
              </w:rPr>
              <w:t>Communication Barriers</w:t>
            </w:r>
            <w:r w:rsidR="00643337">
              <w:rPr>
                <w:noProof/>
                <w:webHidden/>
              </w:rPr>
              <w:tab/>
            </w:r>
            <w:r w:rsidR="00643337">
              <w:rPr>
                <w:noProof/>
                <w:webHidden/>
              </w:rPr>
              <w:fldChar w:fldCharType="begin"/>
            </w:r>
            <w:r w:rsidR="00643337">
              <w:rPr>
                <w:noProof/>
                <w:webHidden/>
              </w:rPr>
              <w:instrText xml:space="preserve"> PAGEREF _Toc132904863 \h </w:instrText>
            </w:r>
            <w:r w:rsidR="00643337">
              <w:rPr>
                <w:noProof/>
                <w:webHidden/>
              </w:rPr>
            </w:r>
            <w:r w:rsidR="00643337">
              <w:rPr>
                <w:noProof/>
                <w:webHidden/>
              </w:rPr>
              <w:fldChar w:fldCharType="separate"/>
            </w:r>
            <w:r w:rsidR="00643337">
              <w:rPr>
                <w:noProof/>
                <w:webHidden/>
              </w:rPr>
              <w:t>7</w:t>
            </w:r>
            <w:r w:rsidR="00643337">
              <w:rPr>
                <w:noProof/>
                <w:webHidden/>
              </w:rPr>
              <w:fldChar w:fldCharType="end"/>
            </w:r>
          </w:hyperlink>
        </w:p>
        <w:p w14:paraId="240BEBCF" w14:textId="6C944E00" w:rsidR="00643337" w:rsidRDefault="00627143">
          <w:pPr>
            <w:pStyle w:val="TOC1"/>
            <w:tabs>
              <w:tab w:val="right" w:leader="dot" w:pos="9350"/>
            </w:tabs>
            <w:rPr>
              <w:noProof/>
            </w:rPr>
          </w:pPr>
          <w:hyperlink w:anchor="_Toc132904864" w:history="1">
            <w:r w:rsidR="00643337" w:rsidRPr="00C41B7C">
              <w:rPr>
                <w:rStyle w:val="Hyperlink"/>
                <w:rFonts w:cstheme="minorHAnsi"/>
                <w:noProof/>
              </w:rPr>
              <w:t>Recommended Communication Strategies</w:t>
            </w:r>
            <w:r w:rsidR="00643337">
              <w:rPr>
                <w:noProof/>
                <w:webHidden/>
              </w:rPr>
              <w:tab/>
            </w:r>
            <w:r w:rsidR="00643337">
              <w:rPr>
                <w:noProof/>
                <w:webHidden/>
              </w:rPr>
              <w:fldChar w:fldCharType="begin"/>
            </w:r>
            <w:r w:rsidR="00643337">
              <w:rPr>
                <w:noProof/>
                <w:webHidden/>
              </w:rPr>
              <w:instrText xml:space="preserve"> PAGEREF _Toc132904864 \h </w:instrText>
            </w:r>
            <w:r w:rsidR="00643337">
              <w:rPr>
                <w:noProof/>
                <w:webHidden/>
              </w:rPr>
            </w:r>
            <w:r w:rsidR="00643337">
              <w:rPr>
                <w:noProof/>
                <w:webHidden/>
              </w:rPr>
              <w:fldChar w:fldCharType="separate"/>
            </w:r>
            <w:r w:rsidR="00643337">
              <w:rPr>
                <w:noProof/>
                <w:webHidden/>
              </w:rPr>
              <w:t>9</w:t>
            </w:r>
            <w:r w:rsidR="00643337">
              <w:rPr>
                <w:noProof/>
                <w:webHidden/>
              </w:rPr>
              <w:fldChar w:fldCharType="end"/>
            </w:r>
          </w:hyperlink>
        </w:p>
        <w:p w14:paraId="78621D11" w14:textId="68E22EEB" w:rsidR="00643337" w:rsidRDefault="00627143">
          <w:pPr>
            <w:pStyle w:val="TOC1"/>
            <w:tabs>
              <w:tab w:val="right" w:leader="dot" w:pos="9350"/>
            </w:tabs>
            <w:rPr>
              <w:noProof/>
            </w:rPr>
          </w:pPr>
          <w:hyperlink w:anchor="_Toc132904865" w:history="1">
            <w:r w:rsidR="00643337" w:rsidRPr="00C41B7C">
              <w:rPr>
                <w:rStyle w:val="Hyperlink"/>
                <w:rFonts w:cstheme="minorHAnsi"/>
                <w:noProof/>
              </w:rPr>
              <w:t>Conclusion</w:t>
            </w:r>
            <w:r w:rsidR="00643337">
              <w:rPr>
                <w:noProof/>
                <w:webHidden/>
              </w:rPr>
              <w:tab/>
            </w:r>
            <w:r w:rsidR="00643337">
              <w:rPr>
                <w:noProof/>
                <w:webHidden/>
              </w:rPr>
              <w:fldChar w:fldCharType="begin"/>
            </w:r>
            <w:r w:rsidR="00643337">
              <w:rPr>
                <w:noProof/>
                <w:webHidden/>
              </w:rPr>
              <w:instrText xml:space="preserve"> PAGEREF _Toc132904865 \h </w:instrText>
            </w:r>
            <w:r w:rsidR="00643337">
              <w:rPr>
                <w:noProof/>
                <w:webHidden/>
              </w:rPr>
            </w:r>
            <w:r w:rsidR="00643337">
              <w:rPr>
                <w:noProof/>
                <w:webHidden/>
              </w:rPr>
              <w:fldChar w:fldCharType="separate"/>
            </w:r>
            <w:r w:rsidR="00643337">
              <w:rPr>
                <w:noProof/>
                <w:webHidden/>
              </w:rPr>
              <w:t>10</w:t>
            </w:r>
            <w:r w:rsidR="00643337">
              <w:rPr>
                <w:noProof/>
                <w:webHidden/>
              </w:rPr>
              <w:fldChar w:fldCharType="end"/>
            </w:r>
          </w:hyperlink>
        </w:p>
        <w:p w14:paraId="67021035" w14:textId="7EA2E25A" w:rsidR="00643337" w:rsidRDefault="00627143">
          <w:pPr>
            <w:pStyle w:val="TOC1"/>
            <w:tabs>
              <w:tab w:val="right" w:leader="dot" w:pos="9350"/>
            </w:tabs>
            <w:rPr>
              <w:noProof/>
            </w:rPr>
          </w:pPr>
          <w:hyperlink w:anchor="_Toc132904866" w:history="1">
            <w:r w:rsidR="00643337" w:rsidRPr="00C41B7C">
              <w:rPr>
                <w:rStyle w:val="Hyperlink"/>
                <w:rFonts w:cstheme="minorHAnsi"/>
                <w:noProof/>
              </w:rPr>
              <w:t>Reference List</w:t>
            </w:r>
            <w:r w:rsidR="00643337">
              <w:rPr>
                <w:noProof/>
                <w:webHidden/>
              </w:rPr>
              <w:tab/>
            </w:r>
            <w:r w:rsidR="00643337">
              <w:rPr>
                <w:noProof/>
                <w:webHidden/>
              </w:rPr>
              <w:fldChar w:fldCharType="begin"/>
            </w:r>
            <w:r w:rsidR="00643337">
              <w:rPr>
                <w:noProof/>
                <w:webHidden/>
              </w:rPr>
              <w:instrText xml:space="preserve"> PAGEREF _Toc132904866 \h </w:instrText>
            </w:r>
            <w:r w:rsidR="00643337">
              <w:rPr>
                <w:noProof/>
                <w:webHidden/>
              </w:rPr>
            </w:r>
            <w:r w:rsidR="00643337">
              <w:rPr>
                <w:noProof/>
                <w:webHidden/>
              </w:rPr>
              <w:fldChar w:fldCharType="separate"/>
            </w:r>
            <w:r w:rsidR="00643337">
              <w:rPr>
                <w:noProof/>
                <w:webHidden/>
              </w:rPr>
              <w:t>10</w:t>
            </w:r>
            <w:r w:rsidR="00643337">
              <w:rPr>
                <w:noProof/>
                <w:webHidden/>
              </w:rPr>
              <w:fldChar w:fldCharType="end"/>
            </w:r>
          </w:hyperlink>
        </w:p>
        <w:p w14:paraId="37FF605E" w14:textId="77777777" w:rsidR="00643337" w:rsidRDefault="00643337">
          <w:pPr>
            <w:rPr>
              <w:b/>
              <w:bCs/>
              <w:noProof/>
            </w:rPr>
          </w:pPr>
          <w:r>
            <w:rPr>
              <w:b/>
              <w:bCs/>
              <w:noProof/>
            </w:rPr>
            <w:fldChar w:fldCharType="end"/>
          </w:r>
        </w:p>
        <w:p w14:paraId="11F52FD2" w14:textId="77777777" w:rsidR="00643337" w:rsidRDefault="00643337">
          <w:pPr>
            <w:rPr>
              <w:b/>
              <w:bCs/>
              <w:noProof/>
            </w:rPr>
          </w:pPr>
        </w:p>
        <w:p w14:paraId="3A396F6E" w14:textId="77777777" w:rsidR="00643337" w:rsidRDefault="00643337">
          <w:pPr>
            <w:rPr>
              <w:b/>
              <w:bCs/>
              <w:noProof/>
            </w:rPr>
          </w:pPr>
        </w:p>
        <w:p w14:paraId="3FC72346" w14:textId="77777777" w:rsidR="00643337" w:rsidRDefault="00643337">
          <w:pPr>
            <w:rPr>
              <w:b/>
              <w:bCs/>
              <w:noProof/>
            </w:rPr>
          </w:pPr>
        </w:p>
        <w:p w14:paraId="1C93B6ED" w14:textId="77777777" w:rsidR="00643337" w:rsidRDefault="00643337">
          <w:pPr>
            <w:rPr>
              <w:b/>
              <w:bCs/>
              <w:noProof/>
            </w:rPr>
          </w:pPr>
        </w:p>
        <w:p w14:paraId="6B98D507" w14:textId="77777777" w:rsidR="00643337" w:rsidRDefault="00643337">
          <w:pPr>
            <w:rPr>
              <w:b/>
              <w:bCs/>
              <w:noProof/>
            </w:rPr>
          </w:pPr>
        </w:p>
        <w:p w14:paraId="3F23F761" w14:textId="77777777" w:rsidR="00643337" w:rsidRDefault="00643337">
          <w:pPr>
            <w:rPr>
              <w:b/>
              <w:bCs/>
              <w:noProof/>
            </w:rPr>
          </w:pPr>
        </w:p>
        <w:p w14:paraId="6E9A5371" w14:textId="77777777" w:rsidR="00643337" w:rsidRDefault="00643337">
          <w:pPr>
            <w:rPr>
              <w:b/>
              <w:bCs/>
              <w:noProof/>
            </w:rPr>
          </w:pPr>
        </w:p>
        <w:p w14:paraId="1A63E778" w14:textId="77777777" w:rsidR="00643337" w:rsidRDefault="00643337">
          <w:pPr>
            <w:rPr>
              <w:b/>
              <w:bCs/>
              <w:noProof/>
            </w:rPr>
          </w:pPr>
        </w:p>
        <w:p w14:paraId="570D8BFE" w14:textId="77777777" w:rsidR="00643337" w:rsidRDefault="00643337">
          <w:pPr>
            <w:rPr>
              <w:b/>
              <w:bCs/>
              <w:noProof/>
            </w:rPr>
          </w:pPr>
        </w:p>
        <w:p w14:paraId="1C700DF9" w14:textId="77777777" w:rsidR="00643337" w:rsidRDefault="00643337">
          <w:pPr>
            <w:rPr>
              <w:b/>
              <w:bCs/>
              <w:noProof/>
            </w:rPr>
          </w:pPr>
        </w:p>
        <w:p w14:paraId="2B917547" w14:textId="77777777" w:rsidR="00643337" w:rsidRDefault="00643337">
          <w:pPr>
            <w:rPr>
              <w:b/>
              <w:bCs/>
              <w:noProof/>
            </w:rPr>
          </w:pPr>
        </w:p>
        <w:p w14:paraId="60958930" w14:textId="11D4CB8C" w:rsidR="00643337" w:rsidRDefault="00627143"/>
      </w:sdtContent>
    </w:sdt>
    <w:p w14:paraId="764D73FC" w14:textId="14678F9F" w:rsidR="00641EE1" w:rsidRPr="00643337" w:rsidRDefault="00641EE1" w:rsidP="00643337">
      <w:pPr>
        <w:spacing w:before="240" w:line="360" w:lineRule="auto"/>
        <w:jc w:val="both"/>
        <w:rPr>
          <w:rFonts w:cstheme="minorHAnsi"/>
          <w:sz w:val="24"/>
          <w:szCs w:val="24"/>
        </w:rPr>
      </w:pPr>
    </w:p>
    <w:p w14:paraId="63FD9104" w14:textId="2AD34B32" w:rsidR="00641EE1" w:rsidRPr="00643337" w:rsidRDefault="00641EE1" w:rsidP="00643337">
      <w:pPr>
        <w:pStyle w:val="Heading1"/>
        <w:spacing w:after="240" w:line="360" w:lineRule="auto"/>
        <w:jc w:val="both"/>
        <w:rPr>
          <w:rFonts w:asciiTheme="minorHAnsi" w:hAnsiTheme="minorHAnsi" w:cstheme="minorHAnsi"/>
          <w:b/>
          <w:bCs/>
        </w:rPr>
      </w:pPr>
      <w:bookmarkStart w:id="1" w:name="_Toc132904855"/>
      <w:r w:rsidRPr="00643337">
        <w:rPr>
          <w:rFonts w:asciiTheme="minorHAnsi" w:hAnsiTheme="minorHAnsi" w:cstheme="minorHAnsi"/>
          <w:b/>
          <w:bCs/>
        </w:rPr>
        <w:lastRenderedPageBreak/>
        <w:t>Introduction</w:t>
      </w:r>
      <w:bookmarkEnd w:id="1"/>
    </w:p>
    <w:p w14:paraId="52C0557D" w14:textId="02A7A795" w:rsidR="00641EE1" w:rsidRPr="00641EE1" w:rsidRDefault="00641EE1" w:rsidP="00643337">
      <w:pPr>
        <w:spacing w:before="240" w:line="360" w:lineRule="auto"/>
        <w:jc w:val="both"/>
        <w:rPr>
          <w:rFonts w:cstheme="minorHAnsi"/>
          <w:sz w:val="24"/>
          <w:szCs w:val="24"/>
        </w:rPr>
      </w:pPr>
      <w:r w:rsidRPr="00641EE1">
        <w:rPr>
          <w:rFonts w:cstheme="minorHAnsi"/>
          <w:sz w:val="24"/>
          <w:szCs w:val="24"/>
        </w:rPr>
        <w:t xml:space="preserve">Novartis UK is a leading pharmaceutical company in the UK, committed to improving health and well-being through innovative medicines and therapies. As a global company, Novartis recognizes the </w:t>
      </w:r>
      <w:r w:rsidR="00D76BDF">
        <w:rPr>
          <w:rFonts w:cstheme="minorHAnsi"/>
          <w:sz w:val="24"/>
          <w:szCs w:val="24"/>
        </w:rPr>
        <w:t>value maintaining and ensuring that the workplace setting is diverse such that employees feel empowered</w:t>
      </w:r>
      <w:r w:rsidRPr="00641EE1">
        <w:rPr>
          <w:rFonts w:cstheme="minorHAnsi"/>
          <w:sz w:val="24"/>
          <w:szCs w:val="24"/>
        </w:rPr>
        <w:t>.</w:t>
      </w:r>
      <w:r w:rsidRPr="00643337">
        <w:rPr>
          <w:rFonts w:cstheme="minorHAnsi"/>
          <w:sz w:val="24"/>
          <w:szCs w:val="24"/>
        </w:rPr>
        <w:t xml:space="preserve"> </w:t>
      </w:r>
      <w:r w:rsidRPr="00641EE1">
        <w:rPr>
          <w:rFonts w:cstheme="minorHAnsi"/>
          <w:sz w:val="24"/>
          <w:szCs w:val="24"/>
        </w:rPr>
        <w:t>The UK is a diverse country, with a rich cultural heritage and a melting pot of nationalities, ethnicities, and religions. Therefore, it is essential for Novartis UK to embrace this diversity and ensure that all employees feel included, regardless of their background. Inclusion is about creating an environment where everyone can be their authentic selves, feel respected and valued, and have equal opportunities to grow and develop their skills</w:t>
      </w:r>
      <w:r w:rsidR="00643337">
        <w:rPr>
          <w:rFonts w:cstheme="minorHAnsi"/>
          <w:sz w:val="24"/>
          <w:szCs w:val="24"/>
        </w:rPr>
        <w:t xml:space="preserve"> (Buckley and Casson, 2019).</w:t>
      </w:r>
    </w:p>
    <w:p w14:paraId="18924117" w14:textId="5BCBC83F" w:rsidR="00641EE1" w:rsidRPr="00641EE1" w:rsidRDefault="00641EE1" w:rsidP="00643337">
      <w:pPr>
        <w:spacing w:before="240" w:line="360" w:lineRule="auto"/>
        <w:jc w:val="both"/>
        <w:rPr>
          <w:rFonts w:cstheme="minorHAnsi"/>
          <w:sz w:val="24"/>
          <w:szCs w:val="24"/>
        </w:rPr>
      </w:pPr>
      <w:r w:rsidRPr="00641EE1">
        <w:rPr>
          <w:rFonts w:cstheme="minorHAnsi"/>
          <w:sz w:val="24"/>
          <w:szCs w:val="24"/>
        </w:rPr>
        <w:t>The role of line managers in fostering an inclusive workplace culture is critical. Line managers are the first point of contact for employees, responsible for setting expectations, providing feedback, and supporting their development. By creating an inclusive workplace, line managers can help to promote a positive work environment where employees feel motivated, engaged, and committed to the organization's goals.</w:t>
      </w:r>
      <w:r w:rsidRPr="00643337">
        <w:rPr>
          <w:rFonts w:cstheme="minorHAnsi"/>
          <w:sz w:val="24"/>
          <w:szCs w:val="24"/>
        </w:rPr>
        <w:t xml:space="preserve"> </w:t>
      </w:r>
      <w:r w:rsidRPr="00641EE1">
        <w:rPr>
          <w:rFonts w:cstheme="minorHAnsi"/>
          <w:sz w:val="24"/>
          <w:szCs w:val="24"/>
        </w:rPr>
        <w:t>Novartis UK is committed to promoting diversity and inclusion across all levels of the organization. The company has a range of initiatives in place to support this goal, including diversity and inclusion training for all employees, employee networks, and partnerships with external organizations focused on promoting diversity and inclusion.</w:t>
      </w:r>
      <w:r w:rsidRPr="00643337">
        <w:rPr>
          <w:rFonts w:cstheme="minorHAnsi"/>
          <w:sz w:val="24"/>
          <w:szCs w:val="24"/>
        </w:rPr>
        <w:t xml:space="preserve"> </w:t>
      </w:r>
      <w:r w:rsidRPr="00641EE1">
        <w:rPr>
          <w:rFonts w:cstheme="minorHAnsi"/>
          <w:sz w:val="24"/>
          <w:szCs w:val="24"/>
        </w:rPr>
        <w:t>Novartis UK recognizes that creating an inclusive workplace is an ongoing process and that there is always more that can be done. Therefore, the company is committed to continuous improvement and regularly reviews its policies and procedures to ensure they are promoting inclusivity and addressing any areas of concern.</w:t>
      </w:r>
    </w:p>
    <w:p w14:paraId="06F88CF7" w14:textId="0BF48029" w:rsidR="00641EE1" w:rsidRPr="00643337" w:rsidRDefault="00641EE1" w:rsidP="00643337">
      <w:pPr>
        <w:pStyle w:val="Heading1"/>
        <w:spacing w:after="240" w:line="360" w:lineRule="auto"/>
        <w:jc w:val="both"/>
        <w:rPr>
          <w:rFonts w:asciiTheme="minorHAnsi" w:hAnsiTheme="minorHAnsi" w:cstheme="minorHAnsi"/>
          <w:b/>
          <w:bCs/>
        </w:rPr>
      </w:pPr>
      <w:bookmarkStart w:id="2" w:name="_Toc132904856"/>
      <w:r w:rsidRPr="00643337">
        <w:rPr>
          <w:rFonts w:asciiTheme="minorHAnsi" w:hAnsiTheme="minorHAnsi" w:cstheme="minorHAnsi"/>
          <w:b/>
          <w:bCs/>
        </w:rPr>
        <w:t>Overview of Novartis UK</w:t>
      </w:r>
      <w:bookmarkEnd w:id="2"/>
    </w:p>
    <w:p w14:paraId="41E4610F" w14:textId="74D4BDEA" w:rsidR="00641EE1" w:rsidRPr="00641EE1" w:rsidRDefault="00641EE1" w:rsidP="00643337">
      <w:pPr>
        <w:spacing w:before="240" w:line="360" w:lineRule="auto"/>
        <w:jc w:val="both"/>
        <w:rPr>
          <w:rFonts w:cstheme="minorHAnsi"/>
          <w:sz w:val="24"/>
          <w:szCs w:val="24"/>
        </w:rPr>
      </w:pPr>
      <w:r w:rsidRPr="00641EE1">
        <w:rPr>
          <w:rFonts w:cstheme="minorHAnsi"/>
          <w:sz w:val="24"/>
          <w:szCs w:val="24"/>
        </w:rPr>
        <w:t xml:space="preserve">Novartis UK is a global pharmaceutical company with a significant presence in the UK. The company is committed to improving health and well-being through innovative medicines and therapies in a range of therapeutic areas, including cardiovascular, oncology, neuroscience, and immunology. </w:t>
      </w:r>
    </w:p>
    <w:p w14:paraId="334B638E" w14:textId="5462B14F" w:rsidR="00641EE1" w:rsidRPr="00641EE1" w:rsidRDefault="00641EE1" w:rsidP="00643337">
      <w:pPr>
        <w:spacing w:before="240" w:line="360" w:lineRule="auto"/>
        <w:jc w:val="both"/>
        <w:rPr>
          <w:rFonts w:cstheme="minorHAnsi"/>
          <w:sz w:val="24"/>
          <w:szCs w:val="24"/>
        </w:rPr>
      </w:pPr>
      <w:r w:rsidRPr="00641EE1">
        <w:rPr>
          <w:rFonts w:cstheme="minorHAnsi"/>
          <w:sz w:val="24"/>
          <w:szCs w:val="24"/>
        </w:rPr>
        <w:lastRenderedPageBreak/>
        <w:t>In addition to its commitment to sustainability, diversity and inclusion, and research and development, Novartis UK is a leader in digital health. The company has developed a range of digital health solutions, including mobile apps and wearables, to help patients manage their health and wellbeing</w:t>
      </w:r>
      <w:r w:rsidR="00643337">
        <w:rPr>
          <w:rFonts w:cstheme="minorHAnsi"/>
          <w:sz w:val="24"/>
          <w:szCs w:val="24"/>
        </w:rPr>
        <w:t xml:space="preserve"> (Buckley and Casson, 2019). </w:t>
      </w:r>
      <w:r w:rsidRPr="00641EE1">
        <w:rPr>
          <w:rFonts w:cstheme="minorHAnsi"/>
          <w:sz w:val="24"/>
          <w:szCs w:val="24"/>
        </w:rPr>
        <w:t>Novartis UK is also exploring the use of artificial intelligence and machine learning to develop new, personalized treatment options for patients.</w:t>
      </w:r>
      <w:r w:rsidRPr="00643337">
        <w:rPr>
          <w:rFonts w:cstheme="minorHAnsi"/>
          <w:sz w:val="24"/>
          <w:szCs w:val="24"/>
        </w:rPr>
        <w:t xml:space="preserve"> </w:t>
      </w:r>
      <w:r w:rsidRPr="00641EE1">
        <w:rPr>
          <w:rFonts w:cstheme="minorHAnsi"/>
          <w:sz w:val="24"/>
          <w:szCs w:val="24"/>
        </w:rPr>
        <w:t xml:space="preserve">Novartis UK is committed to operating ethically and transparently, with a focus on corporate responsibility. The company is committed to upholding high standards of ethical conduct and transparency in all its </w:t>
      </w:r>
      <w:r w:rsidR="00643337" w:rsidRPr="00641EE1">
        <w:rPr>
          <w:rFonts w:cstheme="minorHAnsi"/>
          <w:sz w:val="24"/>
          <w:szCs w:val="24"/>
        </w:rPr>
        <w:t>operations and</w:t>
      </w:r>
      <w:r w:rsidRPr="00641EE1">
        <w:rPr>
          <w:rFonts w:cstheme="minorHAnsi"/>
          <w:sz w:val="24"/>
          <w:szCs w:val="24"/>
        </w:rPr>
        <w:t xml:space="preserve"> has a </w:t>
      </w:r>
      <w:r w:rsidR="00D76BDF">
        <w:rPr>
          <w:rFonts w:cstheme="minorHAnsi"/>
          <w:sz w:val="24"/>
          <w:szCs w:val="24"/>
        </w:rPr>
        <w:t>multiple</w:t>
      </w:r>
      <w:r w:rsidRPr="00641EE1">
        <w:rPr>
          <w:rFonts w:cstheme="minorHAnsi"/>
          <w:sz w:val="24"/>
          <w:szCs w:val="24"/>
        </w:rPr>
        <w:t xml:space="preserve"> policies </w:t>
      </w:r>
      <w:r w:rsidR="00D76BDF">
        <w:rPr>
          <w:rFonts w:cstheme="minorHAnsi"/>
          <w:sz w:val="24"/>
          <w:szCs w:val="24"/>
        </w:rPr>
        <w:t>to make sure that everything is as per the policies set by the organisation</w:t>
      </w:r>
      <w:r w:rsidRPr="00641EE1">
        <w:rPr>
          <w:rFonts w:cstheme="minorHAnsi"/>
          <w:sz w:val="24"/>
          <w:szCs w:val="24"/>
        </w:rPr>
        <w:t xml:space="preserve">. The company supports a range of community programs and </w:t>
      </w:r>
      <w:r w:rsidR="00D76BDF" w:rsidRPr="00641EE1">
        <w:rPr>
          <w:rFonts w:cstheme="minorHAnsi"/>
          <w:sz w:val="24"/>
          <w:szCs w:val="24"/>
        </w:rPr>
        <w:t>proposals</w:t>
      </w:r>
      <w:r w:rsidRPr="00641EE1">
        <w:rPr>
          <w:rFonts w:cstheme="minorHAnsi"/>
          <w:sz w:val="24"/>
          <w:szCs w:val="24"/>
        </w:rPr>
        <w:t xml:space="preserve"> focused on improving health and well-being, education, and economic development.</w:t>
      </w:r>
    </w:p>
    <w:p w14:paraId="3DE569E7" w14:textId="2A7CE43E" w:rsidR="00641EE1" w:rsidRPr="00643337" w:rsidRDefault="00DA02CD" w:rsidP="00643337">
      <w:pPr>
        <w:pStyle w:val="Heading1"/>
        <w:spacing w:after="240" w:line="360" w:lineRule="auto"/>
        <w:jc w:val="both"/>
        <w:rPr>
          <w:rFonts w:asciiTheme="minorHAnsi" w:hAnsiTheme="minorHAnsi" w:cstheme="minorHAnsi"/>
          <w:b/>
          <w:bCs/>
        </w:rPr>
      </w:pPr>
      <w:bookmarkStart w:id="3" w:name="_Toc132904857"/>
      <w:r w:rsidRPr="00643337">
        <w:rPr>
          <w:rFonts w:asciiTheme="minorHAnsi" w:hAnsiTheme="minorHAnsi" w:cstheme="minorHAnsi"/>
          <w:b/>
          <w:bCs/>
        </w:rPr>
        <w:t>Application of Theories.</w:t>
      </w:r>
      <w:bookmarkEnd w:id="3"/>
    </w:p>
    <w:p w14:paraId="33DB3A5F" w14:textId="1FE6E54F"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The UK is a multicultural and diverse society with people from different ethnic backgrounds, religions, and cultures</w:t>
      </w:r>
      <w:r w:rsidR="00643337">
        <w:rPr>
          <w:rFonts w:cstheme="minorHAnsi"/>
          <w:sz w:val="24"/>
          <w:szCs w:val="24"/>
        </w:rPr>
        <w:t xml:space="preserve"> (Ratten, 2020)</w:t>
      </w:r>
      <w:r w:rsidRPr="00DA02CD">
        <w:rPr>
          <w:rFonts w:cstheme="minorHAnsi"/>
          <w:sz w:val="24"/>
          <w:szCs w:val="24"/>
        </w:rPr>
        <w:t>. Effective communication is essential to ensure that people of different backgrounds can communicate and work together effectively. In this section, we will explore the theories of international and intercultural communication and their application in the UK context.</w:t>
      </w:r>
    </w:p>
    <w:p w14:paraId="7C5B27F9" w14:textId="77777777" w:rsidR="00DA02CD" w:rsidRPr="00643337" w:rsidRDefault="00DA02CD" w:rsidP="00643337">
      <w:pPr>
        <w:pStyle w:val="Heading2"/>
        <w:spacing w:before="240" w:line="360" w:lineRule="auto"/>
        <w:jc w:val="both"/>
        <w:rPr>
          <w:rFonts w:asciiTheme="minorHAnsi" w:hAnsiTheme="minorHAnsi" w:cstheme="minorHAnsi"/>
          <w:sz w:val="24"/>
          <w:szCs w:val="24"/>
        </w:rPr>
      </w:pPr>
      <w:bookmarkStart w:id="4" w:name="_Toc132904858"/>
      <w:r w:rsidRPr="00643337">
        <w:rPr>
          <w:rFonts w:asciiTheme="minorHAnsi" w:hAnsiTheme="minorHAnsi" w:cstheme="minorHAnsi"/>
          <w:sz w:val="24"/>
          <w:szCs w:val="24"/>
        </w:rPr>
        <w:t>Hofstede's Cultural Dimensions</w:t>
      </w:r>
      <w:bookmarkEnd w:id="4"/>
    </w:p>
    <w:p w14:paraId="50197703" w14:textId="54C41B96" w:rsidR="00DA02CD" w:rsidRPr="00DA02CD" w:rsidRDefault="00D76BDF" w:rsidP="00643337">
      <w:pPr>
        <w:spacing w:before="240" w:line="360" w:lineRule="auto"/>
        <w:jc w:val="both"/>
        <w:rPr>
          <w:rFonts w:cstheme="minorHAnsi"/>
          <w:sz w:val="24"/>
          <w:szCs w:val="24"/>
        </w:rPr>
      </w:pPr>
      <w:r>
        <w:rPr>
          <w:rFonts w:cstheme="minorHAnsi"/>
          <w:sz w:val="24"/>
          <w:szCs w:val="24"/>
        </w:rPr>
        <w:t>This theory sets the premise of</w:t>
      </w:r>
      <w:r w:rsidR="00DA02CD" w:rsidRPr="00DA02CD">
        <w:rPr>
          <w:rFonts w:cstheme="minorHAnsi"/>
          <w:sz w:val="24"/>
          <w:szCs w:val="24"/>
        </w:rPr>
        <w:t xml:space="preserve"> understanding cultural differences between </w:t>
      </w:r>
      <w:r>
        <w:rPr>
          <w:rFonts w:cstheme="minorHAnsi"/>
          <w:sz w:val="24"/>
          <w:szCs w:val="24"/>
        </w:rPr>
        <w:t>various</w:t>
      </w:r>
      <w:r w:rsidR="00DA02CD" w:rsidRPr="00DA02CD">
        <w:rPr>
          <w:rFonts w:cstheme="minorHAnsi"/>
          <w:sz w:val="24"/>
          <w:szCs w:val="24"/>
        </w:rPr>
        <w:t xml:space="preserve"> countries. The theory identifies six dimensions of culture: power distance, individualism, masculinity, uncertainty avoidance, long-term orientation, and indulgence. </w:t>
      </w:r>
      <w:r w:rsidR="00643337">
        <w:rPr>
          <w:rFonts w:cstheme="minorHAnsi"/>
          <w:sz w:val="24"/>
          <w:szCs w:val="24"/>
        </w:rPr>
        <w:t xml:space="preserve">In its application, it is outlined </w:t>
      </w:r>
      <w:r w:rsidR="00DA02CD" w:rsidRPr="00DA02CD">
        <w:rPr>
          <w:rFonts w:cstheme="minorHAnsi"/>
          <w:sz w:val="24"/>
          <w:szCs w:val="24"/>
        </w:rPr>
        <w:t>that the country scores low in power distance, indicating that there is a relatively equal distribution of power in society</w:t>
      </w:r>
      <w:r w:rsidR="00643337">
        <w:rPr>
          <w:rFonts w:cstheme="minorHAnsi"/>
          <w:sz w:val="24"/>
          <w:szCs w:val="24"/>
        </w:rPr>
        <w:t xml:space="preserve"> (Buckley and Casson, 2019)</w:t>
      </w:r>
      <w:r w:rsidR="00DA02CD" w:rsidRPr="00DA02CD">
        <w:rPr>
          <w:rFonts w:cstheme="minorHAnsi"/>
          <w:sz w:val="24"/>
          <w:szCs w:val="24"/>
        </w:rPr>
        <w:t>. The UK also scores high in individualism, suggesting that people value personal freedom and autonomy</w:t>
      </w:r>
      <w:r w:rsidR="00643337">
        <w:rPr>
          <w:rFonts w:cstheme="minorHAnsi"/>
          <w:sz w:val="24"/>
          <w:szCs w:val="24"/>
        </w:rPr>
        <w:t xml:space="preserve"> (Ratten, 2020)</w:t>
      </w:r>
      <w:r w:rsidR="00DA02CD" w:rsidRPr="00DA02CD">
        <w:rPr>
          <w:rFonts w:cstheme="minorHAnsi"/>
          <w:sz w:val="24"/>
          <w:szCs w:val="24"/>
        </w:rPr>
        <w:t>. The country scores low in masculinity, indicating that there is a greater emphasis on nurturing and caring for others. In terms of uncertainty avoidance, the UK scores low, indicating that people are comfortable with ambiguity and uncertainty.</w:t>
      </w:r>
    </w:p>
    <w:p w14:paraId="7BF79C28" w14:textId="77777777" w:rsidR="00DA02CD" w:rsidRPr="00643337" w:rsidRDefault="00DA02CD" w:rsidP="00643337">
      <w:pPr>
        <w:pStyle w:val="Heading2"/>
        <w:spacing w:before="240" w:line="360" w:lineRule="auto"/>
        <w:jc w:val="both"/>
        <w:rPr>
          <w:rFonts w:asciiTheme="minorHAnsi" w:hAnsiTheme="minorHAnsi" w:cstheme="minorHAnsi"/>
          <w:sz w:val="24"/>
          <w:szCs w:val="24"/>
        </w:rPr>
      </w:pPr>
      <w:bookmarkStart w:id="5" w:name="_Toc132904859"/>
      <w:r w:rsidRPr="00643337">
        <w:rPr>
          <w:rFonts w:asciiTheme="minorHAnsi" w:hAnsiTheme="minorHAnsi" w:cstheme="minorHAnsi"/>
          <w:sz w:val="24"/>
          <w:szCs w:val="24"/>
        </w:rPr>
        <w:lastRenderedPageBreak/>
        <w:t>Samovar and Porter's Communication Theory</w:t>
      </w:r>
      <w:bookmarkEnd w:id="5"/>
    </w:p>
    <w:p w14:paraId="652EA436" w14:textId="2164CE0D"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 xml:space="preserve">Samovar and Porter's communication theory </w:t>
      </w:r>
      <w:r w:rsidR="00D76BDF" w:rsidRPr="00DA02CD">
        <w:rPr>
          <w:rFonts w:cstheme="minorHAnsi"/>
          <w:sz w:val="24"/>
          <w:szCs w:val="24"/>
        </w:rPr>
        <w:t>highlights</w:t>
      </w:r>
      <w:r w:rsidRPr="00DA02CD">
        <w:rPr>
          <w:rFonts w:cstheme="minorHAnsi"/>
          <w:sz w:val="24"/>
          <w:szCs w:val="24"/>
        </w:rPr>
        <w:t xml:space="preserve"> the </w:t>
      </w:r>
      <w:r w:rsidR="00D76BDF">
        <w:rPr>
          <w:rFonts w:cstheme="minorHAnsi"/>
          <w:sz w:val="24"/>
          <w:szCs w:val="24"/>
        </w:rPr>
        <w:t>value</w:t>
      </w:r>
      <w:r w:rsidRPr="00DA02CD">
        <w:rPr>
          <w:rFonts w:cstheme="minorHAnsi"/>
          <w:sz w:val="24"/>
          <w:szCs w:val="24"/>
        </w:rPr>
        <w:t xml:space="preserve"> of context in communication. Applying this theory to the UK </w:t>
      </w:r>
      <w:r w:rsidR="00643337">
        <w:rPr>
          <w:rFonts w:cstheme="minorHAnsi"/>
          <w:sz w:val="24"/>
          <w:szCs w:val="24"/>
        </w:rPr>
        <w:t xml:space="preserve">it is evident that </w:t>
      </w:r>
      <w:r w:rsidRPr="00DA02CD">
        <w:rPr>
          <w:rFonts w:cstheme="minorHAnsi"/>
          <w:sz w:val="24"/>
          <w:szCs w:val="24"/>
        </w:rPr>
        <w:t xml:space="preserve">the country has a diverse and multicultural society with different languages, values, and beliefs. To communicate effectively, it is important to understand and respect these cultural differences. </w:t>
      </w:r>
      <w:r w:rsidR="00D76BDF">
        <w:rPr>
          <w:rFonts w:cstheme="minorHAnsi"/>
          <w:sz w:val="24"/>
          <w:szCs w:val="24"/>
        </w:rPr>
        <w:t>In UK, the history and dynamics of the country adds value to its communication</w:t>
      </w:r>
      <w:r w:rsidRPr="00DA02CD">
        <w:rPr>
          <w:rFonts w:cstheme="minorHAnsi"/>
          <w:sz w:val="24"/>
          <w:szCs w:val="24"/>
        </w:rPr>
        <w:t xml:space="preserve">. For example, the use of </w:t>
      </w:r>
      <w:r w:rsidR="00643337" w:rsidRPr="00DA02CD">
        <w:rPr>
          <w:rFonts w:cstheme="minorHAnsi"/>
          <w:sz w:val="24"/>
          <w:szCs w:val="24"/>
        </w:rPr>
        <w:t>humour</w:t>
      </w:r>
      <w:r w:rsidRPr="00DA02CD">
        <w:rPr>
          <w:rFonts w:cstheme="minorHAnsi"/>
          <w:sz w:val="24"/>
          <w:szCs w:val="24"/>
        </w:rPr>
        <w:t xml:space="preserve"> and sarcasm is a common feature of British communication.</w:t>
      </w:r>
    </w:p>
    <w:p w14:paraId="495EAB38" w14:textId="77777777" w:rsidR="00DA02CD" w:rsidRPr="00643337" w:rsidRDefault="00DA02CD" w:rsidP="00643337">
      <w:pPr>
        <w:pStyle w:val="Heading2"/>
        <w:spacing w:before="240" w:line="360" w:lineRule="auto"/>
        <w:jc w:val="both"/>
        <w:rPr>
          <w:rFonts w:asciiTheme="minorHAnsi" w:hAnsiTheme="minorHAnsi" w:cstheme="minorHAnsi"/>
          <w:sz w:val="24"/>
          <w:szCs w:val="24"/>
        </w:rPr>
      </w:pPr>
      <w:bookmarkStart w:id="6" w:name="_Toc132904860"/>
      <w:r w:rsidRPr="00643337">
        <w:rPr>
          <w:rFonts w:asciiTheme="minorHAnsi" w:hAnsiTheme="minorHAnsi" w:cstheme="minorHAnsi"/>
          <w:sz w:val="24"/>
          <w:szCs w:val="24"/>
        </w:rPr>
        <w:t>Jandt's Intercultural Communication Theory</w:t>
      </w:r>
      <w:bookmarkEnd w:id="6"/>
    </w:p>
    <w:p w14:paraId="08D99F6D" w14:textId="614BFB9B" w:rsidR="00D76BDF" w:rsidRDefault="00DA02CD" w:rsidP="00643337">
      <w:pPr>
        <w:spacing w:before="240" w:line="360" w:lineRule="auto"/>
        <w:jc w:val="both"/>
        <w:rPr>
          <w:rFonts w:cstheme="minorHAnsi"/>
          <w:sz w:val="24"/>
          <w:szCs w:val="24"/>
        </w:rPr>
      </w:pPr>
      <w:r w:rsidRPr="00DA02CD">
        <w:rPr>
          <w:rFonts w:cstheme="minorHAnsi"/>
          <w:sz w:val="24"/>
          <w:szCs w:val="24"/>
        </w:rPr>
        <w:t xml:space="preserve">Jandt's intercultural communication theory highlights the importance of understanding cultural differences in communication. </w:t>
      </w:r>
      <w:r w:rsidR="00D76BDF">
        <w:rPr>
          <w:rFonts w:cstheme="minorHAnsi"/>
          <w:sz w:val="24"/>
          <w:szCs w:val="24"/>
        </w:rPr>
        <w:t>As per this theory, factors like values, culture, language, and other forms of communications impacts the intercultural communication</w:t>
      </w:r>
      <w:r w:rsidR="00643337">
        <w:rPr>
          <w:rFonts w:cstheme="minorHAnsi"/>
          <w:sz w:val="24"/>
          <w:szCs w:val="24"/>
        </w:rPr>
        <w:t xml:space="preserve"> (Ratten, 2020)</w:t>
      </w:r>
      <w:r w:rsidRPr="00DA02CD">
        <w:rPr>
          <w:rFonts w:cstheme="minorHAnsi"/>
          <w:sz w:val="24"/>
          <w:szCs w:val="24"/>
        </w:rPr>
        <w:t xml:space="preserve">. Applying this theory to the UK context, we can see that the country's multicultural society presents unique challenges in intercultural communication. Understanding and respecting cultural differences is essential to effective communication. </w:t>
      </w:r>
      <w:r w:rsidR="00D76BDF">
        <w:rPr>
          <w:rFonts w:cstheme="minorHAnsi"/>
          <w:sz w:val="24"/>
          <w:szCs w:val="24"/>
        </w:rPr>
        <w:t xml:space="preserve"> For instance, a few regions give more value to straight up communications while in some regions, diplomatic communications are more important.</w:t>
      </w:r>
    </w:p>
    <w:p w14:paraId="2F7E2FA2" w14:textId="77777777" w:rsidR="00DA02CD" w:rsidRPr="00643337" w:rsidRDefault="00DA02CD" w:rsidP="00643337">
      <w:pPr>
        <w:pStyle w:val="Heading2"/>
        <w:spacing w:before="240" w:line="360" w:lineRule="auto"/>
        <w:jc w:val="both"/>
        <w:rPr>
          <w:rFonts w:asciiTheme="minorHAnsi" w:hAnsiTheme="minorHAnsi" w:cstheme="minorHAnsi"/>
          <w:sz w:val="24"/>
          <w:szCs w:val="24"/>
        </w:rPr>
      </w:pPr>
      <w:bookmarkStart w:id="7" w:name="_Toc132904861"/>
      <w:r w:rsidRPr="00643337">
        <w:rPr>
          <w:rFonts w:asciiTheme="minorHAnsi" w:hAnsiTheme="minorHAnsi" w:cstheme="minorHAnsi"/>
          <w:sz w:val="24"/>
          <w:szCs w:val="24"/>
        </w:rPr>
        <w:t>Application of Theories in the UK Context</w:t>
      </w:r>
      <w:bookmarkEnd w:id="7"/>
    </w:p>
    <w:p w14:paraId="16F62515" w14:textId="7D2847A2"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The theories of international and intercultural communication are highly relevant in the UK context. With a multicultural and diverse society, effective communication requires an understanding and respect for cultural differences</w:t>
      </w:r>
      <w:r w:rsidR="00643337">
        <w:rPr>
          <w:rFonts w:cstheme="minorHAnsi"/>
          <w:sz w:val="24"/>
          <w:szCs w:val="24"/>
        </w:rPr>
        <w:t xml:space="preserve"> (Ratten, 2020)</w:t>
      </w:r>
      <w:r w:rsidRPr="00DA02CD">
        <w:rPr>
          <w:rFonts w:cstheme="minorHAnsi"/>
          <w:sz w:val="24"/>
          <w:szCs w:val="24"/>
        </w:rPr>
        <w:t>. Hofstede's cultural dimensions theory can help us understand the different cultural values and attitudes that exist in the UK. For example, the country's low power distance suggests that people value equality and fairness, while the high individualism score indicates that people value personal freedom and autonomy.</w:t>
      </w:r>
    </w:p>
    <w:p w14:paraId="7BF95830" w14:textId="32ED0D02"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Samovar and Porter's communication theory emphasizes the importance of context in communication</w:t>
      </w:r>
      <w:r w:rsidR="00643337">
        <w:rPr>
          <w:rFonts w:cstheme="minorHAnsi"/>
          <w:sz w:val="24"/>
          <w:szCs w:val="24"/>
        </w:rPr>
        <w:t xml:space="preserve"> (Kalogiannidis, 2021)</w:t>
      </w:r>
      <w:r w:rsidRPr="00DA02CD">
        <w:rPr>
          <w:rFonts w:cstheme="minorHAnsi"/>
          <w:sz w:val="24"/>
          <w:szCs w:val="24"/>
        </w:rPr>
        <w:t xml:space="preserve">. In the UK, understanding the country's history, politics, and social norms is essential to effective communication. For example, the use of </w:t>
      </w:r>
      <w:r w:rsidR="00643337" w:rsidRPr="00DA02CD">
        <w:rPr>
          <w:rFonts w:cstheme="minorHAnsi"/>
          <w:sz w:val="24"/>
          <w:szCs w:val="24"/>
        </w:rPr>
        <w:t>humour</w:t>
      </w:r>
      <w:r w:rsidRPr="00DA02CD">
        <w:rPr>
          <w:rFonts w:cstheme="minorHAnsi"/>
          <w:sz w:val="24"/>
          <w:szCs w:val="24"/>
        </w:rPr>
        <w:t xml:space="preserve"> and </w:t>
      </w:r>
      <w:r w:rsidRPr="00DA02CD">
        <w:rPr>
          <w:rFonts w:cstheme="minorHAnsi"/>
          <w:sz w:val="24"/>
          <w:szCs w:val="24"/>
        </w:rPr>
        <w:lastRenderedPageBreak/>
        <w:t>sarcasm is a common feature of British communication and may be misunderstood by people from other cultures.</w:t>
      </w:r>
    </w:p>
    <w:p w14:paraId="48426BFD" w14:textId="770F562C"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Jandt's intercultural communication theory highlights the importance of understanding and respecting cultural differences. In the UK, cultural differences exist not just between different ethnic groups, but also between different regions of the country</w:t>
      </w:r>
      <w:r w:rsidR="00643337">
        <w:rPr>
          <w:rFonts w:cstheme="minorHAnsi"/>
          <w:sz w:val="24"/>
          <w:szCs w:val="24"/>
        </w:rPr>
        <w:t xml:space="preserve"> (Ratten, 2020)</w:t>
      </w:r>
      <w:r w:rsidRPr="00DA02CD">
        <w:rPr>
          <w:rFonts w:cstheme="minorHAnsi"/>
          <w:sz w:val="24"/>
          <w:szCs w:val="24"/>
        </w:rPr>
        <w:t xml:space="preserve">. Effective communication </w:t>
      </w:r>
      <w:r w:rsidR="00D76BDF" w:rsidRPr="00DA02CD">
        <w:rPr>
          <w:rFonts w:cstheme="minorHAnsi"/>
          <w:sz w:val="24"/>
          <w:szCs w:val="24"/>
        </w:rPr>
        <w:t>expects</w:t>
      </w:r>
      <w:r w:rsidR="00D76BDF">
        <w:rPr>
          <w:rFonts w:cstheme="minorHAnsi"/>
          <w:sz w:val="24"/>
          <w:szCs w:val="24"/>
        </w:rPr>
        <w:t xml:space="preserve"> adaptiveness and understanding the differences of culture to modify the style of communication accordingly. </w:t>
      </w:r>
      <w:r w:rsidRPr="00DA02CD">
        <w:rPr>
          <w:rFonts w:cstheme="minorHAnsi"/>
          <w:sz w:val="24"/>
          <w:szCs w:val="24"/>
        </w:rPr>
        <w:t>With a multicultural and diverse society, effective communication requires an understanding and respect for cultural differences</w:t>
      </w:r>
      <w:r w:rsidR="00643337">
        <w:rPr>
          <w:rFonts w:cstheme="minorHAnsi"/>
          <w:sz w:val="24"/>
          <w:szCs w:val="24"/>
        </w:rPr>
        <w:t xml:space="preserve"> (Ratten, 2020)</w:t>
      </w:r>
      <w:r w:rsidRPr="00DA02CD">
        <w:rPr>
          <w:rFonts w:cstheme="minorHAnsi"/>
          <w:sz w:val="24"/>
          <w:szCs w:val="24"/>
        </w:rPr>
        <w:t>. Applying theories such as Hofstede's cultural dimensions, Samovar and Porter's communication theory, and Jandt's intercultural communication theory can help us understand and navigate these cultural</w:t>
      </w:r>
    </w:p>
    <w:p w14:paraId="144CF9A4" w14:textId="514029EE" w:rsidR="00DA02CD" w:rsidRPr="00643337" w:rsidRDefault="00DA02CD" w:rsidP="00643337">
      <w:pPr>
        <w:pStyle w:val="Heading1"/>
        <w:spacing w:after="240" w:line="360" w:lineRule="auto"/>
        <w:jc w:val="both"/>
        <w:rPr>
          <w:rFonts w:asciiTheme="minorHAnsi" w:hAnsiTheme="minorHAnsi" w:cstheme="minorHAnsi"/>
          <w:b/>
          <w:bCs/>
        </w:rPr>
      </w:pPr>
      <w:bookmarkStart w:id="8" w:name="_Toc132904862"/>
      <w:r w:rsidRPr="00643337">
        <w:rPr>
          <w:rFonts w:asciiTheme="minorHAnsi" w:hAnsiTheme="minorHAnsi" w:cstheme="minorHAnsi"/>
          <w:b/>
          <w:bCs/>
        </w:rPr>
        <w:t>Evaluation Of Cultural Sensitivity</w:t>
      </w:r>
      <w:bookmarkEnd w:id="8"/>
    </w:p>
    <w:p w14:paraId="141F9FFE" w14:textId="506E7CB0"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 xml:space="preserve">Cultural sensitivity is crucial when doing business in the UK, particularly given the country's diverse multicultural society. </w:t>
      </w:r>
    </w:p>
    <w:p w14:paraId="2F3537E2" w14:textId="77777777" w:rsidR="00DA02CD" w:rsidRPr="00643337" w:rsidRDefault="00DA02CD" w:rsidP="00643337">
      <w:pPr>
        <w:spacing w:before="240" w:line="360" w:lineRule="auto"/>
        <w:jc w:val="both"/>
        <w:rPr>
          <w:rFonts w:cstheme="minorHAnsi"/>
          <w:b/>
          <w:bCs/>
          <w:sz w:val="24"/>
          <w:szCs w:val="24"/>
        </w:rPr>
      </w:pPr>
      <w:r w:rsidRPr="00DA02CD">
        <w:rPr>
          <w:rFonts w:cstheme="minorHAnsi"/>
          <w:b/>
          <w:bCs/>
          <w:sz w:val="24"/>
          <w:szCs w:val="24"/>
        </w:rPr>
        <w:t xml:space="preserve">Importance of cultural sensitivity in the UK context </w:t>
      </w:r>
    </w:p>
    <w:p w14:paraId="1C49913E" w14:textId="21607B07"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The UK has a diverse population with people from many different ethnic and cultural backgrounds. This diversity is reflected in the country's workforce, with employees from different cultural backgrounds working together</w:t>
      </w:r>
      <w:r w:rsidR="00643337">
        <w:rPr>
          <w:rFonts w:cstheme="minorHAnsi"/>
          <w:sz w:val="24"/>
          <w:szCs w:val="24"/>
        </w:rPr>
        <w:t xml:space="preserve"> (Kalogiannidis, 2021)</w:t>
      </w:r>
      <w:r w:rsidRPr="00DA02CD">
        <w:rPr>
          <w:rFonts w:cstheme="minorHAnsi"/>
          <w:sz w:val="24"/>
          <w:szCs w:val="24"/>
        </w:rPr>
        <w:t>. In order to promote effective communication and collaboration in this context, it is important to be culturally sensitive. This involves understanding and respecting cultural differences, recognizing and challenging stereotypes and biases, and adapting communication styles to suit different cultural contexts.</w:t>
      </w:r>
    </w:p>
    <w:p w14:paraId="59A115FF" w14:textId="77777777" w:rsidR="00DA02CD" w:rsidRPr="00643337" w:rsidRDefault="00DA02CD" w:rsidP="00643337">
      <w:pPr>
        <w:spacing w:before="240" w:line="360" w:lineRule="auto"/>
        <w:jc w:val="both"/>
        <w:rPr>
          <w:rFonts w:cstheme="minorHAnsi"/>
          <w:sz w:val="24"/>
          <w:szCs w:val="24"/>
        </w:rPr>
      </w:pPr>
      <w:r w:rsidRPr="00DA02CD">
        <w:rPr>
          <w:rFonts w:cstheme="minorHAnsi"/>
          <w:b/>
          <w:bCs/>
          <w:sz w:val="24"/>
          <w:szCs w:val="24"/>
        </w:rPr>
        <w:t>Examples of cultural sensitivity in the UK workplace</w:t>
      </w:r>
      <w:r w:rsidRPr="00DA02CD">
        <w:rPr>
          <w:rFonts w:cstheme="minorHAnsi"/>
          <w:sz w:val="24"/>
          <w:szCs w:val="24"/>
        </w:rPr>
        <w:t xml:space="preserve"> </w:t>
      </w:r>
    </w:p>
    <w:p w14:paraId="4D55B351" w14:textId="7C151A05"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 xml:space="preserve">A company that values cultural sensitivity can </w:t>
      </w:r>
      <w:r w:rsidR="00D76BDF" w:rsidRPr="00DA02CD">
        <w:rPr>
          <w:rFonts w:cstheme="minorHAnsi"/>
          <w:sz w:val="24"/>
          <w:szCs w:val="24"/>
        </w:rPr>
        <w:t>establish</w:t>
      </w:r>
      <w:r w:rsidRPr="00DA02CD">
        <w:rPr>
          <w:rFonts w:cstheme="minorHAnsi"/>
          <w:sz w:val="24"/>
          <w:szCs w:val="24"/>
        </w:rPr>
        <w:t xml:space="preserve"> a positive and </w:t>
      </w:r>
      <w:r w:rsidR="00D76BDF" w:rsidRPr="00DA02CD">
        <w:rPr>
          <w:rFonts w:cstheme="minorHAnsi"/>
          <w:sz w:val="24"/>
          <w:szCs w:val="24"/>
        </w:rPr>
        <w:t>comprehensive</w:t>
      </w:r>
      <w:r w:rsidR="00D76BDF">
        <w:rPr>
          <w:rFonts w:cstheme="minorHAnsi"/>
          <w:sz w:val="24"/>
          <w:szCs w:val="24"/>
        </w:rPr>
        <w:t xml:space="preserve"> environment of</w:t>
      </w:r>
      <w:r w:rsidRPr="00DA02CD">
        <w:rPr>
          <w:rFonts w:cstheme="minorHAnsi"/>
          <w:sz w:val="24"/>
          <w:szCs w:val="24"/>
        </w:rPr>
        <w:t xml:space="preserve"> work</w:t>
      </w:r>
      <w:r w:rsidR="00D76BDF">
        <w:rPr>
          <w:rFonts w:cstheme="minorHAnsi"/>
          <w:sz w:val="24"/>
          <w:szCs w:val="24"/>
        </w:rPr>
        <w:t xml:space="preserve"> such that it promotes productivity and engagement amongst the </w:t>
      </w:r>
      <w:r w:rsidR="00D76BDF">
        <w:rPr>
          <w:rFonts w:cstheme="minorHAnsi"/>
          <w:sz w:val="24"/>
          <w:szCs w:val="24"/>
        </w:rPr>
        <w:lastRenderedPageBreak/>
        <w:t xml:space="preserve">employees </w:t>
      </w:r>
      <w:r w:rsidR="00643337">
        <w:rPr>
          <w:rFonts w:cstheme="minorHAnsi"/>
          <w:sz w:val="24"/>
          <w:szCs w:val="24"/>
        </w:rPr>
        <w:t>Kalogiannidis, 2021)</w:t>
      </w:r>
      <w:r w:rsidRPr="00DA02CD">
        <w:rPr>
          <w:rFonts w:cstheme="minorHAnsi"/>
          <w:sz w:val="24"/>
          <w:szCs w:val="24"/>
        </w:rPr>
        <w:t>. For example, an organization may implement the following practices to promote cultural sensitivity in the workplace:</w:t>
      </w:r>
    </w:p>
    <w:p w14:paraId="6BCD0250" w14:textId="7E60C851" w:rsidR="00DA02CD" w:rsidRPr="00DA02CD" w:rsidRDefault="00DA02CD" w:rsidP="00643337">
      <w:pPr>
        <w:numPr>
          <w:ilvl w:val="0"/>
          <w:numId w:val="4"/>
        </w:numPr>
        <w:spacing w:before="240" w:line="360" w:lineRule="auto"/>
        <w:jc w:val="both"/>
        <w:rPr>
          <w:rFonts w:cstheme="minorHAnsi"/>
          <w:sz w:val="24"/>
          <w:szCs w:val="24"/>
        </w:rPr>
      </w:pPr>
      <w:r w:rsidRPr="00DA02CD">
        <w:rPr>
          <w:rFonts w:cstheme="minorHAnsi"/>
          <w:b/>
          <w:bCs/>
          <w:i/>
          <w:iCs/>
          <w:sz w:val="24"/>
          <w:szCs w:val="24"/>
        </w:rPr>
        <w:t>Diversity training:</w:t>
      </w:r>
      <w:r w:rsidRPr="00DA02CD">
        <w:rPr>
          <w:rFonts w:cstheme="minorHAnsi"/>
          <w:sz w:val="24"/>
          <w:szCs w:val="24"/>
        </w:rPr>
        <w:t xml:space="preserve"> Providing diversity training to employees can help them develop cultural competence and understanding of different cultural backgrounds</w:t>
      </w:r>
      <w:r w:rsidR="00643337">
        <w:rPr>
          <w:rFonts w:cstheme="minorHAnsi"/>
          <w:sz w:val="24"/>
          <w:szCs w:val="24"/>
        </w:rPr>
        <w:t xml:space="preserve"> (Kalogiannidis, 2021)</w:t>
      </w:r>
      <w:r w:rsidRPr="00DA02CD">
        <w:rPr>
          <w:rFonts w:cstheme="minorHAnsi"/>
          <w:sz w:val="24"/>
          <w:szCs w:val="24"/>
        </w:rPr>
        <w:t>. This can include training on topics such as unconscious bias, cultural differences in communication styles, and how to effectively work with colleagues from different cultural backgrounds.</w:t>
      </w:r>
    </w:p>
    <w:p w14:paraId="32DEB9BD" w14:textId="77777777" w:rsidR="00DA02CD" w:rsidRPr="00DA02CD" w:rsidRDefault="00DA02CD" w:rsidP="00643337">
      <w:pPr>
        <w:numPr>
          <w:ilvl w:val="0"/>
          <w:numId w:val="4"/>
        </w:numPr>
        <w:spacing w:before="240" w:line="360" w:lineRule="auto"/>
        <w:jc w:val="both"/>
        <w:rPr>
          <w:rFonts w:cstheme="minorHAnsi"/>
          <w:sz w:val="24"/>
          <w:szCs w:val="24"/>
        </w:rPr>
      </w:pPr>
      <w:r w:rsidRPr="00DA02CD">
        <w:rPr>
          <w:rFonts w:cstheme="minorHAnsi"/>
          <w:b/>
          <w:bCs/>
          <w:i/>
          <w:iCs/>
          <w:sz w:val="24"/>
          <w:szCs w:val="24"/>
        </w:rPr>
        <w:t>Inclusive policies</w:t>
      </w:r>
      <w:r w:rsidRPr="00DA02CD">
        <w:rPr>
          <w:rFonts w:cstheme="minorHAnsi"/>
          <w:sz w:val="24"/>
          <w:szCs w:val="24"/>
        </w:rPr>
        <w:t>: Implementing inclusive policies such as flexible working arrangements, parental leave, and religious accommodations can support employees from diverse backgrounds and show that the organization values their unique needs and perspectives.</w:t>
      </w:r>
    </w:p>
    <w:p w14:paraId="2588591C" w14:textId="369B2AF0" w:rsidR="00DA02CD" w:rsidRPr="00DA02CD" w:rsidRDefault="00DA02CD" w:rsidP="00643337">
      <w:pPr>
        <w:numPr>
          <w:ilvl w:val="0"/>
          <w:numId w:val="4"/>
        </w:numPr>
        <w:spacing w:before="240" w:line="360" w:lineRule="auto"/>
        <w:jc w:val="both"/>
        <w:rPr>
          <w:rFonts w:cstheme="minorHAnsi"/>
          <w:sz w:val="24"/>
          <w:szCs w:val="24"/>
        </w:rPr>
      </w:pPr>
      <w:r w:rsidRPr="00DA02CD">
        <w:rPr>
          <w:rFonts w:cstheme="minorHAnsi"/>
          <w:b/>
          <w:bCs/>
          <w:i/>
          <w:iCs/>
          <w:sz w:val="24"/>
          <w:szCs w:val="24"/>
        </w:rPr>
        <w:t>Celebrating cultural events:</w:t>
      </w:r>
      <w:r w:rsidRPr="00DA02CD">
        <w:rPr>
          <w:rFonts w:cstheme="minorHAnsi"/>
          <w:sz w:val="24"/>
          <w:szCs w:val="24"/>
        </w:rPr>
        <w:t xml:space="preserve"> Celebrating cultural events such as Eid, Diwali, and Chinese New Year can promote cultural awareness and show employees from different backgrounds that their culture is valued and respected</w:t>
      </w:r>
      <w:r w:rsidR="00643337">
        <w:rPr>
          <w:rFonts w:cstheme="minorHAnsi"/>
          <w:sz w:val="24"/>
          <w:szCs w:val="24"/>
        </w:rPr>
        <w:t xml:space="preserve"> (Kalogiannidis, 2021)</w:t>
      </w:r>
      <w:r w:rsidRPr="00DA02CD">
        <w:rPr>
          <w:rFonts w:cstheme="minorHAnsi"/>
          <w:sz w:val="24"/>
          <w:szCs w:val="24"/>
        </w:rPr>
        <w:t>.</w:t>
      </w:r>
    </w:p>
    <w:p w14:paraId="7ACF4BA7" w14:textId="77777777" w:rsidR="00DA02CD" w:rsidRPr="00DA02CD" w:rsidRDefault="00DA02CD" w:rsidP="00643337">
      <w:pPr>
        <w:numPr>
          <w:ilvl w:val="0"/>
          <w:numId w:val="4"/>
        </w:numPr>
        <w:spacing w:before="240" w:line="360" w:lineRule="auto"/>
        <w:jc w:val="both"/>
        <w:rPr>
          <w:rFonts w:cstheme="minorHAnsi"/>
          <w:sz w:val="24"/>
          <w:szCs w:val="24"/>
        </w:rPr>
      </w:pPr>
      <w:r w:rsidRPr="00DA02CD">
        <w:rPr>
          <w:rFonts w:cstheme="minorHAnsi"/>
          <w:b/>
          <w:bCs/>
          <w:i/>
          <w:iCs/>
          <w:sz w:val="24"/>
          <w:szCs w:val="24"/>
        </w:rPr>
        <w:t>Recruiting for diversity:</w:t>
      </w:r>
      <w:r w:rsidRPr="00DA02CD">
        <w:rPr>
          <w:rFonts w:cstheme="minorHAnsi"/>
          <w:sz w:val="24"/>
          <w:szCs w:val="24"/>
        </w:rPr>
        <w:t xml:space="preserve"> Actively recruiting employees from diverse backgrounds can create a more diverse workforce, which in turn can bring new perspectives and ideas to the organization.</w:t>
      </w:r>
    </w:p>
    <w:p w14:paraId="5A6B90F8" w14:textId="77777777" w:rsidR="00DA02CD" w:rsidRPr="00643337" w:rsidRDefault="00DA02CD" w:rsidP="00643337">
      <w:pPr>
        <w:spacing w:before="240" w:line="360" w:lineRule="auto"/>
        <w:jc w:val="both"/>
        <w:rPr>
          <w:rFonts w:cstheme="minorHAnsi"/>
          <w:sz w:val="24"/>
          <w:szCs w:val="24"/>
        </w:rPr>
      </w:pPr>
      <w:r w:rsidRPr="00DA02CD">
        <w:rPr>
          <w:rFonts w:cstheme="minorHAnsi"/>
          <w:b/>
          <w:bCs/>
          <w:sz w:val="24"/>
          <w:szCs w:val="24"/>
        </w:rPr>
        <w:t>Consequences of cultural insensitivity in the UK workplace</w:t>
      </w:r>
      <w:r w:rsidRPr="00DA02CD">
        <w:rPr>
          <w:rFonts w:cstheme="minorHAnsi"/>
          <w:sz w:val="24"/>
          <w:szCs w:val="24"/>
        </w:rPr>
        <w:t xml:space="preserve"> </w:t>
      </w:r>
    </w:p>
    <w:p w14:paraId="5AEF5B12" w14:textId="5028D911" w:rsidR="00DA02CD" w:rsidRPr="00643337" w:rsidRDefault="00DA02CD" w:rsidP="00643337">
      <w:pPr>
        <w:spacing w:before="240" w:line="360" w:lineRule="auto"/>
        <w:jc w:val="both"/>
        <w:rPr>
          <w:rFonts w:cstheme="minorHAnsi"/>
          <w:sz w:val="24"/>
          <w:szCs w:val="24"/>
        </w:rPr>
      </w:pPr>
      <w:r w:rsidRPr="00DA02CD">
        <w:rPr>
          <w:rFonts w:cstheme="minorHAnsi"/>
          <w:sz w:val="24"/>
          <w:szCs w:val="24"/>
        </w:rPr>
        <w:t>Cultural insensitivity in the UK workplace can lead to misunderstandings, miscommunication, and conflict. For example, failing to recognize and respect cultural differences can result in employees feeling excluded or undervalued, leading to decreased engagement and productivity. In addition, cultural insensitivity can lead to legal consequences, such as discrimination lawsuits, which can damage the company's reputation and result in financial losses</w:t>
      </w:r>
      <w:r w:rsidR="00643337">
        <w:rPr>
          <w:rFonts w:cstheme="minorHAnsi"/>
          <w:sz w:val="24"/>
          <w:szCs w:val="24"/>
        </w:rPr>
        <w:t xml:space="preserve"> (Kalogiannidis, 2021)</w:t>
      </w:r>
      <w:r w:rsidRPr="00DA02CD">
        <w:rPr>
          <w:rFonts w:cstheme="minorHAnsi"/>
          <w:sz w:val="24"/>
          <w:szCs w:val="24"/>
        </w:rPr>
        <w:t>.</w:t>
      </w:r>
      <w:r w:rsidRPr="00643337">
        <w:rPr>
          <w:rFonts w:cstheme="minorHAnsi"/>
          <w:sz w:val="24"/>
          <w:szCs w:val="24"/>
        </w:rPr>
        <w:t xml:space="preserve"> To avoid the consequences of cultural insensitivity, Novartis UK can take a proactive approach to promoting cultural sensitivity and inclusion in the workplace. This can include implementing diversity training programs for employees, developing inclusive policies that support employees </w:t>
      </w:r>
      <w:r w:rsidRPr="00643337">
        <w:rPr>
          <w:rFonts w:cstheme="minorHAnsi"/>
          <w:sz w:val="24"/>
          <w:szCs w:val="24"/>
        </w:rPr>
        <w:lastRenderedPageBreak/>
        <w:t>from diverse backgrounds, actively recruiting individuals from diverse backgrounds, and celebrating cultural events to promote cultural awareness and understanding.</w:t>
      </w:r>
    </w:p>
    <w:p w14:paraId="2B85AB0A" w14:textId="789E96D1"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For example, Novartis UK can provide cultural sensitivity training to employees that includes information on different communication styles, cultural values, and workplace etiquette</w:t>
      </w:r>
      <w:r w:rsidR="00643337">
        <w:rPr>
          <w:rFonts w:cstheme="minorHAnsi"/>
          <w:sz w:val="24"/>
          <w:szCs w:val="24"/>
        </w:rPr>
        <w:t xml:space="preserve"> (Kalogiannidis, 2021)</w:t>
      </w:r>
      <w:r w:rsidRPr="00DA02CD">
        <w:rPr>
          <w:rFonts w:cstheme="minorHAnsi"/>
          <w:sz w:val="24"/>
          <w:szCs w:val="24"/>
        </w:rPr>
        <w:t>. The company can also create employee resource groups to support employees from diverse backgrounds and to promote cultural awareness and understanding. Additionally, Novartis UK can actively recruit individuals from diverse backgrounds and ensure that the company's recruitment practices are inclusive and non-discriminatory.</w:t>
      </w:r>
    </w:p>
    <w:p w14:paraId="09200C78" w14:textId="50942415" w:rsidR="00DA02CD" w:rsidRPr="00643337" w:rsidRDefault="00DA02CD" w:rsidP="00643337">
      <w:pPr>
        <w:spacing w:before="240" w:line="360" w:lineRule="auto"/>
        <w:jc w:val="both"/>
        <w:rPr>
          <w:sz w:val="24"/>
          <w:szCs w:val="24"/>
        </w:rPr>
      </w:pPr>
      <w:r w:rsidRPr="00643337">
        <w:rPr>
          <w:sz w:val="24"/>
          <w:szCs w:val="24"/>
        </w:rPr>
        <w:t>In conclusion, cultural sensitivity is crucial when doing business in the UK, particularly given the country's diverse multicultural society</w:t>
      </w:r>
      <w:r w:rsidR="00643337">
        <w:rPr>
          <w:sz w:val="24"/>
          <w:szCs w:val="24"/>
        </w:rPr>
        <w:t xml:space="preserve"> </w:t>
      </w:r>
      <w:r w:rsidR="00643337">
        <w:rPr>
          <w:rFonts w:cstheme="minorHAnsi"/>
          <w:sz w:val="24"/>
          <w:szCs w:val="24"/>
        </w:rPr>
        <w:t>(Koponen, 2019)</w:t>
      </w:r>
      <w:r w:rsidRPr="00643337">
        <w:rPr>
          <w:sz w:val="24"/>
          <w:szCs w:val="24"/>
        </w:rPr>
        <w:t>. Conversely, cultural insensitivity can result in misunderstandings, miscommunication, and conflict, and can have legal and financial consequences.</w:t>
      </w:r>
    </w:p>
    <w:p w14:paraId="77322DA0" w14:textId="23CF3917" w:rsidR="00DA02CD" w:rsidRPr="00643337" w:rsidRDefault="00DA02CD" w:rsidP="00643337">
      <w:pPr>
        <w:pStyle w:val="Heading1"/>
        <w:spacing w:after="240" w:line="360" w:lineRule="auto"/>
        <w:jc w:val="both"/>
        <w:rPr>
          <w:rFonts w:asciiTheme="minorHAnsi" w:hAnsiTheme="minorHAnsi" w:cstheme="minorHAnsi"/>
          <w:b/>
          <w:bCs/>
        </w:rPr>
      </w:pPr>
      <w:bookmarkStart w:id="9" w:name="_Toc132904863"/>
      <w:r w:rsidRPr="00643337">
        <w:rPr>
          <w:rFonts w:asciiTheme="minorHAnsi" w:hAnsiTheme="minorHAnsi" w:cstheme="minorHAnsi"/>
          <w:b/>
          <w:bCs/>
        </w:rPr>
        <w:t>Communication Barriers</w:t>
      </w:r>
      <w:bookmarkEnd w:id="9"/>
    </w:p>
    <w:p w14:paraId="74BEFCD3" w14:textId="182BF8D6"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A diverse workforce in the UK context may experience various communication barriers, which can impede effective communication within the workplace</w:t>
      </w:r>
      <w:r w:rsidR="00643337">
        <w:rPr>
          <w:rFonts w:cstheme="minorHAnsi"/>
          <w:sz w:val="24"/>
          <w:szCs w:val="24"/>
        </w:rPr>
        <w:t xml:space="preserve"> (Koponen, 2019)</w:t>
      </w:r>
      <w:r w:rsidRPr="00DA02CD">
        <w:rPr>
          <w:rFonts w:cstheme="minorHAnsi"/>
          <w:sz w:val="24"/>
          <w:szCs w:val="24"/>
        </w:rPr>
        <w:t xml:space="preserve">. These barriers can be classified into several categories, including language, cultural, and technological barriers. In this section, we will discuss and </w:t>
      </w:r>
      <w:r w:rsidR="00643337" w:rsidRPr="00DA02CD">
        <w:rPr>
          <w:rFonts w:cstheme="minorHAnsi"/>
          <w:sz w:val="24"/>
          <w:szCs w:val="24"/>
        </w:rPr>
        <w:t>analyse</w:t>
      </w:r>
      <w:r w:rsidRPr="00DA02CD">
        <w:rPr>
          <w:rFonts w:cstheme="minorHAnsi"/>
          <w:sz w:val="24"/>
          <w:szCs w:val="24"/>
        </w:rPr>
        <w:t xml:space="preserve"> these different communication barriers, supported by various examples.</w:t>
      </w:r>
    </w:p>
    <w:p w14:paraId="5DF62B61"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Language Barriers:</w:t>
      </w:r>
    </w:p>
    <w:p w14:paraId="47EB047A" w14:textId="0B1C0C6B"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Language barriers can arise when individuals from different linguistic backgrounds struggle to communicate effectively with one another</w:t>
      </w:r>
      <w:r w:rsidR="00643337">
        <w:rPr>
          <w:rFonts w:cstheme="minorHAnsi"/>
          <w:sz w:val="24"/>
          <w:szCs w:val="24"/>
        </w:rPr>
        <w:t xml:space="preserve"> (Koponen, 2019)</w:t>
      </w:r>
      <w:r w:rsidRPr="00DA02CD">
        <w:rPr>
          <w:rFonts w:cstheme="minorHAnsi"/>
          <w:sz w:val="24"/>
          <w:szCs w:val="24"/>
        </w:rPr>
        <w:t>. This can include difficulties in understanding accents, idioms, and technical jargon. In Novartis UK, for example, a team consisting of individuals from diverse linguistic backgrounds may experience language barriers, making it difficult for them to understand each other effectively.</w:t>
      </w:r>
    </w:p>
    <w:p w14:paraId="20A7EC9C" w14:textId="77777777" w:rsidR="00BB44DD" w:rsidRDefault="00BB44DD" w:rsidP="00643337">
      <w:pPr>
        <w:spacing w:before="240" w:line="360" w:lineRule="auto"/>
        <w:jc w:val="both"/>
        <w:rPr>
          <w:rFonts w:cstheme="minorHAnsi"/>
          <w:b/>
          <w:bCs/>
          <w:sz w:val="24"/>
          <w:szCs w:val="24"/>
        </w:rPr>
      </w:pPr>
    </w:p>
    <w:p w14:paraId="1E1786CD"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lastRenderedPageBreak/>
        <w:t>Cultural Barriers:</w:t>
      </w:r>
    </w:p>
    <w:p w14:paraId="079B2F15" w14:textId="6D479ECE"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Cultural barriers can arise due to differences in cultural norms, values, and beliefs. These differences can cause misunderstandings and misinterpretations of messages, which can impede effective communication</w:t>
      </w:r>
      <w:r w:rsidR="00643337">
        <w:rPr>
          <w:rFonts w:cstheme="minorHAnsi"/>
          <w:sz w:val="24"/>
          <w:szCs w:val="24"/>
        </w:rPr>
        <w:t xml:space="preserve"> (Koponen, 2019)</w:t>
      </w:r>
      <w:r w:rsidRPr="00DA02CD">
        <w:rPr>
          <w:rFonts w:cstheme="minorHAnsi"/>
          <w:sz w:val="24"/>
          <w:szCs w:val="24"/>
        </w:rPr>
        <w:t>. For example, a team comprising of individuals from different cultural backgrounds may experience cultural barriers when communicating about sensitive topics such as gender, race, or religion.</w:t>
      </w:r>
    </w:p>
    <w:p w14:paraId="6769EC7A"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Technological Barriers:</w:t>
      </w:r>
    </w:p>
    <w:p w14:paraId="65A1F8D5" w14:textId="0975E47D"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Technological barriers can arise due to the use of different technological tools for communication. For example, individuals from different generations may have different preferences in terms of communication tools</w:t>
      </w:r>
      <w:r w:rsidR="00643337">
        <w:rPr>
          <w:rFonts w:cstheme="minorHAnsi"/>
          <w:sz w:val="24"/>
          <w:szCs w:val="24"/>
        </w:rPr>
        <w:t xml:space="preserve"> (Koponen, 2019)</w:t>
      </w:r>
      <w:r w:rsidRPr="00DA02CD">
        <w:rPr>
          <w:rFonts w:cstheme="minorHAnsi"/>
          <w:sz w:val="24"/>
          <w:szCs w:val="24"/>
        </w:rPr>
        <w:t>. Some individuals may prefer face-to-face communication, while others may prefer communication through email or instant messaging. In Novartis UK, technological barriers may arise due to differences in the use of digital tools between employees from different age groups.</w:t>
      </w:r>
    </w:p>
    <w:p w14:paraId="11D3EE88"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Environmental Barriers:</w:t>
      </w:r>
    </w:p>
    <w:p w14:paraId="0A728125" w14:textId="1451F0E3"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Environmental barriers can arise due to external factors such as noise, interruptions, or distractions. For example, if employees are working in a noisy environment, it may be difficult to hear and understand each other, leading to communication breakdowns</w:t>
      </w:r>
      <w:r w:rsidR="00643337">
        <w:rPr>
          <w:rFonts w:cstheme="minorHAnsi"/>
          <w:sz w:val="24"/>
          <w:szCs w:val="24"/>
        </w:rPr>
        <w:t xml:space="preserve"> (Ahi et al., 2022)</w:t>
      </w:r>
      <w:r w:rsidRPr="00DA02CD">
        <w:rPr>
          <w:rFonts w:cstheme="minorHAnsi"/>
          <w:sz w:val="24"/>
          <w:szCs w:val="24"/>
        </w:rPr>
        <w:t>. In Novartis UK, employees working in a busy laboratory may experience environmental barriers, making it difficult for them to communicate effectively with each other.</w:t>
      </w:r>
    </w:p>
    <w:p w14:paraId="65D12295" w14:textId="09463D5E"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To overcome these communication barriers, Novartis UK can implement several strategies, such as providing language classes to employees, developing cross-cultural communication training programs, and ensuring that digital tools are accessible to all employees</w:t>
      </w:r>
      <w:r w:rsidR="00643337">
        <w:rPr>
          <w:rFonts w:cstheme="minorHAnsi"/>
          <w:sz w:val="24"/>
          <w:szCs w:val="24"/>
        </w:rPr>
        <w:t xml:space="preserve"> (Ahi et al., 2022)</w:t>
      </w:r>
      <w:r w:rsidRPr="00DA02CD">
        <w:rPr>
          <w:rFonts w:cstheme="minorHAnsi"/>
          <w:sz w:val="24"/>
          <w:szCs w:val="24"/>
        </w:rPr>
        <w:t xml:space="preserve">. Additionally, the company can also promote a culture of open communication, where employees are encouraged to speak up and voice their opinions, regardless of their linguistic or cultural background. By promoting effective communication, Novartis UK can create a positive and </w:t>
      </w:r>
      <w:r w:rsidRPr="00DA02CD">
        <w:rPr>
          <w:rFonts w:cstheme="minorHAnsi"/>
          <w:sz w:val="24"/>
          <w:szCs w:val="24"/>
        </w:rPr>
        <w:lastRenderedPageBreak/>
        <w:t>productive work environment that values and respects the unique perspectives of its diverse workforce.</w:t>
      </w:r>
    </w:p>
    <w:p w14:paraId="487303D7" w14:textId="5A93CED7" w:rsidR="00DA02CD" w:rsidRPr="00643337" w:rsidRDefault="00DA02CD" w:rsidP="00643337">
      <w:pPr>
        <w:pStyle w:val="Heading1"/>
        <w:spacing w:after="240" w:line="360" w:lineRule="auto"/>
        <w:jc w:val="both"/>
        <w:rPr>
          <w:rFonts w:asciiTheme="minorHAnsi" w:hAnsiTheme="minorHAnsi" w:cstheme="minorHAnsi"/>
          <w:b/>
          <w:bCs/>
        </w:rPr>
      </w:pPr>
      <w:bookmarkStart w:id="10" w:name="_Toc132904864"/>
      <w:r w:rsidRPr="00643337">
        <w:rPr>
          <w:rFonts w:asciiTheme="minorHAnsi" w:hAnsiTheme="minorHAnsi" w:cstheme="minorHAnsi"/>
          <w:b/>
          <w:bCs/>
        </w:rPr>
        <w:t>Recommended Communication Strategies</w:t>
      </w:r>
      <w:bookmarkEnd w:id="10"/>
    </w:p>
    <w:p w14:paraId="01076C9C" w14:textId="77777777"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To create a positive environment for everyone to succeed, Novartis UK can implement several communication strategies and other recommendations.</w:t>
      </w:r>
    </w:p>
    <w:p w14:paraId="14DE4D01"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Foster a culture of inclusion and diversity:</w:t>
      </w:r>
    </w:p>
    <w:p w14:paraId="2F3CD8E9" w14:textId="20D18C94"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 xml:space="preserve">Novartis UK can </w:t>
      </w:r>
      <w:r w:rsidR="00D76BDF" w:rsidRPr="00DA02CD">
        <w:rPr>
          <w:rFonts w:cstheme="minorHAnsi"/>
          <w:sz w:val="24"/>
          <w:szCs w:val="24"/>
        </w:rPr>
        <w:t>advance</w:t>
      </w:r>
      <w:r w:rsidRPr="00DA02CD">
        <w:rPr>
          <w:rFonts w:cstheme="minorHAnsi"/>
          <w:sz w:val="24"/>
          <w:szCs w:val="24"/>
        </w:rPr>
        <w:t xml:space="preserve"> a culture of </w:t>
      </w:r>
      <w:r w:rsidR="00D76BDF">
        <w:rPr>
          <w:rFonts w:cstheme="minorHAnsi"/>
          <w:sz w:val="24"/>
          <w:szCs w:val="24"/>
        </w:rPr>
        <w:t>diversity and inclusion</w:t>
      </w:r>
      <w:r w:rsidRPr="00DA02CD">
        <w:rPr>
          <w:rFonts w:cstheme="minorHAnsi"/>
          <w:sz w:val="24"/>
          <w:szCs w:val="24"/>
        </w:rPr>
        <w:t xml:space="preserve"> by promoting open communication and valuing different perspectives</w:t>
      </w:r>
      <w:r w:rsidR="00643337">
        <w:rPr>
          <w:rFonts w:cstheme="minorHAnsi"/>
          <w:sz w:val="24"/>
          <w:szCs w:val="24"/>
        </w:rPr>
        <w:t xml:space="preserve"> (Ahi et al., 2022)</w:t>
      </w:r>
      <w:r w:rsidRPr="00DA02CD">
        <w:rPr>
          <w:rFonts w:cstheme="minorHAnsi"/>
          <w:sz w:val="24"/>
          <w:szCs w:val="24"/>
        </w:rPr>
        <w:t xml:space="preserve">. This can be </w:t>
      </w:r>
      <w:r w:rsidR="00D76BDF" w:rsidRPr="00DA02CD">
        <w:rPr>
          <w:rFonts w:cstheme="minorHAnsi"/>
          <w:sz w:val="24"/>
          <w:szCs w:val="24"/>
        </w:rPr>
        <w:t>attained</w:t>
      </w:r>
      <w:r w:rsidRPr="00DA02CD">
        <w:rPr>
          <w:rFonts w:cstheme="minorHAnsi"/>
          <w:sz w:val="24"/>
          <w:szCs w:val="24"/>
        </w:rPr>
        <w:t xml:space="preserve"> by </w:t>
      </w:r>
      <w:r w:rsidR="00D76BDF" w:rsidRPr="00DA02CD">
        <w:rPr>
          <w:rFonts w:cstheme="minorHAnsi"/>
          <w:sz w:val="24"/>
          <w:szCs w:val="24"/>
        </w:rPr>
        <w:t>advancing</w:t>
      </w:r>
      <w:r w:rsidRPr="00DA02CD">
        <w:rPr>
          <w:rFonts w:cstheme="minorHAnsi"/>
          <w:sz w:val="24"/>
          <w:szCs w:val="24"/>
        </w:rPr>
        <w:t xml:space="preserve"> employees to share their ideas and opinions, providing equal opportunities for career advancement, and actively seeking out diverse perspectives when making decisions.</w:t>
      </w:r>
    </w:p>
    <w:p w14:paraId="4C5A34CE"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Implement cross-cultural communication training programs:</w:t>
      </w:r>
    </w:p>
    <w:p w14:paraId="3BA88FFA" w14:textId="64E3442E"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Cross-cultural communication training programs can help employees understand and appreciate different cultural norms, values, and beliefs</w:t>
      </w:r>
      <w:r w:rsidR="00643337">
        <w:rPr>
          <w:rFonts w:cstheme="minorHAnsi"/>
          <w:sz w:val="24"/>
          <w:szCs w:val="24"/>
        </w:rPr>
        <w:t xml:space="preserve"> (Ahi et al., 2022)</w:t>
      </w:r>
      <w:r w:rsidRPr="00DA02CD">
        <w:rPr>
          <w:rFonts w:cstheme="minorHAnsi"/>
          <w:sz w:val="24"/>
          <w:szCs w:val="24"/>
        </w:rPr>
        <w:t>. This can help reduce cultural barriers and promote effective communication between employees from diverse backgrounds. Novartis UK can develop and implement cross-cultural communication training programs for its employees to promote cultural sensitivity and understanding.</w:t>
      </w:r>
    </w:p>
    <w:p w14:paraId="4CA83067"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Provide language classes:</w:t>
      </w:r>
    </w:p>
    <w:p w14:paraId="6B55BD4D" w14:textId="107D13A3"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Providing language classes to employees can help address language barriers that may arise due to differences in linguistic backgrounds</w:t>
      </w:r>
      <w:r w:rsidR="00643337">
        <w:rPr>
          <w:rFonts w:cstheme="minorHAnsi"/>
          <w:sz w:val="24"/>
          <w:szCs w:val="24"/>
        </w:rPr>
        <w:t xml:space="preserve"> (Klarin et al., 2021)</w:t>
      </w:r>
      <w:r w:rsidRPr="00DA02CD">
        <w:rPr>
          <w:rFonts w:cstheme="minorHAnsi"/>
          <w:sz w:val="24"/>
          <w:szCs w:val="24"/>
        </w:rPr>
        <w:t>. Novartis UK can provide language classes for employees who are non-native speakers of English or for employees who need to learn a new language to communicate effectively with their colleagues.</w:t>
      </w:r>
    </w:p>
    <w:p w14:paraId="534C23AA"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Utilize digital tools for communication:</w:t>
      </w:r>
    </w:p>
    <w:p w14:paraId="2B0111CB" w14:textId="77777777"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 xml:space="preserve">Digital tools such as video conferencing, instant messaging, and collaboration software can help overcome technological barriers and enable employees to communicate effectively regardless of </w:t>
      </w:r>
      <w:r w:rsidRPr="00DA02CD">
        <w:rPr>
          <w:rFonts w:cstheme="minorHAnsi"/>
          <w:sz w:val="24"/>
          <w:szCs w:val="24"/>
        </w:rPr>
        <w:lastRenderedPageBreak/>
        <w:t>their location. Novartis UK can provide training and support to employees to ensure that they are proficient in using these digital tools.</w:t>
      </w:r>
    </w:p>
    <w:p w14:paraId="631454D6"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Encourage feedback and regular communication:</w:t>
      </w:r>
    </w:p>
    <w:p w14:paraId="1E078982" w14:textId="57B29595"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Regular communication between employees and their line managers can help foster a positive work environment</w:t>
      </w:r>
      <w:r w:rsidR="00643337">
        <w:rPr>
          <w:rFonts w:cstheme="minorHAnsi"/>
          <w:sz w:val="24"/>
          <w:szCs w:val="24"/>
        </w:rPr>
        <w:t xml:space="preserve"> (Klarin et al., 2021)</w:t>
      </w:r>
      <w:r w:rsidRPr="00DA02CD">
        <w:rPr>
          <w:rFonts w:cstheme="minorHAnsi"/>
          <w:sz w:val="24"/>
          <w:szCs w:val="24"/>
        </w:rPr>
        <w:t>. Novartis UK can encourage regular feedback sessions between employees and their line managers to provide opportunities for employees to share their concerns, ask for feedback, and receive support when needed.</w:t>
      </w:r>
    </w:p>
    <w:p w14:paraId="22330C0E" w14:textId="77777777" w:rsidR="00DA02CD" w:rsidRPr="00DA02CD" w:rsidRDefault="00DA02CD" w:rsidP="00643337">
      <w:pPr>
        <w:spacing w:before="240" w:line="360" w:lineRule="auto"/>
        <w:jc w:val="both"/>
        <w:rPr>
          <w:rFonts w:cstheme="minorHAnsi"/>
          <w:b/>
          <w:bCs/>
          <w:sz w:val="24"/>
          <w:szCs w:val="24"/>
        </w:rPr>
      </w:pPr>
      <w:r w:rsidRPr="00DA02CD">
        <w:rPr>
          <w:rFonts w:cstheme="minorHAnsi"/>
          <w:b/>
          <w:bCs/>
          <w:sz w:val="24"/>
          <w:szCs w:val="24"/>
        </w:rPr>
        <w:t>Support mental health and well-being:</w:t>
      </w:r>
    </w:p>
    <w:p w14:paraId="1B624809" w14:textId="220ADD2A" w:rsidR="00DA02CD" w:rsidRPr="00DA02CD" w:rsidRDefault="00DA02CD" w:rsidP="00643337">
      <w:pPr>
        <w:spacing w:before="240" w:line="360" w:lineRule="auto"/>
        <w:jc w:val="both"/>
        <w:rPr>
          <w:rFonts w:cstheme="minorHAnsi"/>
          <w:sz w:val="24"/>
          <w:szCs w:val="24"/>
        </w:rPr>
      </w:pPr>
      <w:r w:rsidRPr="00DA02CD">
        <w:rPr>
          <w:rFonts w:cstheme="minorHAnsi"/>
          <w:sz w:val="24"/>
          <w:szCs w:val="24"/>
        </w:rPr>
        <w:t>Mental health and well-being can significantly impact employee performance and productivity. Novartis UK can provide resources and support for employees to manage stress and maintain good mental health</w:t>
      </w:r>
      <w:r w:rsidR="00643337">
        <w:rPr>
          <w:rFonts w:cstheme="minorHAnsi"/>
          <w:sz w:val="24"/>
          <w:szCs w:val="24"/>
        </w:rPr>
        <w:t xml:space="preserve"> (Klarin et al., 2021)</w:t>
      </w:r>
      <w:r w:rsidRPr="00DA02CD">
        <w:rPr>
          <w:rFonts w:cstheme="minorHAnsi"/>
          <w:sz w:val="24"/>
          <w:szCs w:val="24"/>
        </w:rPr>
        <w:t xml:space="preserve">. </w:t>
      </w:r>
    </w:p>
    <w:p w14:paraId="2FD9FFDA" w14:textId="76249A7B" w:rsidR="00DA02CD" w:rsidRPr="00643337" w:rsidRDefault="00DA02CD" w:rsidP="00643337">
      <w:pPr>
        <w:pStyle w:val="Heading1"/>
        <w:spacing w:after="240" w:line="360" w:lineRule="auto"/>
        <w:jc w:val="both"/>
        <w:rPr>
          <w:rFonts w:asciiTheme="minorHAnsi" w:hAnsiTheme="minorHAnsi" w:cstheme="minorHAnsi"/>
          <w:b/>
          <w:bCs/>
        </w:rPr>
      </w:pPr>
      <w:bookmarkStart w:id="11" w:name="_Toc132904865"/>
      <w:r w:rsidRPr="00643337">
        <w:rPr>
          <w:rFonts w:asciiTheme="minorHAnsi" w:hAnsiTheme="minorHAnsi" w:cstheme="minorHAnsi"/>
          <w:b/>
          <w:bCs/>
        </w:rPr>
        <w:t>Conclusion</w:t>
      </w:r>
      <w:bookmarkEnd w:id="11"/>
    </w:p>
    <w:p w14:paraId="75475019" w14:textId="66F0718E" w:rsidR="00643337" w:rsidRPr="00643337" w:rsidRDefault="00643337" w:rsidP="00643337">
      <w:pPr>
        <w:spacing w:before="240" w:line="360" w:lineRule="auto"/>
        <w:jc w:val="both"/>
        <w:rPr>
          <w:rFonts w:cstheme="minorHAnsi"/>
          <w:sz w:val="24"/>
          <w:szCs w:val="24"/>
        </w:rPr>
      </w:pPr>
      <w:r w:rsidRPr="00643337">
        <w:rPr>
          <w:rFonts w:cstheme="minorHAnsi"/>
          <w:sz w:val="24"/>
          <w:szCs w:val="24"/>
        </w:rPr>
        <w:t>In conclusion, creating a positive environment for everyone to thrive is a critical aspect of the success of any organization operating in the UK. By promoting diversity and inclusion, encouraging cross-cultural communication, and fostering a supportive work environment, Novartis UK can enable its employees to achieve their full potential and contribute to the long-term success of the organization.</w:t>
      </w:r>
    </w:p>
    <w:p w14:paraId="3141474D" w14:textId="6B13E2EA" w:rsidR="00643337" w:rsidRDefault="00643337" w:rsidP="00643337">
      <w:pPr>
        <w:spacing w:before="240" w:line="360" w:lineRule="auto"/>
        <w:jc w:val="both"/>
        <w:rPr>
          <w:rFonts w:cstheme="minorHAnsi"/>
          <w:sz w:val="24"/>
          <w:szCs w:val="24"/>
        </w:rPr>
      </w:pPr>
      <w:r w:rsidRPr="00643337">
        <w:rPr>
          <w:rFonts w:cstheme="minorHAnsi"/>
          <w:sz w:val="24"/>
          <w:szCs w:val="24"/>
        </w:rPr>
        <w:t>As a business communications consultant, my recommendations are aimed at enabling Novartis UK to create a positive environment that values and respects the unique perspectives of its diverse workforce. I hope that these recommendations will be useful in fostering a culture of inclusion and diversity and will contribute to the continued success of Novartis UK.</w:t>
      </w:r>
    </w:p>
    <w:p w14:paraId="6B351C59" w14:textId="77777777" w:rsidR="00BB44DD" w:rsidRDefault="00BB44DD" w:rsidP="00643337">
      <w:pPr>
        <w:spacing w:before="240" w:line="360" w:lineRule="auto"/>
        <w:jc w:val="both"/>
        <w:rPr>
          <w:rFonts w:cstheme="minorHAnsi"/>
          <w:sz w:val="24"/>
          <w:szCs w:val="24"/>
        </w:rPr>
      </w:pPr>
    </w:p>
    <w:p w14:paraId="6F8D73FF" w14:textId="77777777" w:rsidR="00BB44DD" w:rsidRDefault="00BB44DD" w:rsidP="00643337">
      <w:pPr>
        <w:spacing w:before="240" w:line="360" w:lineRule="auto"/>
        <w:jc w:val="both"/>
        <w:rPr>
          <w:rFonts w:cstheme="minorHAnsi"/>
          <w:sz w:val="24"/>
          <w:szCs w:val="24"/>
        </w:rPr>
      </w:pPr>
    </w:p>
    <w:p w14:paraId="530CE7E4" w14:textId="6C4EE06E" w:rsidR="00643337" w:rsidRDefault="00643337" w:rsidP="00643337">
      <w:pPr>
        <w:pStyle w:val="Heading1"/>
        <w:spacing w:after="240" w:line="360" w:lineRule="auto"/>
        <w:jc w:val="both"/>
        <w:rPr>
          <w:rFonts w:asciiTheme="minorHAnsi" w:hAnsiTheme="minorHAnsi" w:cstheme="minorHAnsi"/>
          <w:b/>
          <w:bCs/>
        </w:rPr>
      </w:pPr>
      <w:bookmarkStart w:id="12" w:name="_Toc132904866"/>
      <w:r w:rsidRPr="00643337">
        <w:rPr>
          <w:rFonts w:asciiTheme="minorHAnsi" w:hAnsiTheme="minorHAnsi" w:cstheme="minorHAnsi"/>
          <w:b/>
          <w:bCs/>
        </w:rPr>
        <w:lastRenderedPageBreak/>
        <w:t>Reference List</w:t>
      </w:r>
      <w:bookmarkEnd w:id="12"/>
    </w:p>
    <w:p w14:paraId="0948E4AC" w14:textId="77777777" w:rsidR="00643337" w:rsidRPr="00643337" w:rsidRDefault="00643337" w:rsidP="00643337">
      <w:pPr>
        <w:spacing w:before="240" w:line="360" w:lineRule="auto"/>
        <w:jc w:val="both"/>
        <w:rPr>
          <w:rFonts w:cstheme="minorHAnsi"/>
          <w:color w:val="222222"/>
          <w:sz w:val="24"/>
          <w:szCs w:val="24"/>
          <w:shd w:val="clear" w:color="auto" w:fill="FFFFFF"/>
        </w:rPr>
      </w:pPr>
      <w:r w:rsidRPr="00643337">
        <w:rPr>
          <w:rFonts w:cstheme="minorHAnsi"/>
          <w:color w:val="222222"/>
          <w:sz w:val="24"/>
          <w:szCs w:val="24"/>
          <w:shd w:val="clear" w:color="auto" w:fill="FFFFFF"/>
        </w:rPr>
        <w:t>Ahi, A.A., Sinkovics, N., Shildibekov, Y., Sinkovics, R.R. and Mehandjiev, N., 2022. Advanced technologies and international business: A multidisciplinary analysis of the literature. </w:t>
      </w:r>
      <w:r w:rsidRPr="00643337">
        <w:rPr>
          <w:rFonts w:cstheme="minorHAnsi"/>
          <w:i/>
          <w:iCs/>
          <w:color w:val="222222"/>
          <w:sz w:val="24"/>
          <w:szCs w:val="24"/>
          <w:shd w:val="clear" w:color="auto" w:fill="FFFFFF"/>
        </w:rPr>
        <w:t>International Business Review</w:t>
      </w:r>
      <w:r w:rsidRPr="00643337">
        <w:rPr>
          <w:rFonts w:cstheme="minorHAnsi"/>
          <w:color w:val="222222"/>
          <w:sz w:val="24"/>
          <w:szCs w:val="24"/>
          <w:shd w:val="clear" w:color="auto" w:fill="FFFFFF"/>
        </w:rPr>
        <w:t>, </w:t>
      </w:r>
      <w:r w:rsidRPr="00643337">
        <w:rPr>
          <w:rFonts w:cstheme="minorHAnsi"/>
          <w:i/>
          <w:iCs/>
          <w:color w:val="222222"/>
          <w:sz w:val="24"/>
          <w:szCs w:val="24"/>
          <w:shd w:val="clear" w:color="auto" w:fill="FFFFFF"/>
        </w:rPr>
        <w:t>31</w:t>
      </w:r>
      <w:r w:rsidRPr="00643337">
        <w:rPr>
          <w:rFonts w:cstheme="minorHAnsi"/>
          <w:color w:val="222222"/>
          <w:sz w:val="24"/>
          <w:szCs w:val="24"/>
          <w:shd w:val="clear" w:color="auto" w:fill="FFFFFF"/>
        </w:rPr>
        <w:t>(4), p.101967.</w:t>
      </w:r>
    </w:p>
    <w:p w14:paraId="4C7940B3" w14:textId="77777777" w:rsidR="00643337" w:rsidRPr="00643337" w:rsidRDefault="00643337" w:rsidP="00643337">
      <w:pPr>
        <w:spacing w:before="240" w:line="360" w:lineRule="auto"/>
        <w:jc w:val="both"/>
        <w:rPr>
          <w:rFonts w:cstheme="minorHAnsi"/>
          <w:sz w:val="28"/>
          <w:szCs w:val="28"/>
        </w:rPr>
      </w:pPr>
      <w:r w:rsidRPr="00643337">
        <w:rPr>
          <w:rFonts w:cstheme="minorHAnsi"/>
          <w:color w:val="222222"/>
          <w:sz w:val="24"/>
          <w:szCs w:val="24"/>
          <w:shd w:val="clear" w:color="auto" w:fill="FFFFFF"/>
        </w:rPr>
        <w:t>Buckley, P. and Casson, M., 2019. Decision-making in international business. </w:t>
      </w:r>
      <w:r w:rsidRPr="00643337">
        <w:rPr>
          <w:rFonts w:cstheme="minorHAnsi"/>
          <w:i/>
          <w:iCs/>
          <w:color w:val="222222"/>
          <w:sz w:val="24"/>
          <w:szCs w:val="24"/>
          <w:shd w:val="clear" w:color="auto" w:fill="FFFFFF"/>
        </w:rPr>
        <w:t>Journal of International Business Studies</w:t>
      </w:r>
      <w:r w:rsidRPr="00643337">
        <w:rPr>
          <w:rFonts w:cstheme="minorHAnsi"/>
          <w:color w:val="222222"/>
          <w:sz w:val="24"/>
          <w:szCs w:val="24"/>
          <w:shd w:val="clear" w:color="auto" w:fill="FFFFFF"/>
        </w:rPr>
        <w:t>, </w:t>
      </w:r>
      <w:r w:rsidRPr="00643337">
        <w:rPr>
          <w:rFonts w:cstheme="minorHAnsi"/>
          <w:i/>
          <w:iCs/>
          <w:color w:val="222222"/>
          <w:sz w:val="24"/>
          <w:szCs w:val="24"/>
          <w:shd w:val="clear" w:color="auto" w:fill="FFFFFF"/>
        </w:rPr>
        <w:t>50</w:t>
      </w:r>
      <w:r w:rsidRPr="00643337">
        <w:rPr>
          <w:rFonts w:cstheme="minorHAnsi"/>
          <w:color w:val="222222"/>
          <w:sz w:val="24"/>
          <w:szCs w:val="24"/>
          <w:shd w:val="clear" w:color="auto" w:fill="FFFFFF"/>
        </w:rPr>
        <w:t>, pp.1424-1439.</w:t>
      </w:r>
    </w:p>
    <w:p w14:paraId="62B3DEEE" w14:textId="77777777" w:rsidR="00643337" w:rsidRPr="00643337" w:rsidRDefault="00643337" w:rsidP="00643337">
      <w:pPr>
        <w:spacing w:before="240" w:line="360" w:lineRule="auto"/>
        <w:jc w:val="both"/>
        <w:rPr>
          <w:rFonts w:cstheme="minorHAnsi"/>
          <w:color w:val="222222"/>
          <w:sz w:val="24"/>
          <w:szCs w:val="24"/>
          <w:shd w:val="clear" w:color="auto" w:fill="FFFFFF"/>
        </w:rPr>
      </w:pPr>
      <w:r w:rsidRPr="00643337">
        <w:rPr>
          <w:rFonts w:cstheme="minorHAnsi"/>
          <w:color w:val="222222"/>
          <w:sz w:val="24"/>
          <w:szCs w:val="24"/>
          <w:shd w:val="clear" w:color="auto" w:fill="FFFFFF"/>
        </w:rPr>
        <w:t>Kalogiannidis, S., 2021. Business Trust and Communication as Predictors of Business Growth. </w:t>
      </w:r>
      <w:r w:rsidRPr="00643337">
        <w:rPr>
          <w:rFonts w:cstheme="minorHAnsi"/>
          <w:i/>
          <w:iCs/>
          <w:color w:val="222222"/>
          <w:sz w:val="24"/>
          <w:szCs w:val="24"/>
          <w:shd w:val="clear" w:color="auto" w:fill="FFFFFF"/>
        </w:rPr>
        <w:t>WSEAS Transactions on Business and Economics</w:t>
      </w:r>
      <w:r w:rsidRPr="00643337">
        <w:rPr>
          <w:rFonts w:cstheme="minorHAnsi"/>
          <w:color w:val="222222"/>
          <w:sz w:val="24"/>
          <w:szCs w:val="24"/>
          <w:shd w:val="clear" w:color="auto" w:fill="FFFFFF"/>
        </w:rPr>
        <w:t>, </w:t>
      </w:r>
      <w:r w:rsidRPr="00643337">
        <w:rPr>
          <w:rFonts w:cstheme="minorHAnsi"/>
          <w:i/>
          <w:iCs/>
          <w:color w:val="222222"/>
          <w:sz w:val="24"/>
          <w:szCs w:val="24"/>
          <w:shd w:val="clear" w:color="auto" w:fill="FFFFFF"/>
        </w:rPr>
        <w:t>18</w:t>
      </w:r>
      <w:r w:rsidRPr="00643337">
        <w:rPr>
          <w:rFonts w:cstheme="minorHAnsi"/>
          <w:color w:val="222222"/>
          <w:sz w:val="24"/>
          <w:szCs w:val="24"/>
          <w:shd w:val="clear" w:color="auto" w:fill="FFFFFF"/>
        </w:rPr>
        <w:t>, pp.1512-1522.</w:t>
      </w:r>
    </w:p>
    <w:p w14:paraId="297C2A60" w14:textId="77777777" w:rsidR="00643337" w:rsidRPr="00643337" w:rsidRDefault="00643337" w:rsidP="00643337">
      <w:pPr>
        <w:spacing w:before="240" w:line="360" w:lineRule="auto"/>
        <w:jc w:val="both"/>
        <w:rPr>
          <w:rFonts w:cstheme="minorHAnsi"/>
          <w:color w:val="222222"/>
          <w:sz w:val="24"/>
          <w:szCs w:val="24"/>
          <w:shd w:val="clear" w:color="auto" w:fill="FFFFFF"/>
        </w:rPr>
      </w:pPr>
      <w:r w:rsidRPr="00643337">
        <w:rPr>
          <w:rFonts w:cstheme="minorHAnsi"/>
          <w:color w:val="222222"/>
          <w:sz w:val="24"/>
          <w:szCs w:val="24"/>
          <w:shd w:val="clear" w:color="auto" w:fill="FFFFFF"/>
        </w:rPr>
        <w:t>Klarin, A., Inkizhinov, B., Nazarov, D. and Gorenskaia, E., 2021. International business education: What we know and what we have yet to develop. </w:t>
      </w:r>
      <w:r w:rsidRPr="00643337">
        <w:rPr>
          <w:rFonts w:cstheme="minorHAnsi"/>
          <w:i/>
          <w:iCs/>
          <w:color w:val="222222"/>
          <w:sz w:val="24"/>
          <w:szCs w:val="24"/>
          <w:shd w:val="clear" w:color="auto" w:fill="FFFFFF"/>
        </w:rPr>
        <w:t>International Business Review</w:t>
      </w:r>
      <w:r w:rsidRPr="00643337">
        <w:rPr>
          <w:rFonts w:cstheme="minorHAnsi"/>
          <w:color w:val="222222"/>
          <w:sz w:val="24"/>
          <w:szCs w:val="24"/>
          <w:shd w:val="clear" w:color="auto" w:fill="FFFFFF"/>
        </w:rPr>
        <w:t>, </w:t>
      </w:r>
      <w:r w:rsidRPr="00643337">
        <w:rPr>
          <w:rFonts w:cstheme="minorHAnsi"/>
          <w:i/>
          <w:iCs/>
          <w:color w:val="222222"/>
          <w:sz w:val="24"/>
          <w:szCs w:val="24"/>
          <w:shd w:val="clear" w:color="auto" w:fill="FFFFFF"/>
        </w:rPr>
        <w:t>30</w:t>
      </w:r>
      <w:r w:rsidRPr="00643337">
        <w:rPr>
          <w:rFonts w:cstheme="minorHAnsi"/>
          <w:color w:val="222222"/>
          <w:sz w:val="24"/>
          <w:szCs w:val="24"/>
          <w:shd w:val="clear" w:color="auto" w:fill="FFFFFF"/>
        </w:rPr>
        <w:t>(5), p.101833.</w:t>
      </w:r>
    </w:p>
    <w:p w14:paraId="1B727D85" w14:textId="77777777" w:rsidR="00643337" w:rsidRPr="00643337" w:rsidRDefault="00643337" w:rsidP="00643337">
      <w:pPr>
        <w:spacing w:before="240" w:line="360" w:lineRule="auto"/>
        <w:jc w:val="both"/>
        <w:rPr>
          <w:rFonts w:cstheme="minorHAnsi"/>
          <w:color w:val="222222"/>
          <w:sz w:val="24"/>
          <w:szCs w:val="24"/>
          <w:shd w:val="clear" w:color="auto" w:fill="FFFFFF"/>
        </w:rPr>
      </w:pPr>
      <w:r w:rsidRPr="00643337">
        <w:rPr>
          <w:rFonts w:cstheme="minorHAnsi"/>
          <w:color w:val="222222"/>
          <w:sz w:val="24"/>
          <w:szCs w:val="24"/>
          <w:shd w:val="clear" w:color="auto" w:fill="FFFFFF"/>
        </w:rPr>
        <w:t>Koponen, J., 2019. The flipped classroom approach for teaching cross-cultural communication to millennials. </w:t>
      </w:r>
      <w:r w:rsidRPr="00643337">
        <w:rPr>
          <w:rFonts w:cstheme="minorHAnsi"/>
          <w:i/>
          <w:iCs/>
          <w:color w:val="222222"/>
          <w:sz w:val="24"/>
          <w:szCs w:val="24"/>
          <w:shd w:val="clear" w:color="auto" w:fill="FFFFFF"/>
        </w:rPr>
        <w:t>Journal of Teaching in International Business</w:t>
      </w:r>
      <w:r w:rsidRPr="00643337">
        <w:rPr>
          <w:rFonts w:cstheme="minorHAnsi"/>
          <w:color w:val="222222"/>
          <w:sz w:val="24"/>
          <w:szCs w:val="24"/>
          <w:shd w:val="clear" w:color="auto" w:fill="FFFFFF"/>
        </w:rPr>
        <w:t>, </w:t>
      </w:r>
      <w:r w:rsidRPr="00643337">
        <w:rPr>
          <w:rFonts w:cstheme="minorHAnsi"/>
          <w:i/>
          <w:iCs/>
          <w:color w:val="222222"/>
          <w:sz w:val="24"/>
          <w:szCs w:val="24"/>
          <w:shd w:val="clear" w:color="auto" w:fill="FFFFFF"/>
        </w:rPr>
        <w:t>30</w:t>
      </w:r>
      <w:r w:rsidRPr="00643337">
        <w:rPr>
          <w:rFonts w:cstheme="minorHAnsi"/>
          <w:color w:val="222222"/>
          <w:sz w:val="24"/>
          <w:szCs w:val="24"/>
          <w:shd w:val="clear" w:color="auto" w:fill="FFFFFF"/>
        </w:rPr>
        <w:t>(2), pp.102-124.</w:t>
      </w:r>
    </w:p>
    <w:p w14:paraId="1246063A" w14:textId="77777777" w:rsidR="00643337" w:rsidRPr="00643337" w:rsidRDefault="00643337" w:rsidP="00643337">
      <w:pPr>
        <w:spacing w:before="240" w:line="360" w:lineRule="auto"/>
        <w:jc w:val="both"/>
        <w:rPr>
          <w:rFonts w:cstheme="minorHAnsi"/>
          <w:color w:val="222222"/>
          <w:sz w:val="24"/>
          <w:szCs w:val="24"/>
          <w:shd w:val="clear" w:color="auto" w:fill="FFFFFF"/>
        </w:rPr>
      </w:pPr>
      <w:r w:rsidRPr="00643337">
        <w:rPr>
          <w:rFonts w:cstheme="minorHAnsi"/>
          <w:color w:val="222222"/>
          <w:sz w:val="24"/>
          <w:szCs w:val="24"/>
          <w:shd w:val="clear" w:color="auto" w:fill="FFFFFF"/>
        </w:rPr>
        <w:t>Ratten, V., 2020. Coronavirus and international business: An entrepreneurial ecosystem perspective. </w:t>
      </w:r>
      <w:r w:rsidRPr="00643337">
        <w:rPr>
          <w:rFonts w:cstheme="minorHAnsi"/>
          <w:i/>
          <w:iCs/>
          <w:color w:val="222222"/>
          <w:sz w:val="24"/>
          <w:szCs w:val="24"/>
          <w:shd w:val="clear" w:color="auto" w:fill="FFFFFF"/>
        </w:rPr>
        <w:t>Thunderbird International Business Review</w:t>
      </w:r>
      <w:r w:rsidRPr="00643337">
        <w:rPr>
          <w:rFonts w:cstheme="minorHAnsi"/>
          <w:color w:val="222222"/>
          <w:sz w:val="24"/>
          <w:szCs w:val="24"/>
          <w:shd w:val="clear" w:color="auto" w:fill="FFFFFF"/>
        </w:rPr>
        <w:t>, </w:t>
      </w:r>
      <w:r w:rsidRPr="00643337">
        <w:rPr>
          <w:rFonts w:cstheme="minorHAnsi"/>
          <w:i/>
          <w:iCs/>
          <w:color w:val="222222"/>
          <w:sz w:val="24"/>
          <w:szCs w:val="24"/>
          <w:shd w:val="clear" w:color="auto" w:fill="FFFFFF"/>
        </w:rPr>
        <w:t>62</w:t>
      </w:r>
      <w:r w:rsidRPr="00643337">
        <w:rPr>
          <w:rFonts w:cstheme="minorHAnsi"/>
          <w:color w:val="222222"/>
          <w:sz w:val="24"/>
          <w:szCs w:val="24"/>
          <w:shd w:val="clear" w:color="auto" w:fill="FFFFFF"/>
        </w:rPr>
        <w:t>(5), pp.629-634.</w:t>
      </w:r>
    </w:p>
    <w:sectPr w:rsidR="00643337" w:rsidRPr="00643337" w:rsidSect="00544C3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76F79" w14:textId="77777777" w:rsidR="00627143" w:rsidRDefault="00627143" w:rsidP="00643337">
      <w:pPr>
        <w:spacing w:after="0" w:line="240" w:lineRule="auto"/>
      </w:pPr>
      <w:r>
        <w:separator/>
      </w:r>
    </w:p>
  </w:endnote>
  <w:endnote w:type="continuationSeparator" w:id="0">
    <w:p w14:paraId="194F2283" w14:textId="77777777" w:rsidR="00627143" w:rsidRDefault="00627143" w:rsidP="00643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5257958"/>
      <w:docPartObj>
        <w:docPartGallery w:val="Page Numbers (Bottom of Page)"/>
        <w:docPartUnique/>
      </w:docPartObj>
    </w:sdtPr>
    <w:sdtEndPr>
      <w:rPr>
        <w:noProof/>
      </w:rPr>
    </w:sdtEndPr>
    <w:sdtContent>
      <w:p w14:paraId="22B20C44" w14:textId="1D24A0E4" w:rsidR="00643337" w:rsidRDefault="00643337">
        <w:pPr>
          <w:pStyle w:val="Footer"/>
          <w:jc w:val="right"/>
        </w:pPr>
        <w:r>
          <w:fldChar w:fldCharType="begin"/>
        </w:r>
        <w:r>
          <w:instrText xml:space="preserve"> PAGE   \* MERGEFORMAT </w:instrText>
        </w:r>
        <w:r>
          <w:fldChar w:fldCharType="separate"/>
        </w:r>
        <w:r w:rsidR="00BB44DD">
          <w:rPr>
            <w:noProof/>
          </w:rPr>
          <w:t>2</w:t>
        </w:r>
        <w:r>
          <w:rPr>
            <w:noProof/>
          </w:rPr>
          <w:fldChar w:fldCharType="end"/>
        </w:r>
      </w:p>
    </w:sdtContent>
  </w:sdt>
  <w:p w14:paraId="6128F06A" w14:textId="77777777" w:rsidR="00643337" w:rsidRDefault="006433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78683" w14:textId="77777777" w:rsidR="00627143" w:rsidRDefault="00627143" w:rsidP="00643337">
      <w:pPr>
        <w:spacing w:after="0" w:line="240" w:lineRule="auto"/>
      </w:pPr>
      <w:r>
        <w:separator/>
      </w:r>
    </w:p>
  </w:footnote>
  <w:footnote w:type="continuationSeparator" w:id="0">
    <w:p w14:paraId="26ED9103" w14:textId="77777777" w:rsidR="00627143" w:rsidRDefault="00627143" w:rsidP="006433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72A29"/>
    <w:multiLevelType w:val="multilevel"/>
    <w:tmpl w:val="3CA6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1148E"/>
    <w:multiLevelType w:val="multilevel"/>
    <w:tmpl w:val="701EA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D6872"/>
    <w:multiLevelType w:val="multilevel"/>
    <w:tmpl w:val="7C122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94461C"/>
    <w:multiLevelType w:val="multilevel"/>
    <w:tmpl w:val="B8B0BD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B16FDF"/>
    <w:multiLevelType w:val="multilevel"/>
    <w:tmpl w:val="1E226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D7387"/>
    <w:multiLevelType w:val="multilevel"/>
    <w:tmpl w:val="9FD89D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9D1DAD"/>
    <w:multiLevelType w:val="hybridMultilevel"/>
    <w:tmpl w:val="36FAA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2C79AE"/>
    <w:multiLevelType w:val="hybridMultilevel"/>
    <w:tmpl w:val="74B6016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4D94AE8"/>
    <w:multiLevelType w:val="multilevel"/>
    <w:tmpl w:val="C3786F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91215A"/>
    <w:multiLevelType w:val="multilevel"/>
    <w:tmpl w:val="83501D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485FB3"/>
    <w:multiLevelType w:val="multilevel"/>
    <w:tmpl w:val="1C02D1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002FDC"/>
    <w:multiLevelType w:val="multilevel"/>
    <w:tmpl w:val="796213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70738B"/>
    <w:multiLevelType w:val="multilevel"/>
    <w:tmpl w:val="E1E6C2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D14D5B"/>
    <w:multiLevelType w:val="multilevel"/>
    <w:tmpl w:val="9DA4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0D0E94"/>
    <w:multiLevelType w:val="multilevel"/>
    <w:tmpl w:val="FCF855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0"/>
  </w:num>
  <w:num w:numId="4">
    <w:abstractNumId w:val="13"/>
  </w:num>
  <w:num w:numId="5">
    <w:abstractNumId w:val="3"/>
  </w:num>
  <w:num w:numId="6">
    <w:abstractNumId w:val="2"/>
  </w:num>
  <w:num w:numId="7">
    <w:abstractNumId w:val="9"/>
  </w:num>
  <w:num w:numId="8">
    <w:abstractNumId w:val="10"/>
  </w:num>
  <w:num w:numId="9">
    <w:abstractNumId w:val="14"/>
  </w:num>
  <w:num w:numId="10">
    <w:abstractNumId w:val="1"/>
  </w:num>
  <w:num w:numId="11">
    <w:abstractNumId w:val="4"/>
  </w:num>
  <w:num w:numId="12">
    <w:abstractNumId w:val="12"/>
  </w:num>
  <w:num w:numId="13">
    <w:abstractNumId w:val="11"/>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EE1"/>
    <w:rsid w:val="00516CE9"/>
    <w:rsid w:val="00544C3F"/>
    <w:rsid w:val="00627143"/>
    <w:rsid w:val="00641EE1"/>
    <w:rsid w:val="00643337"/>
    <w:rsid w:val="009557B5"/>
    <w:rsid w:val="00BB44DD"/>
    <w:rsid w:val="00D76BDF"/>
    <w:rsid w:val="00DA02C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A7155"/>
  <w15:chartTrackingRefBased/>
  <w15:docId w15:val="{04E1C1A9-5F5C-4111-A0DF-6150BF4BA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1E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02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E1"/>
    <w:pPr>
      <w:ind w:left="720"/>
      <w:contextualSpacing/>
    </w:pPr>
  </w:style>
  <w:style w:type="character" w:customStyle="1" w:styleId="Heading1Char">
    <w:name w:val="Heading 1 Char"/>
    <w:basedOn w:val="DefaultParagraphFont"/>
    <w:link w:val="Heading1"/>
    <w:uiPriority w:val="9"/>
    <w:rsid w:val="00641E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02C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A02CD"/>
    <w:rPr>
      <w:rFonts w:ascii="Times New Roman" w:hAnsi="Times New Roman" w:cs="Times New Roman"/>
      <w:sz w:val="24"/>
      <w:szCs w:val="24"/>
    </w:rPr>
  </w:style>
  <w:style w:type="paragraph" w:styleId="TOCHeading">
    <w:name w:val="TOC Heading"/>
    <w:basedOn w:val="Heading1"/>
    <w:next w:val="Normal"/>
    <w:uiPriority w:val="39"/>
    <w:unhideWhenUsed/>
    <w:qFormat/>
    <w:rsid w:val="00643337"/>
    <w:pPr>
      <w:outlineLvl w:val="9"/>
    </w:pPr>
    <w:rPr>
      <w:lang w:val="en-US"/>
    </w:rPr>
  </w:style>
  <w:style w:type="paragraph" w:styleId="TOC1">
    <w:name w:val="toc 1"/>
    <w:basedOn w:val="Normal"/>
    <w:next w:val="Normal"/>
    <w:autoRedefine/>
    <w:uiPriority w:val="39"/>
    <w:unhideWhenUsed/>
    <w:rsid w:val="00643337"/>
    <w:pPr>
      <w:spacing w:after="100"/>
    </w:pPr>
  </w:style>
  <w:style w:type="paragraph" w:styleId="TOC2">
    <w:name w:val="toc 2"/>
    <w:basedOn w:val="Normal"/>
    <w:next w:val="Normal"/>
    <w:autoRedefine/>
    <w:uiPriority w:val="39"/>
    <w:unhideWhenUsed/>
    <w:rsid w:val="00643337"/>
    <w:pPr>
      <w:spacing w:after="100"/>
      <w:ind w:left="220"/>
    </w:pPr>
  </w:style>
  <w:style w:type="character" w:styleId="Hyperlink">
    <w:name w:val="Hyperlink"/>
    <w:basedOn w:val="DefaultParagraphFont"/>
    <w:uiPriority w:val="99"/>
    <w:unhideWhenUsed/>
    <w:rsid w:val="00643337"/>
    <w:rPr>
      <w:color w:val="0563C1" w:themeColor="hyperlink"/>
      <w:u w:val="single"/>
    </w:rPr>
  </w:style>
  <w:style w:type="paragraph" w:styleId="Header">
    <w:name w:val="header"/>
    <w:basedOn w:val="Normal"/>
    <w:link w:val="HeaderChar"/>
    <w:uiPriority w:val="99"/>
    <w:unhideWhenUsed/>
    <w:rsid w:val="00643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337"/>
  </w:style>
  <w:style w:type="paragraph" w:styleId="Footer">
    <w:name w:val="footer"/>
    <w:basedOn w:val="Normal"/>
    <w:link w:val="FooterChar"/>
    <w:uiPriority w:val="99"/>
    <w:unhideWhenUsed/>
    <w:rsid w:val="00643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2721">
      <w:bodyDiv w:val="1"/>
      <w:marLeft w:val="0"/>
      <w:marRight w:val="0"/>
      <w:marTop w:val="0"/>
      <w:marBottom w:val="0"/>
      <w:divBdr>
        <w:top w:val="none" w:sz="0" w:space="0" w:color="auto"/>
        <w:left w:val="none" w:sz="0" w:space="0" w:color="auto"/>
        <w:bottom w:val="none" w:sz="0" w:space="0" w:color="auto"/>
        <w:right w:val="none" w:sz="0" w:space="0" w:color="auto"/>
      </w:divBdr>
    </w:div>
    <w:div w:id="113254789">
      <w:bodyDiv w:val="1"/>
      <w:marLeft w:val="0"/>
      <w:marRight w:val="0"/>
      <w:marTop w:val="0"/>
      <w:marBottom w:val="0"/>
      <w:divBdr>
        <w:top w:val="none" w:sz="0" w:space="0" w:color="auto"/>
        <w:left w:val="none" w:sz="0" w:space="0" w:color="auto"/>
        <w:bottom w:val="none" w:sz="0" w:space="0" w:color="auto"/>
        <w:right w:val="none" w:sz="0" w:space="0" w:color="auto"/>
      </w:divBdr>
    </w:div>
    <w:div w:id="229580164">
      <w:bodyDiv w:val="1"/>
      <w:marLeft w:val="0"/>
      <w:marRight w:val="0"/>
      <w:marTop w:val="0"/>
      <w:marBottom w:val="0"/>
      <w:divBdr>
        <w:top w:val="none" w:sz="0" w:space="0" w:color="auto"/>
        <w:left w:val="none" w:sz="0" w:space="0" w:color="auto"/>
        <w:bottom w:val="none" w:sz="0" w:space="0" w:color="auto"/>
        <w:right w:val="none" w:sz="0" w:space="0" w:color="auto"/>
      </w:divBdr>
      <w:divsChild>
        <w:div w:id="465969174">
          <w:marLeft w:val="0"/>
          <w:marRight w:val="0"/>
          <w:marTop w:val="0"/>
          <w:marBottom w:val="0"/>
          <w:divBdr>
            <w:top w:val="single" w:sz="2" w:space="0" w:color="auto"/>
            <w:left w:val="single" w:sz="2" w:space="0" w:color="auto"/>
            <w:bottom w:val="single" w:sz="6" w:space="0" w:color="auto"/>
            <w:right w:val="single" w:sz="2" w:space="0" w:color="auto"/>
          </w:divBdr>
          <w:divsChild>
            <w:div w:id="974800388">
              <w:marLeft w:val="0"/>
              <w:marRight w:val="0"/>
              <w:marTop w:val="100"/>
              <w:marBottom w:val="100"/>
              <w:divBdr>
                <w:top w:val="single" w:sz="2" w:space="0" w:color="D9D9E3"/>
                <w:left w:val="single" w:sz="2" w:space="0" w:color="D9D9E3"/>
                <w:bottom w:val="single" w:sz="2" w:space="0" w:color="D9D9E3"/>
                <w:right w:val="single" w:sz="2" w:space="0" w:color="D9D9E3"/>
              </w:divBdr>
              <w:divsChild>
                <w:div w:id="262883948">
                  <w:marLeft w:val="0"/>
                  <w:marRight w:val="0"/>
                  <w:marTop w:val="0"/>
                  <w:marBottom w:val="0"/>
                  <w:divBdr>
                    <w:top w:val="single" w:sz="2" w:space="0" w:color="D9D9E3"/>
                    <w:left w:val="single" w:sz="2" w:space="0" w:color="D9D9E3"/>
                    <w:bottom w:val="single" w:sz="2" w:space="0" w:color="D9D9E3"/>
                    <w:right w:val="single" w:sz="2" w:space="0" w:color="D9D9E3"/>
                  </w:divBdr>
                  <w:divsChild>
                    <w:div w:id="985859877">
                      <w:marLeft w:val="0"/>
                      <w:marRight w:val="0"/>
                      <w:marTop w:val="0"/>
                      <w:marBottom w:val="0"/>
                      <w:divBdr>
                        <w:top w:val="single" w:sz="2" w:space="0" w:color="D9D9E3"/>
                        <w:left w:val="single" w:sz="2" w:space="0" w:color="D9D9E3"/>
                        <w:bottom w:val="single" w:sz="2" w:space="0" w:color="D9D9E3"/>
                        <w:right w:val="single" w:sz="2" w:space="0" w:color="D9D9E3"/>
                      </w:divBdr>
                      <w:divsChild>
                        <w:div w:id="951404644">
                          <w:marLeft w:val="0"/>
                          <w:marRight w:val="0"/>
                          <w:marTop w:val="0"/>
                          <w:marBottom w:val="0"/>
                          <w:divBdr>
                            <w:top w:val="single" w:sz="2" w:space="0" w:color="D9D9E3"/>
                            <w:left w:val="single" w:sz="2" w:space="0" w:color="D9D9E3"/>
                            <w:bottom w:val="single" w:sz="2" w:space="0" w:color="D9D9E3"/>
                            <w:right w:val="single" w:sz="2" w:space="0" w:color="D9D9E3"/>
                          </w:divBdr>
                          <w:divsChild>
                            <w:div w:id="26376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5542122">
      <w:bodyDiv w:val="1"/>
      <w:marLeft w:val="0"/>
      <w:marRight w:val="0"/>
      <w:marTop w:val="0"/>
      <w:marBottom w:val="0"/>
      <w:divBdr>
        <w:top w:val="none" w:sz="0" w:space="0" w:color="auto"/>
        <w:left w:val="none" w:sz="0" w:space="0" w:color="auto"/>
        <w:bottom w:val="none" w:sz="0" w:space="0" w:color="auto"/>
        <w:right w:val="none" w:sz="0" w:space="0" w:color="auto"/>
      </w:divBdr>
    </w:div>
    <w:div w:id="644746727">
      <w:bodyDiv w:val="1"/>
      <w:marLeft w:val="0"/>
      <w:marRight w:val="0"/>
      <w:marTop w:val="0"/>
      <w:marBottom w:val="0"/>
      <w:divBdr>
        <w:top w:val="none" w:sz="0" w:space="0" w:color="auto"/>
        <w:left w:val="none" w:sz="0" w:space="0" w:color="auto"/>
        <w:bottom w:val="none" w:sz="0" w:space="0" w:color="auto"/>
        <w:right w:val="none" w:sz="0" w:space="0" w:color="auto"/>
      </w:divBdr>
    </w:div>
    <w:div w:id="681736095">
      <w:bodyDiv w:val="1"/>
      <w:marLeft w:val="0"/>
      <w:marRight w:val="0"/>
      <w:marTop w:val="0"/>
      <w:marBottom w:val="0"/>
      <w:divBdr>
        <w:top w:val="none" w:sz="0" w:space="0" w:color="auto"/>
        <w:left w:val="none" w:sz="0" w:space="0" w:color="auto"/>
        <w:bottom w:val="none" w:sz="0" w:space="0" w:color="auto"/>
        <w:right w:val="none" w:sz="0" w:space="0" w:color="auto"/>
      </w:divBdr>
    </w:div>
    <w:div w:id="1095980827">
      <w:bodyDiv w:val="1"/>
      <w:marLeft w:val="0"/>
      <w:marRight w:val="0"/>
      <w:marTop w:val="0"/>
      <w:marBottom w:val="0"/>
      <w:divBdr>
        <w:top w:val="none" w:sz="0" w:space="0" w:color="auto"/>
        <w:left w:val="none" w:sz="0" w:space="0" w:color="auto"/>
        <w:bottom w:val="none" w:sz="0" w:space="0" w:color="auto"/>
        <w:right w:val="none" w:sz="0" w:space="0" w:color="auto"/>
      </w:divBdr>
      <w:divsChild>
        <w:div w:id="74861838">
          <w:marLeft w:val="0"/>
          <w:marRight w:val="0"/>
          <w:marTop w:val="0"/>
          <w:marBottom w:val="0"/>
          <w:divBdr>
            <w:top w:val="single" w:sz="2" w:space="0" w:color="auto"/>
            <w:left w:val="single" w:sz="2" w:space="0" w:color="auto"/>
            <w:bottom w:val="single" w:sz="6" w:space="0" w:color="auto"/>
            <w:right w:val="single" w:sz="2" w:space="0" w:color="auto"/>
          </w:divBdr>
          <w:divsChild>
            <w:div w:id="548036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441243">
                  <w:marLeft w:val="0"/>
                  <w:marRight w:val="0"/>
                  <w:marTop w:val="0"/>
                  <w:marBottom w:val="0"/>
                  <w:divBdr>
                    <w:top w:val="single" w:sz="2" w:space="0" w:color="D9D9E3"/>
                    <w:left w:val="single" w:sz="2" w:space="0" w:color="D9D9E3"/>
                    <w:bottom w:val="single" w:sz="2" w:space="0" w:color="D9D9E3"/>
                    <w:right w:val="single" w:sz="2" w:space="0" w:color="D9D9E3"/>
                  </w:divBdr>
                  <w:divsChild>
                    <w:div w:id="1789155864">
                      <w:marLeft w:val="0"/>
                      <w:marRight w:val="0"/>
                      <w:marTop w:val="0"/>
                      <w:marBottom w:val="0"/>
                      <w:divBdr>
                        <w:top w:val="single" w:sz="2" w:space="0" w:color="D9D9E3"/>
                        <w:left w:val="single" w:sz="2" w:space="0" w:color="D9D9E3"/>
                        <w:bottom w:val="single" w:sz="2" w:space="0" w:color="D9D9E3"/>
                        <w:right w:val="single" w:sz="2" w:space="0" w:color="D9D9E3"/>
                      </w:divBdr>
                      <w:divsChild>
                        <w:div w:id="79060551">
                          <w:marLeft w:val="0"/>
                          <w:marRight w:val="0"/>
                          <w:marTop w:val="0"/>
                          <w:marBottom w:val="0"/>
                          <w:divBdr>
                            <w:top w:val="single" w:sz="2" w:space="0" w:color="D9D9E3"/>
                            <w:left w:val="single" w:sz="2" w:space="0" w:color="D9D9E3"/>
                            <w:bottom w:val="single" w:sz="2" w:space="0" w:color="D9D9E3"/>
                            <w:right w:val="single" w:sz="2" w:space="0" w:color="D9D9E3"/>
                          </w:divBdr>
                          <w:divsChild>
                            <w:div w:id="1671832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0530109">
      <w:bodyDiv w:val="1"/>
      <w:marLeft w:val="0"/>
      <w:marRight w:val="0"/>
      <w:marTop w:val="0"/>
      <w:marBottom w:val="0"/>
      <w:divBdr>
        <w:top w:val="none" w:sz="0" w:space="0" w:color="auto"/>
        <w:left w:val="none" w:sz="0" w:space="0" w:color="auto"/>
        <w:bottom w:val="none" w:sz="0" w:space="0" w:color="auto"/>
        <w:right w:val="none" w:sz="0" w:space="0" w:color="auto"/>
      </w:divBdr>
    </w:div>
    <w:div w:id="1250770665">
      <w:bodyDiv w:val="1"/>
      <w:marLeft w:val="0"/>
      <w:marRight w:val="0"/>
      <w:marTop w:val="0"/>
      <w:marBottom w:val="0"/>
      <w:divBdr>
        <w:top w:val="none" w:sz="0" w:space="0" w:color="auto"/>
        <w:left w:val="none" w:sz="0" w:space="0" w:color="auto"/>
        <w:bottom w:val="none" w:sz="0" w:space="0" w:color="auto"/>
        <w:right w:val="none" w:sz="0" w:space="0" w:color="auto"/>
      </w:divBdr>
    </w:div>
    <w:div w:id="1293515687">
      <w:bodyDiv w:val="1"/>
      <w:marLeft w:val="0"/>
      <w:marRight w:val="0"/>
      <w:marTop w:val="0"/>
      <w:marBottom w:val="0"/>
      <w:divBdr>
        <w:top w:val="none" w:sz="0" w:space="0" w:color="auto"/>
        <w:left w:val="none" w:sz="0" w:space="0" w:color="auto"/>
        <w:bottom w:val="none" w:sz="0" w:space="0" w:color="auto"/>
        <w:right w:val="none" w:sz="0" w:space="0" w:color="auto"/>
      </w:divBdr>
    </w:div>
    <w:div w:id="1633361843">
      <w:bodyDiv w:val="1"/>
      <w:marLeft w:val="0"/>
      <w:marRight w:val="0"/>
      <w:marTop w:val="0"/>
      <w:marBottom w:val="0"/>
      <w:divBdr>
        <w:top w:val="none" w:sz="0" w:space="0" w:color="auto"/>
        <w:left w:val="none" w:sz="0" w:space="0" w:color="auto"/>
        <w:bottom w:val="none" w:sz="0" w:space="0" w:color="auto"/>
        <w:right w:val="none" w:sz="0" w:space="0" w:color="auto"/>
      </w:divBdr>
    </w:div>
    <w:div w:id="1879972609">
      <w:bodyDiv w:val="1"/>
      <w:marLeft w:val="0"/>
      <w:marRight w:val="0"/>
      <w:marTop w:val="0"/>
      <w:marBottom w:val="0"/>
      <w:divBdr>
        <w:top w:val="none" w:sz="0" w:space="0" w:color="auto"/>
        <w:left w:val="none" w:sz="0" w:space="0" w:color="auto"/>
        <w:bottom w:val="none" w:sz="0" w:space="0" w:color="auto"/>
        <w:right w:val="none" w:sz="0" w:space="0" w:color="auto"/>
      </w:divBdr>
    </w:div>
    <w:div w:id="1987976875">
      <w:bodyDiv w:val="1"/>
      <w:marLeft w:val="0"/>
      <w:marRight w:val="0"/>
      <w:marTop w:val="0"/>
      <w:marBottom w:val="0"/>
      <w:divBdr>
        <w:top w:val="none" w:sz="0" w:space="0" w:color="auto"/>
        <w:left w:val="none" w:sz="0" w:space="0" w:color="auto"/>
        <w:bottom w:val="none" w:sz="0" w:space="0" w:color="auto"/>
        <w:right w:val="none" w:sz="0" w:space="0" w:color="auto"/>
      </w:divBdr>
    </w:div>
    <w:div w:id="1994479224">
      <w:bodyDiv w:val="1"/>
      <w:marLeft w:val="0"/>
      <w:marRight w:val="0"/>
      <w:marTop w:val="0"/>
      <w:marBottom w:val="0"/>
      <w:divBdr>
        <w:top w:val="none" w:sz="0" w:space="0" w:color="auto"/>
        <w:left w:val="none" w:sz="0" w:space="0" w:color="auto"/>
        <w:bottom w:val="none" w:sz="0" w:space="0" w:color="auto"/>
        <w:right w:val="none" w:sz="0" w:space="0" w:color="auto"/>
      </w:divBdr>
    </w:div>
    <w:div w:id="214546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AF1B5-9DC4-4527-B464-0FF09668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2978</Words>
  <Characters>16975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Restaurant</dc:creator>
  <cp:keywords/>
  <dc:description/>
  <cp:lastModifiedBy>Restaurant</cp:lastModifiedBy>
  <cp:revision>2</cp:revision>
  <dcterms:created xsi:type="dcterms:W3CDTF">2023-04-28T11:17:00Z</dcterms:created>
  <dcterms:modified xsi:type="dcterms:W3CDTF">2023-04-28T11:17:00Z</dcterms:modified>
</cp:coreProperties>
</file>