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r>
        <w:rPr>
          <w:rFonts w:ascii="Times New Roman" w:hAnsi="Times New Roman" w:eastAsia="Times New Roman" w:cs="Times New Roman"/>
          <w:b/>
          <w:color w:val="000000" w:themeColor="text1"/>
          <w:sz w:val="32"/>
          <w:szCs w:val="32"/>
          <w:highlight w:val="white"/>
          <w14:textFill>
            <w14:solidFill>
              <w14:schemeClr w14:val="tx1"/>
            </w14:solidFill>
          </w14:textFill>
        </w:rPr>
        <w:t>RESEARCH PROPOSAL</w:t>
      </w:r>
      <w: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t xml:space="preserve">  </w:t>
      </w: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t xml:space="preserve">                                                            Name -Priyanka Mithil Raval         </w:t>
      </w: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t xml:space="preserve">                                                     Student Number- 2225567</w:t>
      </w: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p>
      <w:pPr>
        <w:spacing w:line="360" w:lineRule="auto"/>
        <w:jc w:val="center"/>
        <w:rPr>
          <w:rFonts w:hint="default" w:ascii="Times New Roman" w:hAnsi="Times New Roman" w:eastAsia="Times New Roman" w:cs="Times New Roman"/>
          <w:b/>
          <w:color w:val="000000" w:themeColor="text1"/>
          <w:sz w:val="32"/>
          <w:szCs w:val="32"/>
          <w:highlight w:val="white"/>
          <w:lang w:val="en-IN"/>
          <w14:textFill>
            <w14:solidFill>
              <w14:schemeClr w14:val="tx1"/>
            </w14:solidFill>
          </w14:textFill>
        </w:rPr>
      </w:pPr>
    </w:p>
    <w:sdt>
      <w:sdtPr>
        <w:rPr>
          <w:rFonts w:ascii="Times New Roman" w:hAnsi="Times New Roman" w:eastAsia="Arial" w:cs="Times New Roman"/>
          <w:color w:val="000000" w:themeColor="text1"/>
          <w:sz w:val="24"/>
          <w:szCs w:val="24"/>
          <w:lang w:val="en-GB"/>
          <w14:textFill>
            <w14:solidFill>
              <w14:schemeClr w14:val="tx1"/>
            </w14:solidFill>
          </w14:textFill>
        </w:rPr>
        <w:id w:val="-1139953548"/>
        <w:docPartObj>
          <w:docPartGallery w:val="Table of Contents"/>
          <w:docPartUnique/>
        </w:docPartObj>
      </w:sdtPr>
      <w:sdtEndPr>
        <w:rPr>
          <w:rFonts w:ascii="Times New Roman" w:hAnsi="Times New Roman" w:eastAsia="Arial" w:cs="Times New Roman"/>
          <w:b/>
          <w:bCs/>
          <w:color w:val="000000" w:themeColor="text1"/>
          <w:sz w:val="24"/>
          <w:szCs w:val="24"/>
          <w:lang w:val="en-GB"/>
          <w14:textFill>
            <w14:solidFill>
              <w14:schemeClr w14:val="tx1"/>
            </w14:solidFill>
          </w14:textFill>
        </w:rPr>
      </w:sdtEndPr>
      <w:sdtContent>
        <w:p>
          <w:pPr>
            <w:pStyle w:val="19"/>
            <w:spacing w:line="360" w:lineRule="auto"/>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Table of Contents</w:t>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TOC \o "1-3" \h \z \u </w:instrText>
          </w:r>
          <w:r>
            <w:rPr>
              <w:rFonts w:ascii="Times New Roman" w:hAnsi="Times New Roman" w:cs="Times New Roman"/>
              <w:color w:val="000000" w:themeColor="text1"/>
              <w:sz w:val="24"/>
              <w:szCs w:val="24"/>
              <w14:textFill>
                <w14:solidFill>
                  <w14:schemeClr w14:val="tx1"/>
                </w14:solidFill>
              </w14:textFill>
            </w:rPr>
            <w:fldChar w:fldCharType="separate"/>
          </w:r>
          <w:r>
            <w:fldChar w:fldCharType="begin"/>
          </w:r>
          <w:r>
            <w:instrText xml:space="preserve"> HYPERLINK \l "_Toc161328046"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1. 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_Toc161328046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"_Toc161328047"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2. Methodology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_Toc161328047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"_Toc161328048"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3. Aims, objectives and research questions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_Toc161328048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"_Toc161328049"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4. Literature review</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_Toc161328049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"_Toc161328050"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5. Limitations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_Toc161328050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"_Toc161328051"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6. Ethical considerations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_Toc161328051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"_Toc161328052"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7. Timeframe - Gantt Chart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_Toc161328052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"_Toc161328053"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8. Conclusion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_Toc161328053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pStyle w:val="15"/>
            <w:tabs>
              <w:tab w:val="right" w:leader="dot" w:pos="9019"/>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"_Toc161328054" </w:instrText>
          </w:r>
          <w:r>
            <w:fldChar w:fldCharType="separate"/>
          </w:r>
          <w:r>
            <w:rPr>
              <w:rStyle w:val="12"/>
              <w:rFonts w:ascii="Times New Roman" w:hAnsi="Times New Roman" w:cs="Times New Roman"/>
              <w:color w:val="000000" w:themeColor="text1"/>
              <w:sz w:val="24"/>
              <w:szCs w:val="24"/>
              <w:highlight w:val="white"/>
              <w14:textFill>
                <w14:solidFill>
                  <w14:schemeClr w14:val="tx1"/>
                </w14:solidFill>
              </w14:textFill>
            </w:rPr>
            <w:t>References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_Toc161328054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pPr>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fldChar w:fldCharType="end"/>
          </w:r>
        </w:p>
      </w:sdtContent>
    </w:sdt>
    <w:p>
      <w:pPr>
        <w:spacing w:line="360" w:lineRule="auto"/>
        <w:jc w:val="center"/>
        <w:rPr>
          <w:rFonts w:ascii="Times New Roman" w:hAnsi="Times New Roman" w:eastAsia="Times New Roman" w:cs="Times New Roman"/>
          <w:b/>
          <w:color w:val="000000" w:themeColor="text1"/>
          <w:sz w:val="32"/>
          <w:szCs w:val="32"/>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br w:type="page"/>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t xml:space="preserve">Title: </w:t>
      </w:r>
      <w:r>
        <w:rPr>
          <w:rFonts w:ascii="Times New Roman" w:hAnsi="Times New Roman" w:eastAsia="Times New Roman" w:cs="Times New Roman"/>
          <w:color w:val="000000" w:themeColor="text1"/>
          <w:sz w:val="24"/>
          <w:szCs w:val="24"/>
          <w:highlight w:val="white"/>
          <w14:textFill>
            <w14:solidFill>
              <w14:schemeClr w14:val="tx1"/>
            </w14:solidFill>
          </w14:textFill>
        </w:rPr>
        <w:t>The role of e-commerce in alleviating the challenges faced by SMEs in the UK during the COVID-19 pandemic</w:t>
      </w:r>
    </w:p>
    <w:p>
      <w:pPr>
        <w:pStyle w:val="2"/>
        <w:rPr>
          <w:highlight w:val="white"/>
        </w:rPr>
      </w:pPr>
      <w:bookmarkStart w:id="0" w:name="_Toc161328046"/>
      <w:r>
        <w:rPr>
          <w:highlight w:val="white"/>
        </w:rPr>
        <w:t>1. Introduction</w:t>
      </w:r>
      <w:bookmarkEnd w:id="0"/>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Electronic Commerce or the ‘e-commerce’ has gained notable importance as an effective technology medium for business to increase the reach, serve consumers, respond to external pressure and minimise expenses. The e-commerce has compelled large numbers of forms to keep a digital footprint and capitalise significant opportunities offered by the internet. During the pandemic a number of SMEs was largely affected and e-commerce adoption substantially affected the business. The number of SMEs from 2020 to 2023 has been increased. There were about 5.55 million “small and medium sized enterprises” operating in the UK (Statista, 2023). The reason for developing this study is to investigate the impact of e-commerce on the performance of SMEs mitigating challenges. It intends to outline the crucial benefits of e-commerce to remove challenges of SMEs and upgrade its performance.    </w:t>
      </w:r>
    </w:p>
    <w:p>
      <w:pPr>
        <w:spacing w:before="240" w:after="240" w:line="360" w:lineRule="auto"/>
        <w:jc w:val="both"/>
        <w:rPr>
          <w:rFonts w:ascii="Times New Roman" w:hAnsi="Times New Roman" w:eastAsia="Times New Roman" w:cs="Times New Roman"/>
          <w:b/>
          <w:bCs/>
          <w:i/>
          <w:color w:val="000000" w:themeColor="text1"/>
          <w:sz w:val="24"/>
          <w:szCs w:val="24"/>
          <w:highlight w:val="white"/>
          <w14:textFill>
            <w14:solidFill>
              <w14:schemeClr w14:val="tx1"/>
            </w14:solidFill>
          </w14:textFill>
        </w:rPr>
      </w:pPr>
      <w:r>
        <w:rPr>
          <w:rFonts w:ascii="Times New Roman" w:hAnsi="Times New Roman" w:eastAsia="Times New Roman" w:cs="Times New Roman"/>
          <w:b/>
          <w:bCs/>
          <w:i/>
          <w:color w:val="000000" w:themeColor="text1"/>
          <w:sz w:val="24"/>
          <w:szCs w:val="24"/>
          <w:highlight w:val="white"/>
          <w14:textFill>
            <w14:solidFill>
              <w14:schemeClr w14:val="tx1"/>
            </w14:solidFill>
          </w14:textFill>
        </w:rPr>
        <w:t>Hypothesis:</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H1: The e-commerce has helped “to alleviate challenges of SMEs and enhance the performance during the Covid-19 pandemic period”.</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H0: The e-commerce had no significant role “to alleviate challenges of SMEs and enhance the performance during the Covid-19 pandemic period”. </w:t>
      </w:r>
    </w:p>
    <w:p>
      <w:pPr>
        <w:pStyle w:val="2"/>
        <w:rPr>
          <w:highlight w:val="white"/>
        </w:rPr>
      </w:pPr>
      <w:bookmarkStart w:id="1" w:name="_Toc161328047"/>
      <w:r>
        <w:rPr>
          <w:highlight w:val="white"/>
        </w:rPr>
        <w:t>2. Methodology</w:t>
      </w:r>
      <w:bookmarkEnd w:id="1"/>
    </w:p>
    <w:p>
      <w:pPr>
        <w:spacing w:line="360" w:lineRule="auto"/>
        <w:jc w:val="both"/>
        <w:rPr>
          <w:rFonts w:ascii="Times New Roman" w:hAnsi="Times New Roman" w:eastAsia="Times New Roman" w:cs="Times New Roman"/>
          <w:color w:val="auto"/>
          <w:sz w:val="24"/>
          <w:szCs w:val="24"/>
          <w:highlight w:val="white"/>
        </w:rPr>
      </w:pPr>
      <w:r>
        <w:rPr>
          <w:rFonts w:ascii="Times New Roman" w:hAnsi="Times New Roman" w:eastAsia="Times New Roman" w:cs="Times New Roman"/>
          <w:color w:val="000000" w:themeColor="text1"/>
          <w:sz w:val="24"/>
          <w:szCs w:val="24"/>
          <w:highlight w:val="white"/>
          <w14:textFill>
            <w14:solidFill>
              <w14:schemeClr w14:val="tx1"/>
            </w14:solidFill>
          </w14:textFill>
        </w:rPr>
        <w:t>The specific techniques or processes applied for identification, selection and analysis information on a topic is termed as research methodology. Conducting the study about “the role of e-commerce in alleviating the challenges faced by SMEs in the UK during the COVID</w:t>
      </w:r>
      <w:r>
        <w:rPr>
          <w:rFonts w:ascii="Times New Roman" w:hAnsi="Times New Roman" w:eastAsia="Times New Roman" w:cs="Times New Roman"/>
          <w:color w:val="auto"/>
          <w:sz w:val="24"/>
          <w:szCs w:val="24"/>
          <w:highlight w:val="white"/>
        </w:rPr>
        <w:t>-19 pandemic” the research will apply positivism philosophy. The positivism philosophy helps to integrate important human interest into a study. In the positivism philosophy, reality is observed based on the discrete events experienced by human senses (</w:t>
      </w:r>
      <w:r>
        <w:rPr>
          <w:rFonts w:ascii="Times New Roman" w:hAnsi="Times New Roman" w:cs="Times New Roman"/>
          <w:color w:val="auto"/>
          <w:sz w:val="24"/>
          <w:szCs w:val="24"/>
          <w:shd w:val="clear" w:color="auto" w:fill="FFFFFF"/>
        </w:rPr>
        <w:t>Karupiah, 2022</w:t>
      </w:r>
      <w:r>
        <w:rPr>
          <w:rFonts w:ascii="Times New Roman" w:hAnsi="Times New Roman" w:eastAsia="Times New Roman" w:cs="Times New Roman"/>
          <w:color w:val="auto"/>
          <w:sz w:val="24"/>
          <w:szCs w:val="24"/>
          <w:highlight w:val="white"/>
        </w:rPr>
        <w:t xml:space="preserve">). The primary data gained by the survey participants can be analysed in effective ways with the positivism philosophy. </w:t>
      </w:r>
    </w:p>
    <w:p>
      <w:p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The collected data will be analysed profoundly to denote the real effectiveness of e-commerce on SMEs in the UK in times of pandemic. Further, the study will include a deductive approach to prove the hypothesis that e-commerce helped SMEs to tackle issues they faced in Covid-19 period. The deductive approach helps to observe the participants' opinion (Hieng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2023). It will help the research to take control of the study and evaluate the participants’ opinion to prove the research hypothesis in a significant way.  </w:t>
      </w:r>
    </w:p>
    <w:p>
      <w:p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The data collection is the vital process of collecting, measuring and analysing the accurate dataset for conducting a study. Researchers can apply important tools, techniques to gather necessary data to conduct a study. The data collection helps to highlight the important relation between different variables in a study (Haudi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2022). Primary data will be gathered by conducting a survey. The data collection is important to provide the important information for giving answers to the research questions and drawing suitable conclusions on the topic. It will help to explain with evidence that e-commerce contributed in alleviating the challenges confronted by the SMEs amidst the Covid-19 pandemic time. The primary data will help the researcher giving crucial evidence to the data analysis. </w:t>
      </w:r>
    </w:p>
    <w:p>
      <w:pPr>
        <w:spacing w:line="360" w:lineRule="auto"/>
        <w:jc w:val="both"/>
        <w:rPr>
          <w:rFonts w:ascii="Times New Roman" w:hAnsi="Times New Roman" w:eastAsia="Times New Roman" w:cs="Times New Roman"/>
          <w:color w:val="FF0000"/>
          <w:sz w:val="24"/>
          <w:szCs w:val="24"/>
          <w:highlight w:val="white"/>
        </w:rPr>
      </w:pPr>
      <w:r>
        <w:rPr>
          <w:rFonts w:ascii="Times New Roman" w:hAnsi="Times New Roman" w:eastAsia="Times New Roman" w:cs="Times New Roman"/>
          <w:color w:val="000000" w:themeColor="text1"/>
          <w:sz w:val="24"/>
          <w:szCs w:val="24"/>
          <w:highlight w:val="white"/>
          <w14:textFill>
            <w14:solidFill>
              <w14:schemeClr w14:val="tx1"/>
            </w14:solidFill>
          </w14:textFill>
        </w:rPr>
        <w:t>Procedure of cleaning, interpreting, analysing and visualising the important data applying multiple techniques is called the data analysis procedure. The data analysis is mainly classified into quantitative analysis and qualitative analysis.</w:t>
      </w:r>
      <w:r>
        <w:rPr>
          <w:rFonts w:ascii="Times New Roman" w:hAnsi="Times New Roman" w:eastAsia="Times New Roman" w:cs="Times New Roman"/>
          <w:color w:val="auto"/>
          <w:sz w:val="24"/>
          <w:szCs w:val="24"/>
          <w:highlight w:val="white"/>
        </w:rPr>
        <w:t xml:space="preserve"> According to the observation of </w:t>
      </w:r>
      <w:r>
        <w:rPr>
          <w:rFonts w:ascii="Times New Roman" w:hAnsi="Times New Roman" w:cs="Times New Roman"/>
          <w:color w:val="auto"/>
          <w:sz w:val="24"/>
          <w:szCs w:val="24"/>
          <w:shd w:val="clear" w:color="auto" w:fill="FFFFFF"/>
        </w:rPr>
        <w:t>Klem</w:t>
      </w:r>
      <w:r>
        <w:rPr>
          <w:rFonts w:ascii="Times New Roman" w:hAnsi="Times New Roman" w:eastAsia="Times New Roman" w:cs="Times New Roman"/>
          <w:color w:val="auto"/>
          <w:sz w:val="24"/>
          <w:szCs w:val="24"/>
          <w:highlight w:val="white"/>
        </w:rPr>
        <w:t xml:space="preserve"> </w:t>
      </w:r>
      <w:r>
        <w:rPr>
          <w:rFonts w:ascii="Times New Roman" w:hAnsi="Times New Roman" w:eastAsia="Times New Roman" w:cs="Times New Roman"/>
          <w:i/>
          <w:iCs/>
          <w:color w:val="auto"/>
          <w:sz w:val="24"/>
          <w:szCs w:val="24"/>
          <w:highlight w:val="white"/>
        </w:rPr>
        <w:t xml:space="preserve">et al. </w:t>
      </w:r>
      <w:r>
        <w:rPr>
          <w:rFonts w:ascii="Times New Roman" w:hAnsi="Times New Roman" w:eastAsia="Times New Roman" w:cs="Times New Roman"/>
          <w:color w:val="auto"/>
          <w:sz w:val="24"/>
          <w:szCs w:val="24"/>
          <w:highlight w:val="white"/>
        </w:rPr>
        <w:t xml:space="preserve">(2022), the qualitative strategy in the methodological approach of a study offers the reader a sense of the research objectives, while use of theories provides a deep-discussion on the topic. The application of the qualitative data is beneficial for demonstrating the unquantifiable aspects of the research. According to the statement of </w:t>
      </w:r>
      <w:r>
        <w:rPr>
          <w:rFonts w:ascii="Times New Roman" w:hAnsi="Times New Roman" w:cs="Times New Roman"/>
          <w:color w:val="auto"/>
          <w:sz w:val="24"/>
          <w:szCs w:val="24"/>
          <w:shd w:val="clear" w:color="auto" w:fill="FFFFFF"/>
        </w:rPr>
        <w:t>Hendren</w:t>
      </w:r>
      <w:r>
        <w:rPr>
          <w:rFonts w:ascii="Times New Roman" w:hAnsi="Times New Roman" w:eastAsia="Times New Roman" w:cs="Times New Roman"/>
          <w:color w:val="auto"/>
          <w:sz w:val="24"/>
          <w:szCs w:val="24"/>
          <w:highlight w:val="white"/>
        </w:rPr>
        <w:t xml:space="preserve"> </w:t>
      </w:r>
      <w:r>
        <w:rPr>
          <w:rFonts w:ascii="Times New Roman" w:hAnsi="Times New Roman" w:eastAsia="Times New Roman" w:cs="Times New Roman"/>
          <w:i/>
          <w:iCs/>
          <w:color w:val="auto"/>
          <w:sz w:val="24"/>
          <w:szCs w:val="24"/>
          <w:highlight w:val="white"/>
        </w:rPr>
        <w:t xml:space="preserve">et al. </w:t>
      </w:r>
      <w:r>
        <w:rPr>
          <w:rFonts w:ascii="Times New Roman" w:hAnsi="Times New Roman" w:eastAsia="Times New Roman" w:cs="Times New Roman"/>
          <w:color w:val="auto"/>
          <w:sz w:val="24"/>
          <w:szCs w:val="24"/>
          <w:highlight w:val="white"/>
        </w:rPr>
        <w:t xml:space="preserve">(2023), the qualitative research participates to find the research findings in a highly thoughtful manner. It seems beneficial to evaluate the discussion thoroughly. </w:t>
      </w:r>
    </w:p>
    <w:p>
      <w:p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The collected primary data will be used in the study to outline the role of e-commerce to remove the challenges faced by the UK SMEs.</w:t>
      </w:r>
    </w:p>
    <w:p>
      <w:p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Population means the complete set of people having specialised same characteristics and Sampling means the “subset of population (ncbi, 2023). It is not possible to include a larger population to conduct study due to the time and resources, therefore researchers need to select a target sample to conduct study. Sampling processes can be various types such as clutter sampling, quota sampling, and simple random sampling. The researcher will use the “simple random sampling process” to select the survey participants for this study. The simple random method helps to remove bias from the study (Rahman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2022). It will help to increase the validity and acceptability of this study in an effective way.  It will include 51 participants from 200 people who were involved with any SMEs e-commerce operation. Using close-ended questions the survey will be conducted including these participants.  </w:t>
      </w:r>
    </w:p>
    <w:p>
      <w:pPr>
        <w:pStyle w:val="2"/>
        <w:rPr>
          <w:highlight w:val="white"/>
        </w:rPr>
      </w:pPr>
      <w:bookmarkStart w:id="2" w:name="_Toc161328048"/>
      <w:r>
        <w:rPr>
          <w:highlight w:val="white"/>
        </w:rPr>
        <w:t>3. Aims, objectives and research questions</w:t>
      </w:r>
      <w:bookmarkEnd w:id="2"/>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 xml:space="preserve">Aim: </w:t>
      </w:r>
      <w:r>
        <w:rPr>
          <w:rFonts w:ascii="Times New Roman" w:hAnsi="Times New Roman" w:eastAsia="Times New Roman" w:cs="Times New Roman"/>
          <w:color w:val="000000" w:themeColor="text1"/>
          <w:sz w:val="24"/>
          <w:szCs w:val="24"/>
          <w:highlight w:val="white"/>
          <w14:textFill>
            <w14:solidFill>
              <w14:schemeClr w14:val="tx1"/>
            </w14:solidFill>
          </w14:textFill>
        </w:rPr>
        <w:t>The core aim of this study is to investigate the role of e-commerce to alleviate the challenges confronted by UK SMEs during the Covid-19 pandemic period.</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 xml:space="preserve">Objectives: </w:t>
      </w:r>
      <w:r>
        <w:rPr>
          <w:rFonts w:ascii="Times New Roman" w:hAnsi="Times New Roman" w:eastAsia="Times New Roman" w:cs="Times New Roman"/>
          <w:color w:val="000000" w:themeColor="text1"/>
          <w:sz w:val="24"/>
          <w:szCs w:val="24"/>
          <w:highlight w:val="white"/>
          <w14:textFill>
            <w14:solidFill>
              <w14:schemeClr w14:val="tx1"/>
            </w14:solidFill>
          </w14:textFill>
        </w:rPr>
        <w:t>The objectives of the study are-</w:t>
      </w:r>
    </w:p>
    <w:p>
      <w:pPr>
        <w:numPr>
          <w:ilvl w:val="0"/>
          <w:numId w:val="1"/>
        </w:numPr>
        <w:spacing w:before="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To investigate the role of e-commerce during Covid-19 pandemic to alleviate challenges of the SMEs in UK</w:t>
      </w:r>
    </w:p>
    <w:p>
      <w:pPr>
        <w:numPr>
          <w:ilvl w:val="0"/>
          <w:numId w:val="1"/>
        </w:num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To find out the effect of e-commerce on the performance of SMEs in UK throughout Covid-19 pandemic period</w:t>
      </w:r>
    </w:p>
    <w:p>
      <w:pPr>
        <w:numPr>
          <w:ilvl w:val="0"/>
          <w:numId w:val="1"/>
        </w:num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To identify the current benefits and limitation of e-commerce to SMEs business in UK </w:t>
      </w:r>
    </w:p>
    <w:p>
      <w:pPr>
        <w:numPr>
          <w:ilvl w:val="0"/>
          <w:numId w:val="1"/>
        </w:num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To highlight effective strategies of following e-commerce for SMEs concerning these challenges </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 xml:space="preserve">Research questions: </w:t>
      </w:r>
      <w:r>
        <w:rPr>
          <w:rFonts w:ascii="Times New Roman" w:hAnsi="Times New Roman" w:eastAsia="Times New Roman" w:cs="Times New Roman"/>
          <w:color w:val="000000" w:themeColor="text1"/>
          <w:sz w:val="24"/>
          <w:szCs w:val="24"/>
          <w:highlight w:val="white"/>
          <w14:textFill>
            <w14:solidFill>
              <w14:schemeClr w14:val="tx1"/>
            </w14:solidFill>
          </w14:textFill>
        </w:rPr>
        <w:t>Chosen research questions for this study are-</w:t>
      </w:r>
    </w:p>
    <w:p>
      <w:pPr>
        <w:numPr>
          <w:ilvl w:val="0"/>
          <w:numId w:val="2"/>
        </w:numPr>
        <w:spacing w:before="240"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What is the “role of e-commerce to alleviate the challenges confronted by UK SMEs during the Covid-19 pandemic period”?</w:t>
      </w:r>
    </w:p>
    <w:p>
      <w:pPr>
        <w:numPr>
          <w:ilvl w:val="0"/>
          <w:numId w:val="2"/>
        </w:num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What was the impact of e-commerce on the performance of SMEs in the time of Covid-19 pandemic?</w:t>
      </w:r>
    </w:p>
    <w:p>
      <w:pPr>
        <w:numPr>
          <w:ilvl w:val="0"/>
          <w:numId w:val="2"/>
        </w:num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What are the current “benefits and limitations of e-commerce to SMEs business in the UK”?</w:t>
      </w:r>
    </w:p>
    <w:p>
      <w:pPr>
        <w:numPr>
          <w:ilvl w:val="0"/>
          <w:numId w:val="2"/>
        </w:numPr>
        <w:spacing w:after="240"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How can SMEs follow e-commerce to enhance performance and mitigate these challenges?</w:t>
      </w:r>
      <w:r>
        <w:rPr>
          <w:rFonts w:ascii="Times New Roman" w:hAnsi="Times New Roman" w:eastAsia="Times New Roman" w:cs="Times New Roman"/>
          <w:b/>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b/>
          <w:color w:val="000000" w:themeColor="text1"/>
          <w:sz w:val="24"/>
          <w:szCs w:val="24"/>
          <w:highlight w:val="white"/>
          <w14:textFill>
            <w14:solidFill>
              <w14:schemeClr w14:val="tx1"/>
            </w14:solidFill>
          </w14:textFill>
        </w:rPr>
        <w:tab/>
      </w:r>
    </w:p>
    <w:p>
      <w:pPr>
        <w:pStyle w:val="2"/>
        <w:rPr>
          <w:i/>
          <w:highlight w:val="white"/>
        </w:rPr>
      </w:pPr>
      <w:bookmarkStart w:id="3" w:name="_Toc161328049"/>
      <w:r>
        <w:rPr>
          <w:highlight w:val="white"/>
        </w:rPr>
        <w:t>4. Literature review</w:t>
      </w:r>
      <w:bookmarkEnd w:id="3"/>
    </w:p>
    <w:p>
      <w:pPr>
        <w:spacing w:before="240" w:after="240" w:line="360" w:lineRule="auto"/>
        <w:jc w:val="both"/>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Risk factors for SMEs During the Covid-19 pandemic time</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SMES are generally designed and structured by local businesses that mainly rely on locals for sustainability. The risk factors for the SMEs during the pandemic were restriction on human movement. Cashflow pressure, financial constraints, difficulties in operations. The SMEs faced major logistic challenges hugely in this period. Having limited resources and few facilities in the supply chain, SMEs usually operate with marginal profits, majorly for in-person consumers. While the locals were not able to move freely for complete closure and lockdown, self-isolation, social distancing, the supply chain vulnerabilities were increased significantly and the result was put to the cash flow of the business. The cash flow pressure was created from the poor sales, decline in revenue. The logistic challenges and operational difficulties made the supply chain vulnerable. Lack of short-term support from the government increased the crisis for the SMEs. </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E-commerce adoption affected SMEs sustainability performance</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The e-commerce adoption drives the sustainability in business practice of small and medium sized businesses within the vulnerabilities in Covid-19 period. The pressure on the cost was reduced by applying the e-commerce model. According to the opinion of Miljenović and Beriša (2022), the e-commerce model helped to reduce the cost along the supply chain, accelerating faster shipping. The delivery solution contributed to keep the customer engaged in the business. Considering the external environment during the pandemic, the social distancing, the method lauded small business to cope up with the situation. The demand uncertainty was the significant issue for small businesses along with the supply uncertainty.  being flexible to the changing needs of the customers e-commerce participated to minimise the “supply disruption risk” of business. In simple words, e-commerce has become the significant tool for the small business to respond quickly to the “changing supply demand condition” of the companies.  Riadi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(2022), observed that the e-commerce adoption was positively associated with the financial outcome of small businesses.  A large number of small businesses were shut during the pandemic due to the shrink in its demand, and e-commerce joined to streamline the process of business. Tackling the issue of lack of demand helped to manage the operating cost and huge financial pressure on the small businesses. </w:t>
      </w:r>
    </w:p>
    <w:p>
      <w:pPr>
        <w:spacing w:before="240" w:after="240" w:line="360" w:lineRule="auto"/>
        <w:jc w:val="both"/>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Benefits and limitation of e-commerce use in business and strategies to use e-commerce in small business positively</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E-commerce helps to enhance the operation reducing the cost. It leads businesses to earn more revenue. E-commerce makes better customer acquisition for small businesses. The trend of the e-commerce model used in business is now heavily used in the industry's world, irrespective of the size. Businesses are now developing effective relationships with the customers applying to e-commerce. The largest shortcomings of the e-commerce model are the data concern (Vinoth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2022). Remaining concerned and using “closed source code” in website data concern can be minimised. Incorporating the e-commerce business can continue to earn greater profitability and higher competitive advantage. </w:t>
      </w:r>
    </w:p>
    <w:p>
      <w:pPr>
        <w:spacing w:before="240" w:after="240" w:line="360" w:lineRule="auto"/>
        <w:jc w:val="both"/>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Theoretical Underpinning</w:t>
      </w:r>
    </w:p>
    <w:p>
      <w:pPr>
        <w:spacing w:before="240" w:after="240" w:line="360" w:lineRule="auto"/>
        <w:jc w:val="both"/>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“Technology Acceptance Model”</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Technology has emerged as the biggest player to upgrade business operation in past three decades. The “Technology Acceptance Model” exhibits that there are two factors that significantly determine if the new technology will be accepted by the users- the “perceived ease of use and the perceived usefulness” (Fussell and Truon, 2022). It focussed on the important perception of possible users.</w:t>
      </w:r>
    </w:p>
    <w:p>
      <w:pPr>
        <w:spacing w:before="240" w:after="240" w:line="360" w:lineRule="auto"/>
        <w:jc w:val="center"/>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drawing>
          <wp:inline distT="114300" distB="114300" distL="114300" distR="114300">
            <wp:extent cx="5730875" cy="14224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5731200" cy="1422400"/>
                    </a:xfrm>
                    <a:prstGeom prst="rect">
                      <a:avLst/>
                    </a:prstGeom>
                    <a:ln w="25400">
                      <a:solidFill>
                        <a:srgbClr val="000000"/>
                      </a:solidFill>
                      <a:prstDash val="solid"/>
                    </a:ln>
                  </pic:spPr>
                </pic:pic>
              </a:graphicData>
            </a:graphic>
          </wp:inline>
        </w:drawing>
      </w:r>
    </w:p>
    <w:p>
      <w:pPr>
        <w:spacing w:before="240" w:after="240" w:line="360" w:lineRule="auto"/>
        <w:jc w:val="center"/>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t>Figure 1: “Technology Acceptance Model”</w:t>
      </w:r>
    </w:p>
    <w:p>
      <w:pPr>
        <w:spacing w:before="240" w:after="240" w:line="360" w:lineRule="auto"/>
        <w:jc w:val="center"/>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(Source: Han and Sa, 2022)</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Technology has empowered e-commerce to scale its operational effectiveness. The inventory management, automated warehouse management, advanced payment method, and marketing strategy have been improved by applying the technology. A number of the SMEs in the UK have been accelerated growth applying e-commerce during the crisis amidst Covid-19 pandemic. </w:t>
      </w:r>
    </w:p>
    <w:p>
      <w:pPr>
        <w:spacing w:before="240" w:after="240" w:line="360" w:lineRule="auto"/>
        <w:jc w:val="both"/>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t>“Resourced Based View”</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The “Resource Based View '' illustrates that the competitive advantage of any firm relies on the “valuable, rare, inimitable and non-substitutable resources' ' it has. The capability of the business is to create the resources that affects its performance and gives a suitable competitive advantage.  </w:t>
      </w:r>
    </w:p>
    <w:p>
      <w:pPr>
        <w:spacing w:before="240" w:after="240" w:line="360" w:lineRule="auto"/>
        <w:jc w:val="center"/>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b/>
          <w:i/>
          <w:color w:val="000000" w:themeColor="text1"/>
          <w:sz w:val="24"/>
          <w:szCs w:val="24"/>
          <w:highlight w:val="white"/>
          <w14:textFill>
            <w14:solidFill>
              <w14:schemeClr w14:val="tx1"/>
            </w14:solidFill>
          </w14:textFill>
        </w:rPr>
        <w:drawing>
          <wp:inline distT="114300" distB="114300" distL="114300" distR="114300">
            <wp:extent cx="4181475" cy="346329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8"/>
                    <a:srcRect/>
                    <a:stretch>
                      <a:fillRect/>
                    </a:stretch>
                  </pic:blipFill>
                  <pic:spPr>
                    <a:xfrm>
                      <a:off x="0" y="0"/>
                      <a:ext cx="4181475" cy="3463826"/>
                    </a:xfrm>
                    <a:prstGeom prst="rect">
                      <a:avLst/>
                    </a:prstGeom>
                    <a:ln w="25400">
                      <a:solidFill>
                        <a:srgbClr val="000000"/>
                      </a:solidFill>
                      <a:prstDash val="solid"/>
                    </a:ln>
                  </pic:spPr>
                </pic:pic>
              </a:graphicData>
            </a:graphic>
          </wp:inline>
        </w:drawing>
      </w:r>
    </w:p>
    <w:p>
      <w:pPr>
        <w:spacing w:before="240" w:after="240" w:line="360" w:lineRule="auto"/>
        <w:jc w:val="center"/>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t>Figure 2: “Resourced Based View”</w:t>
      </w:r>
    </w:p>
    <w:p>
      <w:pPr>
        <w:spacing w:before="240" w:after="240" w:line="360" w:lineRule="auto"/>
        <w:jc w:val="center"/>
        <w:rPr>
          <w:rFonts w:ascii="Times New Roman" w:hAnsi="Times New Roman" w:eastAsia="Times New Roman" w:cs="Times New Roman"/>
          <w:b/>
          <w:i/>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(Source: Chen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2023)</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The technology-driven ecommerce has appeared as an important resource for the SMEs to tackle the challenges in the time of crisis. The availability of resources determines the strategic choice of business. The firms that acquired the technology resources were removed from challenges in their business. The resource-based view of business in case of small firms explains that “resources account for most of the decision-making in small enterprises” (Chen </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et al. </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2023). The e-commerce utilisation helped to continue the operational activities of the small firm, and these firms became successful to manage the huge financial pressure in the business. </w:t>
      </w:r>
    </w:p>
    <w:p>
      <w:pPr>
        <w:pStyle w:val="2"/>
        <w:rPr>
          <w:highlight w:val="white"/>
        </w:rPr>
      </w:pPr>
      <w:bookmarkStart w:id="4" w:name="_Toc161328050"/>
      <w:r>
        <w:rPr>
          <w:highlight w:val="white"/>
        </w:rPr>
        <w:t>5. Limitations</w:t>
      </w:r>
      <w:bookmarkEnd w:id="4"/>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The investigation and analysis will highlight the crucial issues faced by SMEs in Covid-19 pandemic time and the way e-commerce contributed to mitigate challenges. The study will include primary data to investigate the impact of e-commerce on SMEs performance mitigating challenges. A mixed method offers more comprehensive understanding on the topic and enhances the validity of the study (Taherdoost, 2022). This study will apply the mono method and it is devoid of secondary data analysis or any interview, that is a significant limitation of the study. Moreover, the investigation about the use of e-commerce in pandemic time is only concentrated on the SMEs. The study is not focused on the challenges in specific areas of all business across the globe. </w:t>
      </w:r>
    </w:p>
    <w:p>
      <w:pPr>
        <w:pStyle w:val="2"/>
        <w:rPr>
          <w:highlight w:val="white"/>
        </w:rPr>
      </w:pPr>
      <w:bookmarkStart w:id="5" w:name="_Toc161328051"/>
      <w:r>
        <w:rPr>
          <w:highlight w:val="white"/>
        </w:rPr>
        <w:t>6. Ethical considerations</w:t>
      </w:r>
      <w:bookmarkEnd w:id="5"/>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Ethical consideration refers to the significant ‘set of principles’ that helps in guiding the research design. It is necessary for the researcher to adhere to a certain “code of conduct” during the data collection and apply these into the research work. The necessity of ethical consideration ensures no harm, maintaining dignity and privacy of each participant Further, the ethical consideration assures that the study is free of error and it is not anonymous. According to the opinion of Nii Laryeafio and Ogbewe (2023), ethical considerations deal with multiple approaches taken by the researcher to make all the participants feel safe. This study about the role of e-commerce to mitigate issues of SMEs in the time of Covid-19 will include primary data conducting surveys. It ensures that the researcher will take consent of all the participants before starting the study. The dignity of all research participants will be maintained profoundly to maintain the accuracy of the study. The data that will be used to support the discussion will be cited properly. Giving proper referencing these ideas will be acknowledged, hence it would help to enhance the validity and accuracy of the study in a significant manner. </w:t>
      </w:r>
    </w:p>
    <w:p>
      <w:pPr>
        <w:pStyle w:val="2"/>
        <w:rPr>
          <w:highlight w:val="white"/>
        </w:rPr>
      </w:pPr>
      <w:bookmarkStart w:id="6" w:name="_Toc161328052"/>
      <w:r>
        <w:rPr>
          <w:highlight w:val="white"/>
        </w:rPr>
        <w:t>7. Timeframe - Gantt Chart</w:t>
      </w:r>
      <w:bookmarkEnd w:id="6"/>
    </w:p>
    <w:p>
      <w:pPr>
        <w:spacing w:before="240" w:after="240" w:line="360" w:lineRule="auto"/>
        <w:jc w:val="center"/>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drawing>
          <wp:inline distT="114300" distB="114300" distL="114300" distR="114300">
            <wp:extent cx="2952750" cy="35909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referRelativeResize="0"/>
                  </pic:nvPicPr>
                  <pic:blipFill>
                    <a:blip r:embed="rId9"/>
                    <a:srcRect/>
                    <a:stretch>
                      <a:fillRect/>
                    </a:stretch>
                  </pic:blipFill>
                  <pic:spPr>
                    <a:xfrm>
                      <a:off x="0" y="0"/>
                      <a:ext cx="2952750" cy="3590925"/>
                    </a:xfrm>
                    <a:prstGeom prst="rect">
                      <a:avLst/>
                    </a:prstGeom>
                  </pic:spPr>
                </pic:pic>
              </a:graphicData>
            </a:graphic>
          </wp:inline>
        </w:drawing>
      </w:r>
    </w:p>
    <w:p>
      <w:pPr>
        <w:spacing w:before="240" w:after="240" w:line="360" w:lineRule="auto"/>
        <w:jc w:val="center"/>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t>Figure 3: Gantt Chart</w:t>
      </w:r>
    </w:p>
    <w:p>
      <w:pPr>
        <w:spacing w:before="240" w:after="240" w:line="360" w:lineRule="auto"/>
        <w:jc w:val="center"/>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(Source: Developed by author)</w:t>
      </w:r>
    </w:p>
    <w:p>
      <w:pPr>
        <w:pStyle w:val="2"/>
        <w:rPr>
          <w:highlight w:val="white"/>
        </w:rPr>
      </w:pPr>
      <w:bookmarkStart w:id="7" w:name="_Toc161328053"/>
      <w:r>
        <w:rPr>
          <w:highlight w:val="white"/>
        </w:rPr>
        <w:t>8. Conclusion</w:t>
      </w:r>
      <w:bookmarkEnd w:id="7"/>
    </w:p>
    <w:p>
      <w:p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I have intended to investigate the effect of e-commerce to alleviate challenges met by SMEs in the UK since I believe that e-commerce significantly helped to tackle challenges of SMEs amidst crisis during pandemic. Carrying the study intended data collection, data analysis and Population and Sampling process have been mentioned. A literature review has been conducted to portray the investigation of the previous research. Further, the limitations of the study and the ethical considerations have been mentioned that will assist the researcher to continue the study maintaining accuracy. </w:t>
      </w:r>
    </w:p>
    <w:p>
      <w:pPr>
        <w:spacing w:before="240" w:after="240"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r>
        <w:rPr>
          <w:rFonts w:ascii="Times New Roman" w:hAnsi="Times New Roman" w:eastAsia="Times New Roman" w:cs="Times New Roman"/>
          <w:b/>
          <w:color w:val="000000" w:themeColor="text1"/>
          <w:sz w:val="24"/>
          <w:szCs w:val="24"/>
          <w:highlight w:val="white"/>
          <w14:textFill>
            <w14:solidFill>
              <w14:schemeClr w14:val="tx1"/>
            </w14:solidFill>
          </w14:textFill>
        </w:rPr>
        <w:br w:type="page"/>
      </w:r>
    </w:p>
    <w:p>
      <w:pPr>
        <w:pStyle w:val="2"/>
        <w:rPr>
          <w:highlight w:val="white"/>
        </w:rPr>
      </w:pPr>
      <w:bookmarkStart w:id="8" w:name="_Toc161328054"/>
      <w:r>
        <w:rPr>
          <w:highlight w:val="white"/>
        </w:rPr>
        <w:t>References</w:t>
      </w:r>
      <w:bookmarkEnd w:id="8"/>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Chen, Y.A., Guo, S.L. and Huang, K.F., (2023). Antecedents of internationalization of Taiwanese SMEs: A resource-based view. </w:t>
      </w:r>
      <w:r>
        <w:rPr>
          <w:rFonts w:ascii="Times New Roman" w:hAnsi="Times New Roman" w:eastAsia="Times New Roman" w:cs="Times New Roman"/>
          <w:i/>
          <w:color w:val="000000" w:themeColor="text1"/>
          <w:sz w:val="24"/>
          <w:szCs w:val="24"/>
          <w:highlight w:val="white"/>
          <w14:textFill>
            <w14:solidFill>
              <w14:schemeClr w14:val="tx1"/>
            </w14:solidFill>
          </w14:textFill>
        </w:rPr>
        <w:t>International Journal of Emerging Markets</w:t>
      </w:r>
      <w:r>
        <w:rPr>
          <w:rFonts w:ascii="Times New Roman" w:hAnsi="Times New Roman" w:eastAsia="Times New Roman" w:cs="Times New Roman"/>
          <w:color w:val="000000" w:themeColor="text1"/>
          <w:sz w:val="24"/>
          <w:szCs w:val="24"/>
          <w:highlight w:val="white"/>
          <w14:textFill>
            <w14:solidFill>
              <w14:schemeClr w14:val="tx1"/>
            </w14:solidFill>
          </w14:textFill>
        </w:rPr>
        <w:t>.</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Fussell, S.G. and Truong, D., (2022). Using virtual reality for dynamic learning: an extended technology acceptance model. </w:t>
      </w:r>
      <w:r>
        <w:rPr>
          <w:rFonts w:ascii="Times New Roman" w:hAnsi="Times New Roman" w:eastAsia="Times New Roman" w:cs="Times New Roman"/>
          <w:i/>
          <w:color w:val="000000" w:themeColor="text1"/>
          <w:sz w:val="24"/>
          <w:szCs w:val="24"/>
          <w:highlight w:val="white"/>
          <w14:textFill>
            <w14:solidFill>
              <w14:schemeClr w14:val="tx1"/>
            </w14:solidFill>
          </w14:textFill>
        </w:rPr>
        <w:t>Virtual Reality</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26</w:t>
      </w:r>
      <w:r>
        <w:rPr>
          <w:rFonts w:ascii="Times New Roman" w:hAnsi="Times New Roman" w:eastAsia="Times New Roman" w:cs="Times New Roman"/>
          <w:color w:val="000000" w:themeColor="text1"/>
          <w:sz w:val="24"/>
          <w:szCs w:val="24"/>
          <w:highlight w:val="white"/>
          <w14:textFill>
            <w14:solidFill>
              <w14:schemeClr w14:val="tx1"/>
            </w14:solidFill>
          </w14:textFill>
        </w:rPr>
        <w:t>(1), pp.249-267.</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Han, J.H. and Sa, H.J., (2022). Acceptance of and satisfaction with online educational classes through the technology acceptance model (TAM): The COVID-19 situation in Korea. </w:t>
      </w:r>
      <w:r>
        <w:rPr>
          <w:rFonts w:ascii="Times New Roman" w:hAnsi="Times New Roman" w:eastAsia="Times New Roman" w:cs="Times New Roman"/>
          <w:i/>
          <w:color w:val="000000" w:themeColor="text1"/>
          <w:sz w:val="24"/>
          <w:szCs w:val="24"/>
          <w:highlight w:val="white"/>
          <w14:textFill>
            <w14:solidFill>
              <w14:schemeClr w14:val="tx1"/>
            </w14:solidFill>
          </w14:textFill>
        </w:rPr>
        <w:t>Asia Pacific Education Review</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23</w:t>
      </w:r>
      <w:r>
        <w:rPr>
          <w:rFonts w:ascii="Times New Roman" w:hAnsi="Times New Roman" w:eastAsia="Times New Roman" w:cs="Times New Roman"/>
          <w:color w:val="000000" w:themeColor="text1"/>
          <w:sz w:val="24"/>
          <w:szCs w:val="24"/>
          <w:highlight w:val="white"/>
          <w14:textFill>
            <w14:solidFill>
              <w14:schemeClr w14:val="tx1"/>
            </w14:solidFill>
          </w14:textFill>
        </w:rPr>
        <w:t>(3), pp.403-415.</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Haudi, H., Rahadjeng, E., Santamoko, R., Putra, R., Purwoko, D., Nurjannah, D., Koho, I., Wijoyo, H., Siagian, A., Cahyono, Y. and Purwanto, A., (2022). The role of e-marketing and e-CRM on e-loyalty of Indonesian companies during Covid pandemic and digital era. </w:t>
      </w:r>
      <w:r>
        <w:rPr>
          <w:rFonts w:ascii="Times New Roman" w:hAnsi="Times New Roman" w:eastAsia="Times New Roman" w:cs="Times New Roman"/>
          <w:i/>
          <w:color w:val="000000" w:themeColor="text1"/>
          <w:sz w:val="24"/>
          <w:szCs w:val="24"/>
          <w:highlight w:val="white"/>
          <w14:textFill>
            <w14:solidFill>
              <w14:schemeClr w14:val="tx1"/>
            </w14:solidFill>
          </w14:textFill>
        </w:rPr>
        <w:t>Uncertain Supply Chain Management</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10</w:t>
      </w:r>
      <w:r>
        <w:rPr>
          <w:rFonts w:ascii="Times New Roman" w:hAnsi="Times New Roman" w:eastAsia="Times New Roman" w:cs="Times New Roman"/>
          <w:color w:val="000000" w:themeColor="text1"/>
          <w:sz w:val="24"/>
          <w:szCs w:val="24"/>
          <w:highlight w:val="white"/>
          <w14:textFill>
            <w14:solidFill>
              <w14:schemeClr w14:val="tx1"/>
            </w14:solidFill>
          </w14:textFill>
        </w:rPr>
        <w:t>(1), pp.217-224.</w:t>
      </w:r>
    </w:p>
    <w:p>
      <w:pPr>
        <w:spacing w:line="360" w:lineRule="auto"/>
        <w:jc w:val="both"/>
        <w:rPr>
          <w:rFonts w:ascii="Times New Roman" w:hAnsi="Times New Roman" w:eastAsia="Times New Roman" w:cs="Times New Roman"/>
          <w:color w:val="auto"/>
          <w:sz w:val="24"/>
          <w:szCs w:val="24"/>
          <w:highlight w:val="white"/>
        </w:rPr>
      </w:pPr>
      <w:r>
        <w:rPr>
          <w:rFonts w:ascii="Times New Roman" w:hAnsi="Times New Roman" w:cs="Times New Roman"/>
          <w:color w:val="auto"/>
          <w:sz w:val="24"/>
          <w:szCs w:val="24"/>
          <w:shd w:val="clear" w:color="auto" w:fill="FFFFFF"/>
        </w:rPr>
        <w:t>Hendren, K., Newcomer, K., Pandey, S.K., Smith, M. and Sumner, N., (2023). How qualitative research methods can be leveraged to strengthen mixed methods research in public policy and public administration?. </w:t>
      </w:r>
      <w:r>
        <w:rPr>
          <w:rFonts w:ascii="Times New Roman" w:hAnsi="Times New Roman" w:cs="Times New Roman"/>
          <w:i/>
          <w:iCs/>
          <w:color w:val="auto"/>
          <w:sz w:val="24"/>
          <w:szCs w:val="24"/>
          <w:shd w:val="clear" w:color="auto" w:fill="FFFFFF"/>
        </w:rPr>
        <w:t>Public Administration Review</w:t>
      </w:r>
      <w:r>
        <w:rPr>
          <w:rFonts w:ascii="Times New Roman" w:hAnsi="Times New Roman" w:cs="Times New Roman"/>
          <w:color w:val="auto"/>
          <w:sz w:val="24"/>
          <w:szCs w:val="24"/>
          <w:shd w:val="clear" w:color="auto" w:fill="FFFFFF"/>
        </w:rPr>
        <w:t>, </w:t>
      </w:r>
      <w:r>
        <w:rPr>
          <w:rFonts w:ascii="Times New Roman" w:hAnsi="Times New Roman" w:cs="Times New Roman"/>
          <w:i/>
          <w:iCs/>
          <w:color w:val="auto"/>
          <w:sz w:val="24"/>
          <w:szCs w:val="24"/>
          <w:shd w:val="clear" w:color="auto" w:fill="FFFFFF"/>
        </w:rPr>
        <w:t>83</w:t>
      </w:r>
      <w:r>
        <w:rPr>
          <w:rFonts w:ascii="Times New Roman" w:hAnsi="Times New Roman" w:cs="Times New Roman"/>
          <w:color w:val="auto"/>
          <w:sz w:val="24"/>
          <w:szCs w:val="24"/>
          <w:shd w:val="clear" w:color="auto" w:fill="FFFFFF"/>
        </w:rPr>
        <w:t>(3), pp.468-485.</w:t>
      </w:r>
    </w:p>
    <w:p>
      <w:pPr>
        <w:spacing w:after="240" w:line="360" w:lineRule="auto"/>
        <w:jc w:val="both"/>
        <w:rPr>
          <w:rFonts w:ascii="Times New Roman" w:hAnsi="Times New Roman" w:eastAsia="Times New Roman" w:cs="Times New Roman"/>
          <w:color w:val="auto"/>
          <w:sz w:val="24"/>
          <w:szCs w:val="24"/>
          <w:highlight w:val="white"/>
        </w:rPr>
      </w:pPr>
      <w:r>
        <w:rPr>
          <w:rFonts w:ascii="Times New Roman" w:hAnsi="Times New Roman" w:eastAsia="Times New Roman" w:cs="Times New Roman"/>
          <w:color w:val="auto"/>
          <w:sz w:val="24"/>
          <w:szCs w:val="24"/>
          <w:highlight w:val="white"/>
        </w:rPr>
        <w:t xml:space="preserve">Hieng, S., Thlang, S. and Nget, S., (2023). A comparison of concept-based instruction and a deductive approach in teaching English grammar. </w:t>
      </w:r>
      <w:r>
        <w:rPr>
          <w:rFonts w:ascii="Times New Roman" w:hAnsi="Times New Roman" w:eastAsia="Times New Roman" w:cs="Times New Roman"/>
          <w:i/>
          <w:color w:val="auto"/>
          <w:sz w:val="24"/>
          <w:szCs w:val="24"/>
          <w:highlight w:val="white"/>
        </w:rPr>
        <w:t>Cambodian Journal</w:t>
      </w:r>
      <w:r>
        <w:rPr>
          <w:rFonts w:ascii="Times New Roman" w:hAnsi="Times New Roman" w:eastAsia="Times New Roman" w:cs="Times New Roman"/>
          <w:color w:val="auto"/>
          <w:sz w:val="24"/>
          <w:szCs w:val="24"/>
          <w:highlight w:val="white"/>
        </w:rPr>
        <w:t xml:space="preserve">, </w:t>
      </w:r>
      <w:r>
        <w:rPr>
          <w:rFonts w:ascii="Times New Roman" w:hAnsi="Times New Roman" w:eastAsia="Times New Roman" w:cs="Times New Roman"/>
          <w:i/>
          <w:color w:val="auto"/>
          <w:sz w:val="24"/>
          <w:szCs w:val="24"/>
          <w:highlight w:val="white"/>
        </w:rPr>
        <w:t>20</w:t>
      </w:r>
      <w:r>
        <w:rPr>
          <w:rFonts w:ascii="Times New Roman" w:hAnsi="Times New Roman" w:eastAsia="Times New Roman" w:cs="Times New Roman"/>
          <w:color w:val="auto"/>
          <w:sz w:val="24"/>
          <w:szCs w:val="24"/>
          <w:highlight w:val="white"/>
        </w:rPr>
        <w:t>.</w:t>
      </w:r>
      <w:bookmarkStart w:id="9" w:name="_GoBack"/>
      <w:bookmarkEnd w:id="9"/>
    </w:p>
    <w:p>
      <w:pPr>
        <w:spacing w:line="360" w:lineRule="auto"/>
        <w:jc w:val="both"/>
        <w:rPr>
          <w:rFonts w:ascii="Times New Roman" w:hAnsi="Times New Roman" w:eastAsia="Times New Roman" w:cs="Times New Roman"/>
          <w:color w:val="auto"/>
          <w:sz w:val="24"/>
          <w:szCs w:val="24"/>
          <w:highlight w:val="white"/>
        </w:rPr>
      </w:pPr>
      <w:r>
        <w:rPr>
          <w:rFonts w:ascii="Times New Roman" w:hAnsi="Times New Roman" w:cs="Times New Roman"/>
          <w:color w:val="auto"/>
          <w:sz w:val="24"/>
          <w:szCs w:val="24"/>
          <w:shd w:val="clear" w:color="auto" w:fill="FFFFFF"/>
        </w:rPr>
        <w:t>Karupiah, P., (2022). Positivism. In </w:t>
      </w:r>
      <w:r>
        <w:rPr>
          <w:rFonts w:ascii="Times New Roman" w:hAnsi="Times New Roman" w:cs="Times New Roman"/>
          <w:i/>
          <w:iCs/>
          <w:color w:val="auto"/>
          <w:sz w:val="24"/>
          <w:szCs w:val="24"/>
          <w:shd w:val="clear" w:color="auto" w:fill="FFFFFF"/>
        </w:rPr>
        <w:t>Principles of social research methodology</w:t>
      </w:r>
      <w:r>
        <w:rPr>
          <w:rFonts w:ascii="Times New Roman" w:hAnsi="Times New Roman" w:cs="Times New Roman"/>
          <w:color w:val="auto"/>
          <w:sz w:val="24"/>
          <w:szCs w:val="24"/>
          <w:shd w:val="clear" w:color="auto" w:fill="FFFFFF"/>
        </w:rPr>
        <w:t> (pp. 73-82). Singapore: Springer Nature Singapore.</w:t>
      </w:r>
    </w:p>
    <w:p>
      <w:pPr>
        <w:spacing w:line="360" w:lineRule="auto"/>
        <w:jc w:val="both"/>
        <w:rPr>
          <w:rFonts w:ascii="Times New Roman" w:hAnsi="Times New Roman" w:eastAsia="Times New Roman" w:cs="Times New Roman"/>
          <w:color w:val="auto"/>
          <w:sz w:val="24"/>
          <w:szCs w:val="24"/>
          <w:highlight w:val="white"/>
        </w:rPr>
      </w:pPr>
      <w:r>
        <w:rPr>
          <w:rFonts w:ascii="Times New Roman" w:hAnsi="Times New Roman" w:cs="Times New Roman"/>
          <w:color w:val="auto"/>
          <w:sz w:val="24"/>
          <w:szCs w:val="24"/>
          <w:shd w:val="clear" w:color="auto" w:fill="FFFFFF"/>
        </w:rPr>
        <w:t>Klem, N.R., Shields, N., Smith, A. and Bunzli, S., (2022). Demystifying qualitative research for musculoskeletal practitioners Part 3: phenomeno—what? Understanding what the qualitative researchers have done. </w:t>
      </w:r>
      <w:r>
        <w:rPr>
          <w:rFonts w:ascii="Times New Roman" w:hAnsi="Times New Roman" w:cs="Times New Roman"/>
          <w:i/>
          <w:iCs/>
          <w:color w:val="auto"/>
          <w:sz w:val="24"/>
          <w:szCs w:val="24"/>
          <w:shd w:val="clear" w:color="auto" w:fill="FFFFFF"/>
        </w:rPr>
        <w:t>journal of orthopaedic &amp; sports physical therapy</w:t>
      </w:r>
      <w:r>
        <w:rPr>
          <w:rFonts w:ascii="Times New Roman" w:hAnsi="Times New Roman" w:cs="Times New Roman"/>
          <w:color w:val="auto"/>
          <w:sz w:val="24"/>
          <w:szCs w:val="24"/>
          <w:shd w:val="clear" w:color="auto" w:fill="FFFFFF"/>
        </w:rPr>
        <w:t>, </w:t>
      </w:r>
      <w:r>
        <w:rPr>
          <w:rFonts w:ascii="Times New Roman" w:hAnsi="Times New Roman" w:cs="Times New Roman"/>
          <w:i/>
          <w:iCs/>
          <w:color w:val="auto"/>
          <w:sz w:val="24"/>
          <w:szCs w:val="24"/>
          <w:shd w:val="clear" w:color="auto" w:fill="FFFFFF"/>
        </w:rPr>
        <w:t>52</w:t>
      </w:r>
      <w:r>
        <w:rPr>
          <w:rFonts w:ascii="Times New Roman" w:hAnsi="Times New Roman" w:cs="Times New Roman"/>
          <w:color w:val="auto"/>
          <w:sz w:val="24"/>
          <w:szCs w:val="24"/>
          <w:shd w:val="clear" w:color="auto" w:fill="FFFFFF"/>
        </w:rPr>
        <w:t>(1), pp.3-7.</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Miljenović, D. and Beriša, B., (2022). Pandemics trends in E-commerce: drop shipping entrepreneurship during COVID-19 pandemic. </w:t>
      </w:r>
      <w:r>
        <w:rPr>
          <w:rFonts w:ascii="Times New Roman" w:hAnsi="Times New Roman" w:eastAsia="Times New Roman" w:cs="Times New Roman"/>
          <w:i/>
          <w:color w:val="000000" w:themeColor="text1"/>
          <w:sz w:val="24"/>
          <w:szCs w:val="24"/>
          <w:highlight w:val="white"/>
          <w14:textFill>
            <w14:solidFill>
              <w14:schemeClr w14:val="tx1"/>
            </w14:solidFill>
          </w14:textFill>
        </w:rPr>
        <w:t>Pomorstvo</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36</w:t>
      </w:r>
      <w:r>
        <w:rPr>
          <w:rFonts w:ascii="Times New Roman" w:hAnsi="Times New Roman" w:eastAsia="Times New Roman" w:cs="Times New Roman"/>
          <w:color w:val="000000" w:themeColor="text1"/>
          <w:sz w:val="24"/>
          <w:szCs w:val="24"/>
          <w:highlight w:val="white"/>
          <w14:textFill>
            <w14:solidFill>
              <w14:schemeClr w14:val="tx1"/>
            </w14:solidFill>
          </w14:textFill>
        </w:rPr>
        <w:t>(1), pp.31-43.</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ncbi, (2023).</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Populations and samples. </w:t>
      </w:r>
      <w:r>
        <w:rPr>
          <w:rFonts w:ascii="Times New Roman" w:hAnsi="Times New Roman" w:eastAsia="Times New Roman" w:cs="Times New Roman"/>
          <w:color w:val="000000" w:themeColor="text1"/>
          <w:sz w:val="24"/>
          <w:szCs w:val="24"/>
          <w:highlight w:val="white"/>
          <w14:textFill>
            <w14:solidFill>
              <w14:schemeClr w14:val="tx1"/>
            </w14:solidFill>
          </w14:textFill>
        </w:rPr>
        <w:t>Available at:https://www.ncbi.nlm.nih.gov/pmc/articles/PMC3105563/#:~:text=A%20population%20is%20a%20complete,the%20population%20of%20Uttar%20Pradesh%E2%80%9D.[Accessed on:14th march, 2024]</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ncbi, (2023).</w:t>
      </w:r>
      <w:r>
        <w:rPr>
          <w:rFonts w:ascii="Times New Roman" w:hAnsi="Times New Roman" w:eastAsia="Times New Roman" w:cs="Times New Roman"/>
          <w:i/>
          <w:color w:val="000000" w:themeColor="text1"/>
          <w:sz w:val="24"/>
          <w:szCs w:val="24"/>
          <w:highlight w:val="white"/>
          <w14:textFill>
            <w14:solidFill>
              <w14:schemeClr w14:val="tx1"/>
            </w14:solidFill>
          </w14:textFill>
        </w:rPr>
        <w:t xml:space="preserve">Small and medium enterprises (SMEs) in a pandemic: A systematic review of pandemic risk impacts, coping strategies and resilience. </w:t>
      </w:r>
      <w:r>
        <w:rPr>
          <w:rFonts w:ascii="Times New Roman" w:hAnsi="Times New Roman" w:eastAsia="Times New Roman" w:cs="Times New Roman"/>
          <w:color w:val="000000" w:themeColor="text1"/>
          <w:sz w:val="24"/>
          <w:szCs w:val="24"/>
          <w:highlight w:val="white"/>
          <w14:textFill>
            <w14:solidFill>
              <w14:schemeClr w14:val="tx1"/>
            </w14:solidFill>
          </w14:textFill>
        </w:rPr>
        <w:t>Available at:https://www.ncbi.nlm.nih.gov/pmc/articles/PMC10520321/[Accessed on:14th march, 2024]</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Nii Laryeafio, M. and Ogbewe, O.C., (2023). Ethical consideration dilemma: systematic review of ethics in qualitative data collection through interviews. </w:t>
      </w:r>
      <w:r>
        <w:rPr>
          <w:rFonts w:ascii="Times New Roman" w:hAnsi="Times New Roman" w:eastAsia="Times New Roman" w:cs="Times New Roman"/>
          <w:i/>
          <w:color w:val="000000" w:themeColor="text1"/>
          <w:sz w:val="24"/>
          <w:szCs w:val="24"/>
          <w:highlight w:val="white"/>
          <w14:textFill>
            <w14:solidFill>
              <w14:schemeClr w14:val="tx1"/>
            </w14:solidFill>
          </w14:textFill>
        </w:rPr>
        <w:t>Journal of Ethics in Entrepreneurship and Technology</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3</w:t>
      </w:r>
      <w:r>
        <w:rPr>
          <w:rFonts w:ascii="Times New Roman" w:hAnsi="Times New Roman" w:eastAsia="Times New Roman" w:cs="Times New Roman"/>
          <w:color w:val="000000" w:themeColor="text1"/>
          <w:sz w:val="24"/>
          <w:szCs w:val="24"/>
          <w:highlight w:val="white"/>
          <w14:textFill>
            <w14:solidFill>
              <w14:schemeClr w14:val="tx1"/>
            </w14:solidFill>
          </w14:textFill>
        </w:rPr>
        <w:t>(2), pp.94-110.</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Rahman, M.M., Tabash, M.I., Salamzadeh, A., Abduli, S. and Rahaman, M.S., (2022). Sampling techniques (probability) for quantitative social science researchers: a conceptual guidelines with examples. </w:t>
      </w:r>
      <w:r>
        <w:rPr>
          <w:rFonts w:ascii="Times New Roman" w:hAnsi="Times New Roman" w:eastAsia="Times New Roman" w:cs="Times New Roman"/>
          <w:i/>
          <w:color w:val="000000" w:themeColor="text1"/>
          <w:sz w:val="24"/>
          <w:szCs w:val="24"/>
          <w:highlight w:val="white"/>
          <w14:textFill>
            <w14:solidFill>
              <w14:schemeClr w14:val="tx1"/>
            </w14:solidFill>
          </w14:textFill>
        </w:rPr>
        <w:t>Seeu Review</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17</w:t>
      </w:r>
      <w:r>
        <w:rPr>
          <w:rFonts w:ascii="Times New Roman" w:hAnsi="Times New Roman" w:eastAsia="Times New Roman" w:cs="Times New Roman"/>
          <w:color w:val="000000" w:themeColor="text1"/>
          <w:sz w:val="24"/>
          <w:szCs w:val="24"/>
          <w:highlight w:val="white"/>
          <w14:textFill>
            <w14:solidFill>
              <w14:schemeClr w14:val="tx1"/>
            </w14:solidFill>
          </w14:textFill>
        </w:rPr>
        <w:t>(1), pp.42-51.</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Riadi, S.S., Heksarini, A., Lestari, D., Maria, S., Zainurossalamia, S. and Yudaruddin, R., (2022). The Benefits of e-Commerce before and during the Covid-19 Pandemic for Small Enterprises in Indonesia. </w:t>
      </w:r>
      <w:r>
        <w:rPr>
          <w:rFonts w:ascii="Times New Roman" w:hAnsi="Times New Roman" w:eastAsia="Times New Roman" w:cs="Times New Roman"/>
          <w:i/>
          <w:color w:val="000000" w:themeColor="text1"/>
          <w:sz w:val="24"/>
          <w:szCs w:val="24"/>
          <w:highlight w:val="white"/>
          <w14:textFill>
            <w14:solidFill>
              <w14:schemeClr w14:val="tx1"/>
            </w14:solidFill>
          </w14:textFill>
        </w:rPr>
        <w:t>WSEAS Transactions on Environment and Development</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18</w:t>
      </w:r>
      <w:r>
        <w:rPr>
          <w:rFonts w:ascii="Times New Roman" w:hAnsi="Times New Roman" w:eastAsia="Times New Roman" w:cs="Times New Roman"/>
          <w:color w:val="000000" w:themeColor="text1"/>
          <w:sz w:val="24"/>
          <w:szCs w:val="24"/>
          <w:highlight w:val="white"/>
          <w14:textFill>
            <w14:solidFill>
              <w14:schemeClr w14:val="tx1"/>
            </w14:solidFill>
          </w14:textFill>
        </w:rPr>
        <w:t>, pp.69-79.</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Statista, (2023)</w:t>
      </w:r>
      <w:r>
        <w:rPr>
          <w:rFonts w:ascii="Times New Roman" w:hAnsi="Times New Roman" w:eastAsia="Times New Roman" w:cs="Times New Roman"/>
          <w:i/>
          <w:color w:val="000000" w:themeColor="text1"/>
          <w:sz w:val="24"/>
          <w:szCs w:val="24"/>
          <w:highlight w:val="white"/>
          <w14:textFill>
            <w14:solidFill>
              <w14:schemeClr w14:val="tx1"/>
            </w14:solidFill>
          </w14:textFill>
        </w:rPr>
        <w:t>.Number of small and medium-sized enterprises (SMEs) in the United Kingdom from 2010 to 2023, by size.</w:t>
      </w:r>
      <w:r>
        <w:rPr>
          <w:rFonts w:ascii="Times New Roman" w:hAnsi="Times New Roman" w:eastAsia="Times New Roman" w:cs="Times New Roman"/>
          <w:color w:val="000000" w:themeColor="text1"/>
          <w:sz w:val="24"/>
          <w:szCs w:val="24"/>
          <w:highlight w:val="white"/>
          <w14:textFill>
            <w14:solidFill>
              <w14:schemeClr w14:val="tx1"/>
            </w14:solidFill>
          </w14:textFill>
        </w:rPr>
        <w:t>Available at:https://www.statista.com/statistics/880155/number-of-smes-in-united-kingdom-uk/ [Accessed on:14th March, 2024]</w:t>
      </w:r>
    </w:p>
    <w:p>
      <w:pPr>
        <w:spacing w:before="240"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Taherdoost, H., (2022). What are different research approaches? Comprehensive Review of Qualitative, quantitative, and mixed method research, their applications, types, and limitations. </w:t>
      </w:r>
      <w:r>
        <w:rPr>
          <w:rFonts w:ascii="Times New Roman" w:hAnsi="Times New Roman" w:eastAsia="Times New Roman" w:cs="Times New Roman"/>
          <w:i/>
          <w:color w:val="000000" w:themeColor="text1"/>
          <w:sz w:val="24"/>
          <w:szCs w:val="24"/>
          <w:highlight w:val="white"/>
          <w14:textFill>
            <w14:solidFill>
              <w14:schemeClr w14:val="tx1"/>
            </w14:solidFill>
          </w14:textFill>
        </w:rPr>
        <w:t>Journal of Management Science &amp; Engineering Research</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5</w:t>
      </w:r>
      <w:r>
        <w:rPr>
          <w:rFonts w:ascii="Times New Roman" w:hAnsi="Times New Roman" w:eastAsia="Times New Roman" w:cs="Times New Roman"/>
          <w:color w:val="000000" w:themeColor="text1"/>
          <w:sz w:val="24"/>
          <w:szCs w:val="24"/>
          <w:highlight w:val="white"/>
          <w14:textFill>
            <w14:solidFill>
              <w14:schemeClr w14:val="tx1"/>
            </w14:solidFill>
          </w14:textFill>
        </w:rPr>
        <w:t>(1), pp.53-63.</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Vinoth, S., Vemula, H.L., Haralayya, B., Mamgain, P., Hasan, M.F. and Naved, M., (2022). Application of cloud computing in banking and e-commerce and related security threats. </w:t>
      </w:r>
      <w:r>
        <w:rPr>
          <w:rFonts w:ascii="Times New Roman" w:hAnsi="Times New Roman" w:eastAsia="Times New Roman" w:cs="Times New Roman"/>
          <w:i/>
          <w:color w:val="000000" w:themeColor="text1"/>
          <w:sz w:val="24"/>
          <w:szCs w:val="24"/>
          <w:highlight w:val="white"/>
          <w14:textFill>
            <w14:solidFill>
              <w14:schemeClr w14:val="tx1"/>
            </w14:solidFill>
          </w14:textFill>
        </w:rPr>
        <w:t>Materials Today: Proceedings</w:t>
      </w:r>
      <w:r>
        <w:rPr>
          <w:rFonts w:ascii="Times New Roman" w:hAnsi="Times New Roman" w:eastAsia="Times New Roman" w:cs="Times New Roman"/>
          <w:color w:val="000000" w:themeColor="text1"/>
          <w:sz w:val="24"/>
          <w:szCs w:val="24"/>
          <w:highlight w:val="white"/>
          <w14:textFill>
            <w14:solidFill>
              <w14:schemeClr w14:val="tx1"/>
            </w14:solidFill>
          </w14:textFill>
        </w:rPr>
        <w:t xml:space="preserve">, </w:t>
      </w:r>
      <w:r>
        <w:rPr>
          <w:rFonts w:ascii="Times New Roman" w:hAnsi="Times New Roman" w:eastAsia="Times New Roman" w:cs="Times New Roman"/>
          <w:i/>
          <w:color w:val="000000" w:themeColor="text1"/>
          <w:sz w:val="24"/>
          <w:szCs w:val="24"/>
          <w:highlight w:val="white"/>
          <w14:textFill>
            <w14:solidFill>
              <w14:schemeClr w14:val="tx1"/>
            </w14:solidFill>
          </w14:textFill>
        </w:rPr>
        <w:t>51</w:t>
      </w:r>
      <w:r>
        <w:rPr>
          <w:rFonts w:ascii="Times New Roman" w:hAnsi="Times New Roman" w:eastAsia="Times New Roman" w:cs="Times New Roman"/>
          <w:color w:val="000000" w:themeColor="text1"/>
          <w:sz w:val="24"/>
          <w:szCs w:val="24"/>
          <w:highlight w:val="white"/>
          <w14:textFill>
            <w14:solidFill>
              <w14:schemeClr w14:val="tx1"/>
            </w14:solidFill>
          </w14:textFill>
        </w:rPr>
        <w:t>, pp.2172-2175.</w:t>
      </w:r>
    </w:p>
    <w:p>
      <w:pPr>
        <w:spacing w:after="240"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color w:val="000000" w:themeColor="text1"/>
          <w:sz w:val="24"/>
          <w:szCs w:val="24"/>
          <w:highlight w:val="white"/>
          <w14:textFill>
            <w14:solidFill>
              <w14:schemeClr w14:val="tx1"/>
            </w14:solidFill>
          </w14:textFill>
        </w:rPr>
      </w:pPr>
    </w:p>
    <w:p>
      <w:pPr>
        <w:spacing w:before="240" w:after="240"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p>
      <w:pPr>
        <w:spacing w:line="360" w:lineRule="auto"/>
        <w:jc w:val="both"/>
        <w:rPr>
          <w:rFonts w:ascii="Times New Roman" w:hAnsi="Times New Roman" w:eastAsia="Times New Roman" w:cs="Times New Roman"/>
          <w:b/>
          <w:color w:val="000000" w:themeColor="text1"/>
          <w:sz w:val="24"/>
          <w:szCs w:val="24"/>
          <w:highlight w:val="white"/>
          <w14:textFill>
            <w14:solidFill>
              <w14:schemeClr w14:val="tx1"/>
            </w14:solidFill>
          </w14:textFill>
        </w:rPr>
      </w:pPr>
    </w:p>
    <w:sectPr>
      <w:footerReference r:id="rId5"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86"/>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43317"/>
      <w:docPartObj>
        <w:docPartGallery w:val="autotext"/>
      </w:docPartObj>
    </w:sdtPr>
    <w:sdtContent>
      <w:p>
        <w:pPr>
          <w:pStyle w:val="10"/>
          <w:jc w:val="right"/>
        </w:pPr>
        <w:r>
          <w:fldChar w:fldCharType="begin"/>
        </w:r>
        <w:r>
          <w:instrText xml:space="preserve"> PAGE   \* MERGEFORMAT </w:instrText>
        </w:r>
        <w:r>
          <w:fldChar w:fldCharType="separate"/>
        </w:r>
        <w:r>
          <w:t>2</w:t>
        </w:r>
        <w:r>
          <w:fldChar w:fldCharType="end"/>
        </w:r>
      </w:p>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0F14A9"/>
    <w:multiLevelType w:val="multilevel"/>
    <w:tmpl w:val="630F14A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72A56F15"/>
    <w:multiLevelType w:val="multilevel"/>
    <w:tmpl w:val="72A56F1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A3A"/>
    <w:rsid w:val="00084DA7"/>
    <w:rsid w:val="001327E8"/>
    <w:rsid w:val="001B4D23"/>
    <w:rsid w:val="00261928"/>
    <w:rsid w:val="0027401E"/>
    <w:rsid w:val="002E0598"/>
    <w:rsid w:val="00370A1B"/>
    <w:rsid w:val="00447747"/>
    <w:rsid w:val="00480847"/>
    <w:rsid w:val="004E512E"/>
    <w:rsid w:val="005157AB"/>
    <w:rsid w:val="005705C5"/>
    <w:rsid w:val="005B6666"/>
    <w:rsid w:val="00605D6D"/>
    <w:rsid w:val="00633A0C"/>
    <w:rsid w:val="00776689"/>
    <w:rsid w:val="008740C4"/>
    <w:rsid w:val="00874DF9"/>
    <w:rsid w:val="008E5213"/>
    <w:rsid w:val="00906A3A"/>
    <w:rsid w:val="00920421"/>
    <w:rsid w:val="009D5541"/>
    <w:rsid w:val="00A00E5F"/>
    <w:rsid w:val="00A8776C"/>
    <w:rsid w:val="00AC217E"/>
    <w:rsid w:val="00B05999"/>
    <w:rsid w:val="00BC2A48"/>
    <w:rsid w:val="00BD3256"/>
    <w:rsid w:val="00C10643"/>
    <w:rsid w:val="00CF5A67"/>
    <w:rsid w:val="00D95D80"/>
    <w:rsid w:val="00DD4248"/>
    <w:rsid w:val="00E85D87"/>
    <w:rsid w:val="00EB7973"/>
    <w:rsid w:val="00EF117C"/>
    <w:rsid w:val="00F00F46"/>
    <w:rsid w:val="00F129C9"/>
    <w:rsid w:val="00F2191A"/>
    <w:rsid w:val="00F5471D"/>
    <w:rsid w:val="00FC2D55"/>
    <w:rsid w:val="359723CA"/>
    <w:rsid w:val="723039E4"/>
    <w:rsid w:val="73322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9"/>
    <w:pPr>
      <w:spacing w:before="240" w:after="240" w:line="360" w:lineRule="auto"/>
      <w:jc w:val="both"/>
      <w:outlineLvl w:val="0"/>
    </w:pPr>
    <w:rPr>
      <w:rFonts w:ascii="Times New Roman" w:hAnsi="Times New Roman" w:eastAsia="Times New Roman" w:cs="Times New Roman"/>
      <w:b/>
      <w:color w:val="000000" w:themeColor="text1"/>
      <w:sz w:val="24"/>
      <w:szCs w:val="24"/>
      <w14:textFill>
        <w14:solidFill>
          <w14:schemeClr w14:val="tx1"/>
        </w14:solidFill>
      </w14:textFill>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7"/>
    <w:unhideWhenUsed/>
    <w:uiPriority w:val="99"/>
    <w:pPr>
      <w:tabs>
        <w:tab w:val="center" w:pos="4680"/>
        <w:tab w:val="right" w:pos="9360"/>
      </w:tabs>
      <w:spacing w:line="240" w:lineRule="auto"/>
    </w:pPr>
  </w:style>
  <w:style w:type="paragraph" w:styleId="11">
    <w:name w:val="header"/>
    <w:basedOn w:val="1"/>
    <w:link w:val="16"/>
    <w:unhideWhenUsed/>
    <w:uiPriority w:val="99"/>
    <w:pPr>
      <w:tabs>
        <w:tab w:val="center" w:pos="4680"/>
        <w:tab w:val="right" w:pos="9360"/>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unhideWhenUsed/>
    <w:uiPriority w:val="39"/>
    <w:pPr>
      <w:spacing w:after="100"/>
    </w:pPr>
  </w:style>
  <w:style w:type="character" w:customStyle="1" w:styleId="16">
    <w:name w:val="Header Char"/>
    <w:basedOn w:val="8"/>
    <w:link w:val="11"/>
    <w:uiPriority w:val="99"/>
  </w:style>
  <w:style w:type="character" w:customStyle="1" w:styleId="17">
    <w:name w:val="Footer Char"/>
    <w:basedOn w:val="8"/>
    <w:link w:val="10"/>
    <w:uiPriority w:val="99"/>
  </w:style>
  <w:style w:type="paragraph" w:styleId="18">
    <w:name w:val="List Paragraph"/>
    <w:basedOn w:val="1"/>
    <w:qFormat/>
    <w:uiPriority w:val="34"/>
    <w:pPr>
      <w:ind w:left="720"/>
      <w:contextualSpacing/>
    </w:pPr>
  </w:style>
  <w:style w:type="paragraph" w:customStyle="1" w:styleId="19">
    <w:name w:val="TOC Heading"/>
    <w:basedOn w:val="2"/>
    <w:next w:val="1"/>
    <w:unhideWhenUsed/>
    <w:qFormat/>
    <w:uiPriority w:val="39"/>
    <w:pPr>
      <w:keepNext/>
      <w:keepLines/>
      <w:spacing w:after="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E02FA-4528-46B4-A8D6-4F2CA2E4BBF5}">
  <ds:schemaRefs/>
</ds:datastoreItem>
</file>

<file path=docProps/app.xml><?xml version="1.0" encoding="utf-8"?>
<Properties xmlns="http://schemas.openxmlformats.org/officeDocument/2006/extended-properties" xmlns:vt="http://schemas.openxmlformats.org/officeDocument/2006/docPropsVTypes">
  <Template>Normal</Template>
  <Pages>12</Pages>
  <Words>2806</Words>
  <Characters>15999</Characters>
  <Lines>133</Lines>
  <Paragraphs>37</Paragraphs>
  <TotalTime>21</TotalTime>
  <ScaleCrop>false</ScaleCrop>
  <LinksUpToDate>false</LinksUpToDate>
  <CharactersWithSpaces>18768</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2024-03-26T05:59:00Z</dcterms:created>
  <dc:creator>Mumtaz Kazi</dc:creator>
  <cp:lastModifiedBy>Priyanka Raval</cp:lastModifiedBy>
  <dcterms:modified xsi:type="dcterms:W3CDTF">2024-03-30T14:14:34Z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FF4C4B01DCA141758932957C077FA39B_13</vt:lpwstr>
  </property>
</Properties>
</file>