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73555" w:rsidRPr="00BE076F" w14:paraId="5717AF06" w14:textId="77777777" w:rsidTr="00C6041C">
        <w:trPr>
          <w:trHeight w:val="614"/>
          <w:jc w:val="center"/>
        </w:trPr>
        <w:tc>
          <w:tcPr>
            <w:tcW w:w="8856" w:type="dxa"/>
            <w:gridSpan w:val="5"/>
          </w:tcPr>
          <w:p w14:paraId="43EF86E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b/>
                <w:color w:val="auto"/>
                <w:sz w:val="22"/>
                <w:szCs w:val="22"/>
              </w:rPr>
              <w:t>For completion by the student</w:t>
            </w:r>
            <w:r w:rsidRPr="00BE076F">
              <w:rPr>
                <w:rFonts w:ascii="Arial" w:hAnsi="Arial" w:cs="Arial"/>
                <w:color w:val="auto"/>
                <w:sz w:val="22"/>
                <w:szCs w:val="22"/>
              </w:rPr>
              <w:t>:</w:t>
            </w:r>
          </w:p>
        </w:tc>
      </w:tr>
      <w:tr w:rsidR="00A73555" w:rsidRPr="00BE076F" w14:paraId="42B06C15" w14:textId="77777777" w:rsidTr="00C6041C">
        <w:trPr>
          <w:trHeight w:val="718"/>
          <w:jc w:val="center"/>
        </w:trPr>
        <w:tc>
          <w:tcPr>
            <w:tcW w:w="8856" w:type="dxa"/>
            <w:gridSpan w:val="5"/>
          </w:tcPr>
          <w:p w14:paraId="42A26839"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Student Name:   Paul Flagg</w:t>
            </w:r>
          </w:p>
          <w:p w14:paraId="6B8533E3"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70247BD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 xml:space="preserve">Student </w:t>
            </w:r>
            <w:r w:rsidRPr="00BE076F">
              <w:rPr>
                <w:rFonts w:ascii="Arial" w:hAnsi="Arial" w:cs="Arial"/>
                <w:b/>
                <w:bCs/>
                <w:color w:val="auto"/>
                <w:sz w:val="22"/>
                <w:szCs w:val="22"/>
                <w:u w:val="single"/>
              </w:rPr>
              <w:t>University</w:t>
            </w:r>
            <w:r w:rsidRPr="00BE076F">
              <w:rPr>
                <w:rFonts w:ascii="Arial" w:hAnsi="Arial" w:cs="Arial"/>
                <w:color w:val="auto"/>
                <w:sz w:val="22"/>
                <w:szCs w:val="22"/>
              </w:rPr>
              <w:t xml:space="preserve"> Email:   2317605@student.uwtsd.ac.uk</w:t>
            </w:r>
          </w:p>
        </w:tc>
      </w:tr>
      <w:tr w:rsidR="00A73555" w:rsidRPr="00BE076F" w14:paraId="75A0AA9F" w14:textId="77777777" w:rsidTr="00C6041C">
        <w:trPr>
          <w:trHeight w:val="849"/>
          <w:jc w:val="center"/>
        </w:trPr>
        <w:tc>
          <w:tcPr>
            <w:tcW w:w="4788" w:type="dxa"/>
          </w:tcPr>
          <w:p w14:paraId="052F2E49"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Module code:   HPCA7015</w:t>
            </w:r>
          </w:p>
          <w:p w14:paraId="7E0F5306"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2CF10956"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Module title:</w:t>
            </w:r>
            <w:r w:rsidRPr="00BE076F">
              <w:rPr>
                <w:color w:val="auto"/>
              </w:rPr>
              <w:t xml:space="preserve">   </w:t>
            </w:r>
            <w:r w:rsidRPr="00BE076F">
              <w:rPr>
                <w:rFonts w:ascii="Arial" w:hAnsi="Arial" w:cs="Arial"/>
                <w:color w:val="auto"/>
                <w:sz w:val="22"/>
                <w:szCs w:val="22"/>
              </w:rPr>
              <w:t>Foundations in Cultural Astronomy &amp; Astrology</w:t>
            </w:r>
          </w:p>
          <w:p w14:paraId="36000155"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393FF298"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tc>
        <w:tc>
          <w:tcPr>
            <w:tcW w:w="2266" w:type="dxa"/>
            <w:gridSpan w:val="3"/>
          </w:tcPr>
          <w:p w14:paraId="654A8D74"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Student ID number:</w:t>
            </w:r>
          </w:p>
          <w:p w14:paraId="78218BF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2317605</w:t>
            </w:r>
          </w:p>
        </w:tc>
        <w:tc>
          <w:tcPr>
            <w:tcW w:w="1802" w:type="dxa"/>
          </w:tcPr>
          <w:p w14:paraId="3A040B27"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Educational support needs:</w:t>
            </w:r>
          </w:p>
          <w:p w14:paraId="482CB175"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No</w:t>
            </w:r>
          </w:p>
        </w:tc>
      </w:tr>
      <w:tr w:rsidR="00A73555" w:rsidRPr="00BE076F" w14:paraId="7BD4C291" w14:textId="77777777" w:rsidTr="00C6041C">
        <w:trPr>
          <w:trHeight w:val="1139"/>
          <w:jc w:val="center"/>
        </w:trPr>
        <w:tc>
          <w:tcPr>
            <w:tcW w:w="8856" w:type="dxa"/>
            <w:gridSpan w:val="5"/>
          </w:tcPr>
          <w:p w14:paraId="2FBE7CCA" w14:textId="77777777" w:rsidR="000D1243" w:rsidRPr="00BE076F" w:rsidRDefault="000D1243" w:rsidP="001332B9">
            <w:pPr>
              <w:autoSpaceDE w:val="0"/>
              <w:autoSpaceDN w:val="0"/>
              <w:adjustRightInd w:val="0"/>
              <w:rPr>
                <w:rFonts w:ascii="Calibri Light" w:eastAsia="Times New Roman" w:hAnsi="Calibri Light" w:cs="Times New Roman"/>
                <w:sz w:val="23"/>
                <w:szCs w:val="23"/>
                <w:lang w:val="en-GB"/>
              </w:rPr>
            </w:pPr>
            <w:r w:rsidRPr="00BE076F">
              <w:rPr>
                <w:rFonts w:ascii="Arial" w:hAnsi="Arial" w:cs="Arial"/>
                <w:sz w:val="22"/>
                <w:szCs w:val="22"/>
                <w:lang w:val="en-GB"/>
              </w:rPr>
              <w:t xml:space="preserve">Assignment title:   </w:t>
            </w:r>
            <w:r w:rsidRPr="00BE076F">
              <w:rPr>
                <w:rFonts w:ascii="Calibri Light" w:eastAsia="Times New Roman" w:hAnsi="Calibri Light" w:cs="Times New Roman"/>
                <w:kern w:val="0"/>
                <w:sz w:val="23"/>
                <w:szCs w:val="23"/>
                <w:lang w:val="en-GB"/>
              </w:rPr>
              <w:t>A Critical Comparison of Two JSTOR Papers</w:t>
            </w:r>
          </w:p>
          <w:p w14:paraId="39C621EE"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01108B6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72C1472F"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Assignment due date:   6 November 2023</w:t>
            </w:r>
          </w:p>
        </w:tc>
      </w:tr>
      <w:tr w:rsidR="00A73555" w:rsidRPr="00BE076F" w14:paraId="2B801889" w14:textId="77777777" w:rsidTr="00C6041C">
        <w:trPr>
          <w:trHeight w:val="978"/>
          <w:jc w:val="center"/>
        </w:trPr>
        <w:tc>
          <w:tcPr>
            <w:tcW w:w="8856" w:type="dxa"/>
            <w:gridSpan w:val="5"/>
            <w:tcBorders>
              <w:bottom w:val="single" w:sz="4" w:space="0" w:color="000000"/>
            </w:tcBorders>
          </w:tcPr>
          <w:p w14:paraId="2C394105" w14:textId="77777777" w:rsidR="000D1243" w:rsidRPr="00BE076F" w:rsidRDefault="000D1243" w:rsidP="001332B9">
            <w:pPr>
              <w:rPr>
                <w:rFonts w:ascii="Arial" w:hAnsi="Arial" w:cs="Arial"/>
                <w:sz w:val="22"/>
                <w:szCs w:val="22"/>
                <w:lang w:val="en-GB"/>
              </w:rPr>
            </w:pPr>
            <w:r w:rsidRPr="00BE076F">
              <w:rPr>
                <w:rFonts w:ascii="Arial" w:hAnsi="Arial" w:cs="Arial"/>
                <w:sz w:val="22"/>
                <w:szCs w:val="22"/>
                <w:lang w:val="en-GB"/>
              </w:rPr>
              <w:t>This assignment is for the       1</w:t>
            </w:r>
            <w:r w:rsidRPr="00BE076F">
              <w:rPr>
                <w:rFonts w:ascii="Arial" w:hAnsi="Arial" w:cs="Arial"/>
                <w:sz w:val="22"/>
                <w:szCs w:val="22"/>
                <w:vertAlign w:val="superscript"/>
                <w:lang w:val="en-GB"/>
              </w:rPr>
              <w:t xml:space="preserve">st </w:t>
            </w:r>
            <w:r w:rsidRPr="00BE076F">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BE076F">
              <w:rPr>
                <w:rFonts w:ascii="Arial" w:hAnsi="Arial" w:cs="Arial"/>
                <w:sz w:val="22"/>
                <w:szCs w:val="22"/>
                <w:lang w:val="en-GB"/>
              </w:rPr>
              <w:instrText xml:space="preserve"> FORMCHECKBOX </w:instrText>
            </w:r>
            <w:r w:rsidR="00000000">
              <w:rPr>
                <w:rFonts w:ascii="Arial" w:hAnsi="Arial" w:cs="Arial"/>
                <w:sz w:val="22"/>
                <w:szCs w:val="22"/>
                <w:lang w:val="en-GB"/>
              </w:rPr>
            </w:r>
            <w:r w:rsidR="00000000">
              <w:rPr>
                <w:rFonts w:ascii="Arial" w:hAnsi="Arial" w:cs="Arial"/>
                <w:sz w:val="22"/>
                <w:szCs w:val="22"/>
                <w:lang w:val="en-GB"/>
              </w:rPr>
              <w:fldChar w:fldCharType="separate"/>
            </w:r>
            <w:r w:rsidRPr="00BE076F">
              <w:rPr>
                <w:rFonts w:ascii="Arial" w:hAnsi="Arial" w:cs="Arial"/>
                <w:sz w:val="22"/>
                <w:szCs w:val="22"/>
                <w:lang w:val="en-GB"/>
              </w:rPr>
              <w:fldChar w:fldCharType="end"/>
            </w:r>
            <w:bookmarkEnd w:id="0"/>
            <w:r w:rsidRPr="00BE076F">
              <w:rPr>
                <w:rFonts w:ascii="Arial" w:hAnsi="Arial" w:cs="Arial"/>
                <w:sz w:val="22"/>
                <w:szCs w:val="22"/>
                <w:lang w:val="en-GB"/>
              </w:rPr>
              <w:t xml:space="preserve">    2</w:t>
            </w:r>
            <w:r w:rsidRPr="00BE076F">
              <w:rPr>
                <w:rFonts w:ascii="Arial" w:hAnsi="Arial" w:cs="Arial"/>
                <w:sz w:val="22"/>
                <w:szCs w:val="22"/>
                <w:vertAlign w:val="superscript"/>
                <w:lang w:val="en-GB"/>
              </w:rPr>
              <w:t>nd</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BE076F">
              <w:rPr>
                <w:rFonts w:ascii="Arial" w:hAnsi="Arial" w:cs="Arial"/>
                <w:sz w:val="22"/>
                <w:szCs w:val="22"/>
                <w:lang w:val="en-GB"/>
              </w:rPr>
              <w:instrText xml:space="preserve"> FORMCHECKBOX </w:instrText>
            </w:r>
            <w:r w:rsidR="00000000">
              <w:rPr>
                <w:rFonts w:ascii="Arial" w:hAnsi="Arial" w:cs="Arial"/>
                <w:sz w:val="22"/>
                <w:szCs w:val="22"/>
                <w:lang w:val="en-GB"/>
              </w:rPr>
            </w:r>
            <w:r w:rsidR="00000000">
              <w:rPr>
                <w:rFonts w:ascii="Arial" w:hAnsi="Arial" w:cs="Arial"/>
                <w:sz w:val="22"/>
                <w:szCs w:val="22"/>
                <w:lang w:val="en-GB"/>
              </w:rPr>
              <w:fldChar w:fldCharType="separate"/>
            </w:r>
            <w:r w:rsidRPr="00BE076F">
              <w:rPr>
                <w:rFonts w:ascii="Arial" w:hAnsi="Arial" w:cs="Arial"/>
                <w:sz w:val="22"/>
                <w:szCs w:val="22"/>
                <w:lang w:val="en-GB"/>
              </w:rPr>
              <w:fldChar w:fldCharType="end"/>
            </w:r>
            <w:bookmarkEnd w:id="1"/>
            <w:r w:rsidRPr="00BE076F">
              <w:rPr>
                <w:rFonts w:ascii="Arial" w:hAnsi="Arial" w:cs="Arial"/>
                <w:sz w:val="22"/>
                <w:szCs w:val="22"/>
                <w:lang w:val="en-GB"/>
              </w:rPr>
              <w:t xml:space="preserve">     3</w:t>
            </w:r>
            <w:r w:rsidRPr="00BE076F">
              <w:rPr>
                <w:rFonts w:ascii="Arial" w:hAnsi="Arial" w:cs="Arial"/>
                <w:sz w:val="22"/>
                <w:szCs w:val="22"/>
                <w:vertAlign w:val="superscript"/>
                <w:lang w:val="en-GB"/>
              </w:rPr>
              <w:t>rd</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BE076F">
              <w:rPr>
                <w:rFonts w:ascii="Arial" w:hAnsi="Arial" w:cs="Arial"/>
                <w:sz w:val="22"/>
                <w:szCs w:val="22"/>
                <w:lang w:val="en-GB"/>
              </w:rPr>
              <w:instrText xml:space="preserve"> FORMCHECKBOX </w:instrText>
            </w:r>
            <w:r w:rsidR="00000000">
              <w:rPr>
                <w:rFonts w:ascii="Arial" w:hAnsi="Arial" w:cs="Arial"/>
                <w:sz w:val="22"/>
                <w:szCs w:val="22"/>
                <w:lang w:val="en-GB"/>
              </w:rPr>
            </w:r>
            <w:r w:rsidR="00000000">
              <w:rPr>
                <w:rFonts w:ascii="Arial" w:hAnsi="Arial" w:cs="Arial"/>
                <w:sz w:val="22"/>
                <w:szCs w:val="22"/>
                <w:lang w:val="en-GB"/>
              </w:rPr>
              <w:fldChar w:fldCharType="separate"/>
            </w:r>
            <w:r w:rsidRPr="00BE076F">
              <w:rPr>
                <w:rFonts w:ascii="Arial" w:hAnsi="Arial" w:cs="Arial"/>
                <w:sz w:val="22"/>
                <w:szCs w:val="22"/>
                <w:lang w:val="en-GB"/>
              </w:rPr>
              <w:fldChar w:fldCharType="end"/>
            </w:r>
            <w:bookmarkEnd w:id="2"/>
            <w:r w:rsidRPr="00BE076F">
              <w:rPr>
                <w:rFonts w:ascii="Arial" w:hAnsi="Arial" w:cs="Arial"/>
                <w:sz w:val="22"/>
                <w:szCs w:val="22"/>
                <w:lang w:val="en-GB"/>
              </w:rPr>
              <w:t xml:space="preserve">      4</w:t>
            </w:r>
            <w:r w:rsidRPr="00BE076F">
              <w:rPr>
                <w:rFonts w:ascii="Arial" w:hAnsi="Arial" w:cs="Arial"/>
                <w:sz w:val="22"/>
                <w:szCs w:val="22"/>
                <w:vertAlign w:val="superscript"/>
                <w:lang w:val="en-GB"/>
              </w:rPr>
              <w:t>th</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BE076F">
              <w:rPr>
                <w:rFonts w:ascii="Arial" w:hAnsi="Arial" w:cs="Arial"/>
                <w:sz w:val="22"/>
                <w:szCs w:val="22"/>
                <w:lang w:val="en-GB"/>
              </w:rPr>
              <w:instrText xml:space="preserve"> FORMCHECKBOX </w:instrText>
            </w:r>
            <w:r w:rsidR="00000000">
              <w:rPr>
                <w:rFonts w:ascii="Arial" w:hAnsi="Arial" w:cs="Arial"/>
                <w:sz w:val="22"/>
                <w:szCs w:val="22"/>
                <w:lang w:val="en-GB"/>
              </w:rPr>
            </w:r>
            <w:r w:rsidR="00000000">
              <w:rPr>
                <w:rFonts w:ascii="Arial" w:hAnsi="Arial" w:cs="Arial"/>
                <w:sz w:val="22"/>
                <w:szCs w:val="22"/>
                <w:lang w:val="en-GB"/>
              </w:rPr>
              <w:fldChar w:fldCharType="separate"/>
            </w:r>
            <w:r w:rsidRPr="00BE076F">
              <w:rPr>
                <w:rFonts w:ascii="Arial" w:hAnsi="Arial" w:cs="Arial"/>
                <w:sz w:val="22"/>
                <w:szCs w:val="22"/>
                <w:lang w:val="en-GB"/>
              </w:rPr>
              <w:fldChar w:fldCharType="end"/>
            </w:r>
            <w:bookmarkEnd w:id="3"/>
            <w:r w:rsidRPr="00BE076F">
              <w:rPr>
                <w:rFonts w:ascii="Arial" w:hAnsi="Arial" w:cs="Arial"/>
                <w:sz w:val="22"/>
                <w:szCs w:val="22"/>
                <w:lang w:val="en-GB"/>
              </w:rPr>
              <w:t xml:space="preserve">      5</w:t>
            </w:r>
            <w:r w:rsidRPr="00BE076F">
              <w:rPr>
                <w:rFonts w:ascii="Arial" w:hAnsi="Arial" w:cs="Arial"/>
                <w:sz w:val="22"/>
                <w:szCs w:val="22"/>
                <w:vertAlign w:val="superscript"/>
                <w:lang w:val="en-GB"/>
              </w:rPr>
              <w:t>th</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BE076F">
              <w:rPr>
                <w:rFonts w:ascii="Arial" w:hAnsi="Arial" w:cs="Arial"/>
                <w:sz w:val="22"/>
                <w:szCs w:val="22"/>
                <w:lang w:val="en-GB"/>
              </w:rPr>
              <w:instrText xml:space="preserve"> FORMCHECKBOX </w:instrText>
            </w:r>
            <w:r w:rsidR="00000000">
              <w:rPr>
                <w:rFonts w:ascii="Arial" w:hAnsi="Arial" w:cs="Arial"/>
                <w:sz w:val="22"/>
                <w:szCs w:val="22"/>
                <w:lang w:val="en-GB"/>
              </w:rPr>
            </w:r>
            <w:r w:rsidR="00000000">
              <w:rPr>
                <w:rFonts w:ascii="Arial" w:hAnsi="Arial" w:cs="Arial"/>
                <w:sz w:val="22"/>
                <w:szCs w:val="22"/>
                <w:lang w:val="en-GB"/>
              </w:rPr>
              <w:fldChar w:fldCharType="separate"/>
            </w:r>
            <w:r w:rsidRPr="00BE076F">
              <w:rPr>
                <w:rFonts w:ascii="Arial" w:hAnsi="Arial" w:cs="Arial"/>
                <w:sz w:val="22"/>
                <w:szCs w:val="22"/>
                <w:lang w:val="en-GB"/>
              </w:rPr>
              <w:fldChar w:fldCharType="end"/>
            </w:r>
            <w:bookmarkEnd w:id="4"/>
            <w:r w:rsidRPr="00BE076F">
              <w:rPr>
                <w:rFonts w:ascii="Arial" w:hAnsi="Arial" w:cs="Arial"/>
                <w:sz w:val="22"/>
                <w:szCs w:val="22"/>
                <w:lang w:val="en-GB"/>
              </w:rPr>
              <w:t xml:space="preserve">      6</w:t>
            </w:r>
            <w:r w:rsidRPr="00BE076F">
              <w:rPr>
                <w:rFonts w:ascii="Arial" w:hAnsi="Arial" w:cs="Arial"/>
                <w:sz w:val="22"/>
                <w:szCs w:val="22"/>
                <w:vertAlign w:val="superscript"/>
                <w:lang w:val="en-GB"/>
              </w:rPr>
              <w:t>th</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BE076F">
              <w:rPr>
                <w:rFonts w:ascii="Arial" w:hAnsi="Arial" w:cs="Arial"/>
                <w:sz w:val="22"/>
                <w:szCs w:val="22"/>
                <w:lang w:val="en-GB"/>
              </w:rPr>
              <w:instrText xml:space="preserve"> FORMCHECKBOX </w:instrText>
            </w:r>
            <w:r w:rsidR="00000000">
              <w:rPr>
                <w:rFonts w:ascii="Arial" w:hAnsi="Arial" w:cs="Arial"/>
                <w:sz w:val="22"/>
                <w:szCs w:val="22"/>
                <w:lang w:val="en-GB"/>
              </w:rPr>
            </w:r>
            <w:r w:rsidR="00000000">
              <w:rPr>
                <w:rFonts w:ascii="Arial" w:hAnsi="Arial" w:cs="Arial"/>
                <w:sz w:val="22"/>
                <w:szCs w:val="22"/>
                <w:lang w:val="en-GB"/>
              </w:rPr>
              <w:fldChar w:fldCharType="separate"/>
            </w:r>
            <w:r w:rsidRPr="00BE076F">
              <w:rPr>
                <w:rFonts w:ascii="Arial" w:hAnsi="Arial" w:cs="Arial"/>
                <w:sz w:val="22"/>
                <w:szCs w:val="22"/>
                <w:lang w:val="en-GB"/>
              </w:rPr>
              <w:fldChar w:fldCharType="end"/>
            </w:r>
            <w:bookmarkEnd w:id="5"/>
            <w:r w:rsidRPr="00BE076F">
              <w:rPr>
                <w:rFonts w:ascii="Arial" w:hAnsi="Arial" w:cs="Arial"/>
                <w:b/>
                <w:sz w:val="22"/>
                <w:szCs w:val="22"/>
                <w:lang w:val="en-GB"/>
              </w:rPr>
              <w:t xml:space="preserve">   </w:t>
            </w:r>
            <w:r w:rsidRPr="00BE076F">
              <w:rPr>
                <w:rFonts w:ascii="Arial" w:hAnsi="Arial" w:cs="Arial"/>
                <w:sz w:val="22"/>
                <w:szCs w:val="22"/>
                <w:lang w:val="en-GB"/>
              </w:rPr>
              <w:t>module of the degree</w:t>
            </w:r>
          </w:p>
        </w:tc>
      </w:tr>
      <w:tr w:rsidR="00A73555" w:rsidRPr="00BE076F" w14:paraId="57134809" w14:textId="77777777" w:rsidTr="00C6041C">
        <w:trPr>
          <w:trHeight w:val="978"/>
          <w:jc w:val="center"/>
        </w:trPr>
        <w:tc>
          <w:tcPr>
            <w:tcW w:w="8856" w:type="dxa"/>
            <w:gridSpan w:val="5"/>
            <w:shd w:val="clear" w:color="auto" w:fill="D9D9D9"/>
          </w:tcPr>
          <w:p w14:paraId="6C3A10B1"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I confirm that this is my original work and that I have adhered to the University policy on plagiarism.</w:t>
            </w:r>
          </w:p>
          <w:p w14:paraId="0A9F36BD" w14:textId="77777777" w:rsidR="000D1243" w:rsidRPr="00BE076F" w:rsidRDefault="000D1243" w:rsidP="001332B9">
            <w:pPr>
              <w:pStyle w:val="NormalWeb"/>
              <w:spacing w:before="0" w:beforeAutospacing="0" w:after="0" w:afterAutospacing="0"/>
              <w:ind w:right="34"/>
              <w:rPr>
                <w:rFonts w:ascii="Freestyle Script" w:hAnsi="Freestyle Script" w:cs="Arial"/>
                <w:color w:val="auto"/>
                <w:sz w:val="22"/>
                <w:szCs w:val="22"/>
              </w:rPr>
            </w:pPr>
            <w:r w:rsidRPr="00BE076F">
              <w:rPr>
                <w:rFonts w:ascii="Arial" w:hAnsi="Arial" w:cs="Arial"/>
                <w:color w:val="auto"/>
                <w:sz w:val="22"/>
                <w:szCs w:val="22"/>
              </w:rPr>
              <w:t xml:space="preserve">Signed    </w:t>
            </w:r>
            <w:r w:rsidRPr="00BE076F">
              <w:rPr>
                <w:rFonts w:ascii="Freestyle Script" w:hAnsi="Freestyle Script" w:cs="Arial"/>
                <w:color w:val="auto"/>
                <w:sz w:val="36"/>
                <w:szCs w:val="36"/>
              </w:rPr>
              <w:t>Paul Flagg</w:t>
            </w:r>
          </w:p>
          <w:p w14:paraId="19039B72" w14:textId="77777777" w:rsidR="000D1243" w:rsidRPr="00BE076F" w:rsidRDefault="000D1243" w:rsidP="001332B9">
            <w:pPr>
              <w:pStyle w:val="NormalWeb"/>
              <w:spacing w:before="0" w:beforeAutospacing="0" w:after="0" w:afterAutospacing="0"/>
              <w:ind w:right="34"/>
              <w:rPr>
                <w:rFonts w:ascii="Calibri" w:hAnsi="Calibri" w:cs="Calibri"/>
                <w:b/>
                <w:color w:val="auto"/>
                <w:sz w:val="44"/>
                <w:szCs w:val="44"/>
              </w:rPr>
            </w:pPr>
            <w:r w:rsidRPr="00BE076F">
              <w:rPr>
                <w:rFonts w:ascii="Calibri" w:hAnsi="Calibri" w:cs="Tahoma"/>
                <w:b/>
                <w:color w:val="auto"/>
                <w:sz w:val="24"/>
                <w:szCs w:val="24"/>
              </w:rPr>
              <w:t xml:space="preserve">Email submission: If you are submitting this form via email, please tick this box </w:t>
            </w:r>
            <w:r w:rsidRPr="00BE076F">
              <w:rPr>
                <w:rFonts w:ascii="Calibri" w:hAnsi="Calibri" w:cs="Calibri"/>
                <w:b/>
                <w:color w:val="auto"/>
                <w:sz w:val="44"/>
                <w:szCs w:val="44"/>
              </w:rPr>
              <w:t>□</w:t>
            </w:r>
          </w:p>
          <w:p w14:paraId="3A6F3364"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Calibri" w:hAnsi="Calibri" w:cs="Tahoma"/>
                <w:b/>
                <w:color w:val="auto"/>
                <w:sz w:val="24"/>
                <w:szCs w:val="24"/>
              </w:rPr>
              <w:t>(as a substitute for your signature) to confirm that you agree to the above declaration.</w:t>
            </w:r>
          </w:p>
        </w:tc>
      </w:tr>
      <w:tr w:rsidR="00A73555" w:rsidRPr="00BE076F" w14:paraId="6CBFC13E" w14:textId="77777777" w:rsidTr="00C6041C">
        <w:trPr>
          <w:trHeight w:val="3972"/>
          <w:jc w:val="center"/>
        </w:trPr>
        <w:tc>
          <w:tcPr>
            <w:tcW w:w="8856" w:type="dxa"/>
            <w:gridSpan w:val="5"/>
          </w:tcPr>
          <w:p w14:paraId="19BF70C4" w14:textId="77777777" w:rsidR="000D1243" w:rsidRPr="00BE076F" w:rsidRDefault="000D1243" w:rsidP="001332B9">
            <w:pPr>
              <w:rPr>
                <w:rFonts w:ascii="Arial" w:hAnsi="Arial"/>
                <w:b/>
                <w:lang w:val="en-GB"/>
              </w:rPr>
            </w:pPr>
          </w:p>
          <w:p w14:paraId="6055CD78" w14:textId="77777777" w:rsidR="000D1243" w:rsidRPr="00BE076F" w:rsidRDefault="000D1243" w:rsidP="001332B9">
            <w:pPr>
              <w:rPr>
                <w:rFonts w:ascii="Arial" w:hAnsi="Arial"/>
                <w:lang w:val="en-GB"/>
              </w:rPr>
            </w:pPr>
            <w:r w:rsidRPr="00BE076F">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3555" w:rsidRPr="00BE076F" w14:paraId="7EE565E2" w14:textId="77777777" w:rsidTr="001332B9">
              <w:tc>
                <w:tcPr>
                  <w:tcW w:w="6970" w:type="dxa"/>
                </w:tcPr>
                <w:p w14:paraId="56B84C42" w14:textId="77777777" w:rsidR="000D1243" w:rsidRPr="00BE076F" w:rsidRDefault="000D1243" w:rsidP="001332B9">
                  <w:pPr>
                    <w:rPr>
                      <w:rFonts w:ascii="Arial" w:hAnsi="Arial"/>
                      <w:sz w:val="20"/>
                      <w:szCs w:val="20"/>
                      <w:lang w:val="en-GB"/>
                    </w:rPr>
                  </w:pPr>
                </w:p>
                <w:p w14:paraId="77526DBE" w14:textId="77777777" w:rsidR="000D1243" w:rsidRPr="00BE076F" w:rsidRDefault="000D1243" w:rsidP="001332B9">
                  <w:pPr>
                    <w:rPr>
                      <w:rFonts w:ascii="Arial" w:hAnsi="Arial"/>
                      <w:sz w:val="20"/>
                      <w:szCs w:val="20"/>
                      <w:lang w:val="en-GB"/>
                    </w:rPr>
                  </w:pPr>
                  <w:r w:rsidRPr="00BE076F">
                    <w:rPr>
                      <w:rFonts w:ascii="Arial" w:hAnsi="Arial"/>
                      <w:sz w:val="20"/>
                      <w:szCs w:val="20"/>
                      <w:lang w:val="en-GB"/>
                    </w:rPr>
                    <w:t>1</w:t>
                  </w:r>
                  <w:r w:rsidRPr="00BE076F">
                    <w:rPr>
                      <w:rFonts w:ascii="Arial" w:hAnsi="Arial"/>
                      <w:sz w:val="20"/>
                      <w:szCs w:val="20"/>
                      <w:vertAlign w:val="superscript"/>
                      <w:lang w:val="en-GB"/>
                    </w:rPr>
                    <w:t>st</w:t>
                  </w:r>
                  <w:r w:rsidRPr="00BE076F">
                    <w:rPr>
                      <w:rFonts w:ascii="Arial" w:hAnsi="Arial"/>
                      <w:sz w:val="20"/>
                      <w:szCs w:val="20"/>
                      <w:lang w:val="en-GB"/>
                    </w:rPr>
                    <w:t xml:space="preserve"> Marker’s Provisional mark</w:t>
                  </w:r>
                </w:p>
              </w:tc>
              <w:tc>
                <w:tcPr>
                  <w:tcW w:w="1660" w:type="dxa"/>
                </w:tcPr>
                <w:p w14:paraId="30491633" w14:textId="77777777" w:rsidR="000D1243" w:rsidRPr="00BE076F" w:rsidRDefault="000D1243" w:rsidP="001332B9">
                  <w:pPr>
                    <w:rPr>
                      <w:rFonts w:ascii="Arial" w:hAnsi="Arial"/>
                      <w:sz w:val="20"/>
                      <w:szCs w:val="20"/>
                      <w:lang w:val="en-GB"/>
                    </w:rPr>
                  </w:pPr>
                </w:p>
              </w:tc>
            </w:tr>
            <w:tr w:rsidR="00A73555" w:rsidRPr="00BE076F" w14:paraId="31891A86" w14:textId="77777777" w:rsidTr="001332B9">
              <w:tc>
                <w:tcPr>
                  <w:tcW w:w="6970" w:type="dxa"/>
                </w:tcPr>
                <w:p w14:paraId="41829A9E" w14:textId="77777777" w:rsidR="000D1243" w:rsidRPr="00BE076F" w:rsidRDefault="000D1243" w:rsidP="001332B9">
                  <w:pPr>
                    <w:rPr>
                      <w:rFonts w:ascii="Arial" w:hAnsi="Arial"/>
                      <w:sz w:val="20"/>
                      <w:szCs w:val="20"/>
                      <w:lang w:val="en-GB"/>
                    </w:rPr>
                  </w:pPr>
                </w:p>
                <w:p w14:paraId="4A7281A1" w14:textId="77777777" w:rsidR="000D1243" w:rsidRPr="00BE076F" w:rsidRDefault="000D1243" w:rsidP="001332B9">
                  <w:pPr>
                    <w:rPr>
                      <w:rFonts w:ascii="Arial" w:hAnsi="Arial"/>
                      <w:sz w:val="20"/>
                      <w:szCs w:val="20"/>
                      <w:lang w:val="en-GB"/>
                    </w:rPr>
                  </w:pPr>
                  <w:r w:rsidRPr="00BE076F">
                    <w:rPr>
                      <w:rFonts w:ascii="Arial" w:hAnsi="Arial"/>
                      <w:sz w:val="20"/>
                      <w:szCs w:val="20"/>
                      <w:lang w:val="en-GB"/>
                    </w:rPr>
                    <w:t>2</w:t>
                  </w:r>
                  <w:r w:rsidRPr="00BE076F">
                    <w:rPr>
                      <w:rFonts w:ascii="Arial" w:hAnsi="Arial"/>
                      <w:sz w:val="20"/>
                      <w:szCs w:val="20"/>
                      <w:vertAlign w:val="superscript"/>
                      <w:lang w:val="en-GB"/>
                    </w:rPr>
                    <w:t>nd</w:t>
                  </w:r>
                  <w:r w:rsidRPr="00BE076F">
                    <w:rPr>
                      <w:rFonts w:ascii="Arial" w:hAnsi="Arial"/>
                      <w:sz w:val="20"/>
                      <w:szCs w:val="20"/>
                      <w:lang w:val="en-GB"/>
                    </w:rPr>
                    <w:t xml:space="preserve"> Marker’s/Moderator’s provisional mark</w:t>
                  </w:r>
                </w:p>
              </w:tc>
              <w:tc>
                <w:tcPr>
                  <w:tcW w:w="1660" w:type="dxa"/>
                </w:tcPr>
                <w:p w14:paraId="25E3DC59" w14:textId="77777777" w:rsidR="000D1243" w:rsidRPr="00BE076F" w:rsidRDefault="000D1243" w:rsidP="001332B9">
                  <w:pPr>
                    <w:rPr>
                      <w:rFonts w:ascii="Arial" w:hAnsi="Arial"/>
                      <w:sz w:val="20"/>
                      <w:szCs w:val="20"/>
                      <w:lang w:val="en-GB"/>
                    </w:rPr>
                  </w:pPr>
                </w:p>
              </w:tc>
            </w:tr>
            <w:tr w:rsidR="00A73555" w:rsidRPr="00BE076F" w14:paraId="654A605F" w14:textId="77777777" w:rsidTr="001332B9">
              <w:tc>
                <w:tcPr>
                  <w:tcW w:w="6970" w:type="dxa"/>
                </w:tcPr>
                <w:p w14:paraId="73CB5880" w14:textId="77777777" w:rsidR="000D1243" w:rsidRPr="00BE076F" w:rsidRDefault="000D1243" w:rsidP="001332B9">
                  <w:pPr>
                    <w:rPr>
                      <w:rFonts w:ascii="Arial" w:hAnsi="Arial"/>
                      <w:sz w:val="20"/>
                      <w:szCs w:val="20"/>
                      <w:lang w:val="en-GB"/>
                    </w:rPr>
                  </w:pPr>
                </w:p>
                <w:p w14:paraId="5B0F0DD3" w14:textId="77777777" w:rsidR="000D1243" w:rsidRPr="00BE076F" w:rsidRDefault="000D1243" w:rsidP="001332B9">
                  <w:pPr>
                    <w:rPr>
                      <w:rFonts w:ascii="Arial" w:hAnsi="Arial"/>
                      <w:sz w:val="20"/>
                      <w:szCs w:val="20"/>
                      <w:lang w:val="en-GB"/>
                    </w:rPr>
                  </w:pPr>
                  <w:r w:rsidRPr="00BE076F">
                    <w:rPr>
                      <w:rFonts w:ascii="Arial" w:hAnsi="Arial"/>
                      <w:sz w:val="20"/>
                      <w:szCs w:val="20"/>
                      <w:lang w:val="en-GB"/>
                    </w:rPr>
                    <w:t>External Examiner’s mark (if relevant)</w:t>
                  </w:r>
                </w:p>
              </w:tc>
              <w:tc>
                <w:tcPr>
                  <w:tcW w:w="1660" w:type="dxa"/>
                </w:tcPr>
                <w:p w14:paraId="6B924412" w14:textId="77777777" w:rsidR="000D1243" w:rsidRPr="00BE076F" w:rsidRDefault="000D1243" w:rsidP="001332B9">
                  <w:pPr>
                    <w:rPr>
                      <w:rFonts w:ascii="Arial" w:hAnsi="Arial"/>
                      <w:sz w:val="20"/>
                      <w:szCs w:val="20"/>
                      <w:lang w:val="en-GB"/>
                    </w:rPr>
                  </w:pPr>
                </w:p>
              </w:tc>
            </w:tr>
            <w:tr w:rsidR="00A73555" w:rsidRPr="00BE076F" w14:paraId="39AEE660" w14:textId="77777777" w:rsidTr="001332B9">
              <w:tc>
                <w:tcPr>
                  <w:tcW w:w="6970" w:type="dxa"/>
                </w:tcPr>
                <w:p w14:paraId="716003D6" w14:textId="77777777" w:rsidR="000D1243" w:rsidRPr="00BE076F" w:rsidRDefault="000D1243" w:rsidP="001332B9">
                  <w:pPr>
                    <w:rPr>
                      <w:rFonts w:ascii="Arial" w:hAnsi="Arial"/>
                      <w:sz w:val="20"/>
                      <w:szCs w:val="20"/>
                      <w:lang w:val="en-GB"/>
                    </w:rPr>
                  </w:pPr>
                </w:p>
                <w:p w14:paraId="0B801518" w14:textId="77777777" w:rsidR="000D1243" w:rsidRPr="00BE076F" w:rsidRDefault="000D1243" w:rsidP="001332B9">
                  <w:pPr>
                    <w:rPr>
                      <w:rFonts w:ascii="Arial" w:hAnsi="Arial"/>
                      <w:b/>
                      <w:sz w:val="20"/>
                      <w:szCs w:val="20"/>
                      <w:lang w:val="en-GB"/>
                    </w:rPr>
                  </w:pPr>
                  <w:r w:rsidRPr="00BE076F">
                    <w:rPr>
                      <w:rFonts w:ascii="Arial" w:hAnsi="Arial"/>
                      <w:b/>
                      <w:sz w:val="20"/>
                      <w:szCs w:val="20"/>
                      <w:lang w:val="en-GB"/>
                    </w:rPr>
                    <w:t>Final Mark</w:t>
                  </w:r>
                </w:p>
                <w:p w14:paraId="4BB5E002" w14:textId="77777777" w:rsidR="000D1243" w:rsidRPr="00BE076F" w:rsidRDefault="000D1243" w:rsidP="001332B9">
                  <w:pPr>
                    <w:rPr>
                      <w:rFonts w:ascii="Arial" w:hAnsi="Arial"/>
                      <w:sz w:val="20"/>
                      <w:szCs w:val="20"/>
                      <w:lang w:val="en-GB"/>
                    </w:rPr>
                  </w:pPr>
                </w:p>
              </w:tc>
              <w:tc>
                <w:tcPr>
                  <w:tcW w:w="1660" w:type="dxa"/>
                </w:tcPr>
                <w:p w14:paraId="1B5F7F9A" w14:textId="77777777" w:rsidR="000D1243" w:rsidRPr="00BE076F" w:rsidRDefault="000D1243" w:rsidP="001332B9">
                  <w:pPr>
                    <w:rPr>
                      <w:rFonts w:ascii="Arial" w:hAnsi="Arial"/>
                      <w:sz w:val="20"/>
                      <w:szCs w:val="20"/>
                      <w:lang w:val="en-GB"/>
                    </w:rPr>
                  </w:pPr>
                </w:p>
              </w:tc>
            </w:tr>
          </w:tbl>
          <w:p w14:paraId="05C8C9E5" w14:textId="77777777" w:rsidR="000D1243" w:rsidRPr="00BE076F" w:rsidRDefault="000D1243" w:rsidP="001332B9">
            <w:pPr>
              <w:pStyle w:val="NormalWeb"/>
              <w:spacing w:before="0" w:beforeAutospacing="0" w:after="0" w:afterAutospacing="0"/>
              <w:ind w:left="142" w:right="34"/>
              <w:rPr>
                <w:rFonts w:ascii="Arial" w:hAnsi="Arial" w:cs="Arial"/>
                <w:b/>
                <w:color w:val="auto"/>
                <w:sz w:val="22"/>
                <w:szCs w:val="22"/>
              </w:rPr>
            </w:pPr>
          </w:p>
          <w:p w14:paraId="02F60194" w14:textId="77777777" w:rsidR="000D1243" w:rsidRPr="00BE076F" w:rsidRDefault="000D1243" w:rsidP="001332B9">
            <w:pPr>
              <w:pStyle w:val="NormalWeb"/>
              <w:spacing w:before="0" w:beforeAutospacing="0" w:after="0" w:afterAutospacing="0"/>
              <w:ind w:left="142" w:right="34"/>
              <w:rPr>
                <w:rFonts w:ascii="Arial" w:hAnsi="Arial" w:cs="Arial"/>
                <w:color w:val="auto"/>
                <w:sz w:val="22"/>
                <w:szCs w:val="22"/>
              </w:rPr>
            </w:pPr>
            <w:r w:rsidRPr="00BE076F">
              <w:rPr>
                <w:rFonts w:ascii="Arial" w:hAnsi="Arial" w:cs="Arial"/>
                <w:b/>
                <w:color w:val="auto"/>
                <w:sz w:val="22"/>
                <w:szCs w:val="22"/>
              </w:rPr>
              <w:t>NB.</w:t>
            </w:r>
            <w:r w:rsidRPr="00BE076F">
              <w:rPr>
                <w:rFonts w:ascii="Arial" w:hAnsi="Arial" w:cs="Arial"/>
                <w:color w:val="auto"/>
                <w:sz w:val="22"/>
                <w:szCs w:val="22"/>
              </w:rPr>
              <w:t xml:space="preserve">  All marks are provisional until confirmed by the Final Examination Board.</w:t>
            </w:r>
          </w:p>
          <w:p w14:paraId="32A744C3"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5605B6F2"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3448450C"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538D9CBF"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7AC33ED9"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2F4F0784" w14:textId="271710B6" w:rsidR="000D1243" w:rsidRPr="00BE076F" w:rsidRDefault="000D1243" w:rsidP="001332B9">
            <w:pPr>
              <w:pStyle w:val="NormalWeb"/>
              <w:spacing w:before="0" w:beforeAutospacing="0" w:after="0" w:afterAutospacing="0"/>
              <w:rPr>
                <w:rFonts w:ascii="Arial" w:hAnsi="Arial" w:cs="Arial"/>
                <w:b/>
                <w:color w:val="auto"/>
                <w:sz w:val="22"/>
                <w:szCs w:val="22"/>
              </w:rPr>
            </w:pPr>
            <w:r w:rsidRPr="00BE076F">
              <w:rPr>
                <w:rFonts w:ascii="Arial" w:hAnsi="Arial" w:cs="Arial"/>
                <w:b/>
                <w:color w:val="auto"/>
                <w:sz w:val="22"/>
                <w:szCs w:val="22"/>
              </w:rPr>
              <w:t>For completion by Marker 1:</w:t>
            </w:r>
          </w:p>
          <w:p w14:paraId="05E01006" w14:textId="77777777" w:rsidR="000D1243" w:rsidRPr="00BE076F" w:rsidRDefault="000D1243" w:rsidP="001332B9">
            <w:pPr>
              <w:pStyle w:val="NormalWeb"/>
              <w:rPr>
                <w:rFonts w:ascii="Arial" w:hAnsi="Arial" w:cs="Arial"/>
                <w:color w:val="auto"/>
                <w:sz w:val="22"/>
                <w:szCs w:val="22"/>
              </w:rPr>
            </w:pPr>
            <w:r w:rsidRPr="00BE076F">
              <w:rPr>
                <w:rFonts w:ascii="Arial" w:hAnsi="Arial" w:cs="Arial"/>
                <w:color w:val="auto"/>
                <w:sz w:val="22"/>
                <w:szCs w:val="22"/>
              </w:rPr>
              <w:t>Comments:</w:t>
            </w:r>
          </w:p>
          <w:p w14:paraId="7FD36B13" w14:textId="77777777" w:rsidR="000D1243" w:rsidRPr="00BE076F" w:rsidRDefault="000D1243" w:rsidP="001332B9">
            <w:pPr>
              <w:pStyle w:val="NormalWeb"/>
              <w:rPr>
                <w:rFonts w:ascii="Arial" w:hAnsi="Arial" w:cs="Arial"/>
                <w:color w:val="auto"/>
                <w:sz w:val="22"/>
                <w:szCs w:val="22"/>
              </w:rPr>
            </w:pPr>
          </w:p>
        </w:tc>
      </w:tr>
      <w:tr w:rsidR="00A73555" w:rsidRPr="00BE076F" w14:paraId="40A96EA0" w14:textId="77777777" w:rsidTr="00C6041C">
        <w:trPr>
          <w:trHeight w:val="492"/>
          <w:jc w:val="center"/>
        </w:trPr>
        <w:tc>
          <w:tcPr>
            <w:tcW w:w="6768" w:type="dxa"/>
            <w:gridSpan w:val="3"/>
          </w:tcPr>
          <w:p w14:paraId="136565C8" w14:textId="77777777" w:rsidR="000D1243" w:rsidRPr="00BE076F" w:rsidRDefault="000D1243" w:rsidP="001332B9">
            <w:pPr>
              <w:pStyle w:val="NormalWeb"/>
              <w:ind w:left="142" w:right="34"/>
              <w:rPr>
                <w:rFonts w:ascii="Arial" w:hAnsi="Arial" w:cs="Arial"/>
                <w:color w:val="auto"/>
                <w:sz w:val="22"/>
                <w:szCs w:val="22"/>
              </w:rPr>
            </w:pPr>
            <w:r w:rsidRPr="00BE076F">
              <w:rPr>
                <w:rFonts w:ascii="Arial" w:hAnsi="Arial" w:cs="Arial"/>
                <w:color w:val="auto"/>
                <w:sz w:val="22"/>
                <w:szCs w:val="22"/>
              </w:rPr>
              <w:lastRenderedPageBreak/>
              <w:t>Marker’s signature:</w:t>
            </w:r>
          </w:p>
        </w:tc>
        <w:tc>
          <w:tcPr>
            <w:tcW w:w="2088" w:type="dxa"/>
            <w:gridSpan w:val="2"/>
          </w:tcPr>
          <w:p w14:paraId="33FE5FAE" w14:textId="77777777" w:rsidR="000D1243" w:rsidRPr="00BE076F" w:rsidRDefault="000D1243" w:rsidP="001332B9">
            <w:pPr>
              <w:pStyle w:val="NormalWeb"/>
              <w:spacing w:after="0"/>
              <w:ind w:left="142" w:right="34"/>
              <w:rPr>
                <w:rFonts w:ascii="Arial" w:hAnsi="Arial" w:cs="Arial"/>
                <w:color w:val="auto"/>
                <w:sz w:val="22"/>
                <w:szCs w:val="22"/>
              </w:rPr>
            </w:pPr>
            <w:r w:rsidRPr="00BE076F">
              <w:rPr>
                <w:rFonts w:ascii="Arial" w:hAnsi="Arial" w:cs="Arial"/>
                <w:color w:val="auto"/>
                <w:sz w:val="22"/>
                <w:szCs w:val="22"/>
              </w:rPr>
              <w:t>Date:</w:t>
            </w:r>
          </w:p>
        </w:tc>
      </w:tr>
      <w:tr w:rsidR="00A73555" w:rsidRPr="00BE076F" w14:paraId="1E2CC48D" w14:textId="77777777" w:rsidTr="00C6041C">
        <w:trPr>
          <w:jc w:val="center"/>
        </w:trPr>
        <w:tc>
          <w:tcPr>
            <w:tcW w:w="8856" w:type="dxa"/>
            <w:gridSpan w:val="5"/>
          </w:tcPr>
          <w:p w14:paraId="3F05D6DA" w14:textId="77777777" w:rsidR="000D1243" w:rsidRPr="00BE076F" w:rsidRDefault="000D1243" w:rsidP="001332B9">
            <w:pPr>
              <w:pStyle w:val="NormalWeb"/>
              <w:spacing w:before="0" w:beforeAutospacing="0" w:after="0" w:afterAutospacing="0"/>
              <w:ind w:right="-334"/>
              <w:rPr>
                <w:rFonts w:ascii="Arial" w:hAnsi="Arial" w:cs="Arial"/>
                <w:bCs/>
                <w:i/>
                <w:color w:val="auto"/>
                <w:sz w:val="22"/>
                <w:szCs w:val="22"/>
              </w:rPr>
            </w:pPr>
          </w:p>
          <w:p w14:paraId="5E104428" w14:textId="77777777" w:rsidR="000D1243" w:rsidRPr="00BE076F" w:rsidRDefault="000D1243" w:rsidP="001332B9">
            <w:pPr>
              <w:pStyle w:val="NormalWeb"/>
              <w:spacing w:before="0" w:beforeAutospacing="0" w:after="0" w:afterAutospacing="0"/>
              <w:ind w:right="-334"/>
              <w:rPr>
                <w:rFonts w:ascii="Arial" w:hAnsi="Arial" w:cs="Arial"/>
                <w:b/>
                <w:bCs/>
                <w:color w:val="auto"/>
                <w:sz w:val="22"/>
                <w:szCs w:val="22"/>
              </w:rPr>
            </w:pPr>
            <w:r w:rsidRPr="00BE076F">
              <w:rPr>
                <w:rFonts w:ascii="Arial" w:hAnsi="Arial" w:cs="Arial"/>
                <w:b/>
                <w:bCs/>
                <w:color w:val="auto"/>
                <w:sz w:val="22"/>
                <w:szCs w:val="22"/>
              </w:rPr>
              <w:t>For completion by Marker 2/Moderator:</w:t>
            </w:r>
          </w:p>
          <w:p w14:paraId="3113A001" w14:textId="77777777" w:rsidR="000D1243" w:rsidRPr="00BE076F" w:rsidRDefault="000D1243" w:rsidP="001332B9">
            <w:pPr>
              <w:pStyle w:val="NormalWeb"/>
              <w:spacing w:before="0" w:beforeAutospacing="0" w:after="0" w:afterAutospacing="0"/>
              <w:ind w:right="-334"/>
              <w:rPr>
                <w:rFonts w:ascii="Arial" w:hAnsi="Arial" w:cs="Arial"/>
                <w:b/>
                <w:bCs/>
                <w:color w:val="auto"/>
                <w:sz w:val="22"/>
                <w:szCs w:val="22"/>
              </w:rPr>
            </w:pPr>
          </w:p>
          <w:p w14:paraId="58EE084D"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r w:rsidRPr="00BE076F">
              <w:rPr>
                <w:rFonts w:ascii="Arial" w:hAnsi="Arial" w:cs="Arial"/>
                <w:bCs/>
                <w:color w:val="auto"/>
                <w:sz w:val="22"/>
                <w:szCs w:val="22"/>
              </w:rPr>
              <w:t>Comments:</w:t>
            </w:r>
          </w:p>
          <w:p w14:paraId="3EC145D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17A04695"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AC08BEE"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47C5267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16095FD"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166FC0E"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06E0635B"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69504B5C"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4867F63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575C939C"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1597B166"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77D54D7"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tc>
      </w:tr>
      <w:tr w:rsidR="00A73555" w:rsidRPr="00BE076F" w14:paraId="22588157" w14:textId="77777777" w:rsidTr="00C6041C">
        <w:trPr>
          <w:trHeight w:val="720"/>
          <w:jc w:val="center"/>
        </w:trPr>
        <w:tc>
          <w:tcPr>
            <w:tcW w:w="5211" w:type="dxa"/>
            <w:gridSpan w:val="2"/>
          </w:tcPr>
          <w:p w14:paraId="367D2639"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r w:rsidRPr="00BE076F">
              <w:rPr>
                <w:rFonts w:ascii="Arial" w:hAnsi="Arial" w:cs="Arial"/>
                <w:bCs/>
                <w:color w:val="auto"/>
                <w:sz w:val="22"/>
                <w:szCs w:val="22"/>
              </w:rPr>
              <w:t>Marker’s Signature:</w:t>
            </w:r>
          </w:p>
        </w:tc>
        <w:tc>
          <w:tcPr>
            <w:tcW w:w="3645" w:type="dxa"/>
            <w:gridSpan w:val="3"/>
          </w:tcPr>
          <w:p w14:paraId="7A3019BE"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r w:rsidRPr="00BE076F">
              <w:rPr>
                <w:rFonts w:ascii="Arial" w:hAnsi="Arial" w:cs="Arial"/>
                <w:bCs/>
                <w:color w:val="auto"/>
                <w:sz w:val="22"/>
                <w:szCs w:val="22"/>
              </w:rPr>
              <w:t>Date:</w:t>
            </w:r>
          </w:p>
        </w:tc>
      </w:tr>
      <w:tr w:rsidR="00A73555" w:rsidRPr="00BE076F" w14:paraId="5B60AB1B" w14:textId="77777777" w:rsidTr="00C6041C">
        <w:trPr>
          <w:trHeight w:val="720"/>
          <w:jc w:val="center"/>
        </w:trPr>
        <w:tc>
          <w:tcPr>
            <w:tcW w:w="8856" w:type="dxa"/>
            <w:gridSpan w:val="5"/>
          </w:tcPr>
          <w:p w14:paraId="3866AF10" w14:textId="77777777" w:rsidR="000D1243" w:rsidRPr="00BE076F" w:rsidRDefault="000D1243" w:rsidP="001332B9">
            <w:pPr>
              <w:rPr>
                <w:rFonts w:ascii="Arial" w:hAnsi="Arial" w:cs="Arial"/>
                <w:b/>
                <w:sz w:val="22"/>
                <w:szCs w:val="22"/>
                <w:lang w:val="en-GB"/>
              </w:rPr>
            </w:pPr>
            <w:r w:rsidRPr="00BE076F">
              <w:rPr>
                <w:rFonts w:ascii="Arial" w:hAnsi="Arial" w:cs="Arial"/>
                <w:b/>
                <w:sz w:val="22"/>
                <w:szCs w:val="22"/>
                <w:lang w:val="en-GB"/>
              </w:rPr>
              <w:t>External Examiner’s comments (if relevant)</w:t>
            </w:r>
          </w:p>
          <w:p w14:paraId="5656C517"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59D3D9BF"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F555EC9"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9221C28"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C9F3440"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2A44FB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4922E57"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17088EF5"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3E610E3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C6A48B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04736E72"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tc>
      </w:tr>
      <w:tr w:rsidR="00A73555" w:rsidRPr="00BE076F" w14:paraId="536C6086" w14:textId="77777777" w:rsidTr="00C6041C">
        <w:trPr>
          <w:trHeight w:val="720"/>
          <w:jc w:val="center"/>
        </w:trPr>
        <w:tc>
          <w:tcPr>
            <w:tcW w:w="5211" w:type="dxa"/>
            <w:gridSpan w:val="2"/>
          </w:tcPr>
          <w:p w14:paraId="269124A5" w14:textId="77777777" w:rsidR="000D1243" w:rsidRPr="00BE076F" w:rsidRDefault="000D1243" w:rsidP="001332B9">
            <w:pPr>
              <w:rPr>
                <w:rFonts w:ascii="Arial" w:hAnsi="Arial" w:cs="Arial"/>
                <w:sz w:val="22"/>
                <w:szCs w:val="22"/>
                <w:lang w:val="en-GB"/>
              </w:rPr>
            </w:pPr>
            <w:r w:rsidRPr="00BE076F">
              <w:rPr>
                <w:rFonts w:ascii="Arial" w:hAnsi="Arial" w:cs="Arial"/>
                <w:sz w:val="22"/>
                <w:szCs w:val="22"/>
                <w:lang w:val="en-GB"/>
              </w:rPr>
              <w:t>External Examiner’s Signature:</w:t>
            </w:r>
          </w:p>
        </w:tc>
        <w:tc>
          <w:tcPr>
            <w:tcW w:w="3645" w:type="dxa"/>
            <w:gridSpan w:val="3"/>
          </w:tcPr>
          <w:p w14:paraId="29378EC2" w14:textId="77777777" w:rsidR="000D1243" w:rsidRPr="00BE076F" w:rsidRDefault="000D1243" w:rsidP="001332B9">
            <w:pPr>
              <w:rPr>
                <w:rFonts w:ascii="Arial" w:hAnsi="Arial" w:cs="Arial"/>
                <w:sz w:val="22"/>
                <w:szCs w:val="22"/>
                <w:lang w:val="en-GB"/>
              </w:rPr>
            </w:pPr>
            <w:r w:rsidRPr="00BE076F">
              <w:rPr>
                <w:rFonts w:ascii="Arial" w:hAnsi="Arial" w:cs="Arial"/>
                <w:sz w:val="22"/>
                <w:szCs w:val="22"/>
                <w:lang w:val="en-GB"/>
              </w:rPr>
              <w:t>Date:</w:t>
            </w:r>
          </w:p>
        </w:tc>
      </w:tr>
    </w:tbl>
    <w:p w14:paraId="38663442" w14:textId="77777777" w:rsidR="000D1243" w:rsidRPr="00BE076F" w:rsidRDefault="000D1243">
      <w:pPr>
        <w:rPr>
          <w:rFonts w:asciiTheme="majorHAnsi" w:hAnsiTheme="majorHAnsi" w:cstheme="majorHAnsi"/>
          <w:sz w:val="22"/>
          <w:szCs w:val="22"/>
          <w:lang w:val="en-GB"/>
        </w:rPr>
      </w:pPr>
      <w:r w:rsidRPr="00BE076F">
        <w:rPr>
          <w:rFonts w:asciiTheme="majorHAnsi" w:hAnsiTheme="majorHAnsi" w:cstheme="majorHAnsi"/>
          <w:sz w:val="22"/>
          <w:szCs w:val="22"/>
          <w:lang w:val="en-GB"/>
        </w:rPr>
        <w:br w:type="page"/>
      </w:r>
    </w:p>
    <w:p w14:paraId="5948EC7A" w14:textId="77777777" w:rsidR="000D1243" w:rsidRPr="006305A8" w:rsidRDefault="000D1243" w:rsidP="002C50EC">
      <w:pPr>
        <w:spacing w:before="120" w:after="120"/>
        <w:jc w:val="center"/>
        <w:rPr>
          <w:rFonts w:asciiTheme="majorHAnsi" w:eastAsia="Times New Roman" w:hAnsiTheme="majorHAnsi" w:cstheme="majorHAnsi"/>
          <w:b/>
          <w:bCs/>
          <w:color w:val="000000" w:themeColor="text1"/>
          <w:kern w:val="0"/>
          <w:sz w:val="22"/>
          <w:szCs w:val="22"/>
          <w:lang w:val="en-GB"/>
        </w:rPr>
      </w:pPr>
      <w:r w:rsidRPr="006305A8">
        <w:rPr>
          <w:rFonts w:asciiTheme="majorHAnsi" w:eastAsia="Times New Roman" w:hAnsiTheme="majorHAnsi" w:cstheme="majorHAnsi"/>
          <w:b/>
          <w:bCs/>
          <w:color w:val="000000" w:themeColor="text1"/>
          <w:kern w:val="0"/>
          <w:sz w:val="22"/>
          <w:szCs w:val="22"/>
          <w:lang w:val="en-GB"/>
        </w:rPr>
        <w:lastRenderedPageBreak/>
        <w:t>A Critical Comparison of Two JSTOR Papers</w:t>
      </w:r>
    </w:p>
    <w:p w14:paraId="1ECAE264" w14:textId="7AF2197D" w:rsidR="009946C7" w:rsidRPr="006305A8" w:rsidRDefault="009946C7" w:rsidP="002C50EC">
      <w:pPr>
        <w:spacing w:before="120" w:after="120"/>
        <w:jc w:val="center"/>
        <w:rPr>
          <w:rFonts w:asciiTheme="majorHAnsi" w:hAnsiTheme="majorHAnsi" w:cstheme="majorHAnsi"/>
          <w:color w:val="000000" w:themeColor="text1"/>
          <w:sz w:val="22"/>
          <w:szCs w:val="22"/>
          <w:lang w:val="en-GB"/>
        </w:rPr>
      </w:pPr>
      <w:r w:rsidRPr="006305A8">
        <w:rPr>
          <w:rFonts w:asciiTheme="majorHAnsi" w:eastAsia="Times New Roman" w:hAnsiTheme="majorHAnsi" w:cstheme="majorHAnsi"/>
          <w:color w:val="000000" w:themeColor="text1"/>
          <w:kern w:val="0"/>
          <w:sz w:val="22"/>
          <w:szCs w:val="22"/>
          <w:lang w:val="en-GB"/>
        </w:rPr>
        <w:t xml:space="preserve">Word Count: </w:t>
      </w:r>
      <w:r w:rsidR="00E21FE1">
        <w:rPr>
          <w:rFonts w:asciiTheme="majorHAnsi" w:eastAsia="Times New Roman" w:hAnsiTheme="majorHAnsi" w:cstheme="majorHAnsi"/>
          <w:color w:val="000000" w:themeColor="text1"/>
          <w:kern w:val="0"/>
          <w:sz w:val="22"/>
          <w:szCs w:val="22"/>
          <w:lang w:val="en-GB"/>
        </w:rPr>
        <w:t>2,024</w:t>
      </w:r>
    </w:p>
    <w:p w14:paraId="1B10A3DE" w14:textId="77777777" w:rsidR="000D1243" w:rsidRPr="006305A8" w:rsidRDefault="000D1243" w:rsidP="002C50EC">
      <w:pPr>
        <w:spacing w:before="120" w:after="120"/>
        <w:rPr>
          <w:rFonts w:asciiTheme="majorHAnsi" w:hAnsiTheme="majorHAnsi" w:cstheme="majorHAnsi"/>
          <w:color w:val="000000" w:themeColor="text1"/>
          <w:sz w:val="22"/>
          <w:szCs w:val="22"/>
          <w:lang w:val="en-GB"/>
        </w:rPr>
      </w:pPr>
    </w:p>
    <w:p w14:paraId="7A644EFF" w14:textId="08EF5CC4" w:rsidR="001F5F78" w:rsidRPr="006305A8"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sz w:val="22"/>
          <w:szCs w:val="22"/>
          <w:lang w:val="en-GB"/>
        </w:rPr>
      </w:pPr>
      <w:r w:rsidRPr="006305A8">
        <w:rPr>
          <w:rFonts w:asciiTheme="majorHAnsi" w:eastAsiaTheme="majorEastAsia" w:hAnsiTheme="majorHAnsi" w:cstheme="majorHAnsi"/>
          <w:b/>
          <w:bCs/>
          <w:color w:val="000000" w:themeColor="text1"/>
          <w:kern w:val="0"/>
          <w:sz w:val="22"/>
          <w:szCs w:val="22"/>
          <w:lang w:val="en-GB"/>
        </w:rPr>
        <w:t>Introduction</w:t>
      </w:r>
    </w:p>
    <w:p w14:paraId="753791A2" w14:textId="71924B48"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This essay critically compares two JSTOR papers: Nancy Siraisi’s 'Anatomizing the Past: Physicians and History in Renaissance Culture', an article published in </w:t>
      </w:r>
      <w:r w:rsidRPr="006305A8">
        <w:rPr>
          <w:rFonts w:asciiTheme="majorHAnsi" w:eastAsiaTheme="majorEastAsia" w:hAnsiTheme="majorHAnsi" w:cstheme="majorHAnsi"/>
          <w:i/>
          <w:iCs/>
          <w:color w:val="000000" w:themeColor="text1"/>
          <w:kern w:val="0"/>
          <w:sz w:val="22"/>
          <w:szCs w:val="22"/>
          <w:lang w:val="en-GB"/>
        </w:rPr>
        <w:t>Renaissance Quarterly</w:t>
      </w:r>
      <w:r w:rsidRPr="006305A8">
        <w:rPr>
          <w:rFonts w:asciiTheme="majorHAnsi" w:eastAsiaTheme="majorEastAsia" w:hAnsiTheme="majorHAnsi" w:cstheme="majorHAnsi"/>
          <w:color w:val="000000" w:themeColor="text1"/>
          <w:kern w:val="0"/>
          <w:sz w:val="22"/>
          <w:szCs w:val="22"/>
          <w:lang w:val="en-GB"/>
        </w:rPr>
        <w:t xml:space="preserve"> in 2000,</w:t>
      </w:r>
      <w:r w:rsidR="00011117" w:rsidRPr="006305A8">
        <w:rPr>
          <w:rStyle w:val="FootnoteReference"/>
          <w:rFonts w:asciiTheme="majorHAnsi" w:eastAsiaTheme="majorEastAsia" w:hAnsiTheme="majorHAnsi" w:cstheme="majorHAnsi"/>
          <w:color w:val="000000" w:themeColor="text1"/>
          <w:kern w:val="0"/>
          <w:sz w:val="22"/>
          <w:szCs w:val="22"/>
          <w:lang w:val="en-GB"/>
        </w:rPr>
        <w:footnoteReference w:id="1"/>
      </w:r>
      <w:r w:rsidRPr="006305A8">
        <w:rPr>
          <w:rFonts w:asciiTheme="majorHAnsi" w:eastAsiaTheme="majorEastAsia" w:hAnsiTheme="majorHAnsi" w:cstheme="majorHAnsi"/>
          <w:color w:val="000000" w:themeColor="text1"/>
          <w:kern w:val="0"/>
          <w:sz w:val="22"/>
          <w:szCs w:val="22"/>
          <w:lang w:val="en-GB"/>
        </w:rPr>
        <w:t xml:space="preserve"> and Alisha Rankin’s 'Telling time through medicine: A gendered perspective', a chapter in the 2018 compilation </w:t>
      </w:r>
      <w:r w:rsidRPr="006305A8">
        <w:rPr>
          <w:rFonts w:asciiTheme="majorHAnsi" w:eastAsiaTheme="majorEastAsia" w:hAnsiTheme="majorHAnsi" w:cstheme="majorHAnsi"/>
          <w:i/>
          <w:iCs/>
          <w:color w:val="000000" w:themeColor="text1"/>
          <w:kern w:val="0"/>
          <w:sz w:val="22"/>
          <w:szCs w:val="22"/>
          <w:lang w:val="en-GB"/>
        </w:rPr>
        <w:t>Gendered Temporalities in the Early Modern World</w:t>
      </w:r>
      <w:r w:rsidRPr="006305A8">
        <w:rPr>
          <w:rFonts w:asciiTheme="majorHAnsi" w:eastAsiaTheme="majorEastAsia" w:hAnsiTheme="majorHAnsi" w:cstheme="majorHAnsi"/>
          <w:color w:val="000000" w:themeColor="text1"/>
          <w:kern w:val="0"/>
          <w:sz w:val="22"/>
          <w:szCs w:val="22"/>
          <w:lang w:val="en-GB"/>
        </w:rPr>
        <w:t>.</w:t>
      </w:r>
      <w:r w:rsidR="00A70C19" w:rsidRPr="006305A8">
        <w:rPr>
          <w:rStyle w:val="FootnoteReference"/>
          <w:rFonts w:asciiTheme="majorHAnsi" w:eastAsiaTheme="majorEastAsia" w:hAnsiTheme="majorHAnsi" w:cstheme="majorHAnsi"/>
          <w:color w:val="000000" w:themeColor="text1"/>
          <w:kern w:val="0"/>
          <w:sz w:val="22"/>
          <w:szCs w:val="22"/>
          <w:lang w:val="en-GB"/>
        </w:rPr>
        <w:footnoteReference w:id="2"/>
      </w:r>
      <w:r w:rsidRPr="006305A8">
        <w:rPr>
          <w:rFonts w:asciiTheme="majorHAnsi" w:eastAsiaTheme="majorEastAsia" w:hAnsiTheme="majorHAnsi" w:cstheme="majorHAnsi"/>
          <w:color w:val="000000" w:themeColor="text1"/>
          <w:kern w:val="0"/>
          <w:sz w:val="22"/>
          <w:szCs w:val="22"/>
          <w:lang w:val="en-GB"/>
        </w:rPr>
        <w:t xml:space="preserve"> </w:t>
      </w:r>
      <w:r w:rsidR="002B0E25" w:rsidRPr="006305A8">
        <w:rPr>
          <w:rFonts w:asciiTheme="majorHAnsi" w:eastAsiaTheme="majorEastAsia" w:hAnsiTheme="majorHAnsi" w:cstheme="majorHAnsi"/>
          <w:color w:val="000000" w:themeColor="text1"/>
          <w:kern w:val="0"/>
          <w:sz w:val="22"/>
          <w:szCs w:val="22"/>
          <w:lang w:val="en-GB"/>
        </w:rPr>
        <w:t>It begins</w:t>
      </w:r>
      <w:r w:rsidRPr="006305A8">
        <w:rPr>
          <w:rFonts w:asciiTheme="majorHAnsi" w:eastAsiaTheme="majorEastAsia" w:hAnsiTheme="majorHAnsi" w:cstheme="majorHAnsi"/>
          <w:color w:val="000000" w:themeColor="text1"/>
          <w:kern w:val="0"/>
          <w:sz w:val="22"/>
          <w:szCs w:val="22"/>
          <w:lang w:val="en-GB"/>
        </w:rPr>
        <w:t xml:space="preserve"> with a brief description of the two papers</w:t>
      </w:r>
      <w:r w:rsidR="006125D0" w:rsidRPr="006305A8">
        <w:rPr>
          <w:rFonts w:asciiTheme="majorHAnsi" w:eastAsiaTheme="majorEastAsia" w:hAnsiTheme="majorHAnsi" w:cstheme="majorHAnsi"/>
          <w:color w:val="000000" w:themeColor="text1"/>
          <w:kern w:val="0"/>
          <w:sz w:val="22"/>
          <w:szCs w:val="22"/>
          <w:lang w:val="en-GB"/>
        </w:rPr>
        <w:t>,</w:t>
      </w:r>
      <w:r w:rsidRPr="006305A8">
        <w:rPr>
          <w:rFonts w:asciiTheme="majorHAnsi" w:eastAsiaTheme="majorEastAsia" w:hAnsiTheme="majorHAnsi" w:cstheme="majorHAnsi"/>
          <w:color w:val="000000" w:themeColor="text1"/>
          <w:kern w:val="0"/>
          <w:sz w:val="22"/>
          <w:szCs w:val="22"/>
          <w:lang w:val="en-GB"/>
        </w:rPr>
        <w:t xml:space="preserve"> their authors, </w:t>
      </w:r>
      <w:r w:rsidR="006125D0" w:rsidRPr="006305A8">
        <w:rPr>
          <w:rFonts w:asciiTheme="majorHAnsi" w:eastAsiaTheme="majorEastAsia" w:hAnsiTheme="majorHAnsi" w:cstheme="majorHAnsi"/>
          <w:color w:val="000000" w:themeColor="text1"/>
          <w:kern w:val="0"/>
          <w:sz w:val="22"/>
          <w:szCs w:val="22"/>
          <w:lang w:val="en-GB"/>
        </w:rPr>
        <w:t>and</w:t>
      </w:r>
      <w:r w:rsidRPr="006305A8">
        <w:rPr>
          <w:rFonts w:asciiTheme="majorHAnsi" w:eastAsiaTheme="majorEastAsia" w:hAnsiTheme="majorHAnsi" w:cstheme="majorHAnsi"/>
          <w:color w:val="000000" w:themeColor="text1"/>
          <w:kern w:val="0"/>
          <w:sz w:val="22"/>
          <w:szCs w:val="22"/>
          <w:lang w:val="en-GB"/>
        </w:rPr>
        <w:t xml:space="preserve"> the publications in which the</w:t>
      </w:r>
      <w:r w:rsidR="006125D0" w:rsidRPr="006305A8">
        <w:rPr>
          <w:rFonts w:asciiTheme="majorHAnsi" w:eastAsiaTheme="majorEastAsia" w:hAnsiTheme="majorHAnsi" w:cstheme="majorHAnsi"/>
          <w:color w:val="000000" w:themeColor="text1"/>
          <w:kern w:val="0"/>
          <w:sz w:val="22"/>
          <w:szCs w:val="22"/>
          <w:lang w:val="en-GB"/>
        </w:rPr>
        <w:t xml:space="preserve">y </w:t>
      </w:r>
      <w:r w:rsidRPr="006305A8">
        <w:rPr>
          <w:rFonts w:asciiTheme="majorHAnsi" w:eastAsiaTheme="majorEastAsia" w:hAnsiTheme="majorHAnsi" w:cstheme="majorHAnsi"/>
          <w:color w:val="000000" w:themeColor="text1"/>
          <w:kern w:val="0"/>
          <w:sz w:val="22"/>
          <w:szCs w:val="22"/>
          <w:lang w:val="en-GB"/>
        </w:rPr>
        <w:t xml:space="preserve">appeared. It will then define the keywords ‘astrology’ and ‘culture’ before summarizing how the </w:t>
      </w:r>
      <w:r w:rsidR="006815E0" w:rsidRPr="006305A8">
        <w:rPr>
          <w:rFonts w:asciiTheme="majorHAnsi" w:eastAsiaTheme="majorEastAsia" w:hAnsiTheme="majorHAnsi" w:cstheme="majorHAnsi"/>
          <w:color w:val="000000" w:themeColor="text1"/>
          <w:kern w:val="0"/>
          <w:sz w:val="22"/>
          <w:szCs w:val="22"/>
          <w:lang w:val="en-GB"/>
        </w:rPr>
        <w:t xml:space="preserve">two </w:t>
      </w:r>
      <w:r w:rsidRPr="006305A8">
        <w:rPr>
          <w:rFonts w:asciiTheme="majorHAnsi" w:eastAsiaTheme="majorEastAsia" w:hAnsiTheme="majorHAnsi" w:cstheme="majorHAnsi"/>
          <w:color w:val="000000" w:themeColor="text1"/>
          <w:kern w:val="0"/>
          <w:sz w:val="22"/>
          <w:szCs w:val="22"/>
          <w:lang w:val="en-GB"/>
        </w:rPr>
        <w:t>papers address the</w:t>
      </w:r>
      <w:r w:rsidR="007A06BB" w:rsidRPr="006305A8">
        <w:rPr>
          <w:rFonts w:asciiTheme="majorHAnsi" w:eastAsiaTheme="majorEastAsia" w:hAnsiTheme="majorHAnsi" w:cstheme="majorHAnsi"/>
          <w:color w:val="000000" w:themeColor="text1"/>
          <w:kern w:val="0"/>
          <w:sz w:val="22"/>
          <w:szCs w:val="22"/>
          <w:lang w:val="en-GB"/>
        </w:rPr>
        <w:t>se</w:t>
      </w:r>
      <w:r w:rsidRPr="006305A8">
        <w:rPr>
          <w:rFonts w:asciiTheme="majorHAnsi" w:eastAsiaTheme="majorEastAsia" w:hAnsiTheme="majorHAnsi" w:cstheme="majorHAnsi"/>
          <w:color w:val="000000" w:themeColor="text1"/>
          <w:kern w:val="0"/>
          <w:sz w:val="22"/>
          <w:szCs w:val="22"/>
          <w:lang w:val="en-GB"/>
        </w:rPr>
        <w:t xml:space="preserve"> topics </w:t>
      </w:r>
      <w:r w:rsidR="006815E0" w:rsidRPr="006305A8">
        <w:rPr>
          <w:rFonts w:asciiTheme="majorHAnsi" w:eastAsiaTheme="majorEastAsia" w:hAnsiTheme="majorHAnsi" w:cstheme="majorHAnsi"/>
          <w:color w:val="000000" w:themeColor="text1"/>
          <w:kern w:val="0"/>
          <w:sz w:val="22"/>
          <w:szCs w:val="22"/>
          <w:lang w:val="en-GB"/>
        </w:rPr>
        <w:t>as they relate</w:t>
      </w:r>
      <w:r w:rsidRPr="006305A8">
        <w:rPr>
          <w:rFonts w:asciiTheme="majorHAnsi" w:eastAsiaTheme="majorEastAsia" w:hAnsiTheme="majorHAnsi" w:cstheme="majorHAnsi"/>
          <w:color w:val="000000" w:themeColor="text1"/>
          <w:kern w:val="0"/>
          <w:sz w:val="22"/>
          <w:szCs w:val="22"/>
          <w:lang w:val="en-GB"/>
        </w:rPr>
        <w:t xml:space="preserve"> to time and the medical profession in early modern history. </w:t>
      </w:r>
    </w:p>
    <w:p w14:paraId="6FDADD93" w14:textId="77777777"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p>
    <w:p w14:paraId="70DD4A9C" w14:textId="6DE94F93" w:rsidR="001F5F78" w:rsidRPr="006305A8"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sz w:val="22"/>
          <w:szCs w:val="22"/>
          <w:lang w:val="en-GB"/>
        </w:rPr>
      </w:pPr>
      <w:r w:rsidRPr="006305A8">
        <w:rPr>
          <w:rFonts w:asciiTheme="majorHAnsi" w:eastAsiaTheme="majorEastAsia" w:hAnsiTheme="majorHAnsi" w:cstheme="majorHAnsi"/>
          <w:b/>
          <w:bCs/>
          <w:color w:val="000000" w:themeColor="text1"/>
          <w:kern w:val="0"/>
          <w:sz w:val="22"/>
          <w:szCs w:val="22"/>
          <w:lang w:val="en-GB"/>
        </w:rPr>
        <w:t>Anatomizing the Past with Nancy Siraisi</w:t>
      </w:r>
    </w:p>
    <w:p w14:paraId="101D87AD" w14:textId="3B039F90"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'Anatomizing the Past’ was the 1999 Josephine Waters Bennett Lecture</w:t>
      </w:r>
      <w:r w:rsidR="0083648E"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color w:val="000000" w:themeColor="text1"/>
          <w:kern w:val="0"/>
          <w:sz w:val="22"/>
          <w:szCs w:val="22"/>
          <w:lang w:val="en-GB"/>
        </w:rPr>
        <w:t xml:space="preserve">published in 2000 by Cambridge University Press in the </w:t>
      </w:r>
      <w:r w:rsidRPr="006305A8">
        <w:rPr>
          <w:rFonts w:asciiTheme="majorHAnsi" w:eastAsiaTheme="majorEastAsia" w:hAnsiTheme="majorHAnsi" w:cstheme="majorHAnsi"/>
          <w:i/>
          <w:iCs/>
          <w:color w:val="000000" w:themeColor="text1"/>
          <w:kern w:val="0"/>
          <w:sz w:val="22"/>
          <w:szCs w:val="22"/>
          <w:lang w:val="en-GB"/>
        </w:rPr>
        <w:t>Renaissance Quarterly</w:t>
      </w:r>
      <w:r w:rsidRPr="006305A8">
        <w:rPr>
          <w:rFonts w:asciiTheme="majorHAnsi" w:eastAsiaTheme="majorEastAsia" w:hAnsiTheme="majorHAnsi" w:cstheme="majorHAnsi"/>
          <w:color w:val="000000" w:themeColor="text1"/>
          <w:kern w:val="0"/>
          <w:sz w:val="22"/>
          <w:szCs w:val="22"/>
          <w:lang w:val="en-GB"/>
        </w:rPr>
        <w:t xml:space="preserve">, the official publication of the Renaissance Society of America. </w:t>
      </w:r>
      <w:r w:rsidRPr="006305A8">
        <w:rPr>
          <w:rFonts w:asciiTheme="majorHAnsi" w:eastAsiaTheme="majorEastAsia" w:hAnsiTheme="majorHAnsi" w:cstheme="majorHAnsi"/>
          <w:i/>
          <w:iCs/>
          <w:color w:val="000000" w:themeColor="text1"/>
          <w:kern w:val="0"/>
          <w:sz w:val="22"/>
          <w:szCs w:val="22"/>
          <w:lang w:val="en-GB"/>
        </w:rPr>
        <w:t>Renaissance Quarterly</w:t>
      </w:r>
      <w:r w:rsidRPr="006305A8">
        <w:rPr>
          <w:rFonts w:asciiTheme="majorHAnsi" w:eastAsiaTheme="majorEastAsia" w:hAnsiTheme="majorHAnsi" w:cstheme="majorHAnsi"/>
          <w:color w:val="000000" w:themeColor="text1"/>
          <w:kern w:val="0"/>
          <w:sz w:val="22"/>
          <w:szCs w:val="22"/>
          <w:lang w:val="en-GB"/>
        </w:rPr>
        <w:t xml:space="preserve"> </w:t>
      </w:r>
      <w:r w:rsidR="00454BAE" w:rsidRPr="006305A8">
        <w:rPr>
          <w:rFonts w:asciiTheme="majorHAnsi" w:eastAsiaTheme="majorEastAsia" w:hAnsiTheme="majorHAnsi" w:cstheme="majorHAnsi"/>
          <w:color w:val="000000" w:themeColor="text1"/>
          <w:kern w:val="0"/>
          <w:sz w:val="22"/>
          <w:szCs w:val="22"/>
          <w:lang w:val="en-GB"/>
        </w:rPr>
        <w:t>features</w:t>
      </w:r>
      <w:r w:rsidRPr="006305A8">
        <w:rPr>
          <w:rFonts w:asciiTheme="majorHAnsi" w:eastAsiaTheme="majorEastAsia" w:hAnsiTheme="majorHAnsi" w:cstheme="majorHAnsi"/>
          <w:color w:val="000000" w:themeColor="text1"/>
          <w:kern w:val="0"/>
          <w:sz w:val="22"/>
          <w:szCs w:val="22"/>
          <w:lang w:val="en-GB"/>
        </w:rPr>
        <w:t xml:space="preserve"> articles from a variety of disciplines as they appeal to the Renaissance and its afterlife.</w:t>
      </w:r>
      <w:r w:rsidR="00134E0E" w:rsidRPr="006305A8">
        <w:rPr>
          <w:rStyle w:val="FootnoteReference"/>
          <w:rFonts w:asciiTheme="majorHAnsi" w:eastAsiaTheme="majorEastAsia" w:hAnsiTheme="majorHAnsi" w:cstheme="majorHAnsi"/>
          <w:color w:val="000000" w:themeColor="text1"/>
          <w:kern w:val="0"/>
          <w:sz w:val="22"/>
          <w:szCs w:val="22"/>
          <w:lang w:val="en-GB"/>
        </w:rPr>
        <w:footnoteReference w:id="3"/>
      </w:r>
      <w:r w:rsidRPr="006305A8">
        <w:rPr>
          <w:rFonts w:asciiTheme="majorHAnsi" w:eastAsiaTheme="majorEastAsia" w:hAnsiTheme="majorHAnsi" w:cstheme="majorHAnsi"/>
          <w:color w:val="000000" w:themeColor="text1"/>
          <w:kern w:val="0"/>
          <w:sz w:val="22"/>
          <w:szCs w:val="22"/>
          <w:lang w:val="en-GB"/>
        </w:rPr>
        <w:t xml:space="preserve"> Other articles </w:t>
      </w:r>
      <w:r w:rsidR="006E7888" w:rsidRPr="006305A8">
        <w:rPr>
          <w:rFonts w:asciiTheme="majorHAnsi" w:eastAsiaTheme="majorEastAsia" w:hAnsiTheme="majorHAnsi" w:cstheme="majorHAnsi"/>
          <w:color w:val="000000" w:themeColor="text1"/>
          <w:kern w:val="0"/>
          <w:sz w:val="22"/>
          <w:szCs w:val="22"/>
          <w:lang w:val="en-GB"/>
        </w:rPr>
        <w:t>included</w:t>
      </w:r>
      <w:r w:rsidRPr="006305A8">
        <w:rPr>
          <w:rFonts w:asciiTheme="majorHAnsi" w:eastAsiaTheme="majorEastAsia" w:hAnsiTheme="majorHAnsi" w:cstheme="majorHAnsi"/>
          <w:color w:val="000000" w:themeColor="text1"/>
          <w:kern w:val="0"/>
          <w:sz w:val="22"/>
          <w:szCs w:val="22"/>
          <w:lang w:val="en-GB"/>
        </w:rPr>
        <w:t xml:space="preserve"> in the Spring 2000 issue of </w:t>
      </w:r>
      <w:r w:rsidRPr="006305A8">
        <w:rPr>
          <w:rFonts w:asciiTheme="majorHAnsi" w:eastAsiaTheme="majorEastAsia" w:hAnsiTheme="majorHAnsi" w:cstheme="majorHAnsi"/>
          <w:i/>
          <w:iCs/>
          <w:color w:val="000000" w:themeColor="text1"/>
          <w:kern w:val="0"/>
          <w:sz w:val="22"/>
          <w:szCs w:val="22"/>
          <w:lang w:val="en-GB"/>
        </w:rPr>
        <w:t>Renaissance Quarterly</w:t>
      </w:r>
      <w:r w:rsidRPr="006305A8">
        <w:rPr>
          <w:rFonts w:asciiTheme="majorHAnsi" w:eastAsiaTheme="majorEastAsia" w:hAnsiTheme="majorHAnsi" w:cstheme="majorHAnsi"/>
          <w:color w:val="000000" w:themeColor="text1"/>
          <w:kern w:val="0"/>
          <w:sz w:val="22"/>
          <w:szCs w:val="22"/>
          <w:lang w:val="en-GB"/>
        </w:rPr>
        <w:t xml:space="preserve"> address topics like </w:t>
      </w:r>
      <w:r w:rsidR="00C35C6C" w:rsidRPr="006305A8">
        <w:rPr>
          <w:rFonts w:asciiTheme="majorHAnsi" w:eastAsiaTheme="majorEastAsia" w:hAnsiTheme="majorHAnsi" w:cstheme="majorHAnsi"/>
          <w:color w:val="000000" w:themeColor="text1"/>
          <w:kern w:val="0"/>
          <w:sz w:val="22"/>
          <w:szCs w:val="22"/>
          <w:lang w:val="en-GB"/>
        </w:rPr>
        <w:t xml:space="preserve">humanism and scholasticism, </w:t>
      </w:r>
      <w:r w:rsidRPr="006305A8">
        <w:rPr>
          <w:rFonts w:asciiTheme="majorHAnsi" w:eastAsiaTheme="majorEastAsia" w:hAnsiTheme="majorHAnsi" w:cstheme="majorHAnsi"/>
          <w:color w:val="000000" w:themeColor="text1"/>
          <w:kern w:val="0"/>
          <w:sz w:val="22"/>
          <w:szCs w:val="22"/>
          <w:lang w:val="en-GB"/>
        </w:rPr>
        <w:t xml:space="preserve">typology and women’s genealogy, </w:t>
      </w:r>
      <w:r w:rsidR="00C35C6C" w:rsidRPr="006305A8">
        <w:rPr>
          <w:rFonts w:asciiTheme="majorHAnsi" w:eastAsiaTheme="majorEastAsia" w:hAnsiTheme="majorHAnsi" w:cstheme="majorHAnsi"/>
          <w:color w:val="000000" w:themeColor="text1"/>
          <w:kern w:val="0"/>
          <w:sz w:val="22"/>
          <w:szCs w:val="22"/>
          <w:lang w:val="en-GB"/>
        </w:rPr>
        <w:t xml:space="preserve">sexuality </w:t>
      </w:r>
      <w:r w:rsidRPr="006305A8">
        <w:rPr>
          <w:rFonts w:asciiTheme="majorHAnsi" w:eastAsiaTheme="majorEastAsia" w:hAnsiTheme="majorHAnsi" w:cstheme="majorHAnsi"/>
          <w:color w:val="000000" w:themeColor="text1"/>
          <w:kern w:val="0"/>
          <w:sz w:val="22"/>
          <w:szCs w:val="22"/>
          <w:lang w:val="en-GB"/>
        </w:rPr>
        <w:t>and Galileo’s telescope.</w:t>
      </w:r>
      <w:r w:rsidR="0094281A" w:rsidRPr="006305A8">
        <w:rPr>
          <w:rStyle w:val="FootnoteReference"/>
          <w:rFonts w:asciiTheme="majorHAnsi" w:eastAsiaTheme="majorEastAsia" w:hAnsiTheme="majorHAnsi" w:cstheme="majorHAnsi"/>
          <w:color w:val="000000" w:themeColor="text1"/>
          <w:kern w:val="0"/>
          <w:sz w:val="22"/>
          <w:szCs w:val="22"/>
          <w:lang w:val="en-GB"/>
        </w:rPr>
        <w:footnoteReference w:id="4"/>
      </w:r>
      <w:r w:rsidRPr="006305A8">
        <w:rPr>
          <w:rFonts w:asciiTheme="majorHAnsi" w:eastAsiaTheme="majorEastAsia" w:hAnsiTheme="majorHAnsi" w:cstheme="majorHAnsi"/>
          <w:color w:val="000000" w:themeColor="text1"/>
          <w:kern w:val="0"/>
          <w:sz w:val="22"/>
          <w:szCs w:val="22"/>
          <w:lang w:val="en-GB"/>
        </w:rPr>
        <w:t xml:space="preserve"> At the time the article</w:t>
      </w:r>
      <w:r w:rsidR="00527352" w:rsidRPr="006305A8">
        <w:rPr>
          <w:rFonts w:asciiTheme="majorHAnsi" w:eastAsiaTheme="majorEastAsia" w:hAnsiTheme="majorHAnsi" w:cstheme="majorHAnsi"/>
          <w:color w:val="000000" w:themeColor="text1"/>
          <w:kern w:val="0"/>
          <w:sz w:val="22"/>
          <w:szCs w:val="22"/>
          <w:lang w:val="en-GB"/>
        </w:rPr>
        <w:t xml:space="preserve"> wa</w:t>
      </w:r>
      <w:r w:rsidRPr="006305A8">
        <w:rPr>
          <w:rFonts w:asciiTheme="majorHAnsi" w:eastAsiaTheme="majorEastAsia" w:hAnsiTheme="majorHAnsi" w:cstheme="majorHAnsi"/>
          <w:color w:val="000000" w:themeColor="text1"/>
          <w:kern w:val="0"/>
          <w:sz w:val="22"/>
          <w:szCs w:val="22"/>
          <w:lang w:val="en-GB"/>
        </w:rPr>
        <w:t>s publi</w:t>
      </w:r>
      <w:r w:rsidR="00527352" w:rsidRPr="006305A8">
        <w:rPr>
          <w:rFonts w:asciiTheme="majorHAnsi" w:eastAsiaTheme="majorEastAsia" w:hAnsiTheme="majorHAnsi" w:cstheme="majorHAnsi"/>
          <w:color w:val="000000" w:themeColor="text1"/>
          <w:kern w:val="0"/>
          <w:sz w:val="22"/>
          <w:szCs w:val="22"/>
          <w:lang w:val="en-GB"/>
        </w:rPr>
        <w:t>shed</w:t>
      </w:r>
      <w:r w:rsidRPr="006305A8">
        <w:rPr>
          <w:rFonts w:asciiTheme="majorHAnsi" w:eastAsiaTheme="majorEastAsia" w:hAnsiTheme="majorHAnsi" w:cstheme="majorHAnsi"/>
          <w:color w:val="000000" w:themeColor="text1"/>
          <w:kern w:val="0"/>
          <w:sz w:val="22"/>
          <w:szCs w:val="22"/>
          <w:lang w:val="en-GB"/>
        </w:rPr>
        <w:t>, Nancy Siraisi was a historian of medicine and a professor of history at Hunter College and the Graduate Center at the City University of New York.</w:t>
      </w:r>
      <w:r w:rsidR="00016E2D" w:rsidRPr="006305A8">
        <w:rPr>
          <w:rStyle w:val="FootnoteReference"/>
          <w:rFonts w:asciiTheme="majorHAnsi" w:eastAsiaTheme="majorEastAsia" w:hAnsiTheme="majorHAnsi" w:cstheme="majorHAnsi"/>
          <w:color w:val="000000" w:themeColor="text1"/>
          <w:kern w:val="0"/>
          <w:sz w:val="22"/>
          <w:szCs w:val="22"/>
          <w:lang w:val="en-GB"/>
        </w:rPr>
        <w:footnoteReference w:id="5"/>
      </w:r>
    </w:p>
    <w:p w14:paraId="57EAAD6C" w14:textId="3BF1D969" w:rsidR="001F5F78" w:rsidRPr="006305A8" w:rsidRDefault="001F5F78" w:rsidP="002C50EC">
      <w:pPr>
        <w:autoSpaceDE w:val="0"/>
        <w:autoSpaceDN w:val="0"/>
        <w:adjustRightInd w:val="0"/>
        <w:spacing w:before="120" w:after="120"/>
        <w:ind w:firstLine="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This article focuses on the role of Renaissance physicians in reading and writing history, as well as the intellectual nature of medicine and medical culture. Siraisi explores the topics of humanism, narrative history and astrology as they apply to the medical profession in shaping history.</w:t>
      </w:r>
      <w:r w:rsidR="001C1E3A" w:rsidRPr="006305A8">
        <w:rPr>
          <w:rStyle w:val="FootnoteReference"/>
          <w:rFonts w:asciiTheme="majorHAnsi" w:eastAsiaTheme="majorEastAsia" w:hAnsiTheme="majorHAnsi" w:cstheme="majorHAnsi"/>
          <w:color w:val="000000" w:themeColor="text1"/>
          <w:kern w:val="0"/>
          <w:sz w:val="22"/>
          <w:szCs w:val="22"/>
          <w:lang w:val="en-GB"/>
        </w:rPr>
        <w:footnoteReference w:id="6"/>
      </w:r>
      <w:r w:rsidRPr="006305A8">
        <w:rPr>
          <w:rFonts w:asciiTheme="majorHAnsi" w:eastAsiaTheme="majorEastAsia" w:hAnsiTheme="majorHAnsi" w:cstheme="majorHAnsi"/>
          <w:color w:val="000000" w:themeColor="text1"/>
          <w:kern w:val="0"/>
          <w:sz w:val="22"/>
          <w:szCs w:val="22"/>
          <w:lang w:val="en-GB"/>
        </w:rPr>
        <w:t xml:space="preserve"> In ‘Anatomizing the Past’, Siraisi expects the reader to have a level of familiarity with Renaissance history and medical culture. For example, when she introduces Latin words like </w:t>
      </w:r>
      <w:r w:rsidRPr="006305A8">
        <w:rPr>
          <w:rFonts w:asciiTheme="majorHAnsi" w:eastAsiaTheme="majorEastAsia" w:hAnsiTheme="majorHAnsi" w:cstheme="majorHAnsi"/>
          <w:i/>
          <w:iCs/>
          <w:color w:val="000000" w:themeColor="text1"/>
          <w:kern w:val="0"/>
          <w:sz w:val="22"/>
          <w:szCs w:val="22"/>
          <w:lang w:val="en-GB"/>
        </w:rPr>
        <w:t>vera narratio</w:t>
      </w:r>
      <w:r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i/>
          <w:iCs/>
          <w:color w:val="000000" w:themeColor="text1"/>
          <w:kern w:val="0"/>
          <w:sz w:val="22"/>
          <w:szCs w:val="22"/>
          <w:lang w:val="en-GB"/>
        </w:rPr>
        <w:t>quaestio</w:t>
      </w:r>
      <w:r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i/>
          <w:iCs/>
          <w:color w:val="000000" w:themeColor="text1"/>
          <w:kern w:val="0"/>
          <w:sz w:val="22"/>
          <w:szCs w:val="22"/>
          <w:lang w:val="en-GB"/>
        </w:rPr>
        <w:t>scientia</w:t>
      </w:r>
      <w:r w:rsidRPr="006305A8">
        <w:rPr>
          <w:rFonts w:asciiTheme="majorHAnsi" w:eastAsiaTheme="majorEastAsia" w:hAnsiTheme="majorHAnsi" w:cstheme="majorHAnsi"/>
          <w:color w:val="000000" w:themeColor="text1"/>
          <w:kern w:val="0"/>
          <w:sz w:val="22"/>
          <w:szCs w:val="22"/>
          <w:lang w:val="en-GB"/>
        </w:rPr>
        <w:t xml:space="preserve"> or </w:t>
      </w:r>
      <w:r w:rsidRPr="006305A8">
        <w:rPr>
          <w:rFonts w:asciiTheme="majorHAnsi" w:eastAsiaTheme="majorEastAsia" w:hAnsiTheme="majorHAnsi" w:cstheme="majorHAnsi"/>
          <w:i/>
          <w:iCs/>
          <w:color w:val="000000" w:themeColor="text1"/>
          <w:kern w:val="0"/>
          <w:sz w:val="22"/>
          <w:szCs w:val="22"/>
          <w:lang w:val="en-GB"/>
        </w:rPr>
        <w:t>ars</w:t>
      </w:r>
      <w:r w:rsidRPr="006305A8">
        <w:rPr>
          <w:rFonts w:asciiTheme="majorHAnsi" w:eastAsiaTheme="majorEastAsia" w:hAnsiTheme="majorHAnsi" w:cstheme="majorHAnsi"/>
          <w:color w:val="000000" w:themeColor="text1"/>
          <w:kern w:val="0"/>
          <w:sz w:val="22"/>
          <w:szCs w:val="22"/>
          <w:lang w:val="en-GB"/>
        </w:rPr>
        <w:t>, Siraisi does not define them for the reader</w:t>
      </w:r>
      <w:r w:rsidR="000A6B25" w:rsidRPr="006305A8">
        <w:rPr>
          <w:rFonts w:asciiTheme="majorHAnsi" w:eastAsiaTheme="majorEastAsia" w:hAnsiTheme="majorHAnsi" w:cstheme="majorHAnsi"/>
          <w:color w:val="000000" w:themeColor="text1"/>
          <w:kern w:val="0"/>
          <w:sz w:val="22"/>
          <w:szCs w:val="22"/>
          <w:lang w:val="en-GB"/>
        </w:rPr>
        <w:t>.</w:t>
      </w:r>
      <w:r w:rsidR="000A6B25" w:rsidRPr="006305A8">
        <w:rPr>
          <w:rStyle w:val="FootnoteReference"/>
          <w:rFonts w:asciiTheme="majorHAnsi" w:eastAsiaTheme="majorEastAsia" w:hAnsiTheme="majorHAnsi" w:cstheme="majorHAnsi"/>
          <w:color w:val="000000" w:themeColor="text1"/>
          <w:kern w:val="0"/>
          <w:sz w:val="22"/>
          <w:szCs w:val="22"/>
          <w:lang w:val="en-GB"/>
        </w:rPr>
        <w:footnoteReference w:id="7"/>
      </w:r>
      <w:r w:rsidRPr="006305A8">
        <w:rPr>
          <w:rFonts w:asciiTheme="majorHAnsi" w:eastAsiaTheme="majorEastAsia" w:hAnsiTheme="majorHAnsi" w:cstheme="majorHAnsi"/>
          <w:color w:val="000000" w:themeColor="text1"/>
          <w:kern w:val="0"/>
          <w:sz w:val="22"/>
          <w:szCs w:val="22"/>
          <w:lang w:val="en-GB"/>
        </w:rPr>
        <w:t xml:space="preserve"> She does, however, define other terms that may be more obscure, like </w:t>
      </w:r>
      <w:r w:rsidRPr="006305A8">
        <w:rPr>
          <w:rFonts w:asciiTheme="majorHAnsi" w:eastAsiaTheme="majorEastAsia" w:hAnsiTheme="majorHAnsi" w:cstheme="majorHAnsi"/>
          <w:i/>
          <w:iCs/>
          <w:color w:val="000000" w:themeColor="text1"/>
          <w:kern w:val="0"/>
          <w:sz w:val="22"/>
          <w:szCs w:val="22"/>
          <w:lang w:val="en-GB"/>
        </w:rPr>
        <w:t>consilia</w:t>
      </w:r>
      <w:r w:rsidRPr="006305A8">
        <w:rPr>
          <w:rFonts w:asciiTheme="majorHAnsi" w:eastAsiaTheme="majorEastAsia" w:hAnsiTheme="majorHAnsi" w:cstheme="majorHAnsi"/>
          <w:color w:val="000000" w:themeColor="text1"/>
          <w:kern w:val="0"/>
          <w:sz w:val="22"/>
          <w:szCs w:val="22"/>
          <w:lang w:val="en-GB"/>
        </w:rPr>
        <w:t>—‘recommendations for treatment, not case histories’</w:t>
      </w:r>
      <w:r w:rsidR="00B97C3A" w:rsidRPr="006305A8">
        <w:rPr>
          <w:rStyle w:val="FootnoteReference"/>
          <w:rFonts w:asciiTheme="majorHAnsi" w:eastAsiaTheme="majorEastAsia" w:hAnsiTheme="majorHAnsi" w:cstheme="majorHAnsi"/>
          <w:color w:val="000000" w:themeColor="text1"/>
          <w:kern w:val="0"/>
          <w:sz w:val="22"/>
          <w:szCs w:val="22"/>
          <w:lang w:val="en-GB"/>
        </w:rPr>
        <w:footnoteReference w:id="8"/>
      </w:r>
      <w:r w:rsidRPr="006305A8">
        <w:rPr>
          <w:rFonts w:asciiTheme="majorHAnsi" w:eastAsiaTheme="majorEastAsia" w:hAnsiTheme="majorHAnsi" w:cstheme="majorHAnsi"/>
          <w:color w:val="000000" w:themeColor="text1"/>
          <w:kern w:val="0"/>
          <w:sz w:val="22"/>
          <w:szCs w:val="22"/>
          <w:lang w:val="en-GB"/>
        </w:rPr>
        <w:t>—but assumes the reader already knows what ‘pseudepigrapha’, ‘doxographical literature’ and ‘medical desiderata’ are, without further explanation.</w:t>
      </w:r>
      <w:r w:rsidR="00B97C3A" w:rsidRPr="006305A8">
        <w:rPr>
          <w:rStyle w:val="FootnoteReference"/>
          <w:rFonts w:asciiTheme="majorHAnsi" w:eastAsiaTheme="majorEastAsia" w:hAnsiTheme="majorHAnsi" w:cstheme="majorHAnsi"/>
          <w:color w:val="000000" w:themeColor="text1"/>
          <w:kern w:val="0"/>
          <w:sz w:val="22"/>
          <w:szCs w:val="22"/>
          <w:lang w:val="en-GB"/>
        </w:rPr>
        <w:footnoteReference w:id="9"/>
      </w:r>
      <w:r w:rsidRPr="006305A8">
        <w:rPr>
          <w:rFonts w:asciiTheme="majorHAnsi" w:eastAsiaTheme="majorEastAsia" w:hAnsiTheme="majorHAnsi" w:cstheme="majorHAnsi"/>
          <w:color w:val="000000" w:themeColor="text1"/>
          <w:kern w:val="0"/>
          <w:sz w:val="22"/>
          <w:szCs w:val="22"/>
          <w:lang w:val="en-GB"/>
        </w:rPr>
        <w:t xml:space="preserve"> Siraisi relies heavily on primary sources from the fifteenth- to early-seventeenth centuries, </w:t>
      </w:r>
      <w:r w:rsidR="006E7888" w:rsidRPr="006305A8">
        <w:rPr>
          <w:rFonts w:asciiTheme="majorHAnsi" w:eastAsiaTheme="majorEastAsia" w:hAnsiTheme="majorHAnsi" w:cstheme="majorHAnsi"/>
          <w:color w:val="000000" w:themeColor="text1"/>
          <w:kern w:val="0"/>
          <w:sz w:val="22"/>
          <w:szCs w:val="22"/>
          <w:lang w:val="en-GB"/>
        </w:rPr>
        <w:lastRenderedPageBreak/>
        <w:t>incorporating</w:t>
      </w:r>
      <w:r w:rsidRPr="006305A8">
        <w:rPr>
          <w:rFonts w:asciiTheme="majorHAnsi" w:eastAsiaTheme="majorEastAsia" w:hAnsiTheme="majorHAnsi" w:cstheme="majorHAnsi"/>
          <w:color w:val="000000" w:themeColor="text1"/>
          <w:kern w:val="0"/>
          <w:sz w:val="22"/>
          <w:szCs w:val="22"/>
          <w:lang w:val="en-GB"/>
        </w:rPr>
        <w:t xml:space="preserve"> several</w:t>
      </w:r>
      <w:r w:rsidR="006E7888" w:rsidRPr="006305A8">
        <w:rPr>
          <w:rFonts w:asciiTheme="majorHAnsi" w:eastAsiaTheme="majorEastAsia" w:hAnsiTheme="majorHAnsi" w:cstheme="majorHAnsi"/>
          <w:color w:val="000000" w:themeColor="text1"/>
          <w:kern w:val="0"/>
          <w:sz w:val="22"/>
          <w:szCs w:val="22"/>
          <w:lang w:val="en-GB"/>
        </w:rPr>
        <w:t xml:space="preserve"> texts translated from</w:t>
      </w:r>
      <w:r w:rsidR="00A90244" w:rsidRPr="006305A8">
        <w:rPr>
          <w:rFonts w:asciiTheme="majorHAnsi" w:eastAsiaTheme="majorEastAsia" w:hAnsiTheme="majorHAnsi" w:cstheme="majorHAnsi"/>
          <w:color w:val="000000" w:themeColor="text1"/>
          <w:kern w:val="0"/>
          <w:sz w:val="22"/>
          <w:szCs w:val="22"/>
          <w:lang w:val="en-GB"/>
        </w:rPr>
        <w:t xml:space="preserve"> French,</w:t>
      </w:r>
      <w:r w:rsidRPr="006305A8">
        <w:rPr>
          <w:rFonts w:asciiTheme="majorHAnsi" w:eastAsiaTheme="majorEastAsia" w:hAnsiTheme="majorHAnsi" w:cstheme="majorHAnsi"/>
          <w:color w:val="000000" w:themeColor="text1"/>
          <w:kern w:val="0"/>
          <w:sz w:val="22"/>
          <w:szCs w:val="22"/>
          <w:lang w:val="en-GB"/>
        </w:rPr>
        <w:t xml:space="preserve"> Italian</w:t>
      </w:r>
      <w:r w:rsidR="00A90244"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color w:val="000000" w:themeColor="text1"/>
          <w:kern w:val="0"/>
          <w:sz w:val="22"/>
          <w:szCs w:val="22"/>
          <w:lang w:val="en-GB"/>
        </w:rPr>
        <w:t>and Latin</w:t>
      </w:r>
      <w:r w:rsidR="005F487F" w:rsidRPr="006305A8">
        <w:rPr>
          <w:rFonts w:asciiTheme="majorHAnsi" w:eastAsiaTheme="majorEastAsia" w:hAnsiTheme="majorHAnsi" w:cstheme="majorHAnsi"/>
          <w:color w:val="000000" w:themeColor="text1"/>
          <w:kern w:val="0"/>
          <w:sz w:val="22"/>
          <w:szCs w:val="22"/>
          <w:lang w:val="en-GB"/>
        </w:rPr>
        <w:t>;</w:t>
      </w:r>
      <w:r w:rsidR="0054727B" w:rsidRPr="006305A8">
        <w:rPr>
          <w:rFonts w:asciiTheme="majorHAnsi" w:eastAsiaTheme="majorEastAsia" w:hAnsiTheme="majorHAnsi" w:cstheme="majorHAnsi"/>
          <w:color w:val="000000" w:themeColor="text1"/>
          <w:kern w:val="0"/>
          <w:sz w:val="22"/>
          <w:szCs w:val="22"/>
          <w:lang w:val="en-GB"/>
        </w:rPr>
        <w:t xml:space="preserve"> </w:t>
      </w:r>
      <w:r w:rsidR="003E2D97" w:rsidRPr="006305A8">
        <w:rPr>
          <w:rFonts w:asciiTheme="majorHAnsi" w:eastAsiaTheme="majorEastAsia" w:hAnsiTheme="majorHAnsi" w:cstheme="majorHAnsi"/>
          <w:color w:val="000000" w:themeColor="text1"/>
          <w:kern w:val="0"/>
          <w:sz w:val="22"/>
          <w:szCs w:val="22"/>
          <w:lang w:val="en-GB"/>
        </w:rPr>
        <w:t>she uses</w:t>
      </w:r>
      <w:r w:rsidR="0054727B" w:rsidRPr="006305A8">
        <w:rPr>
          <w:rFonts w:asciiTheme="majorHAnsi" w:eastAsiaTheme="majorEastAsia" w:hAnsiTheme="majorHAnsi" w:cstheme="majorHAnsi"/>
          <w:color w:val="000000" w:themeColor="text1"/>
          <w:kern w:val="0"/>
          <w:sz w:val="22"/>
          <w:szCs w:val="22"/>
          <w:lang w:val="en-GB"/>
        </w:rPr>
        <w:t xml:space="preserve"> English</w:t>
      </w:r>
      <w:r w:rsidR="007D32B8" w:rsidRPr="006305A8">
        <w:rPr>
          <w:rFonts w:asciiTheme="majorHAnsi" w:eastAsiaTheme="majorEastAsia" w:hAnsiTheme="majorHAnsi" w:cstheme="majorHAnsi"/>
          <w:color w:val="000000" w:themeColor="text1"/>
          <w:kern w:val="0"/>
          <w:sz w:val="22"/>
          <w:szCs w:val="22"/>
          <w:lang w:val="en-GB"/>
        </w:rPr>
        <w:t xml:space="preserve"> translations </w:t>
      </w:r>
      <w:r w:rsidR="005F487F" w:rsidRPr="006305A8">
        <w:rPr>
          <w:rFonts w:asciiTheme="majorHAnsi" w:eastAsiaTheme="majorEastAsia" w:hAnsiTheme="majorHAnsi" w:cstheme="majorHAnsi"/>
          <w:color w:val="000000" w:themeColor="text1"/>
          <w:kern w:val="0"/>
          <w:sz w:val="22"/>
          <w:szCs w:val="22"/>
          <w:lang w:val="en-GB"/>
        </w:rPr>
        <w:t>in</w:t>
      </w:r>
      <w:r w:rsidR="007D32B8" w:rsidRPr="006305A8">
        <w:rPr>
          <w:rFonts w:asciiTheme="majorHAnsi" w:eastAsiaTheme="majorEastAsia" w:hAnsiTheme="majorHAnsi" w:cstheme="majorHAnsi"/>
          <w:color w:val="000000" w:themeColor="text1"/>
          <w:kern w:val="0"/>
          <w:sz w:val="22"/>
          <w:szCs w:val="22"/>
          <w:lang w:val="en-GB"/>
        </w:rPr>
        <w:t xml:space="preserve"> the body of the article and </w:t>
      </w:r>
      <w:r w:rsidR="00245D69" w:rsidRPr="006305A8">
        <w:rPr>
          <w:rFonts w:asciiTheme="majorHAnsi" w:eastAsiaTheme="majorEastAsia" w:hAnsiTheme="majorHAnsi" w:cstheme="majorHAnsi"/>
          <w:color w:val="000000" w:themeColor="text1"/>
          <w:kern w:val="0"/>
          <w:sz w:val="22"/>
          <w:szCs w:val="22"/>
          <w:lang w:val="en-GB"/>
        </w:rPr>
        <w:t xml:space="preserve">refers to </w:t>
      </w:r>
      <w:r w:rsidR="007D32B8" w:rsidRPr="006305A8">
        <w:rPr>
          <w:rFonts w:asciiTheme="majorHAnsi" w:eastAsiaTheme="majorEastAsia" w:hAnsiTheme="majorHAnsi" w:cstheme="majorHAnsi"/>
          <w:color w:val="000000" w:themeColor="text1"/>
          <w:kern w:val="0"/>
          <w:sz w:val="22"/>
          <w:szCs w:val="22"/>
          <w:lang w:val="en-GB"/>
        </w:rPr>
        <w:t xml:space="preserve">the </w:t>
      </w:r>
      <w:r w:rsidRPr="006305A8">
        <w:rPr>
          <w:rFonts w:asciiTheme="majorHAnsi" w:eastAsiaTheme="majorEastAsia" w:hAnsiTheme="majorHAnsi" w:cstheme="majorHAnsi"/>
          <w:color w:val="000000" w:themeColor="text1"/>
          <w:kern w:val="0"/>
          <w:sz w:val="22"/>
          <w:szCs w:val="22"/>
          <w:lang w:val="en-GB"/>
        </w:rPr>
        <w:t>original</w:t>
      </w:r>
      <w:r w:rsidR="007649F4" w:rsidRPr="006305A8">
        <w:rPr>
          <w:rFonts w:asciiTheme="majorHAnsi" w:eastAsiaTheme="majorEastAsia" w:hAnsiTheme="majorHAnsi" w:cstheme="majorHAnsi"/>
          <w:color w:val="000000" w:themeColor="text1"/>
          <w:kern w:val="0"/>
          <w:sz w:val="22"/>
          <w:szCs w:val="22"/>
          <w:lang w:val="en-GB"/>
        </w:rPr>
        <w:t>-language</w:t>
      </w:r>
      <w:r w:rsidRPr="006305A8">
        <w:rPr>
          <w:rFonts w:asciiTheme="majorHAnsi" w:eastAsiaTheme="majorEastAsia" w:hAnsiTheme="majorHAnsi" w:cstheme="majorHAnsi"/>
          <w:color w:val="000000" w:themeColor="text1"/>
          <w:kern w:val="0"/>
          <w:sz w:val="22"/>
          <w:szCs w:val="22"/>
          <w:lang w:val="en-GB"/>
        </w:rPr>
        <w:t xml:space="preserve"> text in footnotes. She cites several secondary sources as well, including seven publications she has authored.</w:t>
      </w:r>
      <w:r w:rsidR="00B97C3A" w:rsidRPr="006305A8">
        <w:rPr>
          <w:rStyle w:val="FootnoteReference"/>
          <w:rFonts w:asciiTheme="majorHAnsi" w:eastAsiaTheme="majorEastAsia" w:hAnsiTheme="majorHAnsi" w:cstheme="majorHAnsi"/>
          <w:color w:val="000000" w:themeColor="text1"/>
          <w:kern w:val="0"/>
          <w:sz w:val="22"/>
          <w:szCs w:val="22"/>
          <w:lang w:val="en-GB"/>
        </w:rPr>
        <w:footnoteReference w:id="10"/>
      </w:r>
    </w:p>
    <w:p w14:paraId="610BDD34" w14:textId="77777777"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p>
    <w:p w14:paraId="595D31E6" w14:textId="08C0ADC3" w:rsidR="001F5F78" w:rsidRPr="006305A8"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sz w:val="22"/>
          <w:szCs w:val="22"/>
          <w:lang w:val="en-GB"/>
        </w:rPr>
      </w:pPr>
      <w:r w:rsidRPr="006305A8">
        <w:rPr>
          <w:rFonts w:asciiTheme="majorHAnsi" w:eastAsiaTheme="majorEastAsia" w:hAnsiTheme="majorHAnsi" w:cstheme="majorHAnsi"/>
          <w:b/>
          <w:bCs/>
          <w:color w:val="000000" w:themeColor="text1"/>
          <w:kern w:val="0"/>
          <w:sz w:val="22"/>
          <w:szCs w:val="22"/>
          <w:lang w:val="en-GB"/>
        </w:rPr>
        <w:t>Telling Time with Alisha Rankin</w:t>
      </w:r>
    </w:p>
    <w:p w14:paraId="675020CA" w14:textId="6CB3D804"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'Telling time through medicine: A gendered perspective' is a chapter in </w:t>
      </w:r>
      <w:r w:rsidR="00857124" w:rsidRPr="006305A8">
        <w:rPr>
          <w:rFonts w:asciiTheme="majorHAnsi" w:eastAsiaTheme="majorEastAsia" w:hAnsiTheme="majorHAnsi" w:cstheme="majorHAnsi"/>
          <w:color w:val="000000" w:themeColor="text1"/>
          <w:kern w:val="0"/>
          <w:sz w:val="22"/>
          <w:szCs w:val="22"/>
          <w:lang w:val="en-GB"/>
        </w:rPr>
        <w:t>the</w:t>
      </w:r>
      <w:r w:rsidRPr="006305A8">
        <w:rPr>
          <w:rFonts w:asciiTheme="majorHAnsi" w:eastAsiaTheme="majorEastAsia" w:hAnsiTheme="majorHAnsi" w:cstheme="majorHAnsi"/>
          <w:color w:val="000000" w:themeColor="text1"/>
          <w:kern w:val="0"/>
          <w:sz w:val="22"/>
          <w:szCs w:val="22"/>
          <w:lang w:val="en-GB"/>
        </w:rPr>
        <w:t xml:space="preserve"> interdisciplinary anthology </w:t>
      </w:r>
      <w:r w:rsidRPr="006305A8">
        <w:rPr>
          <w:rFonts w:asciiTheme="majorHAnsi" w:eastAsiaTheme="majorEastAsia" w:hAnsiTheme="majorHAnsi" w:cstheme="majorHAnsi"/>
          <w:i/>
          <w:iCs/>
          <w:color w:val="000000" w:themeColor="text1"/>
          <w:kern w:val="0"/>
          <w:sz w:val="22"/>
          <w:szCs w:val="22"/>
          <w:lang w:val="en-GB"/>
        </w:rPr>
        <w:t>Gendered Temporalities in the Early Modern World</w:t>
      </w:r>
      <w:r w:rsidRPr="006305A8">
        <w:rPr>
          <w:rFonts w:asciiTheme="majorHAnsi" w:eastAsiaTheme="majorEastAsia" w:hAnsiTheme="majorHAnsi" w:cstheme="majorHAnsi"/>
          <w:color w:val="000000" w:themeColor="text1"/>
          <w:kern w:val="0"/>
          <w:sz w:val="22"/>
          <w:szCs w:val="22"/>
          <w:lang w:val="en-GB"/>
        </w:rPr>
        <w:t>, published by Amsterdam University Press in 2018, almost two decades after Siraisi’s article. This book examines the concept of time as experienced through gender and other categories of difference in early modern history</w:t>
      </w:r>
      <w:r w:rsidR="00857124" w:rsidRPr="006305A8">
        <w:rPr>
          <w:rFonts w:asciiTheme="majorHAnsi" w:eastAsiaTheme="majorEastAsia" w:hAnsiTheme="majorHAnsi" w:cstheme="majorHAnsi"/>
          <w:color w:val="000000" w:themeColor="text1"/>
          <w:kern w:val="0"/>
          <w:sz w:val="22"/>
          <w:szCs w:val="22"/>
          <w:lang w:val="en-GB"/>
        </w:rPr>
        <w:t>.</w:t>
      </w:r>
      <w:r w:rsidR="00BD5C18" w:rsidRPr="006305A8">
        <w:rPr>
          <w:rStyle w:val="FootnoteReference"/>
          <w:rFonts w:asciiTheme="majorHAnsi" w:eastAsiaTheme="majorEastAsia" w:hAnsiTheme="majorHAnsi" w:cstheme="majorHAnsi"/>
          <w:color w:val="000000" w:themeColor="text1"/>
          <w:kern w:val="0"/>
          <w:sz w:val="22"/>
          <w:szCs w:val="22"/>
          <w:lang w:val="en-GB"/>
        </w:rPr>
        <w:footnoteReference w:id="11"/>
      </w:r>
      <w:r w:rsidRPr="006305A8">
        <w:rPr>
          <w:rFonts w:asciiTheme="majorHAnsi" w:eastAsiaTheme="majorEastAsia" w:hAnsiTheme="majorHAnsi" w:cstheme="majorHAnsi"/>
          <w:color w:val="000000" w:themeColor="text1"/>
          <w:kern w:val="0"/>
          <w:sz w:val="22"/>
          <w:szCs w:val="22"/>
          <w:lang w:val="en-GB"/>
        </w:rPr>
        <w:t xml:space="preserve"> </w:t>
      </w:r>
      <w:r w:rsidR="00857124" w:rsidRPr="006305A8">
        <w:rPr>
          <w:rFonts w:asciiTheme="majorHAnsi" w:eastAsiaTheme="majorEastAsia" w:hAnsiTheme="majorHAnsi" w:cstheme="majorHAnsi"/>
          <w:color w:val="000000" w:themeColor="text1"/>
          <w:kern w:val="0"/>
          <w:sz w:val="22"/>
          <w:szCs w:val="22"/>
          <w:lang w:val="en-GB"/>
        </w:rPr>
        <w:t>It</w:t>
      </w:r>
      <w:r w:rsidRPr="006305A8">
        <w:rPr>
          <w:rFonts w:asciiTheme="majorHAnsi" w:eastAsiaTheme="majorEastAsia" w:hAnsiTheme="majorHAnsi" w:cstheme="majorHAnsi"/>
          <w:color w:val="000000" w:themeColor="text1"/>
          <w:kern w:val="0"/>
          <w:sz w:val="22"/>
          <w:szCs w:val="22"/>
          <w:lang w:val="en-GB"/>
        </w:rPr>
        <w:t xml:space="preserve"> is separated into three parts: Part I is titled ‘Temporality and materiality’, Part II ‘Frameworks and taxonomy of time’ and Part III ‘Embodied time’. Rankin’s article can be found in Part II.</w:t>
      </w:r>
      <w:r w:rsidR="0090310A" w:rsidRPr="006305A8">
        <w:rPr>
          <w:rStyle w:val="FootnoteReference"/>
          <w:rFonts w:asciiTheme="majorHAnsi" w:eastAsiaTheme="majorEastAsia" w:hAnsiTheme="majorHAnsi" w:cstheme="majorHAnsi"/>
          <w:color w:val="000000" w:themeColor="text1"/>
          <w:kern w:val="0"/>
          <w:sz w:val="22"/>
          <w:szCs w:val="22"/>
          <w:lang w:val="en-GB"/>
        </w:rPr>
        <w:footnoteReference w:id="12"/>
      </w:r>
      <w:r w:rsidRPr="006305A8">
        <w:rPr>
          <w:rFonts w:asciiTheme="majorHAnsi" w:eastAsiaTheme="majorEastAsia" w:hAnsiTheme="majorHAnsi" w:cstheme="majorHAnsi"/>
          <w:color w:val="000000" w:themeColor="text1"/>
          <w:kern w:val="0"/>
          <w:sz w:val="22"/>
          <w:szCs w:val="22"/>
          <w:lang w:val="en-GB"/>
        </w:rPr>
        <w:t xml:space="preserve"> At the time of publication, Rankin was an associate professor of history at Tufts University. Much of her work </w:t>
      </w:r>
      <w:r w:rsidR="009E4378" w:rsidRPr="006305A8">
        <w:rPr>
          <w:rFonts w:asciiTheme="majorHAnsi" w:eastAsiaTheme="majorEastAsia" w:hAnsiTheme="majorHAnsi" w:cstheme="majorHAnsi"/>
          <w:color w:val="000000" w:themeColor="text1"/>
          <w:kern w:val="0"/>
          <w:sz w:val="22"/>
          <w:szCs w:val="22"/>
          <w:lang w:val="en-GB"/>
        </w:rPr>
        <w:t>centres</w:t>
      </w:r>
      <w:r w:rsidRPr="006305A8">
        <w:rPr>
          <w:rFonts w:asciiTheme="majorHAnsi" w:eastAsiaTheme="majorEastAsia" w:hAnsiTheme="majorHAnsi" w:cstheme="majorHAnsi"/>
          <w:color w:val="000000" w:themeColor="text1"/>
          <w:kern w:val="0"/>
          <w:sz w:val="22"/>
          <w:szCs w:val="22"/>
          <w:lang w:val="en-GB"/>
        </w:rPr>
        <w:t xml:space="preserve"> on women and early European medicine.</w:t>
      </w:r>
      <w:r w:rsidR="005A751C" w:rsidRPr="006305A8">
        <w:rPr>
          <w:rStyle w:val="FootnoteReference"/>
          <w:rFonts w:asciiTheme="majorHAnsi" w:eastAsiaTheme="majorEastAsia" w:hAnsiTheme="majorHAnsi" w:cstheme="majorHAnsi"/>
          <w:color w:val="000000" w:themeColor="text1"/>
          <w:kern w:val="0"/>
          <w:sz w:val="22"/>
          <w:szCs w:val="22"/>
          <w:lang w:val="en-GB"/>
        </w:rPr>
        <w:footnoteReference w:id="13"/>
      </w:r>
    </w:p>
    <w:p w14:paraId="095537AE" w14:textId="04BEAF63" w:rsidR="001F5F78" w:rsidRPr="006305A8" w:rsidRDefault="001F5F78" w:rsidP="002C50EC">
      <w:pPr>
        <w:autoSpaceDE w:val="0"/>
        <w:autoSpaceDN w:val="0"/>
        <w:adjustRightInd w:val="0"/>
        <w:spacing w:before="120" w:after="120"/>
        <w:ind w:firstLine="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This article focuses on the role of gender as it relates to medical time in early modern Europe, paying particular attention to aristocratic women’s lived experience of time through daily routine and bodily processes like menstruation. </w:t>
      </w:r>
      <w:r w:rsidR="005D1A64" w:rsidRPr="006305A8">
        <w:rPr>
          <w:rFonts w:asciiTheme="majorHAnsi" w:eastAsiaTheme="majorEastAsia" w:hAnsiTheme="majorHAnsi" w:cstheme="majorHAnsi"/>
          <w:color w:val="000000" w:themeColor="text1"/>
          <w:kern w:val="0"/>
          <w:sz w:val="22"/>
          <w:szCs w:val="22"/>
          <w:lang w:val="en-GB"/>
        </w:rPr>
        <w:t>Rankin</w:t>
      </w:r>
      <w:r w:rsidR="00A6452D" w:rsidRPr="006305A8">
        <w:rPr>
          <w:rFonts w:asciiTheme="majorHAnsi" w:eastAsiaTheme="majorEastAsia" w:hAnsiTheme="majorHAnsi" w:cstheme="majorHAnsi"/>
          <w:color w:val="000000" w:themeColor="text1"/>
          <w:kern w:val="0"/>
          <w:sz w:val="22"/>
          <w:szCs w:val="22"/>
          <w:lang w:val="en-GB"/>
        </w:rPr>
        <w:t xml:space="preserve"> discusses overlapping systems of time and argues that women were intentional in their attempt to ‘pin down’ embodied time, both literally and figuratively.</w:t>
      </w:r>
      <w:r w:rsidR="00A6452D" w:rsidRPr="006305A8">
        <w:rPr>
          <w:rStyle w:val="FootnoteReference"/>
          <w:rFonts w:asciiTheme="majorHAnsi" w:eastAsiaTheme="majorEastAsia" w:hAnsiTheme="majorHAnsi" w:cstheme="majorHAnsi"/>
          <w:color w:val="000000" w:themeColor="text1"/>
          <w:kern w:val="0"/>
          <w:sz w:val="22"/>
          <w:szCs w:val="22"/>
          <w:lang w:val="en-GB"/>
        </w:rPr>
        <w:footnoteReference w:id="14"/>
      </w:r>
      <w:r w:rsidR="00A6452D" w:rsidRPr="006305A8">
        <w:rPr>
          <w:rFonts w:asciiTheme="majorHAnsi" w:eastAsiaTheme="majorEastAsia" w:hAnsiTheme="majorHAnsi" w:cstheme="majorHAnsi"/>
          <w:color w:val="000000" w:themeColor="text1"/>
          <w:kern w:val="0"/>
          <w:sz w:val="22"/>
          <w:szCs w:val="22"/>
          <w:lang w:val="en-GB"/>
        </w:rPr>
        <w:t xml:space="preserve"> </w:t>
      </w:r>
      <w:r w:rsidR="001C3858" w:rsidRPr="006305A8">
        <w:rPr>
          <w:rFonts w:asciiTheme="majorHAnsi" w:eastAsiaTheme="majorEastAsia" w:hAnsiTheme="majorHAnsi" w:cstheme="majorHAnsi"/>
          <w:color w:val="000000" w:themeColor="text1"/>
          <w:kern w:val="0"/>
          <w:sz w:val="22"/>
          <w:szCs w:val="22"/>
          <w:lang w:val="en-GB"/>
        </w:rPr>
        <w:t>‘</w:t>
      </w:r>
      <w:r w:rsidR="001C3858" w:rsidRPr="006305A8">
        <w:rPr>
          <w:rFonts w:asciiTheme="majorHAnsi" w:eastAsiaTheme="majorEastAsia" w:hAnsiTheme="majorHAnsi" w:cstheme="majorHAnsi"/>
          <w:color w:val="000000" w:themeColor="text1"/>
          <w:kern w:val="0"/>
          <w:sz w:val="22"/>
          <w:szCs w:val="22"/>
          <w:lang w:val="en-GB"/>
        </w:rPr>
        <w:t>[P]</w:t>
      </w:r>
      <w:r w:rsidR="001C3858" w:rsidRPr="006305A8">
        <w:rPr>
          <w:rFonts w:asciiTheme="majorHAnsi" w:eastAsiaTheme="majorEastAsia" w:hAnsiTheme="majorHAnsi" w:cstheme="majorHAnsi"/>
          <w:color w:val="000000" w:themeColor="text1"/>
          <w:kern w:val="0"/>
          <w:sz w:val="22"/>
          <w:szCs w:val="22"/>
          <w:lang w:val="en-GB"/>
        </w:rPr>
        <w:t>utting a needle in the calendar gives a physicality to the abstract calculations’</w:t>
      </w:r>
      <w:r w:rsidR="001C3858" w:rsidRPr="006305A8">
        <w:rPr>
          <w:rFonts w:asciiTheme="majorHAnsi" w:eastAsiaTheme="majorEastAsia" w:hAnsiTheme="majorHAnsi" w:cstheme="majorHAnsi"/>
          <w:color w:val="000000" w:themeColor="text1"/>
          <w:kern w:val="0"/>
          <w:sz w:val="22"/>
          <w:szCs w:val="22"/>
          <w:lang w:val="en-GB"/>
        </w:rPr>
        <w:t>,</w:t>
      </w:r>
      <w:r w:rsidR="001C3858" w:rsidRPr="006305A8">
        <w:rPr>
          <w:rFonts w:asciiTheme="majorHAnsi" w:eastAsiaTheme="majorEastAsia" w:hAnsiTheme="majorHAnsi" w:cstheme="majorHAnsi"/>
          <w:color w:val="000000" w:themeColor="text1"/>
          <w:kern w:val="0"/>
          <w:sz w:val="22"/>
          <w:szCs w:val="22"/>
          <w:lang w:val="en-GB"/>
        </w:rPr>
        <w:t xml:space="preserve"> </w:t>
      </w:r>
      <w:r w:rsidR="005D1A64" w:rsidRPr="006305A8">
        <w:rPr>
          <w:rFonts w:asciiTheme="majorHAnsi" w:eastAsiaTheme="majorEastAsia" w:hAnsiTheme="majorHAnsi" w:cstheme="majorHAnsi"/>
          <w:color w:val="000000" w:themeColor="text1"/>
          <w:kern w:val="0"/>
          <w:sz w:val="22"/>
          <w:szCs w:val="22"/>
          <w:lang w:val="en-GB"/>
        </w:rPr>
        <w:t>she</w:t>
      </w:r>
      <w:r w:rsidR="001C3858" w:rsidRPr="006305A8">
        <w:rPr>
          <w:rFonts w:asciiTheme="majorHAnsi" w:eastAsiaTheme="majorEastAsia" w:hAnsiTheme="majorHAnsi" w:cstheme="majorHAnsi"/>
          <w:color w:val="000000" w:themeColor="text1"/>
          <w:kern w:val="0"/>
          <w:sz w:val="22"/>
          <w:szCs w:val="22"/>
          <w:lang w:val="en-GB"/>
        </w:rPr>
        <w:t xml:space="preserve"> </w:t>
      </w:r>
      <w:r w:rsidR="005D1A64" w:rsidRPr="006305A8">
        <w:rPr>
          <w:rFonts w:asciiTheme="majorHAnsi" w:eastAsiaTheme="majorEastAsia" w:hAnsiTheme="majorHAnsi" w:cstheme="majorHAnsi"/>
          <w:color w:val="000000" w:themeColor="text1"/>
          <w:kern w:val="0"/>
          <w:sz w:val="22"/>
          <w:szCs w:val="22"/>
          <w:lang w:val="en-GB"/>
        </w:rPr>
        <w:t>writes</w:t>
      </w:r>
      <w:r w:rsidR="005F2076" w:rsidRPr="006305A8">
        <w:rPr>
          <w:rFonts w:asciiTheme="majorHAnsi" w:eastAsiaTheme="majorEastAsia" w:hAnsiTheme="majorHAnsi" w:cstheme="majorHAnsi"/>
          <w:color w:val="000000" w:themeColor="text1"/>
          <w:kern w:val="0"/>
          <w:sz w:val="22"/>
          <w:szCs w:val="22"/>
          <w:lang w:val="en-GB"/>
        </w:rPr>
        <w:t xml:space="preserve"> of</w:t>
      </w:r>
      <w:r w:rsidR="001C3858" w:rsidRPr="006305A8">
        <w:rPr>
          <w:rFonts w:asciiTheme="majorHAnsi" w:eastAsiaTheme="majorEastAsia" w:hAnsiTheme="majorHAnsi" w:cstheme="majorHAnsi"/>
          <w:color w:val="000000" w:themeColor="text1"/>
          <w:kern w:val="0"/>
          <w:sz w:val="22"/>
          <w:szCs w:val="22"/>
          <w:lang w:val="en-GB"/>
        </w:rPr>
        <w:t xml:space="preserve"> </w:t>
      </w:r>
      <w:r w:rsidR="001B1EC7" w:rsidRPr="006305A8">
        <w:rPr>
          <w:rFonts w:asciiTheme="majorHAnsi" w:eastAsiaTheme="majorEastAsia" w:hAnsiTheme="majorHAnsi" w:cstheme="majorHAnsi"/>
          <w:color w:val="000000" w:themeColor="text1"/>
          <w:kern w:val="0"/>
          <w:sz w:val="22"/>
          <w:szCs w:val="22"/>
          <w:lang w:val="en-GB"/>
        </w:rPr>
        <w:t xml:space="preserve">the </w:t>
      </w:r>
      <w:r w:rsidRPr="006305A8">
        <w:rPr>
          <w:rFonts w:asciiTheme="majorHAnsi" w:eastAsiaTheme="majorEastAsia" w:hAnsiTheme="majorHAnsi" w:cstheme="majorHAnsi"/>
          <w:color w:val="000000" w:themeColor="text1"/>
          <w:kern w:val="0"/>
          <w:sz w:val="22"/>
          <w:szCs w:val="22"/>
          <w:lang w:val="en-GB"/>
        </w:rPr>
        <w:t>wom</w:t>
      </w:r>
      <w:r w:rsidR="001B1EC7" w:rsidRPr="006305A8">
        <w:rPr>
          <w:rFonts w:asciiTheme="majorHAnsi" w:eastAsiaTheme="majorEastAsia" w:hAnsiTheme="majorHAnsi" w:cstheme="majorHAnsi"/>
          <w:color w:val="000000" w:themeColor="text1"/>
          <w:kern w:val="0"/>
          <w:sz w:val="22"/>
          <w:szCs w:val="22"/>
          <w:lang w:val="en-GB"/>
        </w:rPr>
        <w:t>e</w:t>
      </w:r>
      <w:r w:rsidRPr="006305A8">
        <w:rPr>
          <w:rFonts w:asciiTheme="majorHAnsi" w:eastAsiaTheme="majorEastAsia" w:hAnsiTheme="majorHAnsi" w:cstheme="majorHAnsi"/>
          <w:color w:val="000000" w:themeColor="text1"/>
          <w:kern w:val="0"/>
          <w:sz w:val="22"/>
          <w:szCs w:val="22"/>
          <w:lang w:val="en-GB"/>
        </w:rPr>
        <w:t>n’s duty of calculating the timing of childbirth</w:t>
      </w:r>
      <w:r w:rsidR="001C3858" w:rsidRPr="006305A8">
        <w:rPr>
          <w:rFonts w:asciiTheme="majorHAnsi" w:eastAsiaTheme="majorEastAsia" w:hAnsiTheme="majorHAnsi" w:cstheme="majorHAnsi"/>
          <w:color w:val="000000" w:themeColor="text1"/>
          <w:kern w:val="0"/>
          <w:sz w:val="22"/>
          <w:szCs w:val="22"/>
          <w:lang w:val="en-GB"/>
        </w:rPr>
        <w:t>.</w:t>
      </w:r>
      <w:r w:rsidR="00995E41" w:rsidRPr="006305A8">
        <w:rPr>
          <w:rStyle w:val="FootnoteReference"/>
          <w:rFonts w:asciiTheme="majorHAnsi" w:eastAsiaTheme="majorEastAsia" w:hAnsiTheme="majorHAnsi" w:cstheme="majorHAnsi"/>
          <w:color w:val="000000" w:themeColor="text1"/>
          <w:kern w:val="0"/>
          <w:sz w:val="22"/>
          <w:szCs w:val="22"/>
          <w:lang w:val="en-GB"/>
        </w:rPr>
        <w:footnoteReference w:id="15"/>
      </w:r>
      <w:r w:rsidRPr="006305A8">
        <w:rPr>
          <w:rFonts w:asciiTheme="majorHAnsi" w:eastAsiaTheme="majorEastAsia" w:hAnsiTheme="majorHAnsi" w:cstheme="majorHAnsi"/>
          <w:color w:val="000000" w:themeColor="text1"/>
          <w:kern w:val="0"/>
          <w:sz w:val="22"/>
          <w:szCs w:val="22"/>
          <w:lang w:val="en-GB"/>
        </w:rPr>
        <w:t xml:space="preserve"> </w:t>
      </w:r>
      <w:r w:rsidR="001A2DA0" w:rsidRPr="006305A8">
        <w:rPr>
          <w:rFonts w:asciiTheme="majorHAnsi" w:eastAsiaTheme="majorEastAsia" w:hAnsiTheme="majorHAnsi" w:cstheme="majorHAnsi"/>
          <w:color w:val="000000" w:themeColor="text1"/>
          <w:kern w:val="0"/>
          <w:sz w:val="22"/>
          <w:szCs w:val="22"/>
          <w:lang w:val="en-GB"/>
        </w:rPr>
        <w:t>Rankin</w:t>
      </w:r>
      <w:r w:rsidRPr="006305A8">
        <w:rPr>
          <w:rFonts w:asciiTheme="majorHAnsi" w:eastAsiaTheme="majorEastAsia" w:hAnsiTheme="majorHAnsi" w:cstheme="majorHAnsi"/>
          <w:color w:val="000000" w:themeColor="text1"/>
          <w:kern w:val="0"/>
          <w:sz w:val="22"/>
          <w:szCs w:val="22"/>
          <w:lang w:val="en-GB"/>
        </w:rPr>
        <w:t xml:space="preserve"> us</w:t>
      </w:r>
      <w:r w:rsidR="001A2DA0" w:rsidRPr="006305A8">
        <w:rPr>
          <w:rFonts w:asciiTheme="majorHAnsi" w:eastAsiaTheme="majorEastAsia" w:hAnsiTheme="majorHAnsi" w:cstheme="majorHAnsi"/>
          <w:color w:val="000000" w:themeColor="text1"/>
          <w:kern w:val="0"/>
          <w:sz w:val="22"/>
          <w:szCs w:val="22"/>
          <w:lang w:val="en-GB"/>
        </w:rPr>
        <w:t>es a few</w:t>
      </w:r>
      <w:r w:rsidRPr="006305A8">
        <w:rPr>
          <w:rFonts w:asciiTheme="majorHAnsi" w:eastAsiaTheme="majorEastAsia" w:hAnsiTheme="majorHAnsi" w:cstheme="majorHAnsi"/>
          <w:color w:val="000000" w:themeColor="text1"/>
          <w:kern w:val="0"/>
          <w:sz w:val="22"/>
          <w:szCs w:val="22"/>
          <w:lang w:val="en-GB"/>
        </w:rPr>
        <w:t xml:space="preserve"> primary sources</w:t>
      </w:r>
      <w:r w:rsidR="005D1A64" w:rsidRPr="006305A8">
        <w:rPr>
          <w:rFonts w:asciiTheme="majorHAnsi" w:eastAsiaTheme="majorEastAsia" w:hAnsiTheme="majorHAnsi" w:cstheme="majorHAnsi"/>
          <w:color w:val="000000" w:themeColor="text1"/>
          <w:kern w:val="0"/>
          <w:sz w:val="22"/>
          <w:szCs w:val="22"/>
          <w:lang w:val="en-GB"/>
        </w:rPr>
        <w:t xml:space="preserve"> in her paper</w:t>
      </w:r>
      <w:r w:rsidRPr="006305A8">
        <w:rPr>
          <w:rFonts w:asciiTheme="majorHAnsi" w:eastAsiaTheme="majorEastAsia" w:hAnsiTheme="majorHAnsi" w:cstheme="majorHAnsi"/>
          <w:color w:val="000000" w:themeColor="text1"/>
          <w:kern w:val="0"/>
          <w:sz w:val="22"/>
          <w:szCs w:val="22"/>
          <w:lang w:val="en-GB"/>
        </w:rPr>
        <w:t xml:space="preserve">, primarily written correspondence between the German countess Dorothea of Mansfeld (1493-1578) and her friend and patron, Electress Anna of Saxony (1532-1585). To illustrate the </w:t>
      </w:r>
      <w:r w:rsidR="00DC454F" w:rsidRPr="006305A8">
        <w:rPr>
          <w:rFonts w:asciiTheme="majorHAnsi" w:eastAsiaTheme="majorEastAsia" w:hAnsiTheme="majorHAnsi" w:cstheme="majorHAnsi"/>
          <w:color w:val="000000" w:themeColor="text1"/>
          <w:kern w:val="0"/>
          <w:sz w:val="22"/>
          <w:szCs w:val="22"/>
          <w:lang w:val="en-GB"/>
        </w:rPr>
        <w:t>prevalence</w:t>
      </w:r>
      <w:r w:rsidRPr="006305A8">
        <w:rPr>
          <w:rFonts w:asciiTheme="majorHAnsi" w:eastAsiaTheme="majorEastAsia" w:hAnsiTheme="majorHAnsi" w:cstheme="majorHAnsi"/>
          <w:color w:val="000000" w:themeColor="text1"/>
          <w:kern w:val="0"/>
          <w:sz w:val="22"/>
          <w:szCs w:val="22"/>
          <w:lang w:val="en-GB"/>
        </w:rPr>
        <w:t xml:space="preserve"> of astrology in medical texts in </w:t>
      </w:r>
      <w:r w:rsidR="004B557E" w:rsidRPr="006305A8">
        <w:rPr>
          <w:rFonts w:asciiTheme="majorHAnsi" w:eastAsiaTheme="majorEastAsia" w:hAnsiTheme="majorHAnsi" w:cstheme="majorHAnsi"/>
          <w:color w:val="000000" w:themeColor="text1"/>
          <w:kern w:val="0"/>
          <w:sz w:val="22"/>
          <w:szCs w:val="22"/>
          <w:lang w:val="en-GB"/>
        </w:rPr>
        <w:t>early modern history</w:t>
      </w:r>
      <w:r w:rsidRPr="006305A8">
        <w:rPr>
          <w:rFonts w:asciiTheme="majorHAnsi" w:eastAsiaTheme="majorEastAsia" w:hAnsiTheme="majorHAnsi" w:cstheme="majorHAnsi"/>
          <w:color w:val="000000" w:themeColor="text1"/>
          <w:kern w:val="0"/>
          <w:sz w:val="22"/>
          <w:szCs w:val="22"/>
          <w:lang w:val="en-GB"/>
        </w:rPr>
        <w:t xml:space="preserve">, </w:t>
      </w:r>
      <w:r w:rsidR="006C2A03" w:rsidRPr="006305A8">
        <w:rPr>
          <w:rFonts w:asciiTheme="majorHAnsi" w:eastAsiaTheme="majorEastAsia" w:hAnsiTheme="majorHAnsi" w:cstheme="majorHAnsi"/>
          <w:color w:val="000000" w:themeColor="text1"/>
          <w:kern w:val="0"/>
          <w:sz w:val="22"/>
          <w:szCs w:val="22"/>
          <w:lang w:val="en-GB"/>
        </w:rPr>
        <w:t>she</w:t>
      </w:r>
      <w:r w:rsidRPr="006305A8">
        <w:rPr>
          <w:rFonts w:asciiTheme="majorHAnsi" w:eastAsiaTheme="majorEastAsia" w:hAnsiTheme="majorHAnsi" w:cstheme="majorHAnsi"/>
          <w:color w:val="000000" w:themeColor="text1"/>
          <w:kern w:val="0"/>
          <w:sz w:val="22"/>
          <w:szCs w:val="22"/>
          <w:lang w:val="en-GB"/>
        </w:rPr>
        <w:t xml:space="preserve"> </w:t>
      </w:r>
      <w:r w:rsidR="006C2A03" w:rsidRPr="006305A8">
        <w:rPr>
          <w:rFonts w:asciiTheme="majorHAnsi" w:eastAsiaTheme="majorEastAsia" w:hAnsiTheme="majorHAnsi" w:cstheme="majorHAnsi"/>
          <w:color w:val="000000" w:themeColor="text1"/>
          <w:kern w:val="0"/>
          <w:sz w:val="22"/>
          <w:szCs w:val="22"/>
          <w:lang w:val="en-GB"/>
        </w:rPr>
        <w:t>includes</w:t>
      </w:r>
      <w:r w:rsidRPr="006305A8">
        <w:rPr>
          <w:rFonts w:asciiTheme="majorHAnsi" w:eastAsiaTheme="majorEastAsia" w:hAnsiTheme="majorHAnsi" w:cstheme="majorHAnsi"/>
          <w:color w:val="000000" w:themeColor="text1"/>
          <w:kern w:val="0"/>
          <w:sz w:val="22"/>
          <w:szCs w:val="22"/>
          <w:lang w:val="en-GB"/>
        </w:rPr>
        <w:t xml:space="preserve"> two photographs of zodiac men found in almanacs, one from the late-fifteenth century and </w:t>
      </w:r>
      <w:r w:rsidR="00C74CA2" w:rsidRPr="006305A8">
        <w:rPr>
          <w:rFonts w:asciiTheme="majorHAnsi" w:eastAsiaTheme="majorEastAsia" w:hAnsiTheme="majorHAnsi" w:cstheme="majorHAnsi"/>
          <w:color w:val="000000" w:themeColor="text1"/>
          <w:kern w:val="0"/>
          <w:sz w:val="22"/>
          <w:szCs w:val="22"/>
          <w:lang w:val="en-GB"/>
        </w:rPr>
        <w:t>an</w:t>
      </w:r>
      <w:r w:rsidRPr="006305A8">
        <w:rPr>
          <w:rFonts w:asciiTheme="majorHAnsi" w:eastAsiaTheme="majorEastAsia" w:hAnsiTheme="majorHAnsi" w:cstheme="majorHAnsi"/>
          <w:color w:val="000000" w:themeColor="text1"/>
          <w:kern w:val="0"/>
          <w:sz w:val="22"/>
          <w:szCs w:val="22"/>
          <w:lang w:val="en-GB"/>
        </w:rPr>
        <w:t>other from the sixteenth century</w:t>
      </w:r>
      <w:r w:rsidR="004B4E60" w:rsidRPr="006305A8">
        <w:rPr>
          <w:rFonts w:asciiTheme="majorHAnsi" w:eastAsiaTheme="majorEastAsia" w:hAnsiTheme="majorHAnsi" w:cstheme="majorHAnsi"/>
          <w:color w:val="000000" w:themeColor="text1"/>
          <w:kern w:val="0"/>
          <w:sz w:val="22"/>
          <w:szCs w:val="22"/>
          <w:lang w:val="en-GB"/>
        </w:rPr>
        <w:t>.</w:t>
      </w:r>
      <w:r w:rsidR="004B4E60" w:rsidRPr="006305A8">
        <w:rPr>
          <w:rStyle w:val="FootnoteReference"/>
          <w:rFonts w:asciiTheme="majorHAnsi" w:eastAsiaTheme="majorEastAsia" w:hAnsiTheme="majorHAnsi" w:cstheme="majorHAnsi"/>
          <w:color w:val="000000" w:themeColor="text1"/>
          <w:kern w:val="0"/>
          <w:sz w:val="22"/>
          <w:szCs w:val="22"/>
          <w:lang w:val="en-GB"/>
        </w:rPr>
        <w:footnoteReference w:id="16"/>
      </w:r>
      <w:r w:rsidRPr="006305A8">
        <w:rPr>
          <w:rFonts w:asciiTheme="majorHAnsi" w:eastAsiaTheme="majorEastAsia" w:hAnsiTheme="majorHAnsi" w:cstheme="majorHAnsi"/>
          <w:color w:val="000000" w:themeColor="text1"/>
          <w:kern w:val="0"/>
          <w:sz w:val="22"/>
          <w:szCs w:val="22"/>
          <w:lang w:val="en-GB"/>
        </w:rPr>
        <w:t xml:space="preserve"> Rankin makes greater use of secondary sources in her article, as they make up the bulk of her bibliography. She also cites three of her own publications, </w:t>
      </w:r>
      <w:r w:rsidR="00E614E3" w:rsidRPr="006305A8">
        <w:rPr>
          <w:rFonts w:asciiTheme="majorHAnsi" w:eastAsiaTheme="majorEastAsia" w:hAnsiTheme="majorHAnsi" w:cstheme="majorHAnsi"/>
          <w:color w:val="000000" w:themeColor="text1"/>
          <w:kern w:val="0"/>
          <w:sz w:val="22"/>
          <w:szCs w:val="22"/>
          <w:lang w:val="en-GB"/>
        </w:rPr>
        <w:t>plus</w:t>
      </w:r>
      <w:r w:rsidRPr="006305A8">
        <w:rPr>
          <w:rFonts w:asciiTheme="majorHAnsi" w:eastAsiaTheme="majorEastAsia" w:hAnsiTheme="majorHAnsi" w:cstheme="majorHAnsi"/>
          <w:color w:val="000000" w:themeColor="text1"/>
          <w:kern w:val="0"/>
          <w:sz w:val="22"/>
          <w:szCs w:val="22"/>
          <w:lang w:val="en-GB"/>
        </w:rPr>
        <w:t xml:space="preserve"> two of Siraisi’s publications</w:t>
      </w:r>
      <w:r w:rsidR="005873C3" w:rsidRPr="006305A8">
        <w:rPr>
          <w:rStyle w:val="FootnoteReference"/>
          <w:rFonts w:asciiTheme="majorHAnsi" w:eastAsiaTheme="majorEastAsia" w:hAnsiTheme="majorHAnsi" w:cstheme="majorHAnsi"/>
          <w:color w:val="000000" w:themeColor="text1"/>
          <w:kern w:val="0"/>
          <w:sz w:val="22"/>
          <w:szCs w:val="22"/>
          <w:lang w:val="en-GB"/>
        </w:rPr>
        <w:footnoteReference w:id="17"/>
      </w:r>
      <w:r w:rsidRPr="006305A8">
        <w:rPr>
          <w:rFonts w:asciiTheme="majorHAnsi" w:eastAsiaTheme="majorEastAsia" w:hAnsiTheme="majorHAnsi" w:cstheme="majorHAnsi"/>
          <w:color w:val="000000" w:themeColor="text1"/>
          <w:kern w:val="0"/>
          <w:sz w:val="22"/>
          <w:szCs w:val="22"/>
          <w:lang w:val="en-GB"/>
        </w:rPr>
        <w:t xml:space="preserve"> (which Siraisi herself cite</w:t>
      </w:r>
      <w:r w:rsidR="00E614E3" w:rsidRPr="006305A8">
        <w:rPr>
          <w:rFonts w:asciiTheme="majorHAnsi" w:eastAsiaTheme="majorEastAsia" w:hAnsiTheme="majorHAnsi" w:cstheme="majorHAnsi"/>
          <w:color w:val="000000" w:themeColor="text1"/>
          <w:kern w:val="0"/>
          <w:sz w:val="22"/>
          <w:szCs w:val="22"/>
          <w:lang w:val="en-GB"/>
        </w:rPr>
        <w:t>s</w:t>
      </w:r>
      <w:r w:rsidRPr="006305A8">
        <w:rPr>
          <w:rFonts w:asciiTheme="majorHAnsi" w:eastAsiaTheme="majorEastAsia" w:hAnsiTheme="majorHAnsi" w:cstheme="majorHAnsi"/>
          <w:color w:val="000000" w:themeColor="text1"/>
          <w:kern w:val="0"/>
          <w:sz w:val="22"/>
          <w:szCs w:val="22"/>
          <w:lang w:val="en-GB"/>
        </w:rPr>
        <w:t xml:space="preserve"> in ‘Anatomizing the Past’).</w:t>
      </w:r>
      <w:r w:rsidR="0006134A" w:rsidRPr="006305A8">
        <w:rPr>
          <w:rStyle w:val="FootnoteReference"/>
          <w:rFonts w:asciiTheme="majorHAnsi" w:eastAsiaTheme="majorEastAsia" w:hAnsiTheme="majorHAnsi" w:cstheme="majorHAnsi"/>
          <w:color w:val="000000" w:themeColor="text1"/>
          <w:kern w:val="0"/>
          <w:sz w:val="22"/>
          <w:szCs w:val="22"/>
          <w:lang w:val="en-GB"/>
        </w:rPr>
        <w:footnoteReference w:id="18"/>
      </w:r>
    </w:p>
    <w:p w14:paraId="2545C210" w14:textId="77777777"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p>
    <w:p w14:paraId="3348A184" w14:textId="633E07E5" w:rsidR="001F5F78" w:rsidRPr="006305A8"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sz w:val="22"/>
          <w:szCs w:val="22"/>
          <w:lang w:val="en-GB"/>
        </w:rPr>
      </w:pPr>
      <w:r w:rsidRPr="006305A8">
        <w:rPr>
          <w:rFonts w:asciiTheme="majorHAnsi" w:eastAsiaTheme="majorEastAsia" w:hAnsiTheme="majorHAnsi" w:cstheme="majorHAnsi"/>
          <w:b/>
          <w:bCs/>
          <w:color w:val="000000" w:themeColor="text1"/>
          <w:kern w:val="0"/>
          <w:sz w:val="22"/>
          <w:szCs w:val="22"/>
          <w:lang w:val="en-GB"/>
        </w:rPr>
        <w:t>Astrology</w:t>
      </w:r>
    </w:p>
    <w:p w14:paraId="4E59829E" w14:textId="69A38C07"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While neither of the JSTOR articles being compared holds astrology—‘the assumption that the celestial bodies contain significance for affairs on earth’</w:t>
      </w:r>
      <w:r w:rsidR="00126C54" w:rsidRPr="006305A8">
        <w:rPr>
          <w:rStyle w:val="FootnoteReference"/>
          <w:rFonts w:asciiTheme="majorHAnsi" w:eastAsiaTheme="majorEastAsia" w:hAnsiTheme="majorHAnsi" w:cstheme="majorHAnsi"/>
          <w:color w:val="000000" w:themeColor="text1"/>
          <w:kern w:val="0"/>
          <w:sz w:val="22"/>
          <w:szCs w:val="22"/>
          <w:lang w:val="en-GB"/>
        </w:rPr>
        <w:footnoteReference w:id="19"/>
      </w:r>
      <w:r w:rsidRPr="006305A8">
        <w:rPr>
          <w:rFonts w:asciiTheme="majorHAnsi" w:eastAsiaTheme="majorEastAsia" w:hAnsiTheme="majorHAnsi" w:cstheme="majorHAnsi"/>
          <w:color w:val="000000" w:themeColor="text1"/>
          <w:kern w:val="0"/>
          <w:sz w:val="22"/>
          <w:szCs w:val="22"/>
          <w:lang w:val="en-GB"/>
        </w:rPr>
        <w:t xml:space="preserve">—as their primary focus, they both highlight its importance from a historical perspective. Rankin does so through the intersection of astrological time </w:t>
      </w:r>
      <w:r w:rsidRPr="006305A8">
        <w:rPr>
          <w:rFonts w:asciiTheme="majorHAnsi" w:eastAsiaTheme="majorEastAsia" w:hAnsiTheme="majorHAnsi" w:cstheme="majorHAnsi"/>
          <w:color w:val="000000" w:themeColor="text1"/>
          <w:kern w:val="0"/>
          <w:sz w:val="22"/>
          <w:szCs w:val="22"/>
          <w:lang w:val="en-GB"/>
        </w:rPr>
        <w:lastRenderedPageBreak/>
        <w:t>with medical time and Siraisi through the intersection of astrology with medicine. Rankin refers to astrology several times throughout her paper, almost exclusively as it applies to the gendered experience of time, noting how various systems of time overlap or intersect; she gives examples of seasonal, liturgical, horological and astrological time, among</w:t>
      </w:r>
      <w:r w:rsidR="00CA3683" w:rsidRPr="006305A8">
        <w:rPr>
          <w:rFonts w:asciiTheme="majorHAnsi" w:eastAsiaTheme="majorEastAsia" w:hAnsiTheme="majorHAnsi" w:cstheme="majorHAnsi"/>
          <w:color w:val="000000" w:themeColor="text1"/>
          <w:kern w:val="0"/>
          <w:sz w:val="22"/>
          <w:szCs w:val="22"/>
          <w:lang w:val="en-GB"/>
        </w:rPr>
        <w:t>st</w:t>
      </w:r>
      <w:r w:rsidRPr="006305A8">
        <w:rPr>
          <w:rFonts w:asciiTheme="majorHAnsi" w:eastAsiaTheme="majorEastAsia" w:hAnsiTheme="majorHAnsi" w:cstheme="majorHAnsi"/>
          <w:color w:val="000000" w:themeColor="text1"/>
          <w:kern w:val="0"/>
          <w:sz w:val="22"/>
          <w:szCs w:val="22"/>
          <w:lang w:val="en-GB"/>
        </w:rPr>
        <w:t xml:space="preserve"> others</w:t>
      </w:r>
      <w:r w:rsidR="00D10741" w:rsidRPr="006305A8">
        <w:rPr>
          <w:rFonts w:asciiTheme="majorHAnsi" w:eastAsiaTheme="majorEastAsia" w:hAnsiTheme="majorHAnsi" w:cstheme="majorHAnsi"/>
          <w:color w:val="000000" w:themeColor="text1"/>
          <w:kern w:val="0"/>
          <w:sz w:val="22"/>
          <w:szCs w:val="22"/>
          <w:lang w:val="en-GB"/>
        </w:rPr>
        <w:t>.</w:t>
      </w:r>
      <w:r w:rsidR="00D10741" w:rsidRPr="006305A8">
        <w:rPr>
          <w:rStyle w:val="FootnoteReference"/>
          <w:rFonts w:asciiTheme="majorHAnsi" w:eastAsiaTheme="majorEastAsia" w:hAnsiTheme="majorHAnsi" w:cstheme="majorHAnsi"/>
          <w:color w:val="000000" w:themeColor="text1"/>
          <w:kern w:val="0"/>
          <w:sz w:val="22"/>
          <w:szCs w:val="22"/>
          <w:lang w:val="en-GB"/>
        </w:rPr>
        <w:footnoteReference w:id="20"/>
      </w:r>
      <w:r w:rsidRPr="006305A8">
        <w:rPr>
          <w:rFonts w:asciiTheme="majorHAnsi" w:eastAsiaTheme="majorEastAsia" w:hAnsiTheme="majorHAnsi" w:cstheme="majorHAnsi"/>
          <w:color w:val="000000" w:themeColor="text1"/>
          <w:kern w:val="0"/>
          <w:sz w:val="22"/>
          <w:szCs w:val="22"/>
          <w:lang w:val="en-GB"/>
        </w:rPr>
        <w:t xml:space="preserve"> She </w:t>
      </w:r>
      <w:r w:rsidR="0055357C" w:rsidRPr="006305A8">
        <w:rPr>
          <w:rFonts w:asciiTheme="majorHAnsi" w:eastAsiaTheme="majorEastAsia" w:hAnsiTheme="majorHAnsi" w:cstheme="majorHAnsi"/>
          <w:color w:val="000000" w:themeColor="text1"/>
          <w:kern w:val="0"/>
          <w:sz w:val="22"/>
          <w:szCs w:val="22"/>
          <w:lang w:val="en-GB"/>
        </w:rPr>
        <w:t>makes note of</w:t>
      </w:r>
      <w:r w:rsidRPr="006305A8">
        <w:rPr>
          <w:rFonts w:asciiTheme="majorHAnsi" w:eastAsiaTheme="majorEastAsia" w:hAnsiTheme="majorHAnsi" w:cstheme="majorHAnsi"/>
          <w:color w:val="000000" w:themeColor="text1"/>
          <w:kern w:val="0"/>
          <w:sz w:val="22"/>
          <w:szCs w:val="22"/>
          <w:lang w:val="en-GB"/>
        </w:rPr>
        <w:t xml:space="preserve"> the astrological ‘zodiac man’ featured in medical texts like the portable medical reference </w:t>
      </w:r>
      <w:r w:rsidRPr="006305A8">
        <w:rPr>
          <w:rFonts w:asciiTheme="majorHAnsi" w:eastAsiaTheme="majorEastAsia" w:hAnsiTheme="majorHAnsi" w:cstheme="majorHAnsi"/>
          <w:i/>
          <w:iCs/>
          <w:color w:val="000000" w:themeColor="text1"/>
          <w:kern w:val="0"/>
          <w:sz w:val="22"/>
          <w:szCs w:val="22"/>
          <w:lang w:val="en-GB"/>
        </w:rPr>
        <w:t>vade mecum</w:t>
      </w:r>
      <w:r w:rsidRPr="006305A8">
        <w:rPr>
          <w:rFonts w:asciiTheme="majorHAnsi" w:eastAsiaTheme="majorEastAsia" w:hAnsiTheme="majorHAnsi" w:cstheme="majorHAnsi"/>
          <w:color w:val="000000" w:themeColor="text1"/>
          <w:kern w:val="0"/>
          <w:sz w:val="22"/>
          <w:szCs w:val="22"/>
          <w:lang w:val="en-GB"/>
        </w:rPr>
        <w:t xml:space="preserve"> as an example of ‘[t]he embeddedness of the human microcosm in the macrocosm of the universe’</w:t>
      </w:r>
      <w:r w:rsidR="00D10741" w:rsidRPr="006305A8">
        <w:rPr>
          <w:rFonts w:asciiTheme="majorHAnsi" w:eastAsiaTheme="majorEastAsia" w:hAnsiTheme="majorHAnsi" w:cstheme="majorHAnsi"/>
          <w:color w:val="000000" w:themeColor="text1"/>
          <w:kern w:val="0"/>
          <w:sz w:val="22"/>
          <w:szCs w:val="22"/>
          <w:lang w:val="en-GB"/>
        </w:rPr>
        <w:t>,</w:t>
      </w:r>
      <w:r w:rsidR="00D10741" w:rsidRPr="006305A8">
        <w:rPr>
          <w:rStyle w:val="FootnoteReference"/>
          <w:rFonts w:asciiTheme="majorHAnsi" w:eastAsiaTheme="majorEastAsia" w:hAnsiTheme="majorHAnsi" w:cstheme="majorHAnsi"/>
          <w:color w:val="000000" w:themeColor="text1"/>
          <w:kern w:val="0"/>
          <w:sz w:val="22"/>
          <w:szCs w:val="22"/>
          <w:lang w:val="en-GB"/>
        </w:rPr>
        <w:footnoteReference w:id="21"/>
      </w:r>
      <w:r w:rsidRPr="006305A8">
        <w:rPr>
          <w:rFonts w:asciiTheme="majorHAnsi" w:eastAsiaTheme="majorEastAsia" w:hAnsiTheme="majorHAnsi" w:cstheme="majorHAnsi"/>
          <w:color w:val="000000" w:themeColor="text1"/>
          <w:kern w:val="0"/>
          <w:sz w:val="22"/>
          <w:szCs w:val="22"/>
          <w:lang w:val="en-GB"/>
        </w:rPr>
        <w:t xml:space="preserve"> which mirrors Fred Gettings’ definition of astrology: ‘The study of the relationship between the macrocosm and the microcosm, which in (materialistic terms) is often defined as the study of the influence of the celestial bodies on the Earth and its inhabitants’</w:t>
      </w:r>
      <w:r w:rsidR="00A91745" w:rsidRPr="006305A8">
        <w:rPr>
          <w:rFonts w:asciiTheme="majorHAnsi" w:eastAsiaTheme="majorEastAsia" w:hAnsiTheme="majorHAnsi" w:cstheme="majorHAnsi"/>
          <w:color w:val="000000" w:themeColor="text1"/>
          <w:kern w:val="0"/>
          <w:sz w:val="22"/>
          <w:szCs w:val="22"/>
          <w:lang w:val="en-GB"/>
        </w:rPr>
        <w:t>.</w:t>
      </w:r>
      <w:r w:rsidR="00A91745" w:rsidRPr="006305A8">
        <w:rPr>
          <w:rStyle w:val="FootnoteReference"/>
          <w:rFonts w:asciiTheme="majorHAnsi" w:eastAsiaTheme="majorEastAsia" w:hAnsiTheme="majorHAnsi" w:cstheme="majorHAnsi"/>
          <w:color w:val="000000" w:themeColor="text1"/>
          <w:kern w:val="0"/>
          <w:sz w:val="22"/>
          <w:szCs w:val="22"/>
          <w:lang w:val="en-GB"/>
        </w:rPr>
        <w:footnoteReference w:id="22"/>
      </w:r>
    </w:p>
    <w:p w14:paraId="5AF4BAA4" w14:textId="2FDC1E01" w:rsidR="001F5F78" w:rsidRPr="006305A8" w:rsidRDefault="001F5F78" w:rsidP="002C50EC">
      <w:pPr>
        <w:autoSpaceDE w:val="0"/>
        <w:autoSpaceDN w:val="0"/>
        <w:adjustRightInd w:val="0"/>
        <w:spacing w:before="120" w:after="120"/>
        <w:ind w:firstLine="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Siraisi refers to astrology several times in her article as well, but in the context of its historical significance related specifically to the physician’s profession. She </w:t>
      </w:r>
      <w:r w:rsidR="00AE4989" w:rsidRPr="006305A8">
        <w:rPr>
          <w:rFonts w:asciiTheme="majorHAnsi" w:eastAsiaTheme="majorEastAsia" w:hAnsiTheme="majorHAnsi" w:cstheme="majorHAnsi"/>
          <w:color w:val="000000" w:themeColor="text1"/>
          <w:kern w:val="0"/>
          <w:sz w:val="22"/>
          <w:szCs w:val="22"/>
          <w:lang w:val="en-GB"/>
        </w:rPr>
        <w:t>describes astrology as a ‘sister discipline’</w:t>
      </w:r>
      <w:r w:rsidR="004A4E02" w:rsidRPr="006305A8">
        <w:rPr>
          <w:rStyle w:val="FootnoteReference"/>
          <w:rFonts w:asciiTheme="majorHAnsi" w:eastAsiaTheme="majorEastAsia" w:hAnsiTheme="majorHAnsi" w:cstheme="majorHAnsi"/>
          <w:color w:val="000000" w:themeColor="text1"/>
          <w:kern w:val="0"/>
          <w:sz w:val="22"/>
          <w:szCs w:val="22"/>
          <w:lang w:val="en-GB"/>
        </w:rPr>
        <w:footnoteReference w:id="23"/>
      </w:r>
      <w:r w:rsidRPr="006305A8">
        <w:rPr>
          <w:rFonts w:asciiTheme="majorHAnsi" w:eastAsiaTheme="majorEastAsia" w:hAnsiTheme="majorHAnsi" w:cstheme="majorHAnsi"/>
          <w:color w:val="000000" w:themeColor="text1"/>
          <w:kern w:val="0"/>
          <w:sz w:val="22"/>
          <w:szCs w:val="22"/>
          <w:lang w:val="en-GB"/>
        </w:rPr>
        <w:t xml:space="preserve"> </w:t>
      </w:r>
      <w:r w:rsidR="00DF25E9" w:rsidRPr="006305A8">
        <w:rPr>
          <w:rFonts w:asciiTheme="majorHAnsi" w:eastAsiaTheme="majorEastAsia" w:hAnsiTheme="majorHAnsi" w:cstheme="majorHAnsi"/>
          <w:color w:val="000000" w:themeColor="text1"/>
          <w:kern w:val="0"/>
          <w:sz w:val="22"/>
          <w:szCs w:val="22"/>
          <w:lang w:val="en-GB"/>
        </w:rPr>
        <w:t>and</w:t>
      </w:r>
      <w:r w:rsidRPr="006305A8">
        <w:rPr>
          <w:rFonts w:asciiTheme="majorHAnsi" w:eastAsiaTheme="majorEastAsia" w:hAnsiTheme="majorHAnsi" w:cstheme="majorHAnsi"/>
          <w:color w:val="000000" w:themeColor="text1"/>
          <w:kern w:val="0"/>
          <w:sz w:val="22"/>
          <w:szCs w:val="22"/>
          <w:lang w:val="en-GB"/>
        </w:rPr>
        <w:t xml:space="preserve"> </w:t>
      </w:r>
      <w:r w:rsidR="00681C42" w:rsidRPr="006305A8">
        <w:rPr>
          <w:rFonts w:asciiTheme="majorHAnsi" w:eastAsiaTheme="majorEastAsia" w:hAnsiTheme="majorHAnsi" w:cstheme="majorHAnsi"/>
          <w:color w:val="000000" w:themeColor="text1"/>
          <w:kern w:val="0"/>
          <w:sz w:val="22"/>
          <w:szCs w:val="22"/>
          <w:lang w:val="en-GB"/>
        </w:rPr>
        <w:t xml:space="preserve">indicates </w:t>
      </w:r>
      <w:r w:rsidRPr="006305A8">
        <w:rPr>
          <w:rFonts w:asciiTheme="majorHAnsi" w:eastAsiaTheme="majorEastAsia" w:hAnsiTheme="majorHAnsi" w:cstheme="majorHAnsi"/>
          <w:color w:val="000000" w:themeColor="text1"/>
          <w:kern w:val="0"/>
          <w:sz w:val="22"/>
          <w:szCs w:val="22"/>
          <w:lang w:val="en-GB"/>
        </w:rPr>
        <w:t>that</w:t>
      </w:r>
      <w:r w:rsidR="00681C42" w:rsidRPr="006305A8">
        <w:rPr>
          <w:rFonts w:asciiTheme="majorHAnsi" w:eastAsiaTheme="majorEastAsia" w:hAnsiTheme="majorHAnsi" w:cstheme="majorHAnsi"/>
          <w:color w:val="000000" w:themeColor="text1"/>
          <w:kern w:val="0"/>
          <w:sz w:val="22"/>
          <w:szCs w:val="22"/>
          <w:lang w:val="en-GB"/>
        </w:rPr>
        <w:t xml:space="preserve"> </w:t>
      </w:r>
      <w:r w:rsidR="00842A46" w:rsidRPr="006305A8">
        <w:rPr>
          <w:rFonts w:asciiTheme="majorHAnsi" w:eastAsiaTheme="majorEastAsia" w:hAnsiTheme="majorHAnsi" w:cstheme="majorHAnsi"/>
          <w:color w:val="000000" w:themeColor="text1"/>
          <w:kern w:val="0"/>
          <w:sz w:val="22"/>
          <w:szCs w:val="22"/>
          <w:lang w:val="en-GB"/>
        </w:rPr>
        <w:t xml:space="preserve">both </w:t>
      </w:r>
      <w:r w:rsidRPr="006305A8">
        <w:rPr>
          <w:rFonts w:asciiTheme="majorHAnsi" w:eastAsiaTheme="majorEastAsia" w:hAnsiTheme="majorHAnsi" w:cstheme="majorHAnsi"/>
          <w:color w:val="000000" w:themeColor="text1"/>
          <w:kern w:val="0"/>
          <w:sz w:val="22"/>
          <w:szCs w:val="22"/>
          <w:lang w:val="en-GB"/>
        </w:rPr>
        <w:t>astrology</w:t>
      </w:r>
      <w:r w:rsidR="00842A46" w:rsidRPr="006305A8">
        <w:rPr>
          <w:rFonts w:asciiTheme="majorHAnsi" w:eastAsiaTheme="majorEastAsia" w:hAnsiTheme="majorHAnsi" w:cstheme="majorHAnsi"/>
          <w:color w:val="000000" w:themeColor="text1"/>
          <w:kern w:val="0"/>
          <w:sz w:val="22"/>
          <w:szCs w:val="22"/>
          <w:lang w:val="en-GB"/>
        </w:rPr>
        <w:t xml:space="preserve"> and</w:t>
      </w:r>
      <w:r w:rsidRPr="006305A8">
        <w:rPr>
          <w:rFonts w:asciiTheme="majorHAnsi" w:eastAsiaTheme="majorEastAsia" w:hAnsiTheme="majorHAnsi" w:cstheme="majorHAnsi"/>
          <w:color w:val="000000" w:themeColor="text1"/>
          <w:kern w:val="0"/>
          <w:sz w:val="22"/>
          <w:szCs w:val="22"/>
          <w:lang w:val="en-GB"/>
        </w:rPr>
        <w:t xml:space="preserve"> medicine ‘regularly made use of retroactive analysis and historical or biographical narrative as well as prediction’</w:t>
      </w:r>
      <w:r w:rsidR="004A4E02" w:rsidRPr="006305A8">
        <w:rPr>
          <w:rFonts w:asciiTheme="majorHAnsi" w:eastAsiaTheme="majorEastAsia" w:hAnsiTheme="majorHAnsi" w:cstheme="majorHAnsi"/>
          <w:color w:val="000000" w:themeColor="text1"/>
          <w:kern w:val="0"/>
          <w:sz w:val="22"/>
          <w:szCs w:val="22"/>
          <w:lang w:val="en-GB"/>
        </w:rPr>
        <w:t>,</w:t>
      </w:r>
      <w:r w:rsidR="004A4E02" w:rsidRPr="006305A8">
        <w:rPr>
          <w:rStyle w:val="FootnoteReference"/>
          <w:rFonts w:asciiTheme="majorHAnsi" w:eastAsiaTheme="majorEastAsia" w:hAnsiTheme="majorHAnsi" w:cstheme="majorHAnsi"/>
          <w:color w:val="000000" w:themeColor="text1"/>
          <w:kern w:val="0"/>
          <w:sz w:val="22"/>
          <w:szCs w:val="22"/>
          <w:lang w:val="en-GB"/>
        </w:rPr>
        <w:footnoteReference w:id="24"/>
      </w:r>
      <w:r w:rsidRPr="006305A8">
        <w:rPr>
          <w:rFonts w:asciiTheme="majorHAnsi" w:eastAsiaTheme="majorEastAsia" w:hAnsiTheme="majorHAnsi" w:cstheme="majorHAnsi"/>
          <w:color w:val="000000" w:themeColor="text1"/>
          <w:kern w:val="0"/>
          <w:sz w:val="22"/>
          <w:szCs w:val="22"/>
          <w:lang w:val="en-GB"/>
        </w:rPr>
        <w:t xml:space="preserve"> </w:t>
      </w:r>
      <w:r w:rsidR="00CD3439" w:rsidRPr="006305A8">
        <w:rPr>
          <w:rFonts w:asciiTheme="majorHAnsi" w:eastAsiaTheme="majorEastAsia" w:hAnsiTheme="majorHAnsi" w:cstheme="majorHAnsi"/>
          <w:color w:val="000000" w:themeColor="text1"/>
          <w:kern w:val="0"/>
          <w:sz w:val="22"/>
          <w:szCs w:val="22"/>
          <w:lang w:val="en-GB"/>
        </w:rPr>
        <w:t xml:space="preserve">making a </w:t>
      </w:r>
      <w:r w:rsidRPr="006305A8">
        <w:rPr>
          <w:rFonts w:asciiTheme="majorHAnsi" w:eastAsiaTheme="majorEastAsia" w:hAnsiTheme="majorHAnsi" w:cstheme="majorHAnsi"/>
          <w:color w:val="000000" w:themeColor="text1"/>
          <w:kern w:val="0"/>
          <w:sz w:val="22"/>
          <w:szCs w:val="22"/>
          <w:lang w:val="en-GB"/>
        </w:rPr>
        <w:t>connecti</w:t>
      </w:r>
      <w:r w:rsidR="00CD3439" w:rsidRPr="006305A8">
        <w:rPr>
          <w:rFonts w:asciiTheme="majorHAnsi" w:eastAsiaTheme="majorEastAsia" w:hAnsiTheme="majorHAnsi" w:cstheme="majorHAnsi"/>
          <w:color w:val="000000" w:themeColor="text1"/>
          <w:kern w:val="0"/>
          <w:sz w:val="22"/>
          <w:szCs w:val="22"/>
          <w:lang w:val="en-GB"/>
        </w:rPr>
        <w:t>o</w:t>
      </w:r>
      <w:r w:rsidRPr="006305A8">
        <w:rPr>
          <w:rFonts w:asciiTheme="majorHAnsi" w:eastAsiaTheme="majorEastAsia" w:hAnsiTheme="majorHAnsi" w:cstheme="majorHAnsi"/>
          <w:color w:val="000000" w:themeColor="text1"/>
          <w:kern w:val="0"/>
          <w:sz w:val="22"/>
          <w:szCs w:val="22"/>
          <w:lang w:val="en-GB"/>
        </w:rPr>
        <w:t>n</w:t>
      </w:r>
      <w:r w:rsidR="00CD3439" w:rsidRPr="006305A8">
        <w:rPr>
          <w:rFonts w:asciiTheme="majorHAnsi" w:eastAsiaTheme="majorEastAsia" w:hAnsiTheme="majorHAnsi" w:cstheme="majorHAnsi"/>
          <w:color w:val="000000" w:themeColor="text1"/>
          <w:kern w:val="0"/>
          <w:sz w:val="22"/>
          <w:szCs w:val="22"/>
          <w:lang w:val="en-GB"/>
        </w:rPr>
        <w:t xml:space="preserve"> with</w:t>
      </w:r>
      <w:r w:rsidRPr="006305A8">
        <w:rPr>
          <w:rFonts w:asciiTheme="majorHAnsi" w:eastAsiaTheme="majorEastAsia" w:hAnsiTheme="majorHAnsi" w:cstheme="majorHAnsi"/>
          <w:color w:val="000000" w:themeColor="text1"/>
          <w:kern w:val="0"/>
          <w:sz w:val="22"/>
          <w:szCs w:val="22"/>
          <w:lang w:val="en-GB"/>
        </w:rPr>
        <w:t xml:space="preserve"> one of her main ideas of narrative as an important piece of Renaissance medical history. Siraisi uses examples to illustrate the varying roles astrology played in the lives of early modern physicians. Girolamo Cardano, for example, would draw up horoscopes of acquaintances and historical figures like Jesus Christ, but he seems to have kept his work as a physician separate from his work as an astrologer. Thomas Bodier of Rouen, on the other hand, bridged his work as a physician and as an astrologer through medical astrology, as he created horoscopes to document patients’ cases from the onset of illness through their eventual recovery or death</w:t>
      </w:r>
      <w:r w:rsidR="004A4E02" w:rsidRPr="006305A8">
        <w:rPr>
          <w:rFonts w:asciiTheme="majorHAnsi" w:eastAsiaTheme="majorEastAsia" w:hAnsiTheme="majorHAnsi" w:cstheme="majorHAnsi"/>
          <w:color w:val="000000" w:themeColor="text1"/>
          <w:kern w:val="0"/>
          <w:sz w:val="22"/>
          <w:szCs w:val="22"/>
          <w:lang w:val="en-GB"/>
        </w:rPr>
        <w:t>.</w:t>
      </w:r>
      <w:r w:rsidR="004A4E02" w:rsidRPr="006305A8">
        <w:rPr>
          <w:rStyle w:val="FootnoteReference"/>
          <w:rFonts w:asciiTheme="majorHAnsi" w:eastAsiaTheme="majorEastAsia" w:hAnsiTheme="majorHAnsi" w:cstheme="majorHAnsi"/>
          <w:color w:val="000000" w:themeColor="text1"/>
          <w:kern w:val="0"/>
          <w:sz w:val="22"/>
          <w:szCs w:val="22"/>
          <w:lang w:val="en-GB"/>
        </w:rPr>
        <w:footnoteReference w:id="25"/>
      </w:r>
      <w:r w:rsidRPr="006305A8">
        <w:rPr>
          <w:rFonts w:asciiTheme="majorHAnsi" w:eastAsiaTheme="majorEastAsia" w:hAnsiTheme="majorHAnsi" w:cstheme="majorHAnsi"/>
          <w:color w:val="000000" w:themeColor="text1"/>
          <w:kern w:val="0"/>
          <w:sz w:val="22"/>
          <w:szCs w:val="22"/>
          <w:lang w:val="en-GB"/>
        </w:rPr>
        <w:t xml:space="preserve"> Although she does not go in depth in her analysis of Renaissance physicians’ use of astrology, Siraisi does </w:t>
      </w:r>
      <w:r w:rsidR="004362DE" w:rsidRPr="006305A8">
        <w:rPr>
          <w:rFonts w:asciiTheme="majorHAnsi" w:eastAsiaTheme="majorEastAsia" w:hAnsiTheme="majorHAnsi" w:cstheme="majorHAnsi"/>
          <w:color w:val="000000" w:themeColor="text1"/>
          <w:kern w:val="0"/>
          <w:sz w:val="22"/>
          <w:szCs w:val="22"/>
          <w:lang w:val="en-GB"/>
        </w:rPr>
        <w:t>mention</w:t>
      </w:r>
      <w:r w:rsidRPr="006305A8">
        <w:rPr>
          <w:rFonts w:asciiTheme="majorHAnsi" w:eastAsiaTheme="majorEastAsia" w:hAnsiTheme="majorHAnsi" w:cstheme="majorHAnsi"/>
          <w:color w:val="000000" w:themeColor="text1"/>
          <w:kern w:val="0"/>
          <w:sz w:val="22"/>
          <w:szCs w:val="22"/>
          <w:lang w:val="en-GB"/>
        </w:rPr>
        <w:t xml:space="preserve"> that ‘their medical or astrological expertise shaped ideas about history’</w:t>
      </w:r>
      <w:r w:rsidR="00544DF4" w:rsidRPr="006305A8">
        <w:rPr>
          <w:rFonts w:asciiTheme="majorHAnsi" w:eastAsiaTheme="majorEastAsia" w:hAnsiTheme="majorHAnsi" w:cstheme="majorHAnsi"/>
          <w:color w:val="000000" w:themeColor="text1"/>
          <w:kern w:val="0"/>
          <w:sz w:val="22"/>
          <w:szCs w:val="22"/>
          <w:lang w:val="en-GB"/>
        </w:rPr>
        <w:t>.</w:t>
      </w:r>
      <w:r w:rsidR="004A4E02" w:rsidRPr="006305A8">
        <w:rPr>
          <w:rStyle w:val="FootnoteReference"/>
          <w:rFonts w:asciiTheme="majorHAnsi" w:eastAsiaTheme="majorEastAsia" w:hAnsiTheme="majorHAnsi" w:cstheme="majorHAnsi"/>
          <w:color w:val="000000" w:themeColor="text1"/>
          <w:kern w:val="0"/>
          <w:sz w:val="22"/>
          <w:szCs w:val="22"/>
          <w:lang w:val="en-GB"/>
        </w:rPr>
        <w:footnoteReference w:id="26"/>
      </w:r>
    </w:p>
    <w:p w14:paraId="79A91E36" w14:textId="77777777"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p>
    <w:p w14:paraId="52F81806" w14:textId="78E04FB4"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b/>
          <w:bCs/>
          <w:color w:val="000000" w:themeColor="text1"/>
          <w:kern w:val="0"/>
          <w:sz w:val="22"/>
          <w:szCs w:val="22"/>
          <w:lang w:val="en-GB"/>
        </w:rPr>
        <w:t>Culture</w:t>
      </w:r>
    </w:p>
    <w:p w14:paraId="12BE73E7" w14:textId="3940363E" w:rsidR="001F5F78"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In his </w:t>
      </w:r>
      <w:r w:rsidRPr="006305A8">
        <w:rPr>
          <w:rFonts w:asciiTheme="majorHAnsi" w:eastAsiaTheme="majorEastAsia" w:hAnsiTheme="majorHAnsi" w:cstheme="majorHAnsi"/>
          <w:i/>
          <w:iCs/>
          <w:color w:val="000000" w:themeColor="text1"/>
          <w:kern w:val="0"/>
          <w:sz w:val="22"/>
          <w:szCs w:val="22"/>
          <w:lang w:val="en-GB"/>
        </w:rPr>
        <w:t>Keywords</w:t>
      </w:r>
      <w:r w:rsidRPr="006305A8">
        <w:rPr>
          <w:rFonts w:asciiTheme="majorHAnsi" w:eastAsiaTheme="majorEastAsia" w:hAnsiTheme="majorHAnsi" w:cstheme="majorHAnsi"/>
          <w:color w:val="000000" w:themeColor="text1"/>
          <w:kern w:val="0"/>
          <w:sz w:val="22"/>
          <w:szCs w:val="22"/>
          <w:lang w:val="en-GB"/>
        </w:rPr>
        <w:t>, Raymond Williams introduces three descriptive categories of usage for the word ‘culture’: (1) ‘a […] process of intellectual, spiritual and aesthetic development’; (2) ‘a particular way of life, whether of a people, a period, a group, or humanity in general’; and (3) ‘the works and practices of intellectual and especially artistic activity’.</w:t>
      </w:r>
      <w:r w:rsidR="00A82CBA" w:rsidRPr="006305A8">
        <w:rPr>
          <w:rStyle w:val="FootnoteReference"/>
          <w:rFonts w:asciiTheme="majorHAnsi" w:eastAsiaTheme="majorEastAsia" w:hAnsiTheme="majorHAnsi" w:cstheme="majorHAnsi"/>
          <w:color w:val="000000" w:themeColor="text1"/>
          <w:kern w:val="0"/>
          <w:sz w:val="22"/>
          <w:szCs w:val="22"/>
          <w:lang w:val="en-GB"/>
        </w:rPr>
        <w:footnoteReference w:id="27"/>
      </w:r>
      <w:r w:rsidRPr="006305A8">
        <w:rPr>
          <w:rFonts w:asciiTheme="majorHAnsi" w:eastAsiaTheme="majorEastAsia" w:hAnsiTheme="majorHAnsi" w:cstheme="majorHAnsi"/>
          <w:color w:val="000000" w:themeColor="text1"/>
          <w:kern w:val="0"/>
          <w:sz w:val="22"/>
          <w:szCs w:val="22"/>
          <w:lang w:val="en-GB"/>
        </w:rPr>
        <w:t xml:space="preserve"> Siraisi’s discussion of the medical culture of Renaissance physicians in ‘Anatomizing the Past’ covers all three of Williams’ categories of usage for the word ‘culture’, particularly as it relates to the intellectual nature of the medical profession. Siraisi begins her article by mentioning ‘the healing power of history’</w:t>
      </w:r>
      <w:r w:rsidR="00F928FA" w:rsidRPr="006305A8">
        <w:rPr>
          <w:rStyle w:val="FootnoteReference"/>
          <w:rFonts w:asciiTheme="majorHAnsi" w:eastAsiaTheme="majorEastAsia" w:hAnsiTheme="majorHAnsi" w:cstheme="majorHAnsi"/>
          <w:color w:val="000000" w:themeColor="text1"/>
          <w:kern w:val="0"/>
          <w:sz w:val="22"/>
          <w:szCs w:val="22"/>
          <w:lang w:val="en-GB"/>
        </w:rPr>
        <w:footnoteReference w:id="28"/>
      </w:r>
      <w:r w:rsidRPr="006305A8">
        <w:rPr>
          <w:rFonts w:asciiTheme="majorHAnsi" w:eastAsiaTheme="majorEastAsia" w:hAnsiTheme="majorHAnsi" w:cstheme="majorHAnsi"/>
          <w:color w:val="000000" w:themeColor="text1"/>
          <w:kern w:val="0"/>
          <w:sz w:val="22"/>
          <w:szCs w:val="22"/>
          <w:lang w:val="en-GB"/>
        </w:rPr>
        <w:t xml:space="preserve"> as a cure for body, mind and soul, further describing the early modern physician’s role in reading and writing history as ‘illuminat[ing] both medical culture and the place of medicine in the intellectual world</w:t>
      </w:r>
      <w:r w:rsidR="00F928FA" w:rsidRPr="006305A8">
        <w:rPr>
          <w:rFonts w:asciiTheme="majorHAnsi" w:eastAsiaTheme="majorEastAsia" w:hAnsiTheme="majorHAnsi" w:cstheme="majorHAnsi"/>
          <w:color w:val="000000" w:themeColor="text1"/>
          <w:kern w:val="0"/>
          <w:sz w:val="22"/>
          <w:szCs w:val="22"/>
          <w:lang w:val="en-GB"/>
        </w:rPr>
        <w:t>’</w:t>
      </w:r>
      <w:r w:rsidRPr="006305A8">
        <w:rPr>
          <w:rFonts w:asciiTheme="majorHAnsi" w:eastAsiaTheme="majorEastAsia" w:hAnsiTheme="majorHAnsi" w:cstheme="majorHAnsi"/>
          <w:color w:val="000000" w:themeColor="text1"/>
          <w:kern w:val="0"/>
          <w:sz w:val="22"/>
          <w:szCs w:val="22"/>
          <w:lang w:val="en-GB"/>
        </w:rPr>
        <w:t>.</w:t>
      </w:r>
      <w:r w:rsidR="00F928FA" w:rsidRPr="006305A8">
        <w:rPr>
          <w:rStyle w:val="FootnoteReference"/>
          <w:rFonts w:asciiTheme="majorHAnsi" w:eastAsiaTheme="majorEastAsia" w:hAnsiTheme="majorHAnsi" w:cstheme="majorHAnsi"/>
          <w:color w:val="000000" w:themeColor="text1"/>
          <w:kern w:val="0"/>
          <w:sz w:val="22"/>
          <w:szCs w:val="22"/>
          <w:lang w:val="en-GB"/>
        </w:rPr>
        <w:footnoteReference w:id="29"/>
      </w:r>
      <w:r w:rsidRPr="006305A8">
        <w:rPr>
          <w:rFonts w:asciiTheme="majorHAnsi" w:eastAsiaTheme="majorEastAsia" w:hAnsiTheme="majorHAnsi" w:cstheme="majorHAnsi"/>
          <w:color w:val="000000" w:themeColor="text1"/>
          <w:kern w:val="0"/>
          <w:sz w:val="22"/>
          <w:szCs w:val="22"/>
          <w:lang w:val="en-GB"/>
        </w:rPr>
        <w:t xml:space="preserve"> Siraisi points out that these physicians were products of a humanist culture in which history was highly valued and that, because of this, their profession was a multidisciplinary one.</w:t>
      </w:r>
      <w:r w:rsidR="00CE3203" w:rsidRPr="006305A8">
        <w:rPr>
          <w:rStyle w:val="FootnoteReference"/>
          <w:rFonts w:asciiTheme="majorHAnsi" w:eastAsiaTheme="majorEastAsia" w:hAnsiTheme="majorHAnsi" w:cstheme="majorHAnsi"/>
          <w:color w:val="000000" w:themeColor="text1"/>
          <w:kern w:val="0"/>
          <w:sz w:val="22"/>
          <w:szCs w:val="22"/>
          <w:lang w:val="en-GB"/>
        </w:rPr>
        <w:footnoteReference w:id="30"/>
      </w:r>
      <w:r w:rsidRPr="006305A8">
        <w:rPr>
          <w:rFonts w:asciiTheme="majorHAnsi" w:eastAsiaTheme="majorEastAsia" w:hAnsiTheme="majorHAnsi" w:cstheme="majorHAnsi"/>
          <w:color w:val="000000" w:themeColor="text1"/>
          <w:kern w:val="0"/>
          <w:sz w:val="22"/>
          <w:szCs w:val="22"/>
          <w:lang w:val="en-GB"/>
        </w:rPr>
        <w:t xml:space="preserve"> According to Terry Eagleton, ‘It is simple enough to feel enthusiastic about culture </w:t>
      </w:r>
      <w:r w:rsidRPr="006305A8">
        <w:rPr>
          <w:rFonts w:asciiTheme="majorHAnsi" w:eastAsiaTheme="majorEastAsia" w:hAnsiTheme="majorHAnsi" w:cstheme="majorHAnsi"/>
          <w:color w:val="000000" w:themeColor="text1"/>
          <w:kern w:val="0"/>
          <w:sz w:val="22"/>
          <w:szCs w:val="22"/>
          <w:lang w:val="en-GB"/>
        </w:rPr>
        <w:lastRenderedPageBreak/>
        <w:t>as humanistic self-development’</w:t>
      </w:r>
      <w:r w:rsidR="00453449" w:rsidRPr="006305A8">
        <w:rPr>
          <w:rFonts w:asciiTheme="majorHAnsi" w:eastAsiaTheme="majorEastAsia" w:hAnsiTheme="majorHAnsi" w:cstheme="majorHAnsi"/>
          <w:color w:val="000000" w:themeColor="text1"/>
          <w:kern w:val="0"/>
          <w:sz w:val="22"/>
          <w:szCs w:val="22"/>
          <w:lang w:val="en-GB"/>
        </w:rPr>
        <w:t>,</w:t>
      </w:r>
      <w:r w:rsidR="00453449" w:rsidRPr="006305A8">
        <w:rPr>
          <w:rStyle w:val="FootnoteReference"/>
          <w:rFonts w:asciiTheme="majorHAnsi" w:eastAsiaTheme="majorEastAsia" w:hAnsiTheme="majorHAnsi" w:cstheme="majorHAnsi"/>
          <w:color w:val="000000" w:themeColor="text1"/>
          <w:kern w:val="0"/>
          <w:sz w:val="22"/>
          <w:szCs w:val="22"/>
          <w:lang w:val="en-GB"/>
        </w:rPr>
        <w:footnoteReference w:id="31"/>
      </w:r>
      <w:r w:rsidRPr="006305A8">
        <w:rPr>
          <w:rFonts w:asciiTheme="majorHAnsi" w:eastAsiaTheme="majorEastAsia" w:hAnsiTheme="majorHAnsi" w:cstheme="majorHAnsi"/>
          <w:color w:val="000000" w:themeColor="text1"/>
          <w:kern w:val="0"/>
          <w:sz w:val="22"/>
          <w:szCs w:val="22"/>
          <w:lang w:val="en-GB"/>
        </w:rPr>
        <w:t xml:space="preserve"> a sentiment that can be seen through Renaissance physicians’ contribution</w:t>
      </w:r>
      <w:r w:rsidR="00D93C12" w:rsidRPr="006305A8">
        <w:rPr>
          <w:rFonts w:asciiTheme="majorHAnsi" w:eastAsiaTheme="majorEastAsia" w:hAnsiTheme="majorHAnsi" w:cstheme="majorHAnsi"/>
          <w:color w:val="000000" w:themeColor="text1"/>
          <w:kern w:val="0"/>
          <w:sz w:val="22"/>
          <w:szCs w:val="22"/>
          <w:lang w:val="en-GB"/>
        </w:rPr>
        <w:t>s</w:t>
      </w:r>
      <w:r w:rsidRPr="006305A8">
        <w:rPr>
          <w:rFonts w:asciiTheme="majorHAnsi" w:eastAsiaTheme="majorEastAsia" w:hAnsiTheme="majorHAnsi" w:cstheme="majorHAnsi"/>
          <w:color w:val="000000" w:themeColor="text1"/>
          <w:kern w:val="0"/>
          <w:sz w:val="22"/>
          <w:szCs w:val="22"/>
          <w:lang w:val="en-GB"/>
        </w:rPr>
        <w:t xml:space="preserve"> to other subjects like botany, anatomy, natural history, philosophy and astrology, among</w:t>
      </w:r>
      <w:r w:rsidR="00E83B7F" w:rsidRPr="006305A8">
        <w:rPr>
          <w:rFonts w:asciiTheme="majorHAnsi" w:eastAsiaTheme="majorEastAsia" w:hAnsiTheme="majorHAnsi" w:cstheme="majorHAnsi"/>
          <w:color w:val="000000" w:themeColor="text1"/>
          <w:kern w:val="0"/>
          <w:sz w:val="22"/>
          <w:szCs w:val="22"/>
          <w:lang w:val="en-GB"/>
        </w:rPr>
        <w:t>st</w:t>
      </w:r>
      <w:r w:rsidRPr="006305A8">
        <w:rPr>
          <w:rFonts w:asciiTheme="majorHAnsi" w:eastAsiaTheme="majorEastAsia" w:hAnsiTheme="majorHAnsi" w:cstheme="majorHAnsi"/>
          <w:color w:val="000000" w:themeColor="text1"/>
          <w:kern w:val="0"/>
          <w:sz w:val="22"/>
          <w:szCs w:val="22"/>
          <w:lang w:val="en-GB"/>
        </w:rPr>
        <w:t xml:space="preserve"> others.</w:t>
      </w:r>
      <w:r w:rsidR="00D90546" w:rsidRPr="006305A8">
        <w:rPr>
          <w:rStyle w:val="FootnoteReference"/>
          <w:rFonts w:asciiTheme="majorHAnsi" w:eastAsiaTheme="majorEastAsia" w:hAnsiTheme="majorHAnsi" w:cstheme="majorHAnsi"/>
          <w:color w:val="000000" w:themeColor="text1"/>
          <w:kern w:val="0"/>
          <w:sz w:val="22"/>
          <w:szCs w:val="22"/>
          <w:lang w:val="en-GB"/>
        </w:rPr>
        <w:footnoteReference w:id="32"/>
      </w:r>
    </w:p>
    <w:p w14:paraId="1F96B9D1" w14:textId="042E2429" w:rsidR="001F5F78" w:rsidRPr="006305A8" w:rsidRDefault="002C50EC"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ab/>
      </w:r>
      <w:r w:rsidR="001F5F78" w:rsidRPr="006305A8">
        <w:rPr>
          <w:rFonts w:asciiTheme="majorHAnsi" w:eastAsiaTheme="majorEastAsia" w:hAnsiTheme="majorHAnsi" w:cstheme="majorHAnsi"/>
          <w:color w:val="000000" w:themeColor="text1"/>
          <w:kern w:val="0"/>
          <w:sz w:val="22"/>
          <w:szCs w:val="22"/>
          <w:lang w:val="en-GB"/>
        </w:rPr>
        <w:t xml:space="preserve">In </w:t>
      </w:r>
      <w:r w:rsidR="00544DF4" w:rsidRPr="006305A8">
        <w:rPr>
          <w:rFonts w:asciiTheme="majorHAnsi" w:eastAsiaTheme="majorEastAsia" w:hAnsiTheme="majorHAnsi" w:cstheme="majorHAnsi"/>
          <w:color w:val="000000" w:themeColor="text1"/>
          <w:kern w:val="0"/>
          <w:sz w:val="22"/>
          <w:szCs w:val="22"/>
          <w:lang w:val="en-GB"/>
        </w:rPr>
        <w:t>‘</w:t>
      </w:r>
      <w:r w:rsidR="001F5F78" w:rsidRPr="006305A8">
        <w:rPr>
          <w:rFonts w:asciiTheme="majorHAnsi" w:eastAsiaTheme="majorEastAsia" w:hAnsiTheme="majorHAnsi" w:cstheme="majorHAnsi"/>
          <w:color w:val="000000" w:themeColor="text1"/>
          <w:kern w:val="0"/>
          <w:sz w:val="22"/>
          <w:szCs w:val="22"/>
          <w:lang w:val="en-GB"/>
        </w:rPr>
        <w:t>Telling time through medicine’, Rankin identifies gender disparities in time and approach to medicine, ‘a particular way of life […] of a people’.</w:t>
      </w:r>
      <w:r w:rsidR="00032CF9" w:rsidRPr="006305A8">
        <w:rPr>
          <w:rStyle w:val="FootnoteReference"/>
          <w:rFonts w:asciiTheme="majorHAnsi" w:eastAsiaTheme="majorEastAsia" w:hAnsiTheme="majorHAnsi" w:cstheme="majorHAnsi"/>
          <w:color w:val="000000" w:themeColor="text1"/>
          <w:kern w:val="0"/>
          <w:sz w:val="22"/>
          <w:szCs w:val="22"/>
          <w:lang w:val="en-GB"/>
        </w:rPr>
        <w:footnoteReference w:id="33"/>
      </w:r>
      <w:r w:rsidR="001F5F78" w:rsidRPr="006305A8">
        <w:rPr>
          <w:rFonts w:asciiTheme="majorHAnsi" w:eastAsiaTheme="majorEastAsia" w:hAnsiTheme="majorHAnsi" w:cstheme="majorHAnsi"/>
          <w:color w:val="000000" w:themeColor="text1"/>
          <w:kern w:val="0"/>
          <w:sz w:val="22"/>
          <w:szCs w:val="22"/>
          <w:lang w:val="en-GB"/>
        </w:rPr>
        <w:t xml:space="preserve"> In her discussion of aristocratic women as healers, she specifies that women were seen to have been wasting or passing time, whereas men were seen to have been living by a schedule.</w:t>
      </w:r>
      <w:r w:rsidR="00AC5195" w:rsidRPr="006305A8">
        <w:rPr>
          <w:rStyle w:val="FootnoteReference"/>
          <w:rFonts w:asciiTheme="majorHAnsi" w:eastAsiaTheme="majorEastAsia" w:hAnsiTheme="majorHAnsi" w:cstheme="majorHAnsi"/>
          <w:color w:val="000000" w:themeColor="text1"/>
          <w:kern w:val="0"/>
          <w:sz w:val="22"/>
          <w:szCs w:val="22"/>
          <w:lang w:val="en-GB"/>
        </w:rPr>
        <w:footnoteReference w:id="34"/>
      </w:r>
      <w:r w:rsidR="001F5F78" w:rsidRPr="006305A8">
        <w:rPr>
          <w:rFonts w:asciiTheme="majorHAnsi" w:eastAsiaTheme="majorEastAsia" w:hAnsiTheme="majorHAnsi" w:cstheme="majorHAnsi"/>
          <w:color w:val="000000" w:themeColor="text1"/>
          <w:kern w:val="0"/>
          <w:sz w:val="22"/>
          <w:szCs w:val="22"/>
          <w:lang w:val="en-GB"/>
        </w:rPr>
        <w:t xml:space="preserve"> She goes on to note how the medical responsibilities of the master of the house differed from those of the mistress of the house. The master possessed the medical knowledge and was responsible for regulating the patient’s health—this was seen as ‘big time’—whereas the mistress was responsible for ‘day-to-day details’ like tending to the patient, planting herbs and making medicines.</w:t>
      </w:r>
      <w:r w:rsidR="00AC5195" w:rsidRPr="006305A8">
        <w:rPr>
          <w:rStyle w:val="FootnoteReference"/>
          <w:rFonts w:asciiTheme="majorHAnsi" w:eastAsiaTheme="majorEastAsia" w:hAnsiTheme="majorHAnsi" w:cstheme="majorHAnsi"/>
          <w:color w:val="000000" w:themeColor="text1"/>
          <w:kern w:val="0"/>
          <w:sz w:val="22"/>
          <w:szCs w:val="22"/>
          <w:lang w:val="en-GB"/>
        </w:rPr>
        <w:footnoteReference w:id="35"/>
      </w:r>
      <w:r w:rsidR="001F5F78" w:rsidRPr="006305A8">
        <w:rPr>
          <w:rFonts w:asciiTheme="majorHAnsi" w:eastAsiaTheme="majorEastAsia" w:hAnsiTheme="majorHAnsi" w:cstheme="majorHAnsi"/>
          <w:color w:val="000000" w:themeColor="text1"/>
          <w:kern w:val="0"/>
          <w:sz w:val="22"/>
          <w:szCs w:val="22"/>
          <w:lang w:val="en-GB"/>
        </w:rPr>
        <w:t xml:space="preserve"> Managing the herb garden and making medicines required that women healers especially adapt to botanical time while adhering to horological </w:t>
      </w:r>
      <w:r w:rsidR="007C1ADF" w:rsidRPr="006305A8">
        <w:rPr>
          <w:rFonts w:asciiTheme="majorHAnsi" w:eastAsiaTheme="majorEastAsia" w:hAnsiTheme="majorHAnsi" w:cstheme="majorHAnsi"/>
          <w:color w:val="000000" w:themeColor="text1"/>
          <w:kern w:val="0"/>
          <w:sz w:val="22"/>
          <w:szCs w:val="22"/>
          <w:lang w:val="en-GB"/>
        </w:rPr>
        <w:t>and</w:t>
      </w:r>
      <w:r w:rsidR="001F5F78" w:rsidRPr="006305A8">
        <w:rPr>
          <w:rFonts w:asciiTheme="majorHAnsi" w:eastAsiaTheme="majorEastAsia" w:hAnsiTheme="majorHAnsi" w:cstheme="majorHAnsi"/>
          <w:color w:val="000000" w:themeColor="text1"/>
          <w:kern w:val="0"/>
          <w:sz w:val="22"/>
          <w:szCs w:val="22"/>
          <w:lang w:val="en-GB"/>
        </w:rPr>
        <w:t xml:space="preserve"> other systems of time. In her </w:t>
      </w:r>
      <w:r w:rsidR="00A40A6F" w:rsidRPr="006305A8">
        <w:rPr>
          <w:rFonts w:asciiTheme="majorHAnsi" w:eastAsiaTheme="majorEastAsia" w:hAnsiTheme="majorHAnsi" w:cstheme="majorHAnsi"/>
          <w:color w:val="000000" w:themeColor="text1"/>
          <w:kern w:val="0"/>
          <w:sz w:val="22"/>
          <w:szCs w:val="22"/>
          <w:lang w:val="en-GB"/>
        </w:rPr>
        <w:t>assessment</w:t>
      </w:r>
      <w:r w:rsidR="001F5F78" w:rsidRPr="006305A8">
        <w:rPr>
          <w:rFonts w:asciiTheme="majorHAnsi" w:eastAsiaTheme="majorEastAsia" w:hAnsiTheme="majorHAnsi" w:cstheme="majorHAnsi"/>
          <w:color w:val="000000" w:themeColor="text1"/>
          <w:kern w:val="0"/>
          <w:sz w:val="22"/>
          <w:szCs w:val="22"/>
          <w:lang w:val="en-GB"/>
        </w:rPr>
        <w:t xml:space="preserve"> of aristocratic women as healers, Rankin describes their personal experience of their medicinal practice as enjoyable but necessary and one that needed to be intentionally fit into their daily lives as ladies of the house.</w:t>
      </w:r>
      <w:r w:rsidR="0093146E" w:rsidRPr="006305A8">
        <w:rPr>
          <w:rStyle w:val="FootnoteReference"/>
          <w:rFonts w:asciiTheme="majorHAnsi" w:eastAsiaTheme="majorEastAsia" w:hAnsiTheme="majorHAnsi" w:cstheme="majorHAnsi"/>
          <w:color w:val="000000" w:themeColor="text1"/>
          <w:kern w:val="0"/>
          <w:sz w:val="22"/>
          <w:szCs w:val="22"/>
          <w:lang w:val="en-GB"/>
        </w:rPr>
        <w:footnoteReference w:id="36"/>
      </w:r>
    </w:p>
    <w:p w14:paraId="1EB0087D" w14:textId="504D01C1" w:rsidR="001F5F78" w:rsidRPr="006305A8" w:rsidRDefault="002C50EC"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ab/>
      </w:r>
      <w:r w:rsidR="001F5F78" w:rsidRPr="006305A8">
        <w:rPr>
          <w:rFonts w:asciiTheme="majorHAnsi" w:eastAsiaTheme="majorEastAsia" w:hAnsiTheme="majorHAnsi" w:cstheme="majorHAnsi"/>
          <w:color w:val="000000" w:themeColor="text1"/>
          <w:kern w:val="0"/>
          <w:sz w:val="22"/>
          <w:szCs w:val="22"/>
          <w:lang w:val="en-GB"/>
        </w:rPr>
        <w:t>Stark gender roles in Renaissance-era medical culture as they relate to the historical record are apparent in both Siraisi and Rankin’s articles. According to Eagleton, ‘Culture […] means a body of artistic and intellectual work of agreed value, along with the institutions which produce, disseminate and regulate it’</w:t>
      </w:r>
      <w:r w:rsidR="0029389A" w:rsidRPr="006305A8">
        <w:rPr>
          <w:rFonts w:asciiTheme="majorHAnsi" w:eastAsiaTheme="majorEastAsia" w:hAnsiTheme="majorHAnsi" w:cstheme="majorHAnsi"/>
          <w:color w:val="000000" w:themeColor="text1"/>
          <w:kern w:val="0"/>
          <w:sz w:val="22"/>
          <w:szCs w:val="22"/>
          <w:lang w:val="en-GB"/>
        </w:rPr>
        <w:t>,</w:t>
      </w:r>
      <w:r w:rsidR="006C34D6" w:rsidRPr="006305A8">
        <w:rPr>
          <w:rStyle w:val="FootnoteReference"/>
          <w:rFonts w:asciiTheme="majorHAnsi" w:eastAsiaTheme="majorEastAsia" w:hAnsiTheme="majorHAnsi" w:cstheme="majorHAnsi"/>
          <w:color w:val="000000" w:themeColor="text1"/>
          <w:kern w:val="0"/>
          <w:sz w:val="22"/>
          <w:szCs w:val="22"/>
          <w:lang w:val="en-GB"/>
        </w:rPr>
        <w:footnoteReference w:id="37"/>
      </w:r>
      <w:r w:rsidR="001F5F78" w:rsidRPr="006305A8">
        <w:rPr>
          <w:rFonts w:asciiTheme="majorHAnsi" w:eastAsiaTheme="majorEastAsia" w:hAnsiTheme="majorHAnsi" w:cstheme="majorHAnsi"/>
          <w:color w:val="000000" w:themeColor="text1"/>
          <w:kern w:val="0"/>
          <w:sz w:val="22"/>
          <w:szCs w:val="22"/>
          <w:lang w:val="en-GB"/>
        </w:rPr>
        <w:t xml:space="preserve"> and it is evident in both articles that men dominated the recording and </w:t>
      </w:r>
      <w:r w:rsidR="007119BA" w:rsidRPr="006305A8">
        <w:rPr>
          <w:rFonts w:asciiTheme="majorHAnsi" w:eastAsiaTheme="majorEastAsia" w:hAnsiTheme="majorHAnsi" w:cstheme="majorHAnsi"/>
          <w:color w:val="000000" w:themeColor="text1"/>
          <w:kern w:val="0"/>
          <w:sz w:val="22"/>
          <w:szCs w:val="22"/>
          <w:lang w:val="en-GB"/>
        </w:rPr>
        <w:t>disseminating of</w:t>
      </w:r>
      <w:r w:rsidR="001F5F78" w:rsidRPr="006305A8">
        <w:rPr>
          <w:rFonts w:asciiTheme="majorHAnsi" w:eastAsiaTheme="majorEastAsia" w:hAnsiTheme="majorHAnsi" w:cstheme="majorHAnsi"/>
          <w:color w:val="000000" w:themeColor="text1"/>
          <w:kern w:val="0"/>
          <w:sz w:val="22"/>
          <w:szCs w:val="22"/>
          <w:lang w:val="en-GB"/>
        </w:rPr>
        <w:t xml:space="preserve"> history as it related to early modern medicine. Rankin maintains that ‘the prescriptive voices tended to be male’</w:t>
      </w:r>
      <w:r w:rsidR="0029389A" w:rsidRPr="006305A8">
        <w:rPr>
          <w:rFonts w:asciiTheme="majorHAnsi" w:eastAsiaTheme="majorEastAsia" w:hAnsiTheme="majorHAnsi" w:cstheme="majorHAnsi"/>
          <w:color w:val="000000" w:themeColor="text1"/>
          <w:kern w:val="0"/>
          <w:sz w:val="22"/>
          <w:szCs w:val="22"/>
          <w:lang w:val="en-GB"/>
        </w:rPr>
        <w:t>,</w:t>
      </w:r>
      <w:r w:rsidR="0029389A" w:rsidRPr="006305A8">
        <w:rPr>
          <w:rStyle w:val="FootnoteReference"/>
          <w:rFonts w:asciiTheme="majorHAnsi" w:eastAsiaTheme="majorEastAsia" w:hAnsiTheme="majorHAnsi" w:cstheme="majorHAnsi"/>
          <w:color w:val="000000" w:themeColor="text1"/>
          <w:kern w:val="0"/>
          <w:sz w:val="22"/>
          <w:szCs w:val="22"/>
          <w:lang w:val="en-GB"/>
        </w:rPr>
        <w:footnoteReference w:id="38"/>
      </w:r>
      <w:r w:rsidR="001F5F78" w:rsidRPr="006305A8">
        <w:rPr>
          <w:rFonts w:asciiTheme="majorHAnsi" w:eastAsiaTheme="majorEastAsia" w:hAnsiTheme="majorHAnsi" w:cstheme="majorHAnsi"/>
          <w:color w:val="000000" w:themeColor="text1"/>
          <w:kern w:val="0"/>
          <w:sz w:val="22"/>
          <w:szCs w:val="22"/>
          <w:lang w:val="en-GB"/>
        </w:rPr>
        <w:t xml:space="preserve"> stating that they were the creators of astrological charts, almanacs, calendars and medical treatises. Siraisi </w:t>
      </w:r>
      <w:r w:rsidR="002F729F" w:rsidRPr="006305A8">
        <w:rPr>
          <w:rFonts w:asciiTheme="majorHAnsi" w:eastAsiaTheme="majorEastAsia" w:hAnsiTheme="majorHAnsi" w:cstheme="majorHAnsi"/>
          <w:color w:val="000000" w:themeColor="text1"/>
          <w:kern w:val="0"/>
          <w:sz w:val="22"/>
          <w:szCs w:val="22"/>
          <w:lang w:val="en-GB"/>
        </w:rPr>
        <w:t>asserts</w:t>
      </w:r>
      <w:r w:rsidR="001F5F78" w:rsidRPr="006305A8">
        <w:rPr>
          <w:rFonts w:asciiTheme="majorHAnsi" w:eastAsiaTheme="majorEastAsia" w:hAnsiTheme="majorHAnsi" w:cstheme="majorHAnsi"/>
          <w:color w:val="000000" w:themeColor="text1"/>
          <w:kern w:val="0"/>
          <w:sz w:val="22"/>
          <w:szCs w:val="22"/>
          <w:lang w:val="en-GB"/>
        </w:rPr>
        <w:t xml:space="preserve"> that narratives </w:t>
      </w:r>
      <w:r w:rsidR="002F729F" w:rsidRPr="006305A8">
        <w:rPr>
          <w:rFonts w:asciiTheme="majorHAnsi" w:eastAsiaTheme="majorEastAsia" w:hAnsiTheme="majorHAnsi" w:cstheme="majorHAnsi"/>
          <w:color w:val="000000" w:themeColor="text1"/>
          <w:kern w:val="0"/>
          <w:sz w:val="22"/>
          <w:szCs w:val="22"/>
          <w:lang w:val="en-GB"/>
        </w:rPr>
        <w:t xml:space="preserve">and commentaries </w:t>
      </w:r>
      <w:r w:rsidR="001F5F78" w:rsidRPr="006305A8">
        <w:rPr>
          <w:rFonts w:asciiTheme="majorHAnsi" w:eastAsiaTheme="majorEastAsia" w:hAnsiTheme="majorHAnsi" w:cstheme="majorHAnsi"/>
          <w:color w:val="000000" w:themeColor="text1"/>
          <w:kern w:val="0"/>
          <w:sz w:val="22"/>
          <w:szCs w:val="22"/>
          <w:lang w:val="en-GB"/>
        </w:rPr>
        <w:t xml:space="preserve">were increasing in popularity </w:t>
      </w:r>
      <w:r w:rsidR="00DC74D2" w:rsidRPr="006305A8">
        <w:rPr>
          <w:rFonts w:asciiTheme="majorHAnsi" w:eastAsiaTheme="majorEastAsia" w:hAnsiTheme="majorHAnsi" w:cstheme="majorHAnsi"/>
          <w:color w:val="000000" w:themeColor="text1"/>
          <w:kern w:val="0"/>
          <w:sz w:val="22"/>
          <w:szCs w:val="22"/>
          <w:lang w:val="en-GB"/>
        </w:rPr>
        <w:t>with</w:t>
      </w:r>
      <w:r w:rsidR="001F5F78" w:rsidRPr="006305A8">
        <w:rPr>
          <w:rFonts w:asciiTheme="majorHAnsi" w:eastAsiaTheme="majorEastAsia" w:hAnsiTheme="majorHAnsi" w:cstheme="majorHAnsi"/>
          <w:color w:val="000000" w:themeColor="text1"/>
          <w:kern w:val="0"/>
          <w:sz w:val="22"/>
          <w:szCs w:val="22"/>
          <w:lang w:val="en-GB"/>
        </w:rPr>
        <w:t xml:space="preserve"> (male) Renaissance physicians</w:t>
      </w:r>
      <w:r w:rsidR="009B1133" w:rsidRPr="006305A8">
        <w:rPr>
          <w:rFonts w:asciiTheme="majorHAnsi" w:eastAsiaTheme="majorEastAsia" w:hAnsiTheme="majorHAnsi" w:cstheme="majorHAnsi"/>
          <w:color w:val="000000" w:themeColor="text1"/>
          <w:kern w:val="0"/>
          <w:sz w:val="22"/>
          <w:szCs w:val="22"/>
          <w:lang w:val="en-GB"/>
        </w:rPr>
        <w:t>,</w:t>
      </w:r>
      <w:r w:rsidR="009B1133" w:rsidRPr="006305A8">
        <w:rPr>
          <w:rStyle w:val="FootnoteReference"/>
          <w:rFonts w:asciiTheme="majorHAnsi" w:eastAsiaTheme="majorEastAsia" w:hAnsiTheme="majorHAnsi" w:cstheme="majorHAnsi"/>
          <w:color w:val="000000" w:themeColor="text1"/>
          <w:kern w:val="0"/>
          <w:sz w:val="22"/>
          <w:szCs w:val="22"/>
          <w:lang w:val="en-GB"/>
        </w:rPr>
        <w:footnoteReference w:id="39"/>
      </w:r>
      <w:r w:rsidR="001F5F78" w:rsidRPr="006305A8">
        <w:rPr>
          <w:rFonts w:asciiTheme="majorHAnsi" w:eastAsiaTheme="majorEastAsia" w:hAnsiTheme="majorHAnsi" w:cstheme="majorHAnsi"/>
          <w:color w:val="000000" w:themeColor="text1"/>
          <w:kern w:val="0"/>
          <w:sz w:val="22"/>
          <w:szCs w:val="22"/>
          <w:lang w:val="en-GB"/>
        </w:rPr>
        <w:t xml:space="preserve"> who wrote medical histories</w:t>
      </w:r>
      <w:r w:rsidR="003D35B1" w:rsidRPr="006305A8">
        <w:rPr>
          <w:rFonts w:asciiTheme="majorHAnsi" w:eastAsiaTheme="majorEastAsia" w:hAnsiTheme="majorHAnsi" w:cstheme="majorHAnsi"/>
          <w:color w:val="000000" w:themeColor="text1"/>
          <w:kern w:val="0"/>
          <w:sz w:val="22"/>
          <w:szCs w:val="22"/>
          <w:lang w:val="en-GB"/>
        </w:rPr>
        <w:t>,</w:t>
      </w:r>
      <w:r w:rsidR="001F5F78" w:rsidRPr="006305A8">
        <w:rPr>
          <w:rFonts w:asciiTheme="majorHAnsi" w:eastAsiaTheme="majorEastAsia" w:hAnsiTheme="majorHAnsi" w:cstheme="majorHAnsi"/>
          <w:color w:val="000000" w:themeColor="text1"/>
          <w:kern w:val="0"/>
          <w:sz w:val="22"/>
          <w:szCs w:val="22"/>
          <w:lang w:val="en-GB"/>
        </w:rPr>
        <w:t xml:space="preserve"> biographies of medical figures </w:t>
      </w:r>
      <w:r w:rsidR="003D35B1" w:rsidRPr="006305A8">
        <w:rPr>
          <w:rFonts w:asciiTheme="majorHAnsi" w:eastAsiaTheme="majorEastAsia" w:hAnsiTheme="majorHAnsi" w:cstheme="majorHAnsi"/>
          <w:color w:val="000000" w:themeColor="text1"/>
          <w:kern w:val="0"/>
          <w:sz w:val="22"/>
          <w:szCs w:val="22"/>
          <w:lang w:val="en-GB"/>
        </w:rPr>
        <w:t>and</w:t>
      </w:r>
      <w:r w:rsidR="001F5F78" w:rsidRPr="006305A8">
        <w:rPr>
          <w:rFonts w:asciiTheme="majorHAnsi" w:eastAsiaTheme="majorEastAsia" w:hAnsiTheme="majorHAnsi" w:cstheme="majorHAnsi"/>
          <w:color w:val="000000" w:themeColor="text1"/>
          <w:kern w:val="0"/>
          <w:sz w:val="22"/>
          <w:szCs w:val="22"/>
          <w:lang w:val="en-GB"/>
        </w:rPr>
        <w:t xml:space="preserve"> works on broader historical topics </w:t>
      </w:r>
      <w:r w:rsidR="003D35B1" w:rsidRPr="006305A8">
        <w:rPr>
          <w:rFonts w:asciiTheme="majorHAnsi" w:eastAsiaTheme="majorEastAsia" w:hAnsiTheme="majorHAnsi" w:cstheme="majorHAnsi"/>
          <w:color w:val="000000" w:themeColor="text1"/>
          <w:kern w:val="0"/>
          <w:sz w:val="22"/>
          <w:szCs w:val="22"/>
          <w:lang w:val="en-GB"/>
        </w:rPr>
        <w:t>stemming from</w:t>
      </w:r>
      <w:r w:rsidR="001F5F78" w:rsidRPr="006305A8">
        <w:rPr>
          <w:rFonts w:asciiTheme="majorHAnsi" w:eastAsiaTheme="majorEastAsia" w:hAnsiTheme="majorHAnsi" w:cstheme="majorHAnsi"/>
          <w:color w:val="000000" w:themeColor="text1"/>
          <w:kern w:val="0"/>
          <w:sz w:val="22"/>
          <w:szCs w:val="22"/>
          <w:lang w:val="en-GB"/>
        </w:rPr>
        <w:t xml:space="preserve"> their intellectual </w:t>
      </w:r>
      <w:r w:rsidR="00A23808" w:rsidRPr="006305A8">
        <w:rPr>
          <w:rFonts w:asciiTheme="majorHAnsi" w:eastAsiaTheme="majorEastAsia" w:hAnsiTheme="majorHAnsi" w:cstheme="majorHAnsi"/>
          <w:color w:val="000000" w:themeColor="text1"/>
          <w:kern w:val="0"/>
          <w:sz w:val="22"/>
          <w:szCs w:val="22"/>
          <w:lang w:val="en-GB"/>
        </w:rPr>
        <w:t>interests</w:t>
      </w:r>
      <w:r w:rsidR="001F5F78" w:rsidRPr="006305A8">
        <w:rPr>
          <w:rFonts w:asciiTheme="majorHAnsi" w:eastAsiaTheme="majorEastAsia" w:hAnsiTheme="majorHAnsi" w:cstheme="majorHAnsi"/>
          <w:color w:val="000000" w:themeColor="text1"/>
          <w:kern w:val="0"/>
          <w:sz w:val="22"/>
          <w:szCs w:val="22"/>
          <w:lang w:val="en-GB"/>
        </w:rPr>
        <w:t xml:space="preserve"> </w:t>
      </w:r>
      <w:r w:rsidR="00276B55" w:rsidRPr="006305A8">
        <w:rPr>
          <w:rFonts w:asciiTheme="majorHAnsi" w:eastAsiaTheme="majorEastAsia" w:hAnsiTheme="majorHAnsi" w:cstheme="majorHAnsi"/>
          <w:color w:val="000000" w:themeColor="text1"/>
          <w:kern w:val="0"/>
          <w:sz w:val="22"/>
          <w:szCs w:val="22"/>
          <w:lang w:val="en-GB"/>
        </w:rPr>
        <w:t>outside of</w:t>
      </w:r>
      <w:r w:rsidR="001F5F78" w:rsidRPr="006305A8">
        <w:rPr>
          <w:rFonts w:asciiTheme="majorHAnsi" w:eastAsiaTheme="majorEastAsia" w:hAnsiTheme="majorHAnsi" w:cstheme="majorHAnsi"/>
          <w:color w:val="000000" w:themeColor="text1"/>
          <w:kern w:val="0"/>
          <w:sz w:val="22"/>
          <w:szCs w:val="22"/>
          <w:lang w:val="en-GB"/>
        </w:rPr>
        <w:t xml:space="preserve"> medicine.</w:t>
      </w:r>
      <w:r w:rsidR="006C3613" w:rsidRPr="006305A8">
        <w:rPr>
          <w:rStyle w:val="FootnoteReference"/>
          <w:rFonts w:asciiTheme="majorHAnsi" w:eastAsiaTheme="majorEastAsia" w:hAnsiTheme="majorHAnsi" w:cstheme="majorHAnsi"/>
          <w:color w:val="000000" w:themeColor="text1"/>
          <w:kern w:val="0"/>
          <w:sz w:val="22"/>
          <w:szCs w:val="22"/>
          <w:lang w:val="en-GB"/>
        </w:rPr>
        <w:footnoteReference w:id="40"/>
      </w:r>
      <w:r w:rsidR="001F5F78" w:rsidRPr="006305A8">
        <w:rPr>
          <w:rFonts w:asciiTheme="majorHAnsi" w:eastAsiaTheme="majorEastAsia" w:hAnsiTheme="majorHAnsi" w:cstheme="majorHAnsi"/>
          <w:color w:val="000000" w:themeColor="text1"/>
          <w:kern w:val="0"/>
          <w:sz w:val="22"/>
          <w:szCs w:val="22"/>
          <w:lang w:val="en-GB"/>
        </w:rPr>
        <w:t xml:space="preserve"> Going back to Eagleton, ‘civilization, in the very act of realizing some human potentials, also damagingly suppresses others’</w:t>
      </w:r>
      <w:r w:rsidR="006C3613" w:rsidRPr="006305A8">
        <w:rPr>
          <w:rFonts w:asciiTheme="majorHAnsi" w:eastAsiaTheme="majorEastAsia" w:hAnsiTheme="majorHAnsi" w:cstheme="majorHAnsi"/>
          <w:color w:val="000000" w:themeColor="text1"/>
          <w:kern w:val="0"/>
          <w:sz w:val="22"/>
          <w:szCs w:val="22"/>
          <w:lang w:val="en-GB"/>
        </w:rPr>
        <w:t>.</w:t>
      </w:r>
      <w:r w:rsidR="006C3613" w:rsidRPr="006305A8">
        <w:rPr>
          <w:rStyle w:val="FootnoteReference"/>
          <w:rFonts w:asciiTheme="majorHAnsi" w:eastAsiaTheme="majorEastAsia" w:hAnsiTheme="majorHAnsi" w:cstheme="majorHAnsi"/>
          <w:color w:val="000000" w:themeColor="text1"/>
          <w:kern w:val="0"/>
          <w:sz w:val="22"/>
          <w:szCs w:val="22"/>
          <w:lang w:val="en-GB"/>
        </w:rPr>
        <w:footnoteReference w:id="41"/>
      </w:r>
      <w:r w:rsidR="001F5F78" w:rsidRPr="006305A8">
        <w:rPr>
          <w:rFonts w:asciiTheme="majorHAnsi" w:eastAsiaTheme="majorEastAsia" w:hAnsiTheme="majorHAnsi" w:cstheme="majorHAnsi"/>
          <w:color w:val="000000" w:themeColor="text1"/>
          <w:kern w:val="0"/>
          <w:sz w:val="22"/>
          <w:szCs w:val="22"/>
          <w:lang w:val="en-GB"/>
        </w:rPr>
        <w:t xml:space="preserve"> This is evidenced by the aristocratic women healers’ ability to contribute to the historical record, which seems to have been limited more to recipe collections and personal correspondence, as seen in Rankin’s work</w:t>
      </w:r>
      <w:r w:rsidR="006C3613" w:rsidRPr="006305A8">
        <w:rPr>
          <w:rFonts w:asciiTheme="majorHAnsi" w:eastAsiaTheme="majorEastAsia" w:hAnsiTheme="majorHAnsi" w:cstheme="majorHAnsi"/>
          <w:color w:val="000000" w:themeColor="text1"/>
          <w:kern w:val="0"/>
          <w:sz w:val="22"/>
          <w:szCs w:val="22"/>
          <w:lang w:val="en-GB"/>
        </w:rPr>
        <w:t>.</w:t>
      </w:r>
      <w:r w:rsidR="006C3613" w:rsidRPr="006305A8">
        <w:rPr>
          <w:rStyle w:val="FootnoteReference"/>
          <w:rFonts w:asciiTheme="majorHAnsi" w:eastAsiaTheme="majorEastAsia" w:hAnsiTheme="majorHAnsi" w:cstheme="majorHAnsi"/>
          <w:color w:val="000000" w:themeColor="text1"/>
          <w:kern w:val="0"/>
          <w:sz w:val="22"/>
          <w:szCs w:val="22"/>
          <w:lang w:val="en-GB"/>
        </w:rPr>
        <w:footnoteReference w:id="42"/>
      </w:r>
    </w:p>
    <w:p w14:paraId="62425DC7" w14:textId="77777777" w:rsidR="001F5F78" w:rsidRPr="006305A8" w:rsidRDefault="001F5F78" w:rsidP="002C50EC">
      <w:pPr>
        <w:spacing w:before="120" w:after="120"/>
        <w:rPr>
          <w:rFonts w:asciiTheme="majorHAnsi" w:eastAsiaTheme="majorEastAsia" w:hAnsiTheme="majorHAnsi" w:cstheme="majorHAnsi"/>
          <w:color w:val="000000" w:themeColor="text1"/>
          <w:kern w:val="0"/>
          <w:sz w:val="22"/>
          <w:szCs w:val="22"/>
          <w:lang w:val="en-GB"/>
        </w:rPr>
      </w:pPr>
    </w:p>
    <w:p w14:paraId="59BB6A0B" w14:textId="64CF295C" w:rsidR="001F5F78" w:rsidRPr="006305A8" w:rsidRDefault="001F5F78" w:rsidP="002C50EC">
      <w:pPr>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b/>
          <w:bCs/>
          <w:color w:val="000000" w:themeColor="text1"/>
          <w:kern w:val="0"/>
          <w:sz w:val="22"/>
          <w:szCs w:val="22"/>
          <w:lang w:val="en-GB"/>
        </w:rPr>
        <w:t>Conclusion</w:t>
      </w:r>
    </w:p>
    <w:p w14:paraId="27CFBC70" w14:textId="6F49D9E6" w:rsidR="00C5543F" w:rsidRPr="006305A8"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This critical comparison of two JSTOR papers—Nancy Siraisi’s 'Anatomizing the Past: Physicians and History in Renaissance Culture' and Alisha Rankin’s 'Telling time through medicine: A gendered perspective'—found that both articles </w:t>
      </w:r>
      <w:r w:rsidR="00221EA8" w:rsidRPr="006305A8">
        <w:rPr>
          <w:rFonts w:asciiTheme="majorHAnsi" w:eastAsiaTheme="majorEastAsia" w:hAnsiTheme="majorHAnsi" w:cstheme="majorHAnsi"/>
          <w:color w:val="000000" w:themeColor="text1"/>
          <w:kern w:val="0"/>
          <w:sz w:val="22"/>
          <w:szCs w:val="22"/>
          <w:lang w:val="en-GB"/>
        </w:rPr>
        <w:t>presented</w:t>
      </w:r>
      <w:r w:rsidRPr="006305A8">
        <w:rPr>
          <w:rFonts w:asciiTheme="majorHAnsi" w:eastAsiaTheme="majorEastAsia" w:hAnsiTheme="majorHAnsi" w:cstheme="majorHAnsi"/>
          <w:color w:val="000000" w:themeColor="text1"/>
          <w:kern w:val="0"/>
          <w:sz w:val="22"/>
          <w:szCs w:val="22"/>
          <w:lang w:val="en-GB"/>
        </w:rPr>
        <w:t xml:space="preserve"> astrology and culture as minor, yet essential, themes in their exploration of early modern medicine.</w:t>
      </w:r>
      <w:r w:rsidR="00E20598" w:rsidRPr="006305A8">
        <w:rPr>
          <w:rFonts w:asciiTheme="majorHAnsi" w:eastAsiaTheme="majorEastAsia" w:hAnsiTheme="majorHAnsi" w:cstheme="majorHAnsi"/>
          <w:color w:val="000000" w:themeColor="text1"/>
          <w:kern w:val="0"/>
          <w:sz w:val="22"/>
          <w:szCs w:val="22"/>
          <w:lang w:val="en-GB"/>
        </w:rPr>
        <w:t xml:space="preserve"> </w:t>
      </w:r>
      <w:r w:rsidR="00E20598" w:rsidRPr="006305A8">
        <w:rPr>
          <w:rFonts w:asciiTheme="majorHAnsi" w:eastAsiaTheme="majorEastAsia" w:hAnsiTheme="majorHAnsi" w:cstheme="majorHAnsi"/>
          <w:color w:val="000000" w:themeColor="text1"/>
          <w:kern w:val="0"/>
          <w:sz w:val="22"/>
          <w:szCs w:val="22"/>
          <w:lang w:val="en-GB"/>
        </w:rPr>
        <w:t xml:space="preserve">Furthermore, this essay has demonstrated that the terms </w:t>
      </w:r>
      <w:r w:rsidR="00E20598" w:rsidRPr="006305A8">
        <w:rPr>
          <w:rFonts w:asciiTheme="majorHAnsi" w:eastAsiaTheme="majorEastAsia" w:hAnsiTheme="majorHAnsi" w:cstheme="majorHAnsi"/>
          <w:color w:val="000000" w:themeColor="text1"/>
          <w:kern w:val="0"/>
          <w:sz w:val="22"/>
          <w:szCs w:val="22"/>
          <w:lang w:val="en-GB"/>
        </w:rPr>
        <w:lastRenderedPageBreak/>
        <w:t xml:space="preserve">‘astrology’ and ‘culture’ are multifaceted and can be interpreted in </w:t>
      </w:r>
      <w:r w:rsidR="00667714" w:rsidRPr="006305A8">
        <w:rPr>
          <w:rFonts w:asciiTheme="majorHAnsi" w:eastAsiaTheme="majorEastAsia" w:hAnsiTheme="majorHAnsi" w:cstheme="majorHAnsi"/>
          <w:color w:val="000000" w:themeColor="text1"/>
          <w:kern w:val="0"/>
          <w:sz w:val="22"/>
          <w:szCs w:val="22"/>
          <w:lang w:val="en-GB"/>
        </w:rPr>
        <w:t>many ways</w:t>
      </w:r>
      <w:r w:rsidR="00E20598" w:rsidRPr="006305A8">
        <w:rPr>
          <w:rFonts w:asciiTheme="majorHAnsi" w:eastAsiaTheme="majorEastAsia" w:hAnsiTheme="majorHAnsi" w:cstheme="majorHAnsi"/>
          <w:color w:val="000000" w:themeColor="text1"/>
          <w:kern w:val="0"/>
          <w:sz w:val="22"/>
          <w:szCs w:val="22"/>
          <w:lang w:val="en-GB"/>
        </w:rPr>
        <w:t>, even within a single article.</w:t>
      </w:r>
    </w:p>
    <w:p w14:paraId="7A476E24" w14:textId="2BE5BB67" w:rsidR="001A1C5E" w:rsidRPr="006305A8" w:rsidRDefault="00E20598" w:rsidP="00C5543F">
      <w:pPr>
        <w:autoSpaceDE w:val="0"/>
        <w:autoSpaceDN w:val="0"/>
        <w:adjustRightInd w:val="0"/>
        <w:spacing w:before="120" w:after="120"/>
        <w:ind w:firstLine="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There are several definitions of astrology to choose from, but a broad one, such as that which Nicholas Campion proposes in ‘Defining Astrology in Ancient and Classical History’,</w:t>
      </w:r>
      <w:r w:rsidRPr="006305A8">
        <w:rPr>
          <w:rStyle w:val="FootnoteReference"/>
          <w:rFonts w:asciiTheme="majorHAnsi" w:eastAsiaTheme="majorEastAsia" w:hAnsiTheme="majorHAnsi" w:cstheme="majorHAnsi"/>
          <w:color w:val="000000" w:themeColor="text1"/>
          <w:kern w:val="0"/>
          <w:sz w:val="22"/>
          <w:szCs w:val="22"/>
          <w:lang w:val="en-GB"/>
        </w:rPr>
        <w:footnoteReference w:id="43"/>
      </w:r>
      <w:r w:rsidRPr="006305A8">
        <w:rPr>
          <w:rFonts w:asciiTheme="majorHAnsi" w:eastAsiaTheme="majorEastAsia" w:hAnsiTheme="majorHAnsi" w:cstheme="majorHAnsi"/>
          <w:color w:val="000000" w:themeColor="text1"/>
          <w:kern w:val="0"/>
          <w:sz w:val="22"/>
          <w:szCs w:val="22"/>
          <w:lang w:val="en-GB"/>
        </w:rPr>
        <w:t xml:space="preserve"> sufficiently addresses this topic in both articles, as it suggests a correlation between the cosmos and the mundane. Both Rankin and Siraisi briefly addressed the topic of medical astrology, the subdiscipline bridging astrology and medicine, in their references to zodiac men, celestial cycles, and horoscopes drawn for medical purposes.</w:t>
      </w:r>
      <w:r w:rsidR="00C5543F"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color w:val="000000" w:themeColor="text1"/>
          <w:kern w:val="0"/>
          <w:sz w:val="22"/>
          <w:szCs w:val="22"/>
          <w:lang w:val="en-GB"/>
        </w:rPr>
        <w:t>The definition for culture, however, has required more thorough defining and refining to convey the nuances of its representation in either article. Through Williams’ categories of usage of the word</w:t>
      </w:r>
      <w:r w:rsidRPr="006305A8">
        <w:rPr>
          <w:rStyle w:val="FootnoteReference"/>
          <w:rFonts w:asciiTheme="majorHAnsi" w:eastAsiaTheme="majorEastAsia" w:hAnsiTheme="majorHAnsi" w:cstheme="majorHAnsi"/>
          <w:color w:val="000000" w:themeColor="text1"/>
          <w:kern w:val="0"/>
          <w:sz w:val="22"/>
          <w:szCs w:val="22"/>
          <w:lang w:val="en-GB"/>
        </w:rPr>
        <w:footnoteReference w:id="44"/>
      </w:r>
      <w:r w:rsidRPr="006305A8">
        <w:rPr>
          <w:rFonts w:asciiTheme="majorHAnsi" w:eastAsiaTheme="majorEastAsia" w:hAnsiTheme="majorHAnsi" w:cstheme="majorHAnsi"/>
          <w:color w:val="000000" w:themeColor="text1"/>
          <w:kern w:val="0"/>
          <w:sz w:val="22"/>
          <w:szCs w:val="22"/>
          <w:lang w:val="en-GB"/>
        </w:rPr>
        <w:t xml:space="preserve"> and Eagleton’s thorough evaluation of culture,</w:t>
      </w:r>
      <w:r w:rsidRPr="006305A8">
        <w:rPr>
          <w:rStyle w:val="FootnoteReference"/>
          <w:rFonts w:asciiTheme="majorHAnsi" w:eastAsiaTheme="majorEastAsia" w:hAnsiTheme="majorHAnsi" w:cstheme="majorHAnsi"/>
          <w:color w:val="000000" w:themeColor="text1"/>
          <w:kern w:val="0"/>
          <w:sz w:val="22"/>
          <w:szCs w:val="22"/>
          <w:lang w:val="en-GB"/>
        </w:rPr>
        <w:footnoteReference w:id="45"/>
      </w:r>
      <w:r w:rsidRPr="006305A8">
        <w:rPr>
          <w:rFonts w:asciiTheme="majorHAnsi" w:eastAsiaTheme="majorEastAsia" w:hAnsiTheme="majorHAnsi" w:cstheme="majorHAnsi"/>
          <w:color w:val="000000" w:themeColor="text1"/>
          <w:kern w:val="0"/>
          <w:sz w:val="22"/>
          <w:szCs w:val="22"/>
          <w:lang w:val="en-GB"/>
        </w:rPr>
        <w:t xml:space="preserve"> various interpretations of this concept in Renaissance medical practice have been explored. While Renaissance medical and intellectual history was certainly made richer through the physicians’ place in humanist circles, it was demonstrated that the male perspective overshadowed that of the woman in early modern medical culture, with male physicians reading and writing history more formal</w:t>
      </w:r>
      <w:r w:rsidR="00816D75" w:rsidRPr="006305A8">
        <w:rPr>
          <w:rFonts w:asciiTheme="majorHAnsi" w:eastAsiaTheme="majorEastAsia" w:hAnsiTheme="majorHAnsi" w:cstheme="majorHAnsi"/>
          <w:color w:val="000000" w:themeColor="text1"/>
          <w:kern w:val="0"/>
          <w:sz w:val="22"/>
          <w:szCs w:val="22"/>
          <w:lang w:val="en-GB"/>
        </w:rPr>
        <w:t xml:space="preserve">ly </w:t>
      </w:r>
      <w:r w:rsidRPr="006305A8">
        <w:rPr>
          <w:rFonts w:asciiTheme="majorHAnsi" w:eastAsiaTheme="majorEastAsia" w:hAnsiTheme="majorHAnsi" w:cstheme="majorHAnsi"/>
          <w:color w:val="000000" w:themeColor="text1"/>
          <w:kern w:val="0"/>
          <w:sz w:val="22"/>
          <w:szCs w:val="22"/>
          <w:lang w:val="en-GB"/>
        </w:rPr>
        <w:t>and women healers contributing to the historical record through more informal means.</w:t>
      </w:r>
    </w:p>
    <w:p w14:paraId="05E018B1" w14:textId="335C036A" w:rsidR="001F5F78" w:rsidRPr="006305A8" w:rsidRDefault="001F5F78" w:rsidP="001A1C5E">
      <w:pPr>
        <w:autoSpaceDE w:val="0"/>
        <w:autoSpaceDN w:val="0"/>
        <w:adjustRightInd w:val="0"/>
        <w:spacing w:before="120" w:after="120"/>
        <w:ind w:firstLine="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Both Siraisi and Rankin were distinguished university professors of history at the time their articles </w:t>
      </w:r>
      <w:r w:rsidR="00060F98" w:rsidRPr="006305A8">
        <w:rPr>
          <w:rFonts w:asciiTheme="majorHAnsi" w:eastAsiaTheme="majorEastAsia" w:hAnsiTheme="majorHAnsi" w:cstheme="majorHAnsi"/>
          <w:color w:val="000000" w:themeColor="text1"/>
          <w:kern w:val="0"/>
          <w:sz w:val="22"/>
          <w:szCs w:val="22"/>
          <w:lang w:val="en-GB"/>
        </w:rPr>
        <w:t>were</w:t>
      </w:r>
      <w:r w:rsidRPr="006305A8">
        <w:rPr>
          <w:rFonts w:asciiTheme="majorHAnsi" w:eastAsiaTheme="majorEastAsia" w:hAnsiTheme="majorHAnsi" w:cstheme="majorHAnsi"/>
          <w:color w:val="000000" w:themeColor="text1"/>
          <w:kern w:val="0"/>
          <w:sz w:val="22"/>
          <w:szCs w:val="22"/>
          <w:lang w:val="en-GB"/>
        </w:rPr>
        <w:t xml:space="preserve"> published; both had several publications to their name, some of which they referred to in their own articles; and both articles were featured in interdisciplinary publications.</w:t>
      </w:r>
      <w:r w:rsidR="002F3917"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color w:val="000000" w:themeColor="text1"/>
          <w:kern w:val="0"/>
          <w:sz w:val="22"/>
          <w:szCs w:val="22"/>
          <w:lang w:val="en-GB"/>
        </w:rPr>
        <w:t>Rankin determined that an area for additional research was ‘the question of whether women’s medicine was seen as work or as a leisure pursuit’</w:t>
      </w:r>
      <w:r w:rsidR="00FA7406" w:rsidRPr="006305A8">
        <w:rPr>
          <w:rFonts w:asciiTheme="majorHAnsi" w:eastAsiaTheme="majorEastAsia" w:hAnsiTheme="majorHAnsi" w:cstheme="majorHAnsi"/>
          <w:color w:val="000000" w:themeColor="text1"/>
          <w:kern w:val="0"/>
          <w:sz w:val="22"/>
          <w:szCs w:val="22"/>
          <w:lang w:val="en-GB"/>
        </w:rPr>
        <w:t>,</w:t>
      </w:r>
      <w:r w:rsidR="00FA7406" w:rsidRPr="006305A8">
        <w:rPr>
          <w:rStyle w:val="FootnoteReference"/>
          <w:rFonts w:asciiTheme="majorHAnsi" w:eastAsiaTheme="majorEastAsia" w:hAnsiTheme="majorHAnsi" w:cstheme="majorHAnsi"/>
          <w:color w:val="000000" w:themeColor="text1"/>
          <w:kern w:val="0"/>
          <w:sz w:val="22"/>
          <w:szCs w:val="22"/>
          <w:lang w:val="en-GB"/>
        </w:rPr>
        <w:footnoteReference w:id="46"/>
      </w:r>
      <w:r w:rsidRPr="006305A8">
        <w:rPr>
          <w:rFonts w:asciiTheme="majorHAnsi" w:eastAsiaTheme="majorEastAsia" w:hAnsiTheme="majorHAnsi" w:cstheme="majorHAnsi"/>
          <w:color w:val="000000" w:themeColor="text1"/>
          <w:kern w:val="0"/>
          <w:sz w:val="22"/>
          <w:szCs w:val="22"/>
          <w:lang w:val="en-GB"/>
        </w:rPr>
        <w:t xml:space="preserve"> and similarly, Siraisi suggested further research into how medical learning and intellectual history of the Renaissance has been shaped by ‘elements that have sometimes seemed extraneous’</w:t>
      </w:r>
      <w:r w:rsidR="00AD0A90" w:rsidRPr="006305A8">
        <w:rPr>
          <w:rStyle w:val="FootnoteReference"/>
          <w:rFonts w:asciiTheme="majorHAnsi" w:eastAsiaTheme="majorEastAsia" w:hAnsiTheme="majorHAnsi" w:cstheme="majorHAnsi"/>
          <w:color w:val="000000" w:themeColor="text1"/>
          <w:kern w:val="0"/>
          <w:sz w:val="22"/>
          <w:szCs w:val="22"/>
          <w:lang w:val="en-GB"/>
        </w:rPr>
        <w:footnoteReference w:id="47"/>
      </w:r>
      <w:r w:rsidRPr="006305A8">
        <w:rPr>
          <w:rFonts w:asciiTheme="majorHAnsi" w:eastAsiaTheme="majorEastAsia" w:hAnsiTheme="majorHAnsi" w:cstheme="majorHAnsi"/>
          <w:color w:val="000000" w:themeColor="text1"/>
          <w:kern w:val="0"/>
          <w:sz w:val="22"/>
          <w:szCs w:val="22"/>
          <w:lang w:val="en-GB"/>
        </w:rPr>
        <w:t xml:space="preserve"> from a historical perspective, such as commentary as a medical genre.</w:t>
      </w:r>
      <w:r w:rsidR="001730B0" w:rsidRPr="006305A8">
        <w:rPr>
          <w:rFonts w:asciiTheme="majorHAnsi" w:eastAsiaTheme="majorEastAsia" w:hAnsiTheme="majorHAnsi" w:cstheme="majorHAnsi"/>
          <w:color w:val="000000" w:themeColor="text1"/>
          <w:kern w:val="0"/>
          <w:sz w:val="22"/>
          <w:szCs w:val="22"/>
          <w:lang w:val="en-GB"/>
        </w:rPr>
        <w:t xml:space="preserve"> To </w:t>
      </w:r>
      <w:r w:rsidR="006305A8" w:rsidRPr="006305A8">
        <w:rPr>
          <w:rFonts w:asciiTheme="majorHAnsi" w:eastAsiaTheme="majorEastAsia" w:hAnsiTheme="majorHAnsi" w:cstheme="majorHAnsi"/>
          <w:color w:val="000000" w:themeColor="text1"/>
          <w:kern w:val="0"/>
          <w:sz w:val="22"/>
          <w:szCs w:val="22"/>
          <w:lang w:val="en-GB"/>
        </w:rPr>
        <w:t>join</w:t>
      </w:r>
      <w:r w:rsidR="00D76061" w:rsidRPr="006305A8">
        <w:rPr>
          <w:rFonts w:asciiTheme="majorHAnsi" w:eastAsiaTheme="majorEastAsia" w:hAnsiTheme="majorHAnsi" w:cstheme="majorHAnsi"/>
          <w:color w:val="000000" w:themeColor="text1"/>
          <w:kern w:val="0"/>
          <w:sz w:val="22"/>
          <w:szCs w:val="22"/>
          <w:lang w:val="en-GB"/>
        </w:rPr>
        <w:t xml:space="preserve"> </w:t>
      </w:r>
      <w:r w:rsidR="001730B0" w:rsidRPr="006305A8">
        <w:rPr>
          <w:rFonts w:asciiTheme="majorHAnsi" w:eastAsiaTheme="majorEastAsia" w:hAnsiTheme="majorHAnsi" w:cstheme="majorHAnsi"/>
          <w:color w:val="000000" w:themeColor="text1"/>
          <w:kern w:val="0"/>
          <w:sz w:val="22"/>
          <w:szCs w:val="22"/>
          <w:lang w:val="en-GB"/>
        </w:rPr>
        <w:t>the two</w:t>
      </w:r>
      <w:r w:rsidR="0015152A" w:rsidRPr="006305A8">
        <w:rPr>
          <w:rFonts w:asciiTheme="majorHAnsi" w:eastAsiaTheme="majorEastAsia" w:hAnsiTheme="majorHAnsi" w:cstheme="majorHAnsi"/>
          <w:color w:val="000000" w:themeColor="text1"/>
          <w:kern w:val="0"/>
          <w:sz w:val="22"/>
          <w:szCs w:val="22"/>
          <w:lang w:val="en-GB"/>
        </w:rPr>
        <w:t xml:space="preserve"> research gaps</w:t>
      </w:r>
      <w:r w:rsidR="001730B0" w:rsidRPr="006305A8">
        <w:rPr>
          <w:rFonts w:asciiTheme="majorHAnsi" w:eastAsiaTheme="majorEastAsia" w:hAnsiTheme="majorHAnsi" w:cstheme="majorHAnsi"/>
          <w:color w:val="000000" w:themeColor="text1"/>
          <w:kern w:val="0"/>
          <w:sz w:val="22"/>
          <w:szCs w:val="22"/>
          <w:lang w:val="en-GB"/>
        </w:rPr>
        <w:t>, a</w:t>
      </w:r>
      <w:r w:rsidR="00F1072A" w:rsidRPr="006305A8">
        <w:rPr>
          <w:rFonts w:asciiTheme="majorHAnsi" w:eastAsiaTheme="majorEastAsia" w:hAnsiTheme="majorHAnsi" w:cstheme="majorHAnsi"/>
          <w:color w:val="000000" w:themeColor="text1"/>
          <w:kern w:val="0"/>
          <w:sz w:val="22"/>
          <w:szCs w:val="22"/>
          <w:lang w:val="en-GB"/>
        </w:rPr>
        <w:t xml:space="preserve"> worthwhile</w:t>
      </w:r>
      <w:r w:rsidR="001730B0" w:rsidRPr="006305A8">
        <w:rPr>
          <w:rFonts w:asciiTheme="majorHAnsi" w:eastAsiaTheme="majorEastAsia" w:hAnsiTheme="majorHAnsi" w:cstheme="majorHAnsi"/>
          <w:color w:val="000000" w:themeColor="text1"/>
          <w:kern w:val="0"/>
          <w:sz w:val="22"/>
          <w:szCs w:val="22"/>
          <w:lang w:val="en-GB"/>
        </w:rPr>
        <w:t xml:space="preserve"> area for </w:t>
      </w:r>
      <w:r w:rsidR="00C61672" w:rsidRPr="006305A8">
        <w:rPr>
          <w:rFonts w:asciiTheme="majorHAnsi" w:eastAsiaTheme="majorEastAsia" w:hAnsiTheme="majorHAnsi" w:cstheme="majorHAnsi"/>
          <w:color w:val="000000" w:themeColor="text1"/>
          <w:kern w:val="0"/>
          <w:sz w:val="22"/>
          <w:szCs w:val="22"/>
          <w:lang w:val="en-GB"/>
        </w:rPr>
        <w:t xml:space="preserve">future </w:t>
      </w:r>
      <w:r w:rsidR="00F57582" w:rsidRPr="006305A8">
        <w:rPr>
          <w:rFonts w:asciiTheme="majorHAnsi" w:eastAsiaTheme="majorEastAsia" w:hAnsiTheme="majorHAnsi" w:cstheme="majorHAnsi"/>
          <w:color w:val="000000" w:themeColor="text1"/>
          <w:kern w:val="0"/>
          <w:sz w:val="22"/>
          <w:szCs w:val="22"/>
          <w:lang w:val="en-GB"/>
        </w:rPr>
        <w:t>investigation</w:t>
      </w:r>
      <w:r w:rsidR="00C61672" w:rsidRPr="006305A8">
        <w:rPr>
          <w:rFonts w:asciiTheme="majorHAnsi" w:eastAsiaTheme="majorEastAsia" w:hAnsiTheme="majorHAnsi" w:cstheme="majorHAnsi"/>
          <w:color w:val="000000" w:themeColor="text1"/>
          <w:kern w:val="0"/>
          <w:sz w:val="22"/>
          <w:szCs w:val="22"/>
          <w:lang w:val="en-GB"/>
        </w:rPr>
        <w:t xml:space="preserve"> could be the ways in which women healers</w:t>
      </w:r>
      <w:r w:rsidR="0040775A" w:rsidRPr="006305A8">
        <w:rPr>
          <w:rFonts w:asciiTheme="majorHAnsi" w:eastAsiaTheme="majorEastAsia" w:hAnsiTheme="majorHAnsi" w:cstheme="majorHAnsi"/>
          <w:color w:val="000000" w:themeColor="text1"/>
          <w:kern w:val="0"/>
          <w:sz w:val="22"/>
          <w:szCs w:val="22"/>
          <w:lang w:val="en-GB"/>
        </w:rPr>
        <w:t xml:space="preserve"> of various social classes </w:t>
      </w:r>
      <w:r w:rsidR="00A63F89" w:rsidRPr="006305A8">
        <w:rPr>
          <w:rFonts w:asciiTheme="majorHAnsi" w:eastAsiaTheme="majorEastAsia" w:hAnsiTheme="majorHAnsi" w:cstheme="majorHAnsi"/>
          <w:color w:val="000000" w:themeColor="text1"/>
          <w:kern w:val="0"/>
          <w:sz w:val="22"/>
          <w:szCs w:val="22"/>
          <w:lang w:val="en-GB"/>
        </w:rPr>
        <w:t>pursued</w:t>
      </w:r>
      <w:r w:rsidR="00B92B87" w:rsidRPr="006305A8">
        <w:rPr>
          <w:rFonts w:asciiTheme="majorHAnsi" w:eastAsiaTheme="majorEastAsia" w:hAnsiTheme="majorHAnsi" w:cstheme="majorHAnsi"/>
          <w:color w:val="000000" w:themeColor="text1"/>
          <w:kern w:val="0"/>
          <w:sz w:val="22"/>
          <w:szCs w:val="22"/>
          <w:lang w:val="en-GB"/>
        </w:rPr>
        <w:t xml:space="preserve"> medical </w:t>
      </w:r>
      <w:r w:rsidR="00AE2763" w:rsidRPr="006305A8">
        <w:rPr>
          <w:rFonts w:asciiTheme="majorHAnsi" w:eastAsiaTheme="majorEastAsia" w:hAnsiTheme="majorHAnsi" w:cstheme="majorHAnsi"/>
          <w:color w:val="000000" w:themeColor="text1"/>
          <w:kern w:val="0"/>
          <w:sz w:val="22"/>
          <w:szCs w:val="22"/>
          <w:lang w:val="en-GB"/>
        </w:rPr>
        <w:t>knowledge</w:t>
      </w:r>
      <w:r w:rsidR="00B92B87" w:rsidRPr="006305A8">
        <w:rPr>
          <w:rFonts w:asciiTheme="majorHAnsi" w:eastAsiaTheme="majorEastAsia" w:hAnsiTheme="majorHAnsi" w:cstheme="majorHAnsi"/>
          <w:color w:val="000000" w:themeColor="text1"/>
          <w:kern w:val="0"/>
          <w:sz w:val="22"/>
          <w:szCs w:val="22"/>
          <w:lang w:val="en-GB"/>
        </w:rPr>
        <w:t xml:space="preserve"> </w:t>
      </w:r>
      <w:r w:rsidR="00A63F89" w:rsidRPr="006305A8">
        <w:rPr>
          <w:rFonts w:asciiTheme="majorHAnsi" w:eastAsiaTheme="majorEastAsia" w:hAnsiTheme="majorHAnsi" w:cstheme="majorHAnsi"/>
          <w:color w:val="000000" w:themeColor="text1"/>
          <w:kern w:val="0"/>
          <w:sz w:val="22"/>
          <w:szCs w:val="22"/>
          <w:lang w:val="en-GB"/>
        </w:rPr>
        <w:t xml:space="preserve">and how </w:t>
      </w:r>
      <w:r w:rsidR="00B92B87" w:rsidRPr="006305A8">
        <w:rPr>
          <w:rFonts w:asciiTheme="majorHAnsi" w:eastAsiaTheme="majorEastAsia" w:hAnsiTheme="majorHAnsi" w:cstheme="majorHAnsi"/>
          <w:color w:val="000000" w:themeColor="text1"/>
          <w:kern w:val="0"/>
          <w:sz w:val="22"/>
          <w:szCs w:val="22"/>
          <w:lang w:val="en-GB"/>
        </w:rPr>
        <w:t xml:space="preserve">their commentary has </w:t>
      </w:r>
      <w:r w:rsidR="00E377CD" w:rsidRPr="006305A8">
        <w:rPr>
          <w:rFonts w:asciiTheme="majorHAnsi" w:eastAsiaTheme="majorEastAsia" w:hAnsiTheme="majorHAnsi" w:cstheme="majorHAnsi"/>
          <w:color w:val="000000" w:themeColor="text1"/>
          <w:kern w:val="0"/>
          <w:sz w:val="22"/>
          <w:szCs w:val="22"/>
          <w:lang w:val="en-GB"/>
        </w:rPr>
        <w:t xml:space="preserve">influenced </w:t>
      </w:r>
      <w:r w:rsidR="00A63F89" w:rsidRPr="006305A8">
        <w:rPr>
          <w:rFonts w:asciiTheme="majorHAnsi" w:eastAsiaTheme="majorEastAsia" w:hAnsiTheme="majorHAnsi" w:cstheme="majorHAnsi"/>
          <w:color w:val="000000" w:themeColor="text1"/>
          <w:kern w:val="0"/>
          <w:sz w:val="22"/>
          <w:szCs w:val="22"/>
          <w:lang w:val="en-GB"/>
        </w:rPr>
        <w:t>early modern</w:t>
      </w:r>
      <w:r w:rsidR="00E916D9" w:rsidRPr="006305A8">
        <w:rPr>
          <w:rFonts w:asciiTheme="majorHAnsi" w:eastAsiaTheme="majorEastAsia" w:hAnsiTheme="majorHAnsi" w:cstheme="majorHAnsi"/>
          <w:color w:val="000000" w:themeColor="text1"/>
          <w:kern w:val="0"/>
          <w:sz w:val="22"/>
          <w:szCs w:val="22"/>
          <w:lang w:val="en-GB"/>
        </w:rPr>
        <w:t xml:space="preserve"> medical history.</w:t>
      </w:r>
    </w:p>
    <w:p w14:paraId="7B9F1EC7" w14:textId="5DA4EC78" w:rsidR="000D1243" w:rsidRPr="006305A8" w:rsidRDefault="000D1243" w:rsidP="002C50EC">
      <w:pPr>
        <w:spacing w:before="120" w:after="120"/>
        <w:rPr>
          <w:rFonts w:asciiTheme="majorHAnsi" w:hAnsiTheme="majorHAnsi" w:cstheme="majorHAnsi"/>
          <w:color w:val="000000" w:themeColor="text1"/>
          <w:sz w:val="22"/>
          <w:szCs w:val="22"/>
          <w:lang w:val="en-GB"/>
        </w:rPr>
      </w:pPr>
      <w:r w:rsidRPr="006305A8">
        <w:rPr>
          <w:rFonts w:asciiTheme="majorHAnsi" w:hAnsiTheme="majorHAnsi" w:cstheme="majorHAnsi"/>
          <w:color w:val="000000" w:themeColor="text1"/>
          <w:sz w:val="22"/>
          <w:szCs w:val="22"/>
          <w:lang w:val="en-GB"/>
        </w:rPr>
        <w:br w:type="page"/>
      </w:r>
    </w:p>
    <w:p w14:paraId="6B3D1F1D" w14:textId="40AF2C78" w:rsidR="000D1243" w:rsidRPr="006305A8" w:rsidRDefault="000D1243" w:rsidP="002C50EC">
      <w:pPr>
        <w:spacing w:before="120" w:after="120"/>
        <w:ind w:hanging="720"/>
        <w:jc w:val="center"/>
        <w:rPr>
          <w:rFonts w:asciiTheme="majorHAnsi" w:hAnsiTheme="majorHAnsi" w:cstheme="majorHAnsi"/>
          <w:color w:val="000000" w:themeColor="text1"/>
          <w:sz w:val="22"/>
          <w:szCs w:val="22"/>
          <w:lang w:val="en-GB"/>
        </w:rPr>
      </w:pPr>
      <w:r w:rsidRPr="006305A8">
        <w:rPr>
          <w:rFonts w:asciiTheme="majorHAnsi" w:hAnsiTheme="majorHAnsi" w:cstheme="majorHAnsi"/>
          <w:color w:val="000000" w:themeColor="text1"/>
          <w:sz w:val="22"/>
          <w:szCs w:val="22"/>
          <w:lang w:val="en-GB"/>
        </w:rPr>
        <w:lastRenderedPageBreak/>
        <w:t>Bibliography</w:t>
      </w:r>
    </w:p>
    <w:p w14:paraId="795C07D9" w14:textId="77777777" w:rsidR="002C50EC" w:rsidRPr="006305A8" w:rsidRDefault="002C50EC" w:rsidP="002C50EC">
      <w:pPr>
        <w:spacing w:before="120" w:after="120"/>
        <w:ind w:hanging="720"/>
        <w:jc w:val="center"/>
        <w:rPr>
          <w:rFonts w:asciiTheme="majorHAnsi" w:hAnsiTheme="majorHAnsi" w:cstheme="majorHAnsi"/>
          <w:color w:val="000000" w:themeColor="text1"/>
          <w:sz w:val="22"/>
          <w:szCs w:val="22"/>
          <w:lang w:val="en-GB"/>
        </w:rPr>
      </w:pPr>
    </w:p>
    <w:p w14:paraId="4434F531" w14:textId="77777777" w:rsidR="000D1243" w:rsidRPr="006305A8"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Amsterdam University Press, </w:t>
      </w:r>
      <w:r w:rsidRPr="006305A8">
        <w:rPr>
          <w:rFonts w:asciiTheme="majorHAnsi" w:eastAsiaTheme="majorEastAsia" w:hAnsiTheme="majorHAnsi" w:cstheme="majorHAnsi"/>
          <w:i/>
          <w:iCs/>
          <w:color w:val="000000" w:themeColor="text1"/>
          <w:kern w:val="0"/>
          <w:sz w:val="22"/>
          <w:szCs w:val="22"/>
          <w:lang w:val="en-GB"/>
        </w:rPr>
        <w:t>Gendered Temporalities in the Early Modern World</w:t>
      </w:r>
      <w:r w:rsidRPr="006305A8">
        <w:rPr>
          <w:rFonts w:asciiTheme="majorHAnsi" w:eastAsiaTheme="majorEastAsia" w:hAnsiTheme="majorHAnsi" w:cstheme="majorHAnsi"/>
          <w:color w:val="000000" w:themeColor="text1"/>
          <w:kern w:val="0"/>
          <w:sz w:val="22"/>
          <w:szCs w:val="22"/>
          <w:lang w:val="en-GB"/>
        </w:rPr>
        <w:t xml:space="preserve"> (2018) &lt;https://www.aup.nl/en/book/9789462984585/gendered-temporalities-in-the-early-modern-world&gt; [accessed 23 October 2023]</w:t>
      </w:r>
    </w:p>
    <w:p w14:paraId="71FF1F55" w14:textId="77777777" w:rsidR="001162A9" w:rsidRPr="006305A8" w:rsidRDefault="00075077" w:rsidP="001162A9">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Campion, Nicholas, ‘Defining Astrology in Ancient and Classical History’,</w:t>
      </w:r>
      <w:r w:rsidR="001A1554" w:rsidRPr="006305A8">
        <w:rPr>
          <w:rFonts w:asciiTheme="majorHAnsi" w:eastAsiaTheme="majorEastAsia" w:hAnsiTheme="majorHAnsi" w:cstheme="majorHAnsi"/>
          <w:color w:val="000000" w:themeColor="text1"/>
          <w:kern w:val="0"/>
          <w:sz w:val="22"/>
          <w:szCs w:val="22"/>
          <w:lang w:val="en-GB"/>
        </w:rPr>
        <w:t xml:space="preserve"> in</w:t>
      </w:r>
      <w:r w:rsidRPr="006305A8">
        <w:rPr>
          <w:rFonts w:asciiTheme="majorHAnsi" w:eastAsiaTheme="majorEastAsia" w:hAnsiTheme="majorHAnsi" w:cstheme="majorHAnsi"/>
          <w:color w:val="000000" w:themeColor="text1"/>
          <w:kern w:val="0"/>
          <w:sz w:val="22"/>
          <w:szCs w:val="22"/>
          <w:lang w:val="en-GB"/>
        </w:rPr>
        <w:t xml:space="preserve"> </w:t>
      </w:r>
      <w:r w:rsidR="005C67FE" w:rsidRPr="006305A8">
        <w:rPr>
          <w:rFonts w:asciiTheme="majorHAnsi" w:eastAsiaTheme="majorEastAsia" w:hAnsiTheme="majorHAnsi" w:cstheme="majorHAnsi"/>
          <w:i/>
          <w:iCs/>
          <w:color w:val="000000" w:themeColor="text1"/>
          <w:kern w:val="0"/>
          <w:sz w:val="22"/>
          <w:szCs w:val="22"/>
          <w:lang w:val="en-GB"/>
        </w:rPr>
        <w:t>SEAC 2011</w:t>
      </w:r>
      <w:r w:rsidR="005C67FE"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i/>
          <w:iCs/>
          <w:color w:val="000000" w:themeColor="text1"/>
          <w:kern w:val="0"/>
          <w:sz w:val="22"/>
          <w:szCs w:val="22"/>
          <w:lang w:val="en-GB"/>
        </w:rPr>
        <w:t>Stars and Stones: Voyages in Archaeoastronomy and Cultural Astronomy</w:t>
      </w:r>
      <w:r w:rsidR="00810004" w:rsidRPr="006305A8">
        <w:rPr>
          <w:rFonts w:asciiTheme="majorHAnsi" w:eastAsiaTheme="majorEastAsia" w:hAnsiTheme="majorHAnsi" w:cstheme="majorHAnsi"/>
          <w:color w:val="000000" w:themeColor="text1"/>
          <w:kern w:val="0"/>
          <w:sz w:val="22"/>
          <w:szCs w:val="22"/>
          <w:lang w:val="en-GB"/>
        </w:rPr>
        <w:t xml:space="preserve">, ed. by </w:t>
      </w:r>
      <w:r w:rsidR="003A37A5" w:rsidRPr="006305A8">
        <w:rPr>
          <w:rFonts w:asciiTheme="majorHAnsi" w:eastAsiaTheme="majorEastAsia" w:hAnsiTheme="majorHAnsi" w:cstheme="majorHAnsi"/>
          <w:color w:val="000000" w:themeColor="text1"/>
          <w:kern w:val="0"/>
          <w:sz w:val="22"/>
          <w:szCs w:val="22"/>
          <w:lang w:val="en-GB"/>
        </w:rPr>
        <w:t>F. Pimenta</w:t>
      </w:r>
      <w:r w:rsidR="00F705AE" w:rsidRPr="006305A8">
        <w:rPr>
          <w:rFonts w:asciiTheme="majorHAnsi" w:eastAsiaTheme="majorEastAsia" w:hAnsiTheme="majorHAnsi" w:cstheme="majorHAnsi"/>
          <w:color w:val="000000" w:themeColor="text1"/>
          <w:kern w:val="0"/>
          <w:sz w:val="22"/>
          <w:szCs w:val="22"/>
          <w:lang w:val="en-GB"/>
        </w:rPr>
        <w:t xml:space="preserve"> and others</w:t>
      </w:r>
      <w:r w:rsidR="003A37A5"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color w:val="000000" w:themeColor="text1"/>
          <w:kern w:val="0"/>
          <w:sz w:val="22"/>
          <w:szCs w:val="22"/>
          <w:lang w:val="en-GB"/>
        </w:rPr>
        <w:t xml:space="preserve">(Oxford: </w:t>
      </w:r>
      <w:r w:rsidR="00B31E04" w:rsidRPr="006305A8">
        <w:rPr>
          <w:rFonts w:asciiTheme="majorHAnsi" w:eastAsiaTheme="majorEastAsia" w:hAnsiTheme="majorHAnsi" w:cstheme="majorHAnsi"/>
          <w:color w:val="000000" w:themeColor="text1"/>
          <w:kern w:val="0"/>
          <w:sz w:val="22"/>
          <w:szCs w:val="22"/>
          <w:lang w:val="en-GB"/>
        </w:rPr>
        <w:t>Archaeopress</w:t>
      </w:r>
      <w:r w:rsidR="00FF3A2F" w:rsidRPr="006305A8">
        <w:rPr>
          <w:rFonts w:asciiTheme="majorHAnsi" w:eastAsiaTheme="majorEastAsia" w:hAnsiTheme="majorHAnsi" w:cstheme="majorHAnsi"/>
          <w:color w:val="000000" w:themeColor="text1"/>
          <w:kern w:val="0"/>
          <w:sz w:val="22"/>
          <w:szCs w:val="22"/>
          <w:lang w:val="en-GB"/>
        </w:rPr>
        <w:t>, May</w:t>
      </w:r>
      <w:r w:rsidRPr="006305A8">
        <w:rPr>
          <w:rFonts w:asciiTheme="majorHAnsi" w:eastAsiaTheme="majorEastAsia" w:hAnsiTheme="majorHAnsi" w:cstheme="majorHAnsi"/>
          <w:color w:val="000000" w:themeColor="text1"/>
          <w:kern w:val="0"/>
          <w:sz w:val="22"/>
          <w:szCs w:val="22"/>
          <w:lang w:val="en-GB"/>
        </w:rPr>
        <w:t xml:space="preserve"> 2015), pp. 84-</w:t>
      </w:r>
      <w:r w:rsidR="00860629" w:rsidRPr="006305A8">
        <w:rPr>
          <w:rFonts w:asciiTheme="majorHAnsi" w:eastAsiaTheme="majorEastAsia" w:hAnsiTheme="majorHAnsi" w:cstheme="majorHAnsi"/>
          <w:color w:val="000000" w:themeColor="text1"/>
          <w:kern w:val="0"/>
          <w:sz w:val="22"/>
          <w:szCs w:val="22"/>
          <w:lang w:val="en-GB"/>
        </w:rPr>
        <w:t>8</w:t>
      </w:r>
      <w:r w:rsidRPr="006305A8">
        <w:rPr>
          <w:rFonts w:asciiTheme="majorHAnsi" w:eastAsiaTheme="majorEastAsia" w:hAnsiTheme="majorHAnsi" w:cstheme="majorHAnsi"/>
          <w:color w:val="000000" w:themeColor="text1"/>
          <w:kern w:val="0"/>
          <w:sz w:val="22"/>
          <w:szCs w:val="22"/>
          <w:lang w:val="en-GB"/>
        </w:rPr>
        <w:t>9</w:t>
      </w:r>
    </w:p>
    <w:p w14:paraId="06008FC1" w14:textId="5BFEA80D" w:rsidR="001162A9" w:rsidRPr="006305A8" w:rsidRDefault="001162A9" w:rsidP="001162A9">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rPr>
        <w:t xml:space="preserve">Eagleton, Terry, ‘Versions of Culture’, in </w:t>
      </w:r>
      <w:r w:rsidRPr="006305A8">
        <w:rPr>
          <w:rFonts w:asciiTheme="majorHAnsi" w:eastAsiaTheme="majorEastAsia" w:hAnsiTheme="majorHAnsi" w:cstheme="majorHAnsi"/>
          <w:i/>
          <w:iCs/>
          <w:color w:val="000000" w:themeColor="text1"/>
          <w:kern w:val="0"/>
          <w:sz w:val="22"/>
          <w:szCs w:val="22"/>
        </w:rPr>
        <w:t>The Idea of Culture</w:t>
      </w:r>
      <w:r w:rsidRPr="006305A8">
        <w:rPr>
          <w:rFonts w:asciiTheme="majorHAnsi" w:eastAsiaTheme="majorEastAsia" w:hAnsiTheme="majorHAnsi" w:cstheme="majorHAnsi"/>
          <w:color w:val="000000" w:themeColor="text1"/>
          <w:kern w:val="0"/>
          <w:sz w:val="22"/>
          <w:szCs w:val="22"/>
        </w:rPr>
        <w:t xml:space="preserve"> (Oxford: Blackwell Publishers, 2000), </w:t>
      </w:r>
      <w:r w:rsidR="00E061FB" w:rsidRPr="006305A8">
        <w:rPr>
          <w:rFonts w:asciiTheme="majorHAnsi" w:eastAsiaTheme="majorEastAsia" w:hAnsiTheme="majorHAnsi" w:cstheme="majorHAnsi"/>
          <w:color w:val="000000" w:themeColor="text1"/>
          <w:kern w:val="0"/>
          <w:sz w:val="22"/>
          <w:szCs w:val="22"/>
        </w:rPr>
        <w:t>p</w:t>
      </w:r>
      <w:r w:rsidRPr="006305A8">
        <w:rPr>
          <w:rFonts w:asciiTheme="majorHAnsi" w:eastAsiaTheme="majorEastAsia" w:hAnsiTheme="majorHAnsi" w:cstheme="majorHAnsi"/>
          <w:color w:val="000000" w:themeColor="text1"/>
          <w:kern w:val="0"/>
          <w:sz w:val="22"/>
          <w:szCs w:val="22"/>
        </w:rPr>
        <w:t xml:space="preserve">p. </w:t>
      </w:r>
      <w:r w:rsidR="00E061FB" w:rsidRPr="006305A8">
        <w:rPr>
          <w:rFonts w:asciiTheme="majorHAnsi" w:eastAsiaTheme="majorEastAsia" w:hAnsiTheme="majorHAnsi" w:cstheme="majorHAnsi"/>
          <w:color w:val="000000" w:themeColor="text1"/>
          <w:kern w:val="0"/>
          <w:sz w:val="22"/>
          <w:szCs w:val="22"/>
        </w:rPr>
        <w:t>1-31</w:t>
      </w:r>
    </w:p>
    <w:p w14:paraId="1E4770D3" w14:textId="5D2037A4" w:rsidR="0006122C" w:rsidRPr="006305A8" w:rsidRDefault="0006122C" w:rsidP="001162A9">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‘Front Matter', </w:t>
      </w:r>
      <w:r w:rsidRPr="006305A8">
        <w:rPr>
          <w:rFonts w:asciiTheme="majorHAnsi" w:eastAsiaTheme="majorEastAsia" w:hAnsiTheme="majorHAnsi" w:cstheme="majorHAnsi"/>
          <w:i/>
          <w:iCs/>
          <w:color w:val="000000" w:themeColor="text1"/>
          <w:kern w:val="0"/>
          <w:sz w:val="22"/>
          <w:szCs w:val="22"/>
          <w:lang w:val="en-GB"/>
        </w:rPr>
        <w:t>Renaissance Quarterly</w:t>
      </w:r>
      <w:r w:rsidRPr="006305A8">
        <w:rPr>
          <w:rFonts w:asciiTheme="majorHAnsi" w:eastAsiaTheme="majorEastAsia" w:hAnsiTheme="majorHAnsi" w:cstheme="majorHAnsi"/>
          <w:color w:val="000000" w:themeColor="text1"/>
          <w:kern w:val="0"/>
          <w:sz w:val="22"/>
          <w:szCs w:val="22"/>
          <w:lang w:val="en-GB"/>
        </w:rPr>
        <w:t>, 53.1 (2000), pp. i-vii &lt;</w:t>
      </w:r>
      <w:r w:rsidRPr="006305A8">
        <w:rPr>
          <w:rFonts w:asciiTheme="majorHAnsi" w:hAnsiTheme="majorHAnsi" w:cstheme="majorHAnsi"/>
          <w:color w:val="000000" w:themeColor="text1"/>
          <w:sz w:val="22"/>
          <w:szCs w:val="22"/>
          <w:shd w:val="clear" w:color="auto" w:fill="FFFFFF"/>
          <w:lang w:val="en-GB"/>
        </w:rPr>
        <w:t>https://www.jstor.org/stable/29015301&gt;</w:t>
      </w:r>
      <w:r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hAnsiTheme="majorHAnsi" w:cstheme="majorHAnsi"/>
          <w:color w:val="000000" w:themeColor="text1"/>
          <w:kern w:val="0"/>
          <w:sz w:val="22"/>
          <w:szCs w:val="22"/>
          <w:lang w:val="en-GB"/>
        </w:rPr>
        <w:t>[accessed 23 October 2023]</w:t>
      </w:r>
    </w:p>
    <w:p w14:paraId="6133DAE3" w14:textId="53FCA4B4" w:rsidR="000D1243" w:rsidRPr="006305A8"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Gettings, Fred, </w:t>
      </w:r>
      <w:r w:rsidRPr="006305A8">
        <w:rPr>
          <w:rFonts w:asciiTheme="majorHAnsi" w:eastAsiaTheme="majorEastAsia" w:hAnsiTheme="majorHAnsi" w:cstheme="majorHAnsi"/>
          <w:i/>
          <w:iCs/>
          <w:color w:val="000000" w:themeColor="text1"/>
          <w:kern w:val="0"/>
          <w:sz w:val="22"/>
          <w:szCs w:val="22"/>
          <w:lang w:val="en-GB"/>
        </w:rPr>
        <w:t>The Arkana Dictionary of Astrology</w:t>
      </w:r>
      <w:r w:rsidRPr="006305A8">
        <w:rPr>
          <w:rFonts w:asciiTheme="majorHAnsi" w:eastAsiaTheme="majorEastAsia" w:hAnsiTheme="majorHAnsi" w:cstheme="majorHAnsi"/>
          <w:color w:val="000000" w:themeColor="text1"/>
          <w:kern w:val="0"/>
          <w:sz w:val="22"/>
          <w:szCs w:val="22"/>
          <w:lang w:val="en-GB"/>
        </w:rPr>
        <w:t xml:space="preserve"> (London: Penguin Arkana, 1985)</w:t>
      </w:r>
    </w:p>
    <w:p w14:paraId="3381268E" w14:textId="77777777" w:rsidR="000D1243" w:rsidRPr="006305A8"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John D. and Catherine T. MacArthur Foundation, </w:t>
      </w:r>
      <w:r w:rsidRPr="006305A8">
        <w:rPr>
          <w:rFonts w:asciiTheme="majorHAnsi" w:eastAsiaTheme="majorEastAsia" w:hAnsiTheme="majorHAnsi" w:cstheme="majorHAnsi"/>
          <w:i/>
          <w:iCs/>
          <w:color w:val="000000" w:themeColor="text1"/>
          <w:kern w:val="0"/>
          <w:sz w:val="22"/>
          <w:szCs w:val="22"/>
          <w:lang w:val="en-GB"/>
        </w:rPr>
        <w:t>Nancy Siraisi</w:t>
      </w:r>
      <w:r w:rsidRPr="006305A8">
        <w:rPr>
          <w:rFonts w:asciiTheme="majorHAnsi" w:eastAsiaTheme="majorEastAsia" w:hAnsiTheme="majorHAnsi" w:cstheme="majorHAnsi"/>
          <w:color w:val="000000" w:themeColor="text1"/>
          <w:kern w:val="0"/>
          <w:sz w:val="22"/>
          <w:szCs w:val="22"/>
          <w:lang w:val="en-GB"/>
        </w:rPr>
        <w:t xml:space="preserve"> (August 2015) &lt;https://www.macfound.org/fellows/class-of-2008/nancy-siraisi#searchresults&gt; [accessed 23 October 2023]</w:t>
      </w:r>
    </w:p>
    <w:p w14:paraId="7CB0EB60" w14:textId="77777777" w:rsidR="000D1243" w:rsidRPr="006305A8"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Rankin, Alisha, 'Telling time through medicine: A gendered perspective', in </w:t>
      </w:r>
      <w:r w:rsidRPr="006305A8">
        <w:rPr>
          <w:rFonts w:asciiTheme="majorHAnsi" w:eastAsiaTheme="majorEastAsia" w:hAnsiTheme="majorHAnsi" w:cstheme="majorHAnsi"/>
          <w:i/>
          <w:iCs/>
          <w:color w:val="000000" w:themeColor="text1"/>
          <w:kern w:val="0"/>
          <w:sz w:val="22"/>
          <w:szCs w:val="22"/>
          <w:lang w:val="en-GB"/>
        </w:rPr>
        <w:t>Gendered Temporalities in the Early Modern World</w:t>
      </w:r>
      <w:r w:rsidRPr="006305A8">
        <w:rPr>
          <w:rFonts w:asciiTheme="majorHAnsi" w:eastAsiaTheme="majorEastAsia" w:hAnsiTheme="majorHAnsi" w:cstheme="majorHAnsi"/>
          <w:color w:val="000000" w:themeColor="text1"/>
          <w:kern w:val="0"/>
          <w:sz w:val="22"/>
          <w:szCs w:val="22"/>
          <w:lang w:val="en-GB"/>
        </w:rPr>
        <w:t>, ed. by Merry E. Wiesner-Hanks (Amsterdam: Amsterdam University Press, 2018), pp. 95-114 &lt;DOI:</w:t>
      </w:r>
      <w:r w:rsidRPr="006305A8">
        <w:rPr>
          <w:rFonts w:asciiTheme="majorHAnsi" w:hAnsiTheme="majorHAnsi" w:cstheme="majorHAnsi"/>
          <w:color w:val="000000" w:themeColor="text1"/>
          <w:sz w:val="22"/>
          <w:szCs w:val="22"/>
          <w:shd w:val="clear" w:color="auto" w:fill="FFFFFF"/>
          <w:lang w:val="en-GB"/>
        </w:rPr>
        <w:t xml:space="preserve"> 10.1515/9789048535262-005</w:t>
      </w:r>
      <w:r w:rsidRPr="006305A8">
        <w:rPr>
          <w:rFonts w:asciiTheme="majorHAnsi" w:eastAsiaTheme="majorEastAsia" w:hAnsiTheme="majorHAnsi" w:cstheme="majorHAnsi"/>
          <w:color w:val="000000" w:themeColor="text1"/>
          <w:kern w:val="0"/>
          <w:sz w:val="22"/>
          <w:szCs w:val="22"/>
          <w:lang w:val="en-GB"/>
        </w:rPr>
        <w:t>&gt;</w:t>
      </w:r>
    </w:p>
    <w:p w14:paraId="32570928" w14:textId="77777777" w:rsidR="000E4124" w:rsidRPr="006305A8" w:rsidRDefault="000E4124"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The Renaissance Society of America, </w:t>
      </w:r>
      <w:r w:rsidRPr="006305A8">
        <w:rPr>
          <w:rFonts w:asciiTheme="majorHAnsi" w:eastAsiaTheme="majorEastAsia" w:hAnsiTheme="majorHAnsi" w:cstheme="majorHAnsi"/>
          <w:i/>
          <w:iCs/>
          <w:color w:val="000000" w:themeColor="text1"/>
          <w:kern w:val="0"/>
          <w:sz w:val="22"/>
          <w:szCs w:val="22"/>
          <w:lang w:val="en-GB"/>
        </w:rPr>
        <w:t>About RQ</w:t>
      </w:r>
      <w:r w:rsidRPr="006305A8">
        <w:rPr>
          <w:rFonts w:asciiTheme="majorHAnsi" w:eastAsiaTheme="majorEastAsia" w:hAnsiTheme="majorHAnsi" w:cstheme="majorHAnsi"/>
          <w:color w:val="000000" w:themeColor="text1"/>
          <w:kern w:val="0"/>
          <w:sz w:val="22"/>
          <w:szCs w:val="22"/>
          <w:lang w:val="en-GB"/>
        </w:rPr>
        <w:t xml:space="preserve"> [n.d.] &lt;https://www.rsa.org/page/AboutRQ&gt; [accessed 23 October 2023]</w:t>
      </w:r>
    </w:p>
    <w:p w14:paraId="74043501" w14:textId="77777777" w:rsidR="00817886" w:rsidRPr="006305A8"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Siraisi, Nancy. 'Anatomizing the Past: Physicians and History in Renaissance Culture', </w:t>
      </w:r>
      <w:r w:rsidRPr="006305A8">
        <w:rPr>
          <w:rFonts w:asciiTheme="majorHAnsi" w:eastAsiaTheme="majorEastAsia" w:hAnsiTheme="majorHAnsi" w:cstheme="majorHAnsi"/>
          <w:i/>
          <w:iCs/>
          <w:color w:val="000000" w:themeColor="text1"/>
          <w:kern w:val="0"/>
          <w:sz w:val="22"/>
          <w:szCs w:val="22"/>
          <w:lang w:val="en-GB"/>
        </w:rPr>
        <w:t>Renaissance Quarterly</w:t>
      </w:r>
      <w:r w:rsidRPr="006305A8">
        <w:rPr>
          <w:rFonts w:asciiTheme="majorHAnsi" w:eastAsiaTheme="majorEastAsia" w:hAnsiTheme="majorHAnsi" w:cstheme="majorHAnsi"/>
          <w:color w:val="000000" w:themeColor="text1"/>
          <w:kern w:val="0"/>
          <w:sz w:val="22"/>
          <w:szCs w:val="22"/>
          <w:lang w:val="en-GB"/>
        </w:rPr>
        <w:t xml:space="preserve">, 53.1 (2000), </w:t>
      </w:r>
      <w:r w:rsidR="0006122C" w:rsidRPr="006305A8">
        <w:rPr>
          <w:rFonts w:asciiTheme="majorHAnsi" w:eastAsiaTheme="majorEastAsia" w:hAnsiTheme="majorHAnsi" w:cstheme="majorHAnsi"/>
          <w:color w:val="000000" w:themeColor="text1"/>
          <w:kern w:val="0"/>
          <w:sz w:val="22"/>
          <w:szCs w:val="22"/>
          <w:lang w:val="en-GB"/>
        </w:rPr>
        <w:t xml:space="preserve">pp. </w:t>
      </w:r>
      <w:r w:rsidRPr="006305A8">
        <w:rPr>
          <w:rFonts w:asciiTheme="majorHAnsi" w:eastAsiaTheme="majorEastAsia" w:hAnsiTheme="majorHAnsi" w:cstheme="majorHAnsi"/>
          <w:color w:val="000000" w:themeColor="text1"/>
          <w:kern w:val="0"/>
          <w:sz w:val="22"/>
          <w:szCs w:val="22"/>
          <w:lang w:val="en-GB"/>
        </w:rPr>
        <w:t>1-30 &lt;</w:t>
      </w:r>
      <w:r w:rsidRPr="006305A8">
        <w:rPr>
          <w:rFonts w:asciiTheme="majorHAnsi" w:hAnsiTheme="majorHAnsi" w:cstheme="majorHAnsi"/>
          <w:color w:val="000000" w:themeColor="text1"/>
          <w:sz w:val="22"/>
          <w:szCs w:val="22"/>
          <w:shd w:val="clear" w:color="auto" w:fill="FFFFFF"/>
          <w:lang w:val="en-GB"/>
        </w:rPr>
        <w:t>DOI: 10.2307/2901531</w:t>
      </w:r>
      <w:r w:rsidRPr="006305A8">
        <w:rPr>
          <w:rFonts w:asciiTheme="majorHAnsi" w:eastAsiaTheme="majorEastAsia" w:hAnsiTheme="majorHAnsi" w:cstheme="majorHAnsi"/>
          <w:color w:val="000000" w:themeColor="text1"/>
          <w:kern w:val="0"/>
          <w:sz w:val="22"/>
          <w:szCs w:val="22"/>
          <w:lang w:val="en-GB"/>
        </w:rPr>
        <w:t>&gt;</w:t>
      </w:r>
    </w:p>
    <w:p w14:paraId="54EA601C" w14:textId="4445FAE0" w:rsidR="000E4124" w:rsidRPr="006305A8" w:rsidRDefault="000E4124"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‘Table of Contents', in </w:t>
      </w:r>
      <w:r w:rsidRPr="006305A8">
        <w:rPr>
          <w:rFonts w:asciiTheme="majorHAnsi" w:eastAsiaTheme="majorEastAsia" w:hAnsiTheme="majorHAnsi" w:cstheme="majorHAnsi"/>
          <w:i/>
          <w:iCs/>
          <w:color w:val="000000" w:themeColor="text1"/>
          <w:kern w:val="0"/>
          <w:sz w:val="22"/>
          <w:szCs w:val="22"/>
          <w:lang w:val="en-GB"/>
        </w:rPr>
        <w:t>Gendered Temporalities in the Early Modern World</w:t>
      </w:r>
      <w:r w:rsidRPr="006305A8">
        <w:rPr>
          <w:rFonts w:asciiTheme="majorHAnsi" w:eastAsiaTheme="majorEastAsia" w:hAnsiTheme="majorHAnsi" w:cstheme="majorHAnsi"/>
          <w:color w:val="000000" w:themeColor="text1"/>
          <w:kern w:val="0"/>
          <w:sz w:val="22"/>
          <w:szCs w:val="22"/>
          <w:lang w:val="en-GB"/>
        </w:rPr>
        <w:t>, ed. by Merry E. Wiesner-Hanks (Amsterdam: Amsterdam University Press, 2018), pp. 5-6</w:t>
      </w:r>
      <w:r w:rsidR="00817886" w:rsidRPr="006305A8">
        <w:rPr>
          <w:rFonts w:asciiTheme="majorHAnsi" w:eastAsiaTheme="majorEastAsia" w:hAnsiTheme="majorHAnsi" w:cstheme="majorHAnsi"/>
          <w:color w:val="000000" w:themeColor="text1"/>
          <w:kern w:val="0"/>
          <w:sz w:val="22"/>
          <w:szCs w:val="22"/>
          <w:lang w:val="en-GB"/>
        </w:rPr>
        <w:t xml:space="preserve"> </w:t>
      </w:r>
      <w:r w:rsidRPr="006305A8">
        <w:rPr>
          <w:rFonts w:asciiTheme="majorHAnsi" w:eastAsiaTheme="majorEastAsia" w:hAnsiTheme="majorHAnsi" w:cstheme="majorHAnsi"/>
          <w:color w:val="000000" w:themeColor="text1"/>
          <w:kern w:val="0"/>
          <w:sz w:val="22"/>
          <w:szCs w:val="22"/>
          <w:lang w:val="en-GB"/>
        </w:rPr>
        <w:t>&lt;DOI:</w:t>
      </w:r>
      <w:r w:rsidRPr="006305A8">
        <w:rPr>
          <w:rFonts w:asciiTheme="majorHAnsi" w:hAnsiTheme="majorHAnsi" w:cstheme="majorHAnsi"/>
          <w:color w:val="000000" w:themeColor="text1"/>
          <w:sz w:val="22"/>
          <w:szCs w:val="22"/>
          <w:shd w:val="clear" w:color="auto" w:fill="FFFFFF"/>
          <w:lang w:val="en-GB"/>
        </w:rPr>
        <w:t xml:space="preserve"> 10.2307/j.ctv5qdfst.2</w:t>
      </w:r>
      <w:r w:rsidRPr="006305A8">
        <w:rPr>
          <w:rFonts w:asciiTheme="majorHAnsi" w:eastAsiaTheme="majorEastAsia" w:hAnsiTheme="majorHAnsi" w:cstheme="majorHAnsi"/>
          <w:color w:val="000000" w:themeColor="text1"/>
          <w:kern w:val="0"/>
          <w:sz w:val="22"/>
          <w:szCs w:val="22"/>
          <w:lang w:val="en-GB"/>
        </w:rPr>
        <w:t>&gt;</w:t>
      </w:r>
    </w:p>
    <w:p w14:paraId="73C8DD0C" w14:textId="7FA68766" w:rsidR="000D1243" w:rsidRPr="006305A8"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sz w:val="22"/>
          <w:szCs w:val="22"/>
          <w:lang w:val="en-GB"/>
        </w:rPr>
      </w:pPr>
      <w:r w:rsidRPr="006305A8">
        <w:rPr>
          <w:rFonts w:asciiTheme="majorHAnsi" w:eastAsiaTheme="majorEastAsia" w:hAnsiTheme="majorHAnsi" w:cstheme="majorHAnsi"/>
          <w:color w:val="000000" w:themeColor="text1"/>
          <w:kern w:val="0"/>
          <w:sz w:val="22"/>
          <w:szCs w:val="22"/>
          <w:lang w:val="en-GB"/>
        </w:rPr>
        <w:t xml:space="preserve">Williams, Raymond, ‘Culture’, in </w:t>
      </w:r>
      <w:r w:rsidRPr="006305A8">
        <w:rPr>
          <w:rFonts w:asciiTheme="majorHAnsi" w:eastAsiaTheme="majorEastAsia" w:hAnsiTheme="majorHAnsi" w:cstheme="majorHAnsi"/>
          <w:i/>
          <w:iCs/>
          <w:color w:val="000000" w:themeColor="text1"/>
          <w:kern w:val="0"/>
          <w:sz w:val="22"/>
          <w:szCs w:val="22"/>
          <w:lang w:val="en-GB"/>
        </w:rPr>
        <w:t>Keywords: A vocabulary of culture and society</w:t>
      </w:r>
      <w:r w:rsidRPr="006305A8">
        <w:rPr>
          <w:rFonts w:asciiTheme="majorHAnsi" w:eastAsiaTheme="majorEastAsia" w:hAnsiTheme="majorHAnsi" w:cstheme="majorHAnsi"/>
          <w:color w:val="000000" w:themeColor="text1"/>
          <w:kern w:val="0"/>
          <w:sz w:val="22"/>
          <w:szCs w:val="22"/>
          <w:lang w:val="en-GB"/>
        </w:rPr>
        <w:t>, 2nd edn. (New York: Oxford University Press, 1983), pp. 87-93</w:t>
      </w:r>
    </w:p>
    <w:sectPr w:rsidR="000D1243" w:rsidRPr="006305A8" w:rsidSect="00902190">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39082" w14:textId="77777777" w:rsidR="00683462" w:rsidRDefault="00683462" w:rsidP="00902190">
      <w:r>
        <w:separator/>
      </w:r>
    </w:p>
  </w:endnote>
  <w:endnote w:type="continuationSeparator" w:id="0">
    <w:p w14:paraId="73613B13" w14:textId="77777777" w:rsidR="00683462" w:rsidRDefault="00683462" w:rsidP="00902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eestyle Script">
    <w:panose1 w:val="030804020302050B0404"/>
    <w:charset w:val="4D"/>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B9339" w14:textId="77777777" w:rsidR="00683462" w:rsidRDefault="00683462" w:rsidP="00902190">
      <w:r>
        <w:separator/>
      </w:r>
    </w:p>
  </w:footnote>
  <w:footnote w:type="continuationSeparator" w:id="0">
    <w:p w14:paraId="34FDBA34" w14:textId="77777777" w:rsidR="00683462" w:rsidRDefault="00683462" w:rsidP="00902190">
      <w:r>
        <w:continuationSeparator/>
      </w:r>
    </w:p>
  </w:footnote>
  <w:footnote w:id="1">
    <w:p w14:paraId="32848A85" w14:textId="278ADE89" w:rsidR="00293744" w:rsidRPr="00FB7E0A" w:rsidRDefault="00011117" w:rsidP="00A70C19">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Siraisi, Nancy. 'Anatomizing the Past: Physicians and History in Renaissance Culture', </w:t>
      </w:r>
      <w:r w:rsidRPr="00FB7E0A">
        <w:rPr>
          <w:rFonts w:asciiTheme="majorHAnsi" w:eastAsiaTheme="majorEastAsia" w:hAnsiTheme="majorHAnsi" w:cstheme="majorHAnsi"/>
          <w:i/>
          <w:iCs/>
          <w:color w:val="000000" w:themeColor="text1"/>
          <w:kern w:val="0"/>
          <w:sz w:val="20"/>
          <w:szCs w:val="20"/>
        </w:rPr>
        <w:t>Renaissance Quarterly</w:t>
      </w:r>
      <w:r w:rsidRPr="00FB7E0A">
        <w:rPr>
          <w:rFonts w:asciiTheme="majorHAnsi" w:eastAsiaTheme="majorEastAsia" w:hAnsiTheme="majorHAnsi" w:cstheme="majorHAnsi"/>
          <w:color w:val="000000" w:themeColor="text1"/>
          <w:kern w:val="0"/>
          <w:sz w:val="20"/>
          <w:szCs w:val="20"/>
        </w:rPr>
        <w:t>, 53.1 (2000), pp. 1-30 &lt;</w:t>
      </w:r>
      <w:r w:rsidRPr="00FB7E0A">
        <w:rPr>
          <w:rFonts w:asciiTheme="majorHAnsi" w:hAnsiTheme="majorHAnsi" w:cstheme="majorHAnsi"/>
          <w:color w:val="000000" w:themeColor="text1"/>
          <w:sz w:val="20"/>
          <w:szCs w:val="20"/>
          <w:shd w:val="clear" w:color="auto" w:fill="FFFFFF"/>
        </w:rPr>
        <w:t>DOI: 10.2307/2901531</w:t>
      </w:r>
      <w:r w:rsidRPr="00FB7E0A">
        <w:rPr>
          <w:rFonts w:asciiTheme="majorHAnsi" w:eastAsiaTheme="majorEastAsia" w:hAnsiTheme="majorHAnsi" w:cstheme="majorHAnsi"/>
          <w:color w:val="000000" w:themeColor="text1"/>
          <w:kern w:val="0"/>
          <w:sz w:val="20"/>
          <w:szCs w:val="20"/>
        </w:rPr>
        <w:t>&gt;.</w:t>
      </w:r>
    </w:p>
  </w:footnote>
  <w:footnote w:id="2">
    <w:p w14:paraId="67EAA134" w14:textId="21D73A53" w:rsidR="00A70C19" w:rsidRPr="00FB7E0A" w:rsidRDefault="00A70C19" w:rsidP="0086432D">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Rankin, Alisha, 'Telling time through medicine: A gendered perspective', in </w:t>
      </w:r>
      <w:r w:rsidRPr="00FB7E0A">
        <w:rPr>
          <w:rFonts w:asciiTheme="majorHAnsi" w:eastAsiaTheme="majorEastAsia" w:hAnsiTheme="majorHAnsi" w:cstheme="majorHAnsi"/>
          <w:i/>
          <w:iCs/>
          <w:color w:val="000000" w:themeColor="text1"/>
          <w:kern w:val="0"/>
          <w:sz w:val="20"/>
          <w:szCs w:val="20"/>
        </w:rPr>
        <w:t>Gendered Temporalities in the Early Modern World</w:t>
      </w:r>
      <w:r w:rsidRPr="00FB7E0A">
        <w:rPr>
          <w:rFonts w:asciiTheme="majorHAnsi" w:eastAsiaTheme="majorEastAsia" w:hAnsiTheme="majorHAnsi" w:cstheme="majorHAnsi"/>
          <w:color w:val="000000" w:themeColor="text1"/>
          <w:kern w:val="0"/>
          <w:sz w:val="20"/>
          <w:szCs w:val="20"/>
        </w:rPr>
        <w:t>, ed. by Merry E. Wiesner-Hanks (Amsterdam: Amsterdam University Press, 2018), pp. 95-114 &lt;DOI:</w:t>
      </w:r>
      <w:r w:rsidRPr="00FB7E0A">
        <w:rPr>
          <w:rFonts w:asciiTheme="majorHAnsi" w:hAnsiTheme="majorHAnsi" w:cstheme="majorHAnsi"/>
          <w:color w:val="000000" w:themeColor="text1"/>
          <w:sz w:val="20"/>
          <w:szCs w:val="20"/>
          <w:shd w:val="clear" w:color="auto" w:fill="FFFFFF"/>
        </w:rPr>
        <w:t xml:space="preserve"> 10.1515/9789048535262-005</w:t>
      </w:r>
      <w:r w:rsidRPr="00FB7E0A">
        <w:rPr>
          <w:rFonts w:asciiTheme="majorHAnsi" w:eastAsiaTheme="majorEastAsia" w:hAnsiTheme="majorHAnsi" w:cstheme="majorHAnsi"/>
          <w:color w:val="000000" w:themeColor="text1"/>
          <w:kern w:val="0"/>
          <w:sz w:val="20"/>
          <w:szCs w:val="20"/>
        </w:rPr>
        <w:t>&gt;.</w:t>
      </w:r>
    </w:p>
  </w:footnote>
  <w:footnote w:id="3">
    <w:p w14:paraId="350DD278" w14:textId="13D58B04" w:rsidR="00134E0E" w:rsidRPr="00FB7E0A" w:rsidRDefault="00134E0E" w:rsidP="00134E0E">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The Renaissance Society of America, </w:t>
      </w:r>
      <w:r w:rsidRPr="00FB7E0A">
        <w:rPr>
          <w:rFonts w:asciiTheme="majorHAnsi" w:eastAsiaTheme="majorEastAsia" w:hAnsiTheme="majorHAnsi" w:cstheme="majorHAnsi"/>
          <w:i/>
          <w:iCs/>
          <w:color w:val="000000" w:themeColor="text1"/>
          <w:kern w:val="0"/>
          <w:sz w:val="20"/>
          <w:szCs w:val="20"/>
        </w:rPr>
        <w:t>About RQ</w:t>
      </w:r>
      <w:r w:rsidRPr="00FB7E0A">
        <w:rPr>
          <w:rFonts w:asciiTheme="majorHAnsi" w:eastAsiaTheme="majorEastAsia" w:hAnsiTheme="majorHAnsi" w:cstheme="majorHAnsi"/>
          <w:color w:val="000000" w:themeColor="text1"/>
          <w:kern w:val="0"/>
          <w:sz w:val="20"/>
          <w:szCs w:val="20"/>
        </w:rPr>
        <w:t xml:space="preserve"> [n.d.] &lt;https://www.rsa.org/page/AboutRQ&gt; [accessed 23 October 2023].</w:t>
      </w:r>
    </w:p>
  </w:footnote>
  <w:footnote w:id="4">
    <w:p w14:paraId="4052B460" w14:textId="5A0A2058" w:rsidR="0094281A" w:rsidRPr="00FB7E0A" w:rsidRDefault="0094281A" w:rsidP="0094281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‘Front Matter', </w:t>
      </w:r>
      <w:r w:rsidRPr="00FB7E0A">
        <w:rPr>
          <w:rFonts w:asciiTheme="majorHAnsi" w:eastAsiaTheme="majorEastAsia" w:hAnsiTheme="majorHAnsi" w:cstheme="majorHAnsi"/>
          <w:i/>
          <w:iCs/>
          <w:color w:val="000000" w:themeColor="text1"/>
          <w:kern w:val="0"/>
          <w:sz w:val="20"/>
          <w:szCs w:val="20"/>
        </w:rPr>
        <w:t>Renaissance Quarterly</w:t>
      </w:r>
      <w:r w:rsidRPr="00FB7E0A">
        <w:rPr>
          <w:rFonts w:asciiTheme="majorHAnsi" w:eastAsiaTheme="majorEastAsia" w:hAnsiTheme="majorHAnsi" w:cstheme="majorHAnsi"/>
          <w:color w:val="000000" w:themeColor="text1"/>
          <w:kern w:val="0"/>
          <w:sz w:val="20"/>
          <w:szCs w:val="20"/>
        </w:rPr>
        <w:t>, 53.1 (2000), pp. i-vii (p. iv) &lt;</w:t>
      </w:r>
      <w:r w:rsidRPr="00FB7E0A">
        <w:rPr>
          <w:rFonts w:asciiTheme="majorHAnsi" w:hAnsiTheme="majorHAnsi" w:cstheme="majorHAnsi"/>
          <w:color w:val="000000" w:themeColor="text1"/>
          <w:sz w:val="20"/>
          <w:szCs w:val="20"/>
          <w:shd w:val="clear" w:color="auto" w:fill="FFFFFF"/>
        </w:rPr>
        <w:t>https://www.jstor.org/stable/29015301&gt;</w:t>
      </w:r>
      <w:r w:rsidRPr="00FB7E0A">
        <w:rPr>
          <w:rFonts w:asciiTheme="majorHAnsi" w:eastAsiaTheme="majorEastAsia" w:hAnsiTheme="majorHAnsi" w:cstheme="majorHAnsi"/>
          <w:color w:val="000000" w:themeColor="text1"/>
          <w:kern w:val="0"/>
          <w:sz w:val="20"/>
          <w:szCs w:val="20"/>
        </w:rPr>
        <w:t xml:space="preserve"> </w:t>
      </w:r>
      <w:r w:rsidRPr="00FB7E0A">
        <w:rPr>
          <w:rFonts w:asciiTheme="majorHAnsi" w:hAnsiTheme="majorHAnsi" w:cstheme="majorHAnsi"/>
          <w:color w:val="000000" w:themeColor="text1"/>
          <w:kern w:val="0"/>
          <w:sz w:val="20"/>
          <w:szCs w:val="20"/>
        </w:rPr>
        <w:t>[accessed 23 October 2023]</w:t>
      </w:r>
      <w:r w:rsidRPr="00FB7E0A">
        <w:rPr>
          <w:rFonts w:asciiTheme="majorHAnsi" w:eastAsiaTheme="majorEastAsia" w:hAnsiTheme="majorHAnsi" w:cstheme="majorHAnsi"/>
          <w:color w:val="000000" w:themeColor="text1"/>
          <w:kern w:val="0"/>
          <w:sz w:val="20"/>
          <w:szCs w:val="20"/>
        </w:rPr>
        <w:t>.</w:t>
      </w:r>
    </w:p>
  </w:footnote>
  <w:footnote w:id="5">
    <w:p w14:paraId="11A2E3AE" w14:textId="0BC9E63B" w:rsidR="00016E2D" w:rsidRPr="00FB7E0A" w:rsidRDefault="00016E2D" w:rsidP="00016E2D">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John D. and Catherine T. MacArthur Foundation, </w:t>
      </w:r>
      <w:r w:rsidRPr="00FB7E0A">
        <w:rPr>
          <w:rFonts w:asciiTheme="majorHAnsi" w:eastAsiaTheme="majorEastAsia" w:hAnsiTheme="majorHAnsi" w:cstheme="majorHAnsi"/>
          <w:i/>
          <w:iCs/>
          <w:color w:val="000000" w:themeColor="text1"/>
          <w:kern w:val="0"/>
          <w:sz w:val="20"/>
          <w:szCs w:val="20"/>
        </w:rPr>
        <w:t>Nancy Siraisi</w:t>
      </w:r>
      <w:r w:rsidRPr="00FB7E0A">
        <w:rPr>
          <w:rFonts w:asciiTheme="majorHAnsi" w:eastAsiaTheme="majorEastAsia" w:hAnsiTheme="majorHAnsi" w:cstheme="majorHAnsi"/>
          <w:color w:val="000000" w:themeColor="text1"/>
          <w:kern w:val="0"/>
          <w:sz w:val="20"/>
          <w:szCs w:val="20"/>
        </w:rPr>
        <w:t xml:space="preserve"> (August 2015) &lt;https://www.macfound.org/fellows/class-of-2008/nancy-siraisi#searchresults&gt; [accessed 23 October 2023].</w:t>
      </w:r>
    </w:p>
  </w:footnote>
  <w:footnote w:id="6">
    <w:p w14:paraId="7F68077E" w14:textId="7DBA2B79" w:rsidR="001C1E3A" w:rsidRPr="00FB7E0A" w:rsidRDefault="001C1E3A" w:rsidP="001C1E3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w:t>
      </w:r>
      <w:r w:rsidR="0099666F">
        <w:rPr>
          <w:rFonts w:asciiTheme="majorHAnsi" w:eastAsiaTheme="majorEastAsia" w:hAnsiTheme="majorHAnsi" w:cstheme="majorHAnsi"/>
          <w:color w:val="000000" w:themeColor="text1"/>
          <w:kern w:val="0"/>
          <w:sz w:val="20"/>
          <w:szCs w:val="20"/>
        </w:rPr>
        <w:t>p</w:t>
      </w:r>
      <w:r w:rsidRPr="00FB7E0A">
        <w:rPr>
          <w:rFonts w:asciiTheme="majorHAnsi" w:eastAsiaTheme="majorEastAsia" w:hAnsiTheme="majorHAnsi" w:cstheme="majorHAnsi"/>
          <w:color w:val="000000" w:themeColor="text1"/>
          <w:kern w:val="0"/>
          <w:sz w:val="20"/>
          <w:szCs w:val="20"/>
        </w:rPr>
        <w:t>. 1-2.</w:t>
      </w:r>
    </w:p>
  </w:footnote>
  <w:footnote w:id="7">
    <w:p w14:paraId="1B10B1F2" w14:textId="2F1C8989" w:rsidR="000A6B25" w:rsidRDefault="000A6B25">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4.</w:t>
      </w:r>
    </w:p>
  </w:footnote>
  <w:footnote w:id="8">
    <w:p w14:paraId="210E3C16" w14:textId="2D4F0D13" w:rsidR="00B97C3A" w:rsidRPr="00FB7E0A" w:rsidRDefault="00B97C3A" w:rsidP="00B97C3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 6.</w:t>
      </w:r>
    </w:p>
  </w:footnote>
  <w:footnote w:id="9">
    <w:p w14:paraId="2B6051A9" w14:textId="02048853" w:rsidR="00B97C3A" w:rsidRPr="00FB7E0A" w:rsidRDefault="00B97C3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11.</w:t>
      </w:r>
    </w:p>
  </w:footnote>
  <w:footnote w:id="10">
    <w:p w14:paraId="39660645" w14:textId="1221E781" w:rsidR="00B97C3A" w:rsidRPr="00FB7E0A" w:rsidRDefault="00B97C3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6305A8" w:rsidRPr="00FB7E0A">
        <w:rPr>
          <w:rFonts w:asciiTheme="majorHAnsi" w:eastAsiaTheme="majorEastAsia" w:hAnsiTheme="majorHAnsi" w:cstheme="majorHAnsi"/>
          <w:color w:val="000000" w:themeColor="text1"/>
          <w:kern w:val="0"/>
        </w:rPr>
        <w:t>Siraisi, 'Anatomizing the Past: Physicians and History in Renaissance Culture',</w:t>
      </w:r>
      <w:r w:rsidRPr="00FB7E0A">
        <w:rPr>
          <w:rFonts w:asciiTheme="majorHAnsi" w:hAnsiTheme="majorHAnsi" w:cstheme="majorHAnsi"/>
          <w:color w:val="000000" w:themeColor="text1"/>
        </w:rPr>
        <w:t xml:space="preserve"> p. 30.</w:t>
      </w:r>
    </w:p>
  </w:footnote>
  <w:footnote w:id="11">
    <w:p w14:paraId="1810BB84" w14:textId="3EC5823C" w:rsidR="00BD5C18" w:rsidRPr="00FB7E0A" w:rsidRDefault="00BD5C18" w:rsidP="0090310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Amsterdam University Press, </w:t>
      </w:r>
      <w:r w:rsidRPr="00FB7E0A">
        <w:rPr>
          <w:rFonts w:asciiTheme="majorHAnsi" w:eastAsiaTheme="majorEastAsia" w:hAnsiTheme="majorHAnsi" w:cstheme="majorHAnsi"/>
          <w:i/>
          <w:iCs/>
          <w:color w:val="000000" w:themeColor="text1"/>
          <w:kern w:val="0"/>
          <w:sz w:val="20"/>
          <w:szCs w:val="20"/>
        </w:rPr>
        <w:t>Gendered Temporalities in the Early Modern World</w:t>
      </w:r>
      <w:r w:rsidRPr="00FB7E0A">
        <w:rPr>
          <w:rFonts w:asciiTheme="majorHAnsi" w:eastAsiaTheme="majorEastAsia" w:hAnsiTheme="majorHAnsi" w:cstheme="majorHAnsi"/>
          <w:color w:val="000000" w:themeColor="text1"/>
          <w:kern w:val="0"/>
          <w:sz w:val="20"/>
          <w:szCs w:val="20"/>
        </w:rPr>
        <w:t xml:space="preserve"> (2018) &lt;https://www.aup.nl/en/book/9789462984585/gendered-temporalities-in-the-early-modern-world&gt; [accessed 23 October 2023].</w:t>
      </w:r>
    </w:p>
  </w:footnote>
  <w:footnote w:id="12">
    <w:p w14:paraId="1EC66720" w14:textId="5894C2F8" w:rsidR="0090310A" w:rsidRPr="00FB7E0A" w:rsidRDefault="0090310A" w:rsidP="0090310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‘Table of Contents', in </w:t>
      </w:r>
      <w:r w:rsidRPr="00FB7E0A">
        <w:rPr>
          <w:rFonts w:asciiTheme="majorHAnsi" w:eastAsiaTheme="majorEastAsia" w:hAnsiTheme="majorHAnsi" w:cstheme="majorHAnsi"/>
          <w:i/>
          <w:iCs/>
          <w:color w:val="000000" w:themeColor="text1"/>
          <w:kern w:val="0"/>
          <w:sz w:val="20"/>
          <w:szCs w:val="20"/>
        </w:rPr>
        <w:t>Gendered Temporalities in the Early Modern World</w:t>
      </w:r>
      <w:r w:rsidRPr="00FB7E0A">
        <w:rPr>
          <w:rFonts w:asciiTheme="majorHAnsi" w:eastAsiaTheme="majorEastAsia" w:hAnsiTheme="majorHAnsi" w:cstheme="majorHAnsi"/>
          <w:color w:val="000000" w:themeColor="text1"/>
          <w:kern w:val="0"/>
          <w:sz w:val="20"/>
          <w:szCs w:val="20"/>
        </w:rPr>
        <w:t>, ed. by Merry E. Wiesner-Hanks (Amsterdam: Amsterdam University Press, 2018), pp. 5-6 (p. 5) &lt;DOI:</w:t>
      </w:r>
      <w:r w:rsidRPr="00FB7E0A">
        <w:rPr>
          <w:rFonts w:asciiTheme="majorHAnsi" w:hAnsiTheme="majorHAnsi" w:cstheme="majorHAnsi"/>
          <w:color w:val="000000" w:themeColor="text1"/>
          <w:sz w:val="20"/>
          <w:szCs w:val="20"/>
          <w:shd w:val="clear" w:color="auto" w:fill="FFFFFF"/>
        </w:rPr>
        <w:t xml:space="preserve"> 10.2307/j.ctv5qdfst.2</w:t>
      </w:r>
      <w:r w:rsidRPr="00FB7E0A">
        <w:rPr>
          <w:rFonts w:asciiTheme="majorHAnsi" w:eastAsiaTheme="majorEastAsia" w:hAnsiTheme="majorHAnsi" w:cstheme="majorHAnsi"/>
          <w:color w:val="000000" w:themeColor="text1"/>
          <w:kern w:val="0"/>
          <w:sz w:val="20"/>
          <w:szCs w:val="20"/>
        </w:rPr>
        <w:t>&gt;.</w:t>
      </w:r>
    </w:p>
  </w:footnote>
  <w:footnote w:id="13">
    <w:p w14:paraId="6C8E35E7" w14:textId="4C3DCD6D" w:rsidR="005A751C" w:rsidRPr="00FB7E0A" w:rsidRDefault="005A751C" w:rsidP="00893B2C">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Rankin, p. 114.</w:t>
      </w:r>
    </w:p>
  </w:footnote>
  <w:footnote w:id="14">
    <w:p w14:paraId="60BEC1D7" w14:textId="77777777" w:rsidR="00A6452D" w:rsidRPr="00FB7E0A" w:rsidRDefault="00A6452D" w:rsidP="00A6452D">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95.</w:t>
      </w:r>
    </w:p>
  </w:footnote>
  <w:footnote w:id="15">
    <w:p w14:paraId="47A23430" w14:textId="77777777" w:rsidR="00995E41" w:rsidRPr="00FB7E0A" w:rsidRDefault="00995E41" w:rsidP="00995E41">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108.</w:t>
      </w:r>
    </w:p>
  </w:footnote>
  <w:footnote w:id="16">
    <w:p w14:paraId="60777E3E" w14:textId="78237EED" w:rsidR="004B4E60" w:rsidRDefault="004B4E60">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pp. 100-101.</w:t>
      </w:r>
    </w:p>
  </w:footnote>
  <w:footnote w:id="17">
    <w:p w14:paraId="67B3D3AB" w14:textId="54242394" w:rsidR="005873C3" w:rsidRPr="00FB7E0A" w:rsidRDefault="005873C3" w:rsidP="005873C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6305A8">
        <w:rPr>
          <w:rFonts w:asciiTheme="majorHAnsi" w:hAnsiTheme="majorHAnsi" w:cstheme="majorHAnsi"/>
          <w:color w:val="000000" w:themeColor="text1"/>
        </w:rPr>
        <w:t>Ibid.</w:t>
      </w:r>
      <w:r w:rsidRPr="00FB7E0A">
        <w:rPr>
          <w:rFonts w:asciiTheme="majorHAnsi" w:hAnsiTheme="majorHAnsi" w:cstheme="majorHAnsi"/>
          <w:color w:val="000000" w:themeColor="text1"/>
        </w:rPr>
        <w:t xml:space="preserve"> p. 112.</w:t>
      </w:r>
    </w:p>
  </w:footnote>
  <w:footnote w:id="18">
    <w:p w14:paraId="2D75BDC2" w14:textId="1ADC6A3A" w:rsidR="0006134A" w:rsidRPr="00FB7E0A" w:rsidRDefault="0006134A" w:rsidP="0006134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 30.</w:t>
      </w:r>
    </w:p>
  </w:footnote>
  <w:footnote w:id="19">
    <w:p w14:paraId="107FD6FD" w14:textId="783C887A" w:rsidR="00126C54" w:rsidRPr="00FB7E0A" w:rsidRDefault="00126C54" w:rsidP="00D10741">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Campion, Nicholas, ‘Defining Astrology in Ancient and Classical History’, in </w:t>
      </w:r>
      <w:r w:rsidRPr="00FB7E0A">
        <w:rPr>
          <w:rFonts w:asciiTheme="majorHAnsi" w:eastAsiaTheme="majorEastAsia" w:hAnsiTheme="majorHAnsi" w:cstheme="majorHAnsi"/>
          <w:i/>
          <w:iCs/>
          <w:color w:val="000000" w:themeColor="text1"/>
          <w:kern w:val="0"/>
          <w:sz w:val="20"/>
          <w:szCs w:val="20"/>
        </w:rPr>
        <w:t>SEAC 2011 Stars and Stones: Voyages in Archaeoastronomy and Cultural Astronomy</w:t>
      </w:r>
      <w:r w:rsidRPr="00FB7E0A">
        <w:rPr>
          <w:rFonts w:asciiTheme="majorHAnsi" w:eastAsiaTheme="majorEastAsia" w:hAnsiTheme="majorHAnsi" w:cstheme="majorHAnsi"/>
          <w:color w:val="000000" w:themeColor="text1"/>
          <w:kern w:val="0"/>
          <w:sz w:val="20"/>
          <w:szCs w:val="20"/>
        </w:rPr>
        <w:t>, ed. by F. Pimenta and others (Oxford: Archaeopress, May 2015), pp. 84-89 (p. 84).</w:t>
      </w:r>
    </w:p>
  </w:footnote>
  <w:footnote w:id="20">
    <w:p w14:paraId="4D36D755" w14:textId="037F8443" w:rsidR="00D10741" w:rsidRPr="00FB7E0A" w:rsidRDefault="00D10741">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 95.</w:t>
      </w:r>
    </w:p>
  </w:footnote>
  <w:footnote w:id="21">
    <w:p w14:paraId="27E53E57" w14:textId="68E9B4A0" w:rsidR="00D10741" w:rsidRPr="00FB7E0A" w:rsidRDefault="00D10741">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100.</w:t>
      </w:r>
    </w:p>
  </w:footnote>
  <w:footnote w:id="22">
    <w:p w14:paraId="5833AB09" w14:textId="4BF89425" w:rsidR="00A91745" w:rsidRPr="00FB7E0A" w:rsidRDefault="00A91745" w:rsidP="004A4E02">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Gettings, Fred, </w:t>
      </w:r>
      <w:r w:rsidRPr="00FB7E0A">
        <w:rPr>
          <w:rFonts w:asciiTheme="majorHAnsi" w:eastAsiaTheme="majorEastAsia" w:hAnsiTheme="majorHAnsi" w:cstheme="majorHAnsi"/>
          <w:i/>
          <w:iCs/>
          <w:color w:val="000000" w:themeColor="text1"/>
          <w:kern w:val="0"/>
          <w:sz w:val="20"/>
          <w:szCs w:val="20"/>
        </w:rPr>
        <w:t>The Arkana Dictionary of Astrology</w:t>
      </w:r>
      <w:r w:rsidRPr="00FB7E0A">
        <w:rPr>
          <w:rFonts w:asciiTheme="majorHAnsi" w:eastAsiaTheme="majorEastAsia" w:hAnsiTheme="majorHAnsi" w:cstheme="majorHAnsi"/>
          <w:color w:val="000000" w:themeColor="text1"/>
          <w:kern w:val="0"/>
          <w:sz w:val="20"/>
          <w:szCs w:val="20"/>
        </w:rPr>
        <w:t xml:space="preserve"> (London: Penguin Arkana, 1985), </w:t>
      </w:r>
      <w:r w:rsidR="008E36BA">
        <w:rPr>
          <w:rFonts w:asciiTheme="majorHAnsi" w:eastAsiaTheme="majorEastAsia" w:hAnsiTheme="majorHAnsi" w:cstheme="majorHAnsi"/>
          <w:color w:val="000000" w:themeColor="text1"/>
          <w:kern w:val="0"/>
          <w:sz w:val="20"/>
          <w:szCs w:val="20"/>
        </w:rPr>
        <w:t>p</w:t>
      </w:r>
      <w:r w:rsidRPr="00FB7E0A">
        <w:rPr>
          <w:rFonts w:asciiTheme="majorHAnsi" w:eastAsiaTheme="majorEastAsia" w:hAnsiTheme="majorHAnsi" w:cstheme="majorHAnsi"/>
          <w:color w:val="000000" w:themeColor="text1"/>
          <w:kern w:val="0"/>
          <w:sz w:val="20"/>
          <w:szCs w:val="20"/>
        </w:rPr>
        <w:t>p. 52-53.</w:t>
      </w:r>
    </w:p>
  </w:footnote>
  <w:footnote w:id="23">
    <w:p w14:paraId="02496B34" w14:textId="1BF2E481" w:rsidR="004A4E02" w:rsidRPr="00FB7E0A" w:rsidRDefault="004A4E02" w:rsidP="004A4E02">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 5.</w:t>
      </w:r>
    </w:p>
  </w:footnote>
  <w:footnote w:id="24">
    <w:p w14:paraId="27C919D4" w14:textId="33474E26" w:rsidR="004A4E02" w:rsidRPr="00FB7E0A" w:rsidRDefault="004A4E02">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8.</w:t>
      </w:r>
    </w:p>
  </w:footnote>
  <w:footnote w:id="25">
    <w:p w14:paraId="17F37EC6" w14:textId="1A655396" w:rsidR="004A4E02" w:rsidRPr="00FB7E0A" w:rsidRDefault="004A4E02">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8</w:t>
      </w:r>
    </w:p>
  </w:footnote>
  <w:footnote w:id="26">
    <w:p w14:paraId="16438F4C" w14:textId="243CFB10" w:rsidR="004A4E02" w:rsidRPr="004A4E02" w:rsidRDefault="004A4E02" w:rsidP="004A4E02">
      <w:pPr>
        <w:autoSpaceDE w:val="0"/>
        <w:autoSpaceDN w:val="0"/>
        <w:adjustRightInd w:val="0"/>
        <w:rPr>
          <w:rFonts w:asciiTheme="majorHAnsi" w:eastAsiaTheme="majorEastAsia" w:hAnsiTheme="majorHAnsi" w:cstheme="majorHAnsi"/>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Ibid. p. 2.</w:t>
      </w:r>
    </w:p>
  </w:footnote>
  <w:footnote w:id="27">
    <w:p w14:paraId="5466F527" w14:textId="17976D0C" w:rsidR="00A82CBA" w:rsidRPr="00FB7E0A" w:rsidRDefault="00A82CBA" w:rsidP="00F928F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Williams, Raymond, ‘Culture’, in </w:t>
      </w:r>
      <w:r w:rsidRPr="00FB7E0A">
        <w:rPr>
          <w:rFonts w:asciiTheme="majorHAnsi" w:eastAsiaTheme="majorEastAsia" w:hAnsiTheme="majorHAnsi" w:cstheme="majorHAnsi"/>
          <w:i/>
          <w:iCs/>
          <w:color w:val="000000" w:themeColor="text1"/>
          <w:kern w:val="0"/>
          <w:sz w:val="20"/>
          <w:szCs w:val="20"/>
        </w:rPr>
        <w:t>Keywords: A vocabulary of culture and society</w:t>
      </w:r>
      <w:r w:rsidRPr="00FB7E0A">
        <w:rPr>
          <w:rFonts w:asciiTheme="majorHAnsi" w:eastAsiaTheme="majorEastAsia" w:hAnsiTheme="majorHAnsi" w:cstheme="majorHAnsi"/>
          <w:color w:val="000000" w:themeColor="text1"/>
          <w:kern w:val="0"/>
          <w:sz w:val="20"/>
          <w:szCs w:val="20"/>
        </w:rPr>
        <w:t>, 2nd edn. (New York: Oxford University Press, 1983), pp. 87-93 (p. 90).</w:t>
      </w:r>
    </w:p>
  </w:footnote>
  <w:footnote w:id="28">
    <w:p w14:paraId="0B7840E8" w14:textId="368E12B1" w:rsidR="00F928FA" w:rsidRPr="00FB7E0A" w:rsidRDefault="00F928FA" w:rsidP="00CE3203">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 1.</w:t>
      </w:r>
    </w:p>
  </w:footnote>
  <w:footnote w:id="29">
    <w:p w14:paraId="37F407EC" w14:textId="5174D9D0" w:rsidR="00F928FA" w:rsidRPr="00FB7E0A" w:rsidRDefault="00F928F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CE3203" w:rsidRPr="00FB7E0A">
        <w:rPr>
          <w:rFonts w:asciiTheme="majorHAnsi" w:hAnsiTheme="majorHAnsi" w:cstheme="majorHAnsi"/>
          <w:color w:val="000000" w:themeColor="text1"/>
        </w:rPr>
        <w:t>Ibid. p. 1.</w:t>
      </w:r>
    </w:p>
  </w:footnote>
  <w:footnote w:id="30">
    <w:p w14:paraId="05B149C8" w14:textId="029EDD40" w:rsidR="00CE3203" w:rsidRPr="00FB7E0A" w:rsidRDefault="00CE320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3.</w:t>
      </w:r>
    </w:p>
  </w:footnote>
  <w:footnote w:id="31">
    <w:p w14:paraId="3F0E651A" w14:textId="1A39C0C0" w:rsidR="00453449" w:rsidRPr="00FB7E0A" w:rsidRDefault="00453449" w:rsidP="00D90546">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Eagleton, Terry, </w:t>
      </w:r>
      <w:r w:rsidRPr="00FB7E0A">
        <w:rPr>
          <w:rFonts w:asciiTheme="majorHAnsi" w:eastAsiaTheme="majorEastAsia" w:hAnsiTheme="majorHAnsi" w:cstheme="majorHAnsi"/>
          <w:i/>
          <w:iCs/>
          <w:color w:val="000000" w:themeColor="text1"/>
          <w:kern w:val="0"/>
          <w:sz w:val="20"/>
          <w:szCs w:val="20"/>
        </w:rPr>
        <w:t>The Idea of Culture</w:t>
      </w:r>
      <w:r w:rsidRPr="00FB7E0A">
        <w:rPr>
          <w:rFonts w:asciiTheme="majorHAnsi" w:eastAsiaTheme="majorEastAsia" w:hAnsiTheme="majorHAnsi" w:cstheme="majorHAnsi"/>
          <w:color w:val="000000" w:themeColor="text1"/>
          <w:kern w:val="0"/>
          <w:sz w:val="20"/>
          <w:szCs w:val="20"/>
        </w:rPr>
        <w:t xml:space="preserve"> (Oxford: Blackwell Publishers, 2000), </w:t>
      </w:r>
      <w:r w:rsidR="00C71DA2" w:rsidRPr="00FB7E0A">
        <w:rPr>
          <w:rFonts w:asciiTheme="majorHAnsi" w:eastAsiaTheme="majorEastAsia" w:hAnsiTheme="majorHAnsi" w:cstheme="majorHAnsi"/>
          <w:color w:val="000000" w:themeColor="text1"/>
          <w:kern w:val="0"/>
          <w:sz w:val="20"/>
          <w:szCs w:val="20"/>
        </w:rPr>
        <w:t>pp. 1-31 (</w:t>
      </w:r>
      <w:r w:rsidRPr="00FB7E0A">
        <w:rPr>
          <w:rFonts w:asciiTheme="majorHAnsi" w:eastAsiaTheme="majorEastAsia" w:hAnsiTheme="majorHAnsi" w:cstheme="majorHAnsi"/>
          <w:color w:val="000000" w:themeColor="text1"/>
          <w:kern w:val="0"/>
          <w:sz w:val="20"/>
          <w:szCs w:val="20"/>
        </w:rPr>
        <w:t>p. 15</w:t>
      </w:r>
      <w:r w:rsidR="00C71DA2" w:rsidRPr="00FB7E0A">
        <w:rPr>
          <w:rFonts w:asciiTheme="majorHAnsi" w:eastAsiaTheme="majorEastAsia" w:hAnsiTheme="majorHAnsi" w:cstheme="majorHAnsi"/>
          <w:color w:val="000000" w:themeColor="text1"/>
          <w:kern w:val="0"/>
          <w:sz w:val="20"/>
          <w:szCs w:val="20"/>
        </w:rPr>
        <w:t>)</w:t>
      </w:r>
      <w:r w:rsidRPr="00FB7E0A">
        <w:rPr>
          <w:rFonts w:asciiTheme="majorHAnsi" w:eastAsiaTheme="majorEastAsia" w:hAnsiTheme="majorHAnsi" w:cstheme="majorHAnsi"/>
          <w:color w:val="000000" w:themeColor="text1"/>
          <w:kern w:val="0"/>
          <w:sz w:val="20"/>
          <w:szCs w:val="20"/>
        </w:rPr>
        <w:t>.</w:t>
      </w:r>
    </w:p>
  </w:footnote>
  <w:footnote w:id="32">
    <w:p w14:paraId="5EFC7928" w14:textId="0736CE13" w:rsidR="00D90546" w:rsidRPr="00FB7E0A" w:rsidRDefault="00D90546" w:rsidP="00032CF9">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pp. 3-5.</w:t>
      </w:r>
    </w:p>
  </w:footnote>
  <w:footnote w:id="33">
    <w:p w14:paraId="0105DA83" w14:textId="4AA45ACD" w:rsidR="00032CF9" w:rsidRPr="00FB7E0A" w:rsidRDefault="00032CF9" w:rsidP="00032CF9">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Williams, p. 90.</w:t>
      </w:r>
    </w:p>
  </w:footnote>
  <w:footnote w:id="34">
    <w:p w14:paraId="3D6030F1" w14:textId="012EBCC9" w:rsidR="00AC5195" w:rsidRPr="00FB7E0A" w:rsidRDefault="00AC5195">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 98.</w:t>
      </w:r>
    </w:p>
  </w:footnote>
  <w:footnote w:id="35">
    <w:p w14:paraId="3BE4DB43" w14:textId="074EC875" w:rsidR="00AC5195" w:rsidRPr="00FB7E0A" w:rsidRDefault="00AC5195">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B241BA">
        <w:rPr>
          <w:rFonts w:asciiTheme="majorHAnsi" w:hAnsiTheme="majorHAnsi" w:cstheme="majorHAnsi"/>
          <w:color w:val="000000" w:themeColor="text1"/>
        </w:rPr>
        <w:t>Ibid.</w:t>
      </w:r>
      <w:r w:rsidRPr="00FB7E0A">
        <w:rPr>
          <w:rFonts w:asciiTheme="majorHAnsi" w:hAnsiTheme="majorHAnsi" w:cstheme="majorHAnsi"/>
          <w:color w:val="000000" w:themeColor="text1"/>
        </w:rPr>
        <w:t xml:space="preserve"> pp. 102-103.</w:t>
      </w:r>
    </w:p>
  </w:footnote>
  <w:footnote w:id="36">
    <w:p w14:paraId="4CD94B6F" w14:textId="61C439B1" w:rsidR="0093146E" w:rsidRDefault="0093146E">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B241BA">
        <w:rPr>
          <w:rFonts w:asciiTheme="majorHAnsi" w:hAnsiTheme="majorHAnsi" w:cstheme="majorHAnsi"/>
          <w:color w:val="000000" w:themeColor="text1"/>
        </w:rPr>
        <w:t xml:space="preserve">Ibid. </w:t>
      </w:r>
      <w:r w:rsidRPr="00FB7E0A">
        <w:rPr>
          <w:rFonts w:asciiTheme="majorHAnsi" w:hAnsiTheme="majorHAnsi" w:cstheme="majorHAnsi"/>
          <w:color w:val="000000" w:themeColor="text1"/>
        </w:rPr>
        <w:t>pp. 109-110.</w:t>
      </w:r>
    </w:p>
  </w:footnote>
  <w:footnote w:id="37">
    <w:p w14:paraId="72E4AB4E" w14:textId="7FDAB6F1" w:rsidR="006C34D6" w:rsidRPr="00FB7E0A" w:rsidRDefault="006C34D6">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Eagleton, p. 21.</w:t>
      </w:r>
    </w:p>
  </w:footnote>
  <w:footnote w:id="38">
    <w:p w14:paraId="643AE9C2" w14:textId="33DF0CF3" w:rsidR="0029389A" w:rsidRPr="00FB7E0A" w:rsidRDefault="0029389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 103.</w:t>
      </w:r>
    </w:p>
  </w:footnote>
  <w:footnote w:id="39">
    <w:p w14:paraId="505C7133" w14:textId="16CDBA77" w:rsidR="009B1133" w:rsidRPr="00FB7E0A" w:rsidRDefault="009B1133" w:rsidP="006C3613">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 6.</w:t>
      </w:r>
    </w:p>
  </w:footnote>
  <w:footnote w:id="40">
    <w:p w14:paraId="04955922" w14:textId="3176FC1A" w:rsidR="006C3613" w:rsidRPr="00FB7E0A" w:rsidRDefault="006C361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18.</w:t>
      </w:r>
    </w:p>
  </w:footnote>
  <w:footnote w:id="41">
    <w:p w14:paraId="0358EFF6" w14:textId="3AB55E5A" w:rsidR="006C3613" w:rsidRPr="00FB7E0A" w:rsidRDefault="006C361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Eagleton, p. 23.</w:t>
      </w:r>
    </w:p>
  </w:footnote>
  <w:footnote w:id="42">
    <w:p w14:paraId="3475CBCF" w14:textId="372E7025" w:rsidR="006C3613" w:rsidRPr="00FB7E0A" w:rsidRDefault="006C361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pp. 103-104.</w:t>
      </w:r>
    </w:p>
  </w:footnote>
  <w:footnote w:id="43">
    <w:p w14:paraId="667DD17B" w14:textId="77777777" w:rsidR="00E20598" w:rsidRDefault="00E20598" w:rsidP="00E20598">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Campion, p. 84.</w:t>
      </w:r>
    </w:p>
  </w:footnote>
  <w:footnote w:id="44">
    <w:p w14:paraId="03DA4F01" w14:textId="77777777" w:rsidR="00E20598" w:rsidRPr="00556541" w:rsidRDefault="00E20598" w:rsidP="00E20598">
      <w:pPr>
        <w:pStyle w:val="FootnoteText"/>
        <w:rPr>
          <w:rFonts w:asciiTheme="majorHAnsi" w:hAnsiTheme="majorHAnsi" w:cstheme="majorHAnsi"/>
          <w:color w:val="000000" w:themeColor="text1"/>
        </w:rPr>
      </w:pPr>
      <w:r w:rsidRPr="00556541">
        <w:rPr>
          <w:rStyle w:val="FootnoteReference"/>
          <w:rFonts w:asciiTheme="majorHAnsi" w:hAnsiTheme="majorHAnsi" w:cstheme="majorHAnsi"/>
          <w:color w:val="000000" w:themeColor="text1"/>
        </w:rPr>
        <w:footnoteRef/>
      </w:r>
      <w:r w:rsidRPr="00556541">
        <w:rPr>
          <w:rFonts w:asciiTheme="majorHAnsi" w:hAnsiTheme="majorHAnsi" w:cstheme="majorHAnsi"/>
          <w:color w:val="000000" w:themeColor="text1"/>
        </w:rPr>
        <w:t xml:space="preserve"> Williams, p. 90.</w:t>
      </w:r>
    </w:p>
  </w:footnote>
  <w:footnote w:id="45">
    <w:p w14:paraId="69157B61" w14:textId="77777777" w:rsidR="00E20598" w:rsidRDefault="00E20598" w:rsidP="00E20598">
      <w:pPr>
        <w:pStyle w:val="FootnoteText"/>
      </w:pPr>
      <w:r w:rsidRPr="00556541">
        <w:rPr>
          <w:rStyle w:val="FootnoteReference"/>
          <w:rFonts w:asciiTheme="majorHAnsi" w:hAnsiTheme="majorHAnsi" w:cstheme="majorHAnsi"/>
          <w:color w:val="000000" w:themeColor="text1"/>
        </w:rPr>
        <w:footnoteRef/>
      </w:r>
      <w:r w:rsidRPr="00556541">
        <w:rPr>
          <w:rFonts w:asciiTheme="majorHAnsi" w:hAnsiTheme="majorHAnsi" w:cstheme="majorHAnsi"/>
          <w:color w:val="000000" w:themeColor="text1"/>
        </w:rPr>
        <w:t xml:space="preserve"> Eagleton, </w:t>
      </w:r>
      <w:r w:rsidRPr="00556541">
        <w:rPr>
          <w:rFonts w:asciiTheme="majorHAnsi" w:eastAsiaTheme="majorEastAsia" w:hAnsiTheme="majorHAnsi" w:cstheme="majorHAnsi"/>
          <w:color w:val="000000" w:themeColor="text1"/>
          <w:kern w:val="0"/>
        </w:rPr>
        <w:t>pp. 1-31.</w:t>
      </w:r>
    </w:p>
  </w:footnote>
  <w:footnote w:id="46">
    <w:p w14:paraId="6B38BF14" w14:textId="4F4AD4D7" w:rsidR="00FA7406" w:rsidRPr="00FB7E0A" w:rsidRDefault="00FA7406">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6305A8">
        <w:rPr>
          <w:rFonts w:asciiTheme="majorHAnsi" w:hAnsiTheme="majorHAnsi" w:cstheme="majorHAnsi"/>
          <w:color w:val="000000" w:themeColor="text1"/>
        </w:rPr>
        <w:t>Rankin,</w:t>
      </w:r>
      <w:r w:rsidRPr="00FB7E0A">
        <w:rPr>
          <w:rFonts w:asciiTheme="majorHAnsi" w:hAnsiTheme="majorHAnsi" w:cstheme="majorHAnsi"/>
          <w:color w:val="000000" w:themeColor="text1"/>
        </w:rPr>
        <w:t xml:space="preserve"> p. 110.</w:t>
      </w:r>
    </w:p>
  </w:footnote>
  <w:footnote w:id="47">
    <w:p w14:paraId="1813294A" w14:textId="59D29BAF" w:rsidR="00AD0A90" w:rsidRPr="00FB7E0A" w:rsidRDefault="00AD0A90" w:rsidP="00240A8B">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Siraisi, 'Anatomizing the Past: Physicians and History in Renaissance Culture', p. 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4865467"/>
      <w:docPartObj>
        <w:docPartGallery w:val="Page Numbers (Top of Page)"/>
        <w:docPartUnique/>
      </w:docPartObj>
    </w:sdtPr>
    <w:sdtContent>
      <w:p w14:paraId="2B425BB6" w14:textId="64460E2F" w:rsidR="00C6041C" w:rsidRDefault="00C6041C" w:rsidP="009573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22445B" w14:textId="77777777" w:rsidR="00902190" w:rsidRDefault="00902190" w:rsidP="00C6041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590386"/>
      <w:docPartObj>
        <w:docPartGallery w:val="Page Numbers (Top of Page)"/>
        <w:docPartUnique/>
      </w:docPartObj>
    </w:sdtPr>
    <w:sdtContent>
      <w:p w14:paraId="50CE4C3B" w14:textId="783CC33D" w:rsidR="00C6041C" w:rsidRDefault="00C6041C" w:rsidP="009573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21B4FA" w14:textId="7921A4D4" w:rsidR="00902190" w:rsidRPr="00BE076F" w:rsidRDefault="00C6041C" w:rsidP="00C6041C">
    <w:pPr>
      <w:pStyle w:val="Header"/>
      <w:ind w:right="360"/>
      <w:jc w:val="right"/>
      <w:rPr>
        <w:rFonts w:asciiTheme="majorHAnsi" w:hAnsiTheme="majorHAnsi" w:cstheme="majorHAnsi"/>
        <w:color w:val="000000" w:themeColor="text1"/>
      </w:rPr>
    </w:pPr>
    <w:r w:rsidRPr="00BE076F">
      <w:rPr>
        <w:rFonts w:asciiTheme="majorHAnsi" w:hAnsiTheme="majorHAnsi" w:cstheme="majorHAnsi"/>
        <w:color w:val="000000" w:themeColor="text1"/>
      </w:rPr>
      <w:t xml:space="preserve">Paul Flagg    2317605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243"/>
    <w:rsid w:val="00011117"/>
    <w:rsid w:val="00016E2D"/>
    <w:rsid w:val="00032CF9"/>
    <w:rsid w:val="00060F98"/>
    <w:rsid w:val="0006122C"/>
    <w:rsid w:val="0006134A"/>
    <w:rsid w:val="00075077"/>
    <w:rsid w:val="000A6B25"/>
    <w:rsid w:val="000C7EAE"/>
    <w:rsid w:val="000D1243"/>
    <w:rsid w:val="000E327C"/>
    <w:rsid w:val="000E4124"/>
    <w:rsid w:val="000E4686"/>
    <w:rsid w:val="001162A9"/>
    <w:rsid w:val="00126C54"/>
    <w:rsid w:val="00134E0E"/>
    <w:rsid w:val="0015152A"/>
    <w:rsid w:val="001730B0"/>
    <w:rsid w:val="00175119"/>
    <w:rsid w:val="001A1554"/>
    <w:rsid w:val="001A1C5E"/>
    <w:rsid w:val="001A2DA0"/>
    <w:rsid w:val="001A56AE"/>
    <w:rsid w:val="001B1EC7"/>
    <w:rsid w:val="001C1E3A"/>
    <w:rsid w:val="001C365B"/>
    <w:rsid w:val="001C3858"/>
    <w:rsid w:val="001D0540"/>
    <w:rsid w:val="001F5F78"/>
    <w:rsid w:val="001F7A16"/>
    <w:rsid w:val="00221EA8"/>
    <w:rsid w:val="00240A8B"/>
    <w:rsid w:val="00245D69"/>
    <w:rsid w:val="00276B55"/>
    <w:rsid w:val="00293744"/>
    <w:rsid w:val="0029389A"/>
    <w:rsid w:val="002A1F95"/>
    <w:rsid w:val="002B0E25"/>
    <w:rsid w:val="002C26C3"/>
    <w:rsid w:val="002C3025"/>
    <w:rsid w:val="002C50EC"/>
    <w:rsid w:val="002F049E"/>
    <w:rsid w:val="002F3917"/>
    <w:rsid w:val="002F729F"/>
    <w:rsid w:val="003228AD"/>
    <w:rsid w:val="00380ACE"/>
    <w:rsid w:val="003850E7"/>
    <w:rsid w:val="003A37A5"/>
    <w:rsid w:val="003B258E"/>
    <w:rsid w:val="003B3FAC"/>
    <w:rsid w:val="003C14A6"/>
    <w:rsid w:val="003C7278"/>
    <w:rsid w:val="003D35B1"/>
    <w:rsid w:val="003E2D97"/>
    <w:rsid w:val="0040775A"/>
    <w:rsid w:val="004345D9"/>
    <w:rsid w:val="004362DE"/>
    <w:rsid w:val="004371AC"/>
    <w:rsid w:val="00453449"/>
    <w:rsid w:val="00454BAE"/>
    <w:rsid w:val="004A475E"/>
    <w:rsid w:val="004A4E02"/>
    <w:rsid w:val="004B2E65"/>
    <w:rsid w:val="004B4ACE"/>
    <w:rsid w:val="004B4E60"/>
    <w:rsid w:val="004B557E"/>
    <w:rsid w:val="004B7EC8"/>
    <w:rsid w:val="004C6519"/>
    <w:rsid w:val="004E2C80"/>
    <w:rsid w:val="004F4FE5"/>
    <w:rsid w:val="00527352"/>
    <w:rsid w:val="00544DF4"/>
    <w:rsid w:val="0054727B"/>
    <w:rsid w:val="0055357C"/>
    <w:rsid w:val="00556541"/>
    <w:rsid w:val="005567DB"/>
    <w:rsid w:val="005873C3"/>
    <w:rsid w:val="005928DE"/>
    <w:rsid w:val="005931D6"/>
    <w:rsid w:val="005A0005"/>
    <w:rsid w:val="005A751C"/>
    <w:rsid w:val="005C67FE"/>
    <w:rsid w:val="005D09BE"/>
    <w:rsid w:val="005D1A1B"/>
    <w:rsid w:val="005D1A64"/>
    <w:rsid w:val="005F2076"/>
    <w:rsid w:val="005F487F"/>
    <w:rsid w:val="006125D0"/>
    <w:rsid w:val="0062055D"/>
    <w:rsid w:val="006305A8"/>
    <w:rsid w:val="00661406"/>
    <w:rsid w:val="00666FCC"/>
    <w:rsid w:val="00667714"/>
    <w:rsid w:val="006815E0"/>
    <w:rsid w:val="00681C42"/>
    <w:rsid w:val="00683462"/>
    <w:rsid w:val="006C2A03"/>
    <w:rsid w:val="006C34D6"/>
    <w:rsid w:val="006C3613"/>
    <w:rsid w:val="006E7888"/>
    <w:rsid w:val="006E7A9D"/>
    <w:rsid w:val="0071131A"/>
    <w:rsid w:val="007119BA"/>
    <w:rsid w:val="007248A3"/>
    <w:rsid w:val="007649F4"/>
    <w:rsid w:val="007A06BB"/>
    <w:rsid w:val="007C1ADF"/>
    <w:rsid w:val="007C7EEC"/>
    <w:rsid w:val="007D32B8"/>
    <w:rsid w:val="00810004"/>
    <w:rsid w:val="00816D75"/>
    <w:rsid w:val="00817886"/>
    <w:rsid w:val="00834972"/>
    <w:rsid w:val="0083648E"/>
    <w:rsid w:val="00842A46"/>
    <w:rsid w:val="00846CD9"/>
    <w:rsid w:val="00857124"/>
    <w:rsid w:val="008575C2"/>
    <w:rsid w:val="00860629"/>
    <w:rsid w:val="0086432D"/>
    <w:rsid w:val="00864A64"/>
    <w:rsid w:val="00886CDD"/>
    <w:rsid w:val="00893B2C"/>
    <w:rsid w:val="008B5915"/>
    <w:rsid w:val="008E36BA"/>
    <w:rsid w:val="00902190"/>
    <w:rsid w:val="0090310A"/>
    <w:rsid w:val="0093146E"/>
    <w:rsid w:val="0094281A"/>
    <w:rsid w:val="00943DA0"/>
    <w:rsid w:val="00981920"/>
    <w:rsid w:val="00986F4C"/>
    <w:rsid w:val="009946C7"/>
    <w:rsid w:val="00995E41"/>
    <w:rsid w:val="0099666F"/>
    <w:rsid w:val="009B1133"/>
    <w:rsid w:val="009D4C64"/>
    <w:rsid w:val="009E4378"/>
    <w:rsid w:val="009E6DBE"/>
    <w:rsid w:val="00A13410"/>
    <w:rsid w:val="00A1508F"/>
    <w:rsid w:val="00A16FBC"/>
    <w:rsid w:val="00A23808"/>
    <w:rsid w:val="00A3071A"/>
    <w:rsid w:val="00A31D1E"/>
    <w:rsid w:val="00A40A6F"/>
    <w:rsid w:val="00A63F89"/>
    <w:rsid w:val="00A6452D"/>
    <w:rsid w:val="00A70C19"/>
    <w:rsid w:val="00A73555"/>
    <w:rsid w:val="00A82CBA"/>
    <w:rsid w:val="00A90244"/>
    <w:rsid w:val="00A91745"/>
    <w:rsid w:val="00AC5195"/>
    <w:rsid w:val="00AD0A90"/>
    <w:rsid w:val="00AD1337"/>
    <w:rsid w:val="00AE2763"/>
    <w:rsid w:val="00AE4989"/>
    <w:rsid w:val="00AF195C"/>
    <w:rsid w:val="00B06D81"/>
    <w:rsid w:val="00B110BA"/>
    <w:rsid w:val="00B241BA"/>
    <w:rsid w:val="00B31E04"/>
    <w:rsid w:val="00B73189"/>
    <w:rsid w:val="00B92B87"/>
    <w:rsid w:val="00B97C3A"/>
    <w:rsid w:val="00BB6BE4"/>
    <w:rsid w:val="00BC2C09"/>
    <w:rsid w:val="00BD5C18"/>
    <w:rsid w:val="00BE076F"/>
    <w:rsid w:val="00BE302D"/>
    <w:rsid w:val="00C33B4F"/>
    <w:rsid w:val="00C35C6C"/>
    <w:rsid w:val="00C53714"/>
    <w:rsid w:val="00C5543F"/>
    <w:rsid w:val="00C6041C"/>
    <w:rsid w:val="00C61672"/>
    <w:rsid w:val="00C649AD"/>
    <w:rsid w:val="00C71DA2"/>
    <w:rsid w:val="00C74CA2"/>
    <w:rsid w:val="00C7650D"/>
    <w:rsid w:val="00C97633"/>
    <w:rsid w:val="00CA3683"/>
    <w:rsid w:val="00CC2CB1"/>
    <w:rsid w:val="00CD3439"/>
    <w:rsid w:val="00CE3203"/>
    <w:rsid w:val="00CE5BDD"/>
    <w:rsid w:val="00CE774F"/>
    <w:rsid w:val="00D10741"/>
    <w:rsid w:val="00D15B10"/>
    <w:rsid w:val="00D240C6"/>
    <w:rsid w:val="00D44918"/>
    <w:rsid w:val="00D52346"/>
    <w:rsid w:val="00D6384E"/>
    <w:rsid w:val="00D76061"/>
    <w:rsid w:val="00D90546"/>
    <w:rsid w:val="00D93C12"/>
    <w:rsid w:val="00DA43A1"/>
    <w:rsid w:val="00DB3232"/>
    <w:rsid w:val="00DC454F"/>
    <w:rsid w:val="00DC74D2"/>
    <w:rsid w:val="00DD3169"/>
    <w:rsid w:val="00DF25E9"/>
    <w:rsid w:val="00E02773"/>
    <w:rsid w:val="00E061FB"/>
    <w:rsid w:val="00E06EB5"/>
    <w:rsid w:val="00E20598"/>
    <w:rsid w:val="00E21FE1"/>
    <w:rsid w:val="00E377CD"/>
    <w:rsid w:val="00E614E3"/>
    <w:rsid w:val="00E83B7F"/>
    <w:rsid w:val="00E916D9"/>
    <w:rsid w:val="00EE174D"/>
    <w:rsid w:val="00EE1DD3"/>
    <w:rsid w:val="00F1072A"/>
    <w:rsid w:val="00F24D70"/>
    <w:rsid w:val="00F34FB8"/>
    <w:rsid w:val="00F353E5"/>
    <w:rsid w:val="00F57582"/>
    <w:rsid w:val="00F705AE"/>
    <w:rsid w:val="00F83809"/>
    <w:rsid w:val="00F83CCA"/>
    <w:rsid w:val="00F90E5C"/>
    <w:rsid w:val="00F928FA"/>
    <w:rsid w:val="00FA7406"/>
    <w:rsid w:val="00FB7E0A"/>
    <w:rsid w:val="00FF3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65C8F6F"/>
  <w15:chartTrackingRefBased/>
  <w15:docId w15:val="{945BF3EC-3CA2-4A45-985F-8F714F058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0D1243"/>
    <w:pPr>
      <w:spacing w:before="100" w:beforeAutospacing="1" w:after="100" w:afterAutospacing="1"/>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902190"/>
    <w:pPr>
      <w:tabs>
        <w:tab w:val="center" w:pos="4680"/>
        <w:tab w:val="right" w:pos="9360"/>
      </w:tabs>
    </w:pPr>
  </w:style>
  <w:style w:type="character" w:customStyle="1" w:styleId="HeaderChar">
    <w:name w:val="Header Char"/>
    <w:basedOn w:val="DefaultParagraphFont"/>
    <w:link w:val="Header"/>
    <w:uiPriority w:val="99"/>
    <w:rsid w:val="00902190"/>
  </w:style>
  <w:style w:type="paragraph" w:styleId="Footer">
    <w:name w:val="footer"/>
    <w:basedOn w:val="Normal"/>
    <w:link w:val="FooterChar"/>
    <w:uiPriority w:val="99"/>
    <w:unhideWhenUsed/>
    <w:rsid w:val="00902190"/>
    <w:pPr>
      <w:tabs>
        <w:tab w:val="center" w:pos="4680"/>
        <w:tab w:val="right" w:pos="9360"/>
      </w:tabs>
    </w:pPr>
  </w:style>
  <w:style w:type="character" w:customStyle="1" w:styleId="FooterChar">
    <w:name w:val="Footer Char"/>
    <w:basedOn w:val="DefaultParagraphFont"/>
    <w:link w:val="Footer"/>
    <w:uiPriority w:val="99"/>
    <w:rsid w:val="00902190"/>
  </w:style>
  <w:style w:type="character" w:styleId="PageNumber">
    <w:name w:val="page number"/>
    <w:basedOn w:val="DefaultParagraphFont"/>
    <w:uiPriority w:val="99"/>
    <w:semiHidden/>
    <w:unhideWhenUsed/>
    <w:rsid w:val="00C6041C"/>
  </w:style>
  <w:style w:type="paragraph" w:styleId="FootnoteText">
    <w:name w:val="footnote text"/>
    <w:basedOn w:val="Normal"/>
    <w:link w:val="FootnoteTextChar"/>
    <w:uiPriority w:val="99"/>
    <w:semiHidden/>
    <w:unhideWhenUsed/>
    <w:rsid w:val="00011117"/>
    <w:rPr>
      <w:sz w:val="20"/>
      <w:szCs w:val="20"/>
    </w:rPr>
  </w:style>
  <w:style w:type="character" w:customStyle="1" w:styleId="FootnoteTextChar">
    <w:name w:val="Footnote Text Char"/>
    <w:basedOn w:val="DefaultParagraphFont"/>
    <w:link w:val="FootnoteText"/>
    <w:uiPriority w:val="99"/>
    <w:semiHidden/>
    <w:rsid w:val="00011117"/>
    <w:rPr>
      <w:sz w:val="20"/>
      <w:szCs w:val="20"/>
    </w:rPr>
  </w:style>
  <w:style w:type="character" w:styleId="FootnoteReference">
    <w:name w:val="footnote reference"/>
    <w:basedOn w:val="DefaultParagraphFont"/>
    <w:uiPriority w:val="99"/>
    <w:semiHidden/>
    <w:unhideWhenUsed/>
    <w:rsid w:val="0001111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0EA70-35B7-DF4B-8311-31A064037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8</Pages>
  <Words>2499</Words>
  <Characters>14246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120</cp:revision>
  <dcterms:created xsi:type="dcterms:W3CDTF">2023-11-06T18:08:00Z</dcterms:created>
  <dcterms:modified xsi:type="dcterms:W3CDTF">2023-11-06T20:22:00Z</dcterms:modified>
</cp:coreProperties>
</file>