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29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909"/>
      </w:tblGrid>
      <w:tr w:rsidR="00F927A1" w:rsidRPr="005D3F07" w14:paraId="68CAA39D" w14:textId="77777777" w:rsidTr="002044B2">
        <w:trPr>
          <w:trHeight w:val="4169"/>
        </w:trPr>
        <w:tc>
          <w:tcPr>
            <w:tcW w:w="12909" w:type="dxa"/>
          </w:tcPr>
          <w:p w14:paraId="02F8EE88" w14:textId="34CBA97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F1676">
              <w:rPr>
                <w:rFonts w:ascii="Times New Roman" w:hAnsi="Times New Roman" w:cs="Times New Roman"/>
                <w:b/>
                <w:color w:val="auto"/>
                <w:sz w:val="48"/>
              </w:rPr>
              <w:t>Courtney Honey-Jones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BFCA03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044B2">
              <w:rPr>
                <w:rFonts w:ascii="Times New Roman" w:hAnsi="Times New Roman" w:cs="Times New Roman"/>
                <w:b/>
                <w:color w:val="auto"/>
                <w:sz w:val="48"/>
              </w:rPr>
              <w:t xml:space="preserve"> 2432489@student.uwtsd.ac.uk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7734C4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044B2">
              <w:rPr>
                <w:rFonts w:ascii="Times New Roman" w:hAnsi="Times New Roman" w:cs="Times New Roman"/>
                <w:b/>
                <w:color w:val="auto"/>
                <w:sz w:val="48"/>
              </w:rPr>
              <w:t xml:space="preserve"> 243248</w:t>
            </w:r>
            <w:r w:rsidR="0061625D">
              <w:rPr>
                <w:rFonts w:ascii="Times New Roman" w:hAnsi="Times New Roman" w:cs="Times New Roman"/>
                <w:b/>
                <w:color w:val="auto"/>
                <w:sz w:val="48"/>
              </w:rPr>
              <w:t>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519BEF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w:t>
            </w:r>
            <w:r w:rsidR="0061625D">
              <w:rPr>
                <w:rFonts w:ascii="Times New Roman" w:hAnsi="Times New Roman" w:cs="Times New Roman"/>
                <w:b/>
                <w:color w:val="auto"/>
                <w:sz w:val="48"/>
              </w:rPr>
              <w:t>5b</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656E9326" w14:textId="6C6A3D33" w:rsidR="00151DA6" w:rsidRPr="005F1676" w:rsidRDefault="00151DA6" w:rsidP="005F1676">
      <w:pPr>
        <w:rPr>
          <w:b/>
          <w:sz w:val="24"/>
          <w:szCs w:val="24"/>
        </w:rPr>
      </w:pPr>
      <w:r>
        <w:rPr>
          <w:b/>
          <w:sz w:val="28"/>
          <w:szCs w:val="28"/>
        </w:rPr>
        <w:t>Reference List</w:t>
      </w:r>
    </w:p>
    <w:p w14:paraId="3338A666" w14:textId="77777777" w:rsidR="00EB695F" w:rsidRDefault="00EB695F" w:rsidP="00FF7EBB">
      <w:pPr>
        <w:jc w:val="both"/>
        <w:rPr>
          <w:sz w:val="24"/>
          <w:szCs w:val="24"/>
        </w:rPr>
      </w:pPr>
    </w:p>
    <w:p w14:paraId="344D87D2" w14:textId="77777777" w:rsidR="005F1676" w:rsidRPr="00602CC8" w:rsidRDefault="005F1676" w:rsidP="005F1676">
      <w:pPr>
        <w:pStyle w:val="NormalWeb"/>
        <w:spacing w:line="480" w:lineRule="auto"/>
        <w:jc w:val="both"/>
        <w:rPr>
          <w:rFonts w:ascii="Arial" w:hAnsi="Arial" w:cs="Arial"/>
          <w:sz w:val="22"/>
          <w:szCs w:val="22"/>
        </w:rPr>
      </w:pPr>
    </w:p>
    <w:p w14:paraId="1D605FE7"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BASW (2021) </w:t>
      </w:r>
      <w:r w:rsidRPr="00602CC8">
        <w:rPr>
          <w:rStyle w:val="Emphasis"/>
          <w:rFonts w:ascii="Arial" w:eastAsiaTheme="majorEastAsia" w:hAnsi="Arial" w:cs="Arial"/>
          <w:sz w:val="22"/>
          <w:szCs w:val="22"/>
        </w:rPr>
        <w:t>The Code of Ethics for Social Work: Statement of Principles</w:t>
      </w:r>
      <w:r w:rsidRPr="00602CC8">
        <w:rPr>
          <w:rFonts w:ascii="Arial" w:hAnsi="Arial" w:cs="Arial"/>
          <w:sz w:val="22"/>
          <w:szCs w:val="22"/>
        </w:rPr>
        <w:t>. Birmingham: British Association of Social Workers. Available at: https://www.basw.co.uk/policy-practice/standards/code-ethics (Accessed: 10 February 2026).</w:t>
      </w:r>
    </w:p>
    <w:p w14:paraId="154BE7E1"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Banks, S. (2020) </w:t>
      </w:r>
      <w:r w:rsidRPr="00602CC8">
        <w:rPr>
          <w:rStyle w:val="Emphasis"/>
          <w:rFonts w:ascii="Arial" w:eastAsiaTheme="majorEastAsia" w:hAnsi="Arial" w:cs="Arial"/>
          <w:sz w:val="22"/>
          <w:szCs w:val="22"/>
        </w:rPr>
        <w:t>Ethics and Values in Social Work</w:t>
      </w:r>
      <w:r w:rsidRPr="00602CC8">
        <w:rPr>
          <w:rFonts w:ascii="Arial" w:hAnsi="Arial" w:cs="Arial"/>
          <w:sz w:val="22"/>
          <w:szCs w:val="22"/>
        </w:rPr>
        <w:t>. 5th edn. London: Red Globe Press.</w:t>
      </w:r>
    </w:p>
    <w:p w14:paraId="1C0B56BE"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Borton, T. (1970) </w:t>
      </w:r>
      <w:r w:rsidRPr="00602CC8">
        <w:rPr>
          <w:rStyle w:val="Emphasis"/>
          <w:rFonts w:ascii="Arial" w:eastAsiaTheme="majorEastAsia" w:hAnsi="Arial" w:cs="Arial"/>
          <w:sz w:val="22"/>
          <w:szCs w:val="22"/>
        </w:rPr>
        <w:t>Reach, Touch and Teach</w:t>
      </w:r>
      <w:r w:rsidRPr="00602CC8">
        <w:rPr>
          <w:rFonts w:ascii="Arial" w:hAnsi="Arial" w:cs="Arial"/>
          <w:sz w:val="22"/>
          <w:szCs w:val="22"/>
        </w:rPr>
        <w:t>. New York: McGraw Hill.</w:t>
      </w:r>
    </w:p>
    <w:p w14:paraId="7A0B6CBE"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Braye, S. and Preston-Shoot, M. (2016) </w:t>
      </w:r>
      <w:r w:rsidRPr="00602CC8">
        <w:rPr>
          <w:rStyle w:val="Emphasis"/>
          <w:rFonts w:ascii="Arial" w:eastAsiaTheme="majorEastAsia" w:hAnsi="Arial" w:cs="Arial"/>
          <w:sz w:val="22"/>
          <w:szCs w:val="22"/>
        </w:rPr>
        <w:t>Practising Social Work Law</w:t>
      </w:r>
      <w:r w:rsidRPr="00602CC8">
        <w:rPr>
          <w:rFonts w:ascii="Arial" w:hAnsi="Arial" w:cs="Arial"/>
          <w:sz w:val="22"/>
          <w:szCs w:val="22"/>
        </w:rPr>
        <w:t>. 2nd edn. London: Palgrave Macmillan.</w:t>
      </w:r>
    </w:p>
    <w:p w14:paraId="2357BE4B"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Braye, S., Preston-Shoot, M. and Orr, D. (2015) </w:t>
      </w:r>
      <w:r w:rsidRPr="00602CC8">
        <w:rPr>
          <w:rStyle w:val="Emphasis"/>
          <w:rFonts w:ascii="Arial" w:eastAsiaTheme="majorEastAsia" w:hAnsi="Arial" w:cs="Arial"/>
          <w:sz w:val="22"/>
          <w:szCs w:val="22"/>
        </w:rPr>
        <w:t>Autonomy and Protection in Adult Safeguarding: Study of Decision Making</w:t>
      </w:r>
      <w:r w:rsidRPr="00602CC8">
        <w:rPr>
          <w:rFonts w:ascii="Arial" w:hAnsi="Arial" w:cs="Arial"/>
          <w:sz w:val="22"/>
          <w:szCs w:val="22"/>
        </w:rPr>
        <w:t>. London: SCIE.</w:t>
      </w:r>
    </w:p>
    <w:p w14:paraId="782C1417"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British Association of Social Workers (2021) </w:t>
      </w:r>
      <w:r w:rsidRPr="00602CC8">
        <w:rPr>
          <w:rStyle w:val="Emphasis"/>
          <w:rFonts w:ascii="Arial" w:eastAsiaTheme="majorEastAsia" w:hAnsi="Arial" w:cs="Arial"/>
          <w:sz w:val="22"/>
          <w:szCs w:val="22"/>
        </w:rPr>
        <w:t>Code of Ethics</w:t>
      </w:r>
      <w:r w:rsidRPr="00602CC8">
        <w:rPr>
          <w:rFonts w:ascii="Arial" w:hAnsi="Arial" w:cs="Arial"/>
          <w:sz w:val="22"/>
          <w:szCs w:val="22"/>
        </w:rPr>
        <w:t>. Available at: https://basw.co.uk/policy-practice/standards/code-ethics (Accessed: 10 February 2026).</w:t>
      </w:r>
    </w:p>
    <w:p w14:paraId="4E0BB62F"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Brown, R.A., Barber, P. and Martin, D. (2015) </w:t>
      </w:r>
      <w:r w:rsidRPr="00602CC8">
        <w:rPr>
          <w:rStyle w:val="Emphasis"/>
          <w:rFonts w:ascii="Arial" w:eastAsiaTheme="majorEastAsia" w:hAnsi="Arial" w:cs="Arial"/>
          <w:sz w:val="22"/>
          <w:szCs w:val="22"/>
        </w:rPr>
        <w:t>The Mental Capacity Act 2005</w:t>
      </w:r>
      <w:r w:rsidRPr="00602CC8">
        <w:rPr>
          <w:rFonts w:ascii="Arial" w:hAnsi="Arial" w:cs="Arial"/>
          <w:sz w:val="22"/>
          <w:szCs w:val="22"/>
        </w:rPr>
        <w:t>. London: Learning Matters.</w:t>
      </w:r>
    </w:p>
    <w:p w14:paraId="3258FE6B"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Campbell Killick (2024) </w:t>
      </w:r>
      <w:r w:rsidRPr="00602CC8">
        <w:rPr>
          <w:rStyle w:val="Emphasis"/>
          <w:rFonts w:ascii="Arial" w:eastAsiaTheme="majorEastAsia" w:hAnsi="Arial" w:cs="Arial"/>
          <w:sz w:val="22"/>
          <w:szCs w:val="22"/>
        </w:rPr>
        <w:t>Assessment, Risk and Decision Making in Social Work: An Introduction</w:t>
      </w:r>
      <w:r w:rsidRPr="00602CC8">
        <w:rPr>
          <w:rFonts w:ascii="Arial" w:hAnsi="Arial" w:cs="Arial"/>
          <w:sz w:val="22"/>
          <w:szCs w:val="22"/>
        </w:rPr>
        <w:t>. London: Learning Matters.</w:t>
      </w:r>
    </w:p>
    <w:p w14:paraId="1B252471"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Chisnell, C. and Kelly, C. (2019) </w:t>
      </w:r>
      <w:r w:rsidRPr="00602CC8">
        <w:rPr>
          <w:rStyle w:val="Emphasis"/>
          <w:rFonts w:ascii="Arial" w:eastAsiaTheme="majorEastAsia" w:hAnsi="Arial" w:cs="Arial"/>
          <w:sz w:val="22"/>
          <w:szCs w:val="22"/>
        </w:rPr>
        <w:t>Safeguarding in Social Work Practice</w:t>
      </w:r>
      <w:r w:rsidRPr="00602CC8">
        <w:rPr>
          <w:rFonts w:ascii="Arial" w:hAnsi="Arial" w:cs="Arial"/>
          <w:sz w:val="22"/>
          <w:szCs w:val="22"/>
        </w:rPr>
        <w:t>. 2nd edn. London: Learning Matters.</w:t>
      </w:r>
    </w:p>
    <w:p w14:paraId="7AF3C728"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Cloke, P., Milbourne, P. and Widdowfield, R. (2000) </w:t>
      </w:r>
      <w:r w:rsidRPr="00602CC8">
        <w:rPr>
          <w:rStyle w:val="Emphasis"/>
          <w:rFonts w:ascii="Arial" w:eastAsiaTheme="majorEastAsia" w:hAnsi="Arial" w:cs="Arial"/>
          <w:sz w:val="22"/>
          <w:szCs w:val="22"/>
        </w:rPr>
        <w:t>Homelessness and Rurality: ‘Out-of-Place’ in the Countryside</w:t>
      </w:r>
      <w:r w:rsidRPr="00602CC8">
        <w:rPr>
          <w:rFonts w:ascii="Arial" w:hAnsi="Arial" w:cs="Arial"/>
          <w:sz w:val="22"/>
          <w:szCs w:val="22"/>
        </w:rPr>
        <w:t>. London: Routledge.</w:t>
      </w:r>
    </w:p>
    <w:p w14:paraId="752C4E00"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Communication and Interpersonal Skills in Social Work (2024) </w:t>
      </w:r>
      <w:r w:rsidRPr="00602CC8">
        <w:rPr>
          <w:rStyle w:val="Emphasis"/>
          <w:rFonts w:ascii="Arial" w:eastAsiaTheme="majorEastAsia" w:hAnsi="Arial" w:cs="Arial"/>
          <w:sz w:val="22"/>
          <w:szCs w:val="22"/>
        </w:rPr>
        <w:t>Transforming Social Work Practice Series</w:t>
      </w:r>
      <w:r w:rsidRPr="00602CC8">
        <w:rPr>
          <w:rFonts w:ascii="Arial" w:hAnsi="Arial" w:cs="Arial"/>
          <w:sz w:val="22"/>
          <w:szCs w:val="22"/>
        </w:rPr>
        <w:t>. London: Learning Matters.</w:t>
      </w:r>
    </w:p>
    <w:p w14:paraId="3FB95B99"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Crawford, K. (2012) </w:t>
      </w:r>
      <w:r w:rsidRPr="00602CC8">
        <w:rPr>
          <w:rStyle w:val="Emphasis"/>
          <w:rFonts w:ascii="Arial" w:eastAsiaTheme="majorEastAsia" w:hAnsi="Arial" w:cs="Arial"/>
          <w:sz w:val="22"/>
          <w:szCs w:val="22"/>
        </w:rPr>
        <w:t>Interprofessional Collaboration in Social Work Practice</w:t>
      </w:r>
      <w:r w:rsidRPr="00602CC8">
        <w:rPr>
          <w:rFonts w:ascii="Arial" w:hAnsi="Arial" w:cs="Arial"/>
          <w:sz w:val="22"/>
          <w:szCs w:val="22"/>
        </w:rPr>
        <w:t>. London: Sage.</w:t>
      </w:r>
    </w:p>
    <w:p w14:paraId="44FBD153"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CYSUR Mid &amp; West Wales Safeguarding Board (n.d.) </w:t>
      </w:r>
      <w:r w:rsidRPr="00602CC8">
        <w:rPr>
          <w:rStyle w:val="Emphasis"/>
          <w:rFonts w:ascii="Arial" w:eastAsiaTheme="majorEastAsia" w:hAnsi="Arial" w:cs="Arial"/>
          <w:sz w:val="22"/>
          <w:szCs w:val="22"/>
        </w:rPr>
        <w:t>Regional safeguarding priorities</w:t>
      </w:r>
      <w:r w:rsidRPr="00602CC8">
        <w:rPr>
          <w:rFonts w:ascii="Arial" w:hAnsi="Arial" w:cs="Arial"/>
          <w:sz w:val="22"/>
          <w:szCs w:val="22"/>
        </w:rPr>
        <w:t>. Available at: https://www.cysur.wales (Accessed: [11 February 2026]).</w:t>
      </w:r>
    </w:p>
    <w:p w14:paraId="0B9A47B4"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Davies, E. (2008) </w:t>
      </w:r>
      <w:r w:rsidRPr="00602CC8">
        <w:rPr>
          <w:rStyle w:val="Emphasis"/>
          <w:rFonts w:ascii="Arial" w:eastAsiaTheme="majorEastAsia" w:hAnsi="Arial" w:cs="Arial"/>
          <w:sz w:val="22"/>
          <w:szCs w:val="22"/>
        </w:rPr>
        <w:t>Different Words, Different Worlds? The Concept of Language Choice in Social Work and Social Care</w:t>
      </w:r>
      <w:r w:rsidRPr="00602CC8">
        <w:rPr>
          <w:rFonts w:ascii="Arial" w:hAnsi="Arial" w:cs="Arial"/>
          <w:sz w:val="22"/>
          <w:szCs w:val="22"/>
        </w:rPr>
        <w:t>. Care Council for Wales.</w:t>
      </w:r>
    </w:p>
    <w:p w14:paraId="38BD831B"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Department for Constitutional Affairs (2007) </w:t>
      </w:r>
      <w:r w:rsidRPr="00602CC8">
        <w:rPr>
          <w:rStyle w:val="Emphasis"/>
          <w:rFonts w:ascii="Arial" w:eastAsiaTheme="majorEastAsia" w:hAnsi="Arial" w:cs="Arial"/>
          <w:sz w:val="22"/>
          <w:szCs w:val="22"/>
        </w:rPr>
        <w:t>Mental Capacity Act 2005 Code of Practice</w:t>
      </w:r>
      <w:r w:rsidRPr="00602CC8">
        <w:rPr>
          <w:rFonts w:ascii="Arial" w:hAnsi="Arial" w:cs="Arial"/>
          <w:sz w:val="22"/>
          <w:szCs w:val="22"/>
        </w:rPr>
        <w:t>. London: The Stationery Office.</w:t>
      </w:r>
    </w:p>
    <w:p w14:paraId="595B7DEC"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Department for Education (2018) </w:t>
      </w:r>
      <w:r w:rsidRPr="00602CC8">
        <w:rPr>
          <w:rStyle w:val="Emphasis"/>
          <w:rFonts w:ascii="Arial" w:eastAsiaTheme="majorEastAsia" w:hAnsi="Arial" w:cs="Arial"/>
          <w:sz w:val="22"/>
          <w:szCs w:val="22"/>
        </w:rPr>
        <w:t>Information Sharing: Advice for Practitioners Providing Safeguarding Services</w:t>
      </w:r>
      <w:r w:rsidRPr="00602CC8">
        <w:rPr>
          <w:rFonts w:ascii="Arial" w:hAnsi="Arial" w:cs="Arial"/>
          <w:sz w:val="22"/>
          <w:szCs w:val="22"/>
        </w:rPr>
        <w:t>. London: DfE.</w:t>
      </w:r>
    </w:p>
    <w:p w14:paraId="25FA9BC8"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Department of Health and Social Care (2018) </w:t>
      </w:r>
      <w:r w:rsidRPr="00602CC8">
        <w:rPr>
          <w:rStyle w:val="Emphasis"/>
          <w:rFonts w:ascii="Arial" w:eastAsiaTheme="majorEastAsia" w:hAnsi="Arial" w:cs="Arial"/>
          <w:sz w:val="22"/>
          <w:szCs w:val="22"/>
        </w:rPr>
        <w:t>NHS Continuing Healthcare Decision Support Tool</w:t>
      </w:r>
      <w:r w:rsidRPr="00602CC8">
        <w:rPr>
          <w:rFonts w:ascii="Arial" w:hAnsi="Arial" w:cs="Arial"/>
          <w:sz w:val="22"/>
          <w:szCs w:val="22"/>
        </w:rPr>
        <w:t>. Available at: https://www.gov.uk (Accessed: 10 February 2026).</w:t>
      </w:r>
    </w:p>
    <w:p w14:paraId="1A37015B"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Donnelly, S. and O’Connor, M. (2019) ‘Decision making in social work practice’, </w:t>
      </w:r>
      <w:r w:rsidRPr="00602CC8">
        <w:rPr>
          <w:rStyle w:val="Emphasis"/>
          <w:rFonts w:ascii="Arial" w:eastAsiaTheme="majorEastAsia" w:hAnsi="Arial" w:cs="Arial"/>
          <w:sz w:val="22"/>
          <w:szCs w:val="22"/>
        </w:rPr>
        <w:t>Journal of Social Work</w:t>
      </w:r>
      <w:r w:rsidRPr="00602CC8">
        <w:rPr>
          <w:rFonts w:ascii="Arial" w:hAnsi="Arial" w:cs="Arial"/>
          <w:sz w:val="22"/>
          <w:szCs w:val="22"/>
        </w:rPr>
        <w:t>, 19(1), pp. 22–42.</w:t>
      </w:r>
    </w:p>
    <w:p w14:paraId="4B3BAE4A"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Driscoll, J. (2007) </w:t>
      </w:r>
      <w:r w:rsidRPr="00602CC8">
        <w:rPr>
          <w:rStyle w:val="Emphasis"/>
          <w:rFonts w:ascii="Arial" w:eastAsiaTheme="majorEastAsia" w:hAnsi="Arial" w:cs="Arial"/>
          <w:sz w:val="22"/>
          <w:szCs w:val="22"/>
        </w:rPr>
        <w:t>Practising Clinical Supervision: A Reflective Approach for Healthcare Professionals</w:t>
      </w:r>
      <w:r w:rsidRPr="00602CC8">
        <w:rPr>
          <w:rFonts w:ascii="Arial" w:hAnsi="Arial" w:cs="Arial"/>
          <w:sz w:val="22"/>
          <w:szCs w:val="22"/>
        </w:rPr>
        <w:t>. 2nd edn. London: Baillière Tindall.</w:t>
      </w:r>
    </w:p>
    <w:p w14:paraId="4B9A297E"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Dunn, M., Clare, I. and Holland, A. (2020) ‘To empower or to protect? Constructing the “capacious but vulnerable” adult’, </w:t>
      </w:r>
      <w:r w:rsidRPr="00602CC8">
        <w:rPr>
          <w:rStyle w:val="Emphasis"/>
          <w:rFonts w:ascii="Arial" w:eastAsiaTheme="majorEastAsia" w:hAnsi="Arial" w:cs="Arial"/>
          <w:sz w:val="22"/>
          <w:szCs w:val="22"/>
        </w:rPr>
        <w:t>International Journal of Law and Psychiatry</w:t>
      </w:r>
      <w:r w:rsidRPr="00602CC8">
        <w:rPr>
          <w:rFonts w:ascii="Arial" w:hAnsi="Arial" w:cs="Arial"/>
          <w:sz w:val="22"/>
          <w:szCs w:val="22"/>
        </w:rPr>
        <w:t>, 68, pp. 1–9.</w:t>
      </w:r>
    </w:p>
    <w:p w14:paraId="7436B417"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Edwards, D. and Parkinson, K. (2023) </w:t>
      </w:r>
      <w:r w:rsidRPr="00602CC8">
        <w:rPr>
          <w:rStyle w:val="Emphasis"/>
          <w:rFonts w:ascii="Arial" w:eastAsiaTheme="majorEastAsia" w:hAnsi="Arial" w:cs="Arial"/>
          <w:sz w:val="22"/>
          <w:szCs w:val="22"/>
        </w:rPr>
        <w:t>Applying Strengths Based Approaches in Social Work</w:t>
      </w:r>
      <w:r w:rsidRPr="00602CC8">
        <w:rPr>
          <w:rFonts w:ascii="Arial" w:hAnsi="Arial" w:cs="Arial"/>
          <w:sz w:val="22"/>
          <w:szCs w:val="22"/>
        </w:rPr>
        <w:t>. Bristol: Policy Press.</w:t>
      </w:r>
    </w:p>
    <w:p w14:paraId="71A7D714"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Equality Act 2010 (2010). London: The Stationery Office.</w:t>
      </w:r>
    </w:p>
    <w:p w14:paraId="4EF31CDD"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Godefroy, S. (2015) </w:t>
      </w:r>
      <w:r w:rsidRPr="00602CC8">
        <w:rPr>
          <w:rStyle w:val="Emphasis"/>
          <w:rFonts w:ascii="Arial" w:eastAsiaTheme="majorEastAsia" w:hAnsi="Arial" w:cs="Arial"/>
          <w:sz w:val="22"/>
          <w:szCs w:val="22"/>
        </w:rPr>
        <w:t>Mental Health and Mental Capacity Law for Social Workers</w:t>
      </w:r>
      <w:r w:rsidRPr="00602CC8">
        <w:rPr>
          <w:rFonts w:ascii="Arial" w:hAnsi="Arial" w:cs="Arial"/>
          <w:sz w:val="22"/>
          <w:szCs w:val="22"/>
        </w:rPr>
        <w:t>. London: Learning Matters.</w:t>
      </w:r>
    </w:p>
    <w:p w14:paraId="5FA73B33"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Halton, C. and Powell, F. (2015) </w:t>
      </w:r>
      <w:r w:rsidRPr="00602CC8">
        <w:rPr>
          <w:rStyle w:val="Emphasis"/>
          <w:rFonts w:ascii="Arial" w:eastAsiaTheme="majorEastAsia" w:hAnsi="Arial" w:cs="Arial"/>
          <w:sz w:val="22"/>
          <w:szCs w:val="22"/>
        </w:rPr>
        <w:t>Continuing Professional Development in Social Work</w:t>
      </w:r>
      <w:r w:rsidRPr="00602CC8">
        <w:rPr>
          <w:rFonts w:ascii="Arial" w:hAnsi="Arial" w:cs="Arial"/>
          <w:sz w:val="22"/>
          <w:szCs w:val="22"/>
        </w:rPr>
        <w:t>. Bristol: Policy Press.</w:t>
      </w:r>
    </w:p>
    <w:p w14:paraId="2D970977"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HM Government (1989) </w:t>
      </w:r>
      <w:r w:rsidRPr="00602CC8">
        <w:rPr>
          <w:rStyle w:val="Emphasis"/>
          <w:rFonts w:ascii="Arial" w:eastAsiaTheme="majorEastAsia" w:hAnsi="Arial" w:cs="Arial"/>
          <w:sz w:val="22"/>
          <w:szCs w:val="22"/>
        </w:rPr>
        <w:t>Children Act 1989</w:t>
      </w:r>
      <w:r w:rsidRPr="00602CC8">
        <w:rPr>
          <w:rFonts w:ascii="Arial" w:hAnsi="Arial" w:cs="Arial"/>
          <w:sz w:val="22"/>
          <w:szCs w:val="22"/>
        </w:rPr>
        <w:t>. London: The Stationery Office.</w:t>
      </w:r>
    </w:p>
    <w:p w14:paraId="1652F053"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HM Government (2004) </w:t>
      </w:r>
      <w:r w:rsidRPr="00602CC8">
        <w:rPr>
          <w:rStyle w:val="Emphasis"/>
          <w:rFonts w:ascii="Arial" w:eastAsiaTheme="majorEastAsia" w:hAnsi="Arial" w:cs="Arial"/>
          <w:sz w:val="22"/>
          <w:szCs w:val="22"/>
        </w:rPr>
        <w:t>Children Act 2004</w:t>
      </w:r>
      <w:r w:rsidRPr="00602CC8">
        <w:rPr>
          <w:rFonts w:ascii="Arial" w:hAnsi="Arial" w:cs="Arial"/>
          <w:sz w:val="22"/>
          <w:szCs w:val="22"/>
        </w:rPr>
        <w:t>. London: The Stationery Office.</w:t>
      </w:r>
    </w:p>
    <w:p w14:paraId="06DA6EAE"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HM Government (2018) </w:t>
      </w:r>
      <w:r w:rsidRPr="00602CC8">
        <w:rPr>
          <w:rStyle w:val="Emphasis"/>
          <w:rFonts w:ascii="Arial" w:eastAsiaTheme="majorEastAsia" w:hAnsi="Arial" w:cs="Arial"/>
          <w:sz w:val="22"/>
          <w:szCs w:val="22"/>
        </w:rPr>
        <w:t>Working Together to Safeguard Children</w:t>
      </w:r>
      <w:r w:rsidRPr="00602CC8">
        <w:rPr>
          <w:rFonts w:ascii="Arial" w:hAnsi="Arial" w:cs="Arial"/>
          <w:sz w:val="22"/>
          <w:szCs w:val="22"/>
        </w:rPr>
        <w:t>. London: DfE.</w:t>
      </w:r>
    </w:p>
    <w:p w14:paraId="04D4CA7A"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Home Office (2015) </w:t>
      </w:r>
      <w:r w:rsidRPr="00602CC8">
        <w:rPr>
          <w:rStyle w:val="Emphasis"/>
          <w:rFonts w:ascii="Arial" w:eastAsiaTheme="majorEastAsia" w:hAnsi="Arial" w:cs="Arial"/>
          <w:sz w:val="22"/>
          <w:szCs w:val="22"/>
        </w:rPr>
        <w:t>Controlling or Coercive Behaviour: Statutory Guidance Framework</w:t>
      </w:r>
      <w:r w:rsidRPr="00602CC8">
        <w:rPr>
          <w:rFonts w:ascii="Arial" w:hAnsi="Arial" w:cs="Arial"/>
          <w:sz w:val="22"/>
          <w:szCs w:val="22"/>
        </w:rPr>
        <w:t>. London: Home Office.</w:t>
      </w:r>
    </w:p>
    <w:p w14:paraId="726865D0"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Home Office (2022) </w:t>
      </w:r>
      <w:r w:rsidRPr="00602CC8">
        <w:rPr>
          <w:rStyle w:val="Emphasis"/>
          <w:rFonts w:ascii="Arial" w:eastAsiaTheme="majorEastAsia" w:hAnsi="Arial" w:cs="Arial"/>
          <w:sz w:val="22"/>
          <w:szCs w:val="22"/>
        </w:rPr>
        <w:t>Domestic Violence Disclosure Scheme (DVDS) Statutory Guidance</w:t>
      </w:r>
      <w:r w:rsidRPr="00602CC8">
        <w:rPr>
          <w:rFonts w:ascii="Arial" w:hAnsi="Arial" w:cs="Arial"/>
          <w:sz w:val="22"/>
          <w:szCs w:val="22"/>
        </w:rPr>
        <w:t>. London: Home Office.</w:t>
      </w:r>
    </w:p>
    <w:p w14:paraId="2A16BEF2"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Human Rights Act 1998 (1998). London: The Stationery Office.</w:t>
      </w:r>
    </w:p>
    <w:p w14:paraId="45A8106C"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Knott, C. and Scragg, T. (2016) </w:t>
      </w:r>
      <w:r w:rsidRPr="00602CC8">
        <w:rPr>
          <w:rStyle w:val="Emphasis"/>
          <w:rFonts w:ascii="Arial" w:eastAsiaTheme="majorEastAsia" w:hAnsi="Arial" w:cs="Arial"/>
          <w:sz w:val="22"/>
          <w:szCs w:val="22"/>
        </w:rPr>
        <w:t>Reflective Practice in Social Work</w:t>
      </w:r>
      <w:r w:rsidRPr="00602CC8">
        <w:rPr>
          <w:rFonts w:ascii="Arial" w:hAnsi="Arial" w:cs="Arial"/>
          <w:sz w:val="22"/>
          <w:szCs w:val="22"/>
        </w:rPr>
        <w:t>. London: Learning Matters.</w:t>
      </w:r>
    </w:p>
    <w:p w14:paraId="5B8AD626"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Larkin, H., Felitti, V. and Anda, R. (2014) ‘Adverse childhood experiences and trauma informed practice’, </w:t>
      </w:r>
      <w:r w:rsidRPr="00602CC8">
        <w:rPr>
          <w:rStyle w:val="Emphasis"/>
          <w:rFonts w:ascii="Arial" w:eastAsiaTheme="majorEastAsia" w:hAnsi="Arial" w:cs="Arial"/>
          <w:sz w:val="22"/>
          <w:szCs w:val="22"/>
        </w:rPr>
        <w:t>Families in Society</w:t>
      </w:r>
      <w:r w:rsidRPr="00602CC8">
        <w:rPr>
          <w:rFonts w:ascii="Arial" w:hAnsi="Arial" w:cs="Arial"/>
          <w:sz w:val="22"/>
          <w:szCs w:val="22"/>
        </w:rPr>
        <w:t>, 95(3), pp. 205–214.</w:t>
      </w:r>
    </w:p>
    <w:p w14:paraId="7846649D"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Legislation.gov.uk (1998) </w:t>
      </w:r>
      <w:r w:rsidRPr="00602CC8">
        <w:rPr>
          <w:rStyle w:val="Emphasis"/>
          <w:rFonts w:ascii="Arial" w:eastAsiaTheme="majorEastAsia" w:hAnsi="Arial" w:cs="Arial"/>
          <w:sz w:val="22"/>
          <w:szCs w:val="22"/>
        </w:rPr>
        <w:t>Human Rights Act 1998</w:t>
      </w:r>
      <w:r w:rsidRPr="00602CC8">
        <w:rPr>
          <w:rFonts w:ascii="Arial" w:hAnsi="Arial" w:cs="Arial"/>
          <w:sz w:val="22"/>
          <w:szCs w:val="22"/>
        </w:rPr>
        <w:t>. Available at: https://www.legislation.gov.uk (Accessed: 10 February 2026).</w:t>
      </w:r>
    </w:p>
    <w:p w14:paraId="3F8EE20E"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Legislation.gov.uk (2005) </w:t>
      </w:r>
      <w:r w:rsidRPr="00602CC8">
        <w:rPr>
          <w:rStyle w:val="Emphasis"/>
          <w:rFonts w:ascii="Arial" w:eastAsiaTheme="majorEastAsia" w:hAnsi="Arial" w:cs="Arial"/>
          <w:sz w:val="22"/>
          <w:szCs w:val="22"/>
        </w:rPr>
        <w:t>Mental Capacity Act 2005</w:t>
      </w:r>
      <w:r w:rsidRPr="00602CC8">
        <w:rPr>
          <w:rFonts w:ascii="Arial" w:hAnsi="Arial" w:cs="Arial"/>
          <w:sz w:val="22"/>
          <w:szCs w:val="22"/>
        </w:rPr>
        <w:t>. Available at: https://www.legislation.gov.uk (Accessed: 10 February 2026).</w:t>
      </w:r>
    </w:p>
    <w:p w14:paraId="67831936"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Lifeways (2026) </w:t>
      </w:r>
      <w:r w:rsidRPr="00602CC8">
        <w:rPr>
          <w:rStyle w:val="Emphasis"/>
          <w:rFonts w:ascii="Arial" w:eastAsiaTheme="majorEastAsia" w:hAnsi="Arial" w:cs="Arial"/>
          <w:sz w:val="22"/>
          <w:szCs w:val="22"/>
        </w:rPr>
        <w:t>Communicating with People with Learning Disabilities: Practical Strategies</w:t>
      </w:r>
      <w:r w:rsidRPr="00602CC8">
        <w:rPr>
          <w:rFonts w:ascii="Arial" w:hAnsi="Arial" w:cs="Arial"/>
          <w:sz w:val="22"/>
          <w:szCs w:val="22"/>
        </w:rPr>
        <w:t>. Available at: https://lifeways.co.uk (Accessed: 10 February 2026).</w:t>
      </w:r>
    </w:p>
    <w:p w14:paraId="2B6B1C90"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Mackenzie, C. and Stoljar, N. (2000) </w:t>
      </w:r>
      <w:r w:rsidRPr="00602CC8">
        <w:rPr>
          <w:rStyle w:val="Emphasis"/>
          <w:rFonts w:ascii="Arial" w:eastAsiaTheme="majorEastAsia" w:hAnsi="Arial" w:cs="Arial"/>
          <w:sz w:val="22"/>
          <w:szCs w:val="22"/>
        </w:rPr>
        <w:t>Relational Autonomy</w:t>
      </w:r>
      <w:r w:rsidRPr="00602CC8">
        <w:rPr>
          <w:rFonts w:ascii="Arial" w:hAnsi="Arial" w:cs="Arial"/>
          <w:sz w:val="22"/>
          <w:szCs w:val="22"/>
        </w:rPr>
        <w:t>. Oxford: Oxford University Press.</w:t>
      </w:r>
    </w:p>
    <w:p w14:paraId="47338206"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Mantell, A. and Scragg, T. (eds.) (2023) </w:t>
      </w:r>
      <w:r w:rsidRPr="00602CC8">
        <w:rPr>
          <w:rStyle w:val="Emphasis"/>
          <w:rFonts w:ascii="Arial" w:eastAsiaTheme="majorEastAsia" w:hAnsi="Arial" w:cs="Arial"/>
          <w:sz w:val="22"/>
          <w:szCs w:val="22"/>
        </w:rPr>
        <w:t>Reflective Practice in Social Work</w:t>
      </w:r>
      <w:r w:rsidRPr="00602CC8">
        <w:rPr>
          <w:rFonts w:ascii="Arial" w:hAnsi="Arial" w:cs="Arial"/>
          <w:sz w:val="22"/>
          <w:szCs w:val="22"/>
        </w:rPr>
        <w:t>. London: Learning Matters.</w:t>
      </w:r>
    </w:p>
    <w:p w14:paraId="1E10057C"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Mental Capacity Act 2005 (2005) c.9. London: The Stationery Office.</w:t>
      </w:r>
    </w:p>
    <w:p w14:paraId="67AF2FB3"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Munro, E. (2011) </w:t>
      </w:r>
      <w:r w:rsidRPr="00602CC8">
        <w:rPr>
          <w:rStyle w:val="Emphasis"/>
          <w:rFonts w:ascii="Arial" w:eastAsiaTheme="majorEastAsia" w:hAnsi="Arial" w:cs="Arial"/>
          <w:sz w:val="22"/>
          <w:szCs w:val="22"/>
        </w:rPr>
        <w:t>The Munro Review of Child Protection</w:t>
      </w:r>
      <w:r w:rsidRPr="00602CC8">
        <w:rPr>
          <w:rFonts w:ascii="Arial" w:hAnsi="Arial" w:cs="Arial"/>
          <w:sz w:val="22"/>
          <w:szCs w:val="22"/>
        </w:rPr>
        <w:t>. London: DfE.</w:t>
      </w:r>
    </w:p>
    <w:p w14:paraId="46C5D512"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NICE (2016; updated 2021) </w:t>
      </w:r>
      <w:r w:rsidRPr="00602CC8">
        <w:rPr>
          <w:rStyle w:val="Emphasis"/>
          <w:rFonts w:ascii="Arial" w:eastAsiaTheme="majorEastAsia" w:hAnsi="Arial" w:cs="Arial"/>
          <w:sz w:val="22"/>
          <w:szCs w:val="22"/>
        </w:rPr>
        <w:t>Domestic Violence and Abuse: Multi Agency Working (NG116)</w:t>
      </w:r>
      <w:r w:rsidRPr="00602CC8">
        <w:rPr>
          <w:rFonts w:ascii="Arial" w:hAnsi="Arial" w:cs="Arial"/>
          <w:sz w:val="22"/>
          <w:szCs w:val="22"/>
        </w:rPr>
        <w:t>. London: NICE.</w:t>
      </w:r>
    </w:p>
    <w:p w14:paraId="2E8BF4B9"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O’Loughlin, M. and O’Loughlin, S. (2016) </w:t>
      </w:r>
      <w:r w:rsidRPr="00602CC8">
        <w:rPr>
          <w:rStyle w:val="Emphasis"/>
          <w:rFonts w:ascii="Arial" w:eastAsiaTheme="majorEastAsia" w:hAnsi="Arial" w:cs="Arial"/>
          <w:sz w:val="22"/>
          <w:szCs w:val="22"/>
        </w:rPr>
        <w:t>Social Work with Children and Families</w:t>
      </w:r>
      <w:r w:rsidRPr="00602CC8">
        <w:rPr>
          <w:rFonts w:ascii="Arial" w:hAnsi="Arial" w:cs="Arial"/>
          <w:sz w:val="22"/>
          <w:szCs w:val="22"/>
        </w:rPr>
        <w:t>. London: Learning Matters.</w:t>
      </w:r>
    </w:p>
    <w:p w14:paraId="4A38273C"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Parry, R., Williams, V. and Garcia, R. (2017) ‘Multi agency working in adult safeguarding’, </w:t>
      </w:r>
      <w:r w:rsidRPr="00602CC8">
        <w:rPr>
          <w:rStyle w:val="Emphasis"/>
          <w:rFonts w:ascii="Arial" w:eastAsiaTheme="majorEastAsia" w:hAnsi="Arial" w:cs="Arial"/>
          <w:sz w:val="22"/>
          <w:szCs w:val="22"/>
        </w:rPr>
        <w:t>British Journal of Social Work</w:t>
      </w:r>
      <w:r w:rsidRPr="00602CC8">
        <w:rPr>
          <w:rFonts w:ascii="Arial" w:hAnsi="Arial" w:cs="Arial"/>
          <w:sz w:val="22"/>
          <w:szCs w:val="22"/>
        </w:rPr>
        <w:t>, 47(7), pp. 2056–2073.</w:t>
      </w:r>
    </w:p>
    <w:p w14:paraId="67461451"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Perske, R. (1972) ‘The dignity of risk’, </w:t>
      </w:r>
      <w:r w:rsidRPr="00602CC8">
        <w:rPr>
          <w:rStyle w:val="Emphasis"/>
          <w:rFonts w:ascii="Arial" w:eastAsiaTheme="majorEastAsia" w:hAnsi="Arial" w:cs="Arial"/>
          <w:sz w:val="22"/>
          <w:szCs w:val="22"/>
        </w:rPr>
        <w:t>Mental Retardation Journal</w:t>
      </w:r>
      <w:r w:rsidRPr="00602CC8">
        <w:rPr>
          <w:rFonts w:ascii="Arial" w:hAnsi="Arial" w:cs="Arial"/>
          <w:sz w:val="22"/>
          <w:szCs w:val="22"/>
        </w:rPr>
        <w:t>, 10(1), pp. 24–27.</w:t>
      </w:r>
    </w:p>
    <w:p w14:paraId="06865A5F"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Rappaport, J. (1987) ‘Terms of empowerment’, </w:t>
      </w:r>
      <w:r w:rsidRPr="00602CC8">
        <w:rPr>
          <w:rStyle w:val="Emphasis"/>
          <w:rFonts w:ascii="Arial" w:eastAsiaTheme="majorEastAsia" w:hAnsi="Arial" w:cs="Arial"/>
          <w:sz w:val="22"/>
          <w:szCs w:val="22"/>
        </w:rPr>
        <w:t>American Journal of Community Psychology</w:t>
      </w:r>
      <w:r w:rsidRPr="00602CC8">
        <w:rPr>
          <w:rFonts w:ascii="Arial" w:hAnsi="Arial" w:cs="Arial"/>
          <w:sz w:val="22"/>
          <w:szCs w:val="22"/>
        </w:rPr>
        <w:t>, 15(2), pp. 121–148.</w:t>
      </w:r>
    </w:p>
    <w:p w14:paraId="6B45940C"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Ruch, G. (2018) </w:t>
      </w:r>
      <w:r w:rsidRPr="00602CC8">
        <w:rPr>
          <w:rStyle w:val="Emphasis"/>
          <w:rFonts w:ascii="Arial" w:eastAsiaTheme="majorEastAsia" w:hAnsi="Arial" w:cs="Arial"/>
          <w:sz w:val="22"/>
          <w:szCs w:val="22"/>
        </w:rPr>
        <w:t>Relationship Based Social Work</w:t>
      </w:r>
      <w:r w:rsidRPr="00602CC8">
        <w:rPr>
          <w:rFonts w:ascii="Arial" w:hAnsi="Arial" w:cs="Arial"/>
          <w:sz w:val="22"/>
          <w:szCs w:val="22"/>
        </w:rPr>
        <w:t>. London: Jessica Kingsley.</w:t>
      </w:r>
    </w:p>
    <w:p w14:paraId="674D90A2"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Safeguarding Boards (Functions and Procedures) (Wales) Regulations 2015 (2015). Cardiff: Welsh Government.</w:t>
      </w:r>
    </w:p>
    <w:p w14:paraId="25B295DB"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Safeguarding in Social Work Practice: A Lifespan Approach (2019). London: Learning Matters.</w:t>
      </w:r>
    </w:p>
    <w:p w14:paraId="4F2BC7D4"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Social Care Wales (2017) </w:t>
      </w:r>
      <w:r w:rsidRPr="00602CC8">
        <w:rPr>
          <w:rStyle w:val="Emphasis"/>
          <w:rFonts w:ascii="Arial" w:eastAsiaTheme="majorEastAsia" w:hAnsi="Arial" w:cs="Arial"/>
          <w:sz w:val="22"/>
          <w:szCs w:val="22"/>
        </w:rPr>
        <w:t>Code of Professional Practice</w:t>
      </w:r>
      <w:r w:rsidRPr="00602CC8">
        <w:rPr>
          <w:rFonts w:ascii="Arial" w:hAnsi="Arial" w:cs="Arial"/>
          <w:sz w:val="22"/>
          <w:szCs w:val="22"/>
        </w:rPr>
        <w:t>. Available at: https://socialcare.wales (Accessed: 10 February 2026).</w:t>
      </w:r>
    </w:p>
    <w:p w14:paraId="5D9DDE9D"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Social Care Wales (2020) </w:t>
      </w:r>
      <w:r w:rsidRPr="00602CC8">
        <w:rPr>
          <w:rStyle w:val="Emphasis"/>
          <w:rFonts w:ascii="Arial" w:eastAsiaTheme="majorEastAsia" w:hAnsi="Arial" w:cs="Arial"/>
          <w:sz w:val="22"/>
          <w:szCs w:val="22"/>
        </w:rPr>
        <w:t>Code of Professional Practice for Social Care</w:t>
      </w:r>
      <w:r w:rsidRPr="00602CC8">
        <w:rPr>
          <w:rFonts w:ascii="Arial" w:hAnsi="Arial" w:cs="Arial"/>
          <w:sz w:val="22"/>
          <w:szCs w:val="22"/>
        </w:rPr>
        <w:t>. Cardiff: Social Care Wales.</w:t>
      </w:r>
    </w:p>
    <w:p w14:paraId="0C721BA2"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Social Care Wales (2024) </w:t>
      </w:r>
      <w:r w:rsidRPr="00602CC8">
        <w:rPr>
          <w:rStyle w:val="Emphasis"/>
          <w:rFonts w:ascii="Arial" w:eastAsiaTheme="majorEastAsia" w:hAnsi="Arial" w:cs="Arial"/>
          <w:sz w:val="22"/>
          <w:szCs w:val="22"/>
        </w:rPr>
        <w:t>Practice Guidance for Recording</w:t>
      </w:r>
      <w:r w:rsidRPr="00602CC8">
        <w:rPr>
          <w:rFonts w:ascii="Arial" w:hAnsi="Arial" w:cs="Arial"/>
          <w:sz w:val="22"/>
          <w:szCs w:val="22"/>
        </w:rPr>
        <w:t>. Cardiff: Social Care Wales.</w:t>
      </w:r>
    </w:p>
    <w:p w14:paraId="109ACD3A"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Social Care Wales (2025) </w:t>
      </w:r>
      <w:r w:rsidRPr="00602CC8">
        <w:rPr>
          <w:rStyle w:val="Emphasis"/>
          <w:rFonts w:ascii="Arial" w:eastAsiaTheme="majorEastAsia" w:hAnsi="Arial" w:cs="Arial"/>
          <w:sz w:val="22"/>
          <w:szCs w:val="22"/>
        </w:rPr>
        <w:t>Welsh Language Skills in Your Workforce</w:t>
      </w:r>
      <w:r w:rsidRPr="00602CC8">
        <w:rPr>
          <w:rFonts w:ascii="Arial" w:hAnsi="Arial" w:cs="Arial"/>
          <w:sz w:val="22"/>
          <w:szCs w:val="22"/>
        </w:rPr>
        <w:t>. Available at: https://socialcare.wales (Accessed: 10 February 2026).</w:t>
      </w:r>
    </w:p>
    <w:p w14:paraId="1DBFE677"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Stark, E. (2007) </w:t>
      </w:r>
      <w:r w:rsidRPr="00602CC8">
        <w:rPr>
          <w:rStyle w:val="Emphasis"/>
          <w:rFonts w:ascii="Arial" w:eastAsiaTheme="majorEastAsia" w:hAnsi="Arial" w:cs="Arial"/>
          <w:sz w:val="22"/>
          <w:szCs w:val="22"/>
        </w:rPr>
        <w:t>Coercive Control</w:t>
      </w:r>
      <w:r w:rsidRPr="00602CC8">
        <w:rPr>
          <w:rFonts w:ascii="Arial" w:hAnsi="Arial" w:cs="Arial"/>
          <w:sz w:val="22"/>
          <w:szCs w:val="22"/>
        </w:rPr>
        <w:t>. New York: Oxford University Press.</w:t>
      </w:r>
    </w:p>
    <w:p w14:paraId="65F92624"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Sweeney, A. et al. (2018) ‘Trauma informed mental healthcare’, </w:t>
      </w:r>
      <w:r w:rsidRPr="00602CC8">
        <w:rPr>
          <w:rStyle w:val="Emphasis"/>
          <w:rFonts w:ascii="Arial" w:eastAsiaTheme="majorEastAsia" w:hAnsi="Arial" w:cs="Arial"/>
          <w:sz w:val="22"/>
          <w:szCs w:val="22"/>
        </w:rPr>
        <w:t>Mental Health Review Journal</w:t>
      </w:r>
      <w:r w:rsidRPr="00602CC8">
        <w:rPr>
          <w:rFonts w:ascii="Arial" w:hAnsi="Arial" w:cs="Arial"/>
          <w:sz w:val="22"/>
          <w:szCs w:val="22"/>
        </w:rPr>
        <w:t>, 23(3), pp. 213–227.</w:t>
      </w:r>
    </w:p>
    <w:p w14:paraId="223914C9"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Taylor, B.J. and Whittaker, A. (2020) </w:t>
      </w:r>
      <w:r w:rsidRPr="00602CC8">
        <w:rPr>
          <w:rStyle w:val="Emphasis"/>
          <w:rFonts w:ascii="Arial" w:eastAsiaTheme="majorEastAsia" w:hAnsi="Arial" w:cs="Arial"/>
          <w:sz w:val="22"/>
          <w:szCs w:val="22"/>
        </w:rPr>
        <w:t>Professional Judgement and Decision Making in Social Work</w:t>
      </w:r>
      <w:r w:rsidRPr="00602CC8">
        <w:rPr>
          <w:rFonts w:ascii="Arial" w:hAnsi="Arial" w:cs="Arial"/>
          <w:sz w:val="22"/>
          <w:szCs w:val="22"/>
        </w:rPr>
        <w:t>. London: Routledge.</w:t>
      </w:r>
    </w:p>
    <w:p w14:paraId="02DF3778"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Tew, J. (2005) </w:t>
      </w:r>
      <w:r w:rsidRPr="00602CC8">
        <w:rPr>
          <w:rStyle w:val="Emphasis"/>
          <w:rFonts w:ascii="Arial" w:eastAsiaTheme="majorEastAsia" w:hAnsi="Arial" w:cs="Arial"/>
          <w:sz w:val="22"/>
          <w:szCs w:val="22"/>
        </w:rPr>
        <w:t>Power and Conflict in Social Work</w:t>
      </w:r>
      <w:r w:rsidRPr="00602CC8">
        <w:rPr>
          <w:rFonts w:ascii="Arial" w:hAnsi="Arial" w:cs="Arial"/>
          <w:sz w:val="22"/>
          <w:szCs w:val="22"/>
        </w:rPr>
        <w:t>. London: Routledge.</w:t>
      </w:r>
    </w:p>
    <w:p w14:paraId="485F9EE8"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Thompson, N. and Vicary, S. (2025) </w:t>
      </w:r>
      <w:r w:rsidRPr="00602CC8">
        <w:rPr>
          <w:rStyle w:val="Emphasis"/>
          <w:rFonts w:ascii="Arial" w:eastAsiaTheme="majorEastAsia" w:hAnsi="Arial" w:cs="Arial"/>
          <w:sz w:val="22"/>
          <w:szCs w:val="22"/>
        </w:rPr>
        <w:t>Social Work Reflections</w:t>
      </w:r>
      <w:r w:rsidRPr="00602CC8">
        <w:rPr>
          <w:rFonts w:ascii="Arial" w:hAnsi="Arial" w:cs="Arial"/>
          <w:sz w:val="22"/>
          <w:szCs w:val="22"/>
        </w:rPr>
        <w:t>. London: [Publisher unknown].</w:t>
      </w:r>
    </w:p>
    <w:p w14:paraId="175FF97C"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Treisman, K. (2021) </w:t>
      </w:r>
      <w:r w:rsidRPr="00602CC8">
        <w:rPr>
          <w:rStyle w:val="Emphasis"/>
          <w:rFonts w:ascii="Arial" w:eastAsiaTheme="majorEastAsia" w:hAnsi="Arial" w:cs="Arial"/>
          <w:sz w:val="22"/>
          <w:szCs w:val="22"/>
        </w:rPr>
        <w:t>A Treasure Box for Creating Trauma Informed Organisations</w:t>
      </w:r>
      <w:r w:rsidRPr="00602CC8">
        <w:rPr>
          <w:rFonts w:ascii="Arial" w:hAnsi="Arial" w:cs="Arial"/>
          <w:sz w:val="22"/>
          <w:szCs w:val="22"/>
        </w:rPr>
        <w:t>. London: Jessica Kingsley.</w:t>
      </w:r>
    </w:p>
    <w:p w14:paraId="57F2D44D"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Tyler, T.R. (2003) ‘Procedural justice and legitimacy’, </w:t>
      </w:r>
      <w:r w:rsidRPr="00602CC8">
        <w:rPr>
          <w:rStyle w:val="Emphasis"/>
          <w:rFonts w:ascii="Arial" w:eastAsiaTheme="majorEastAsia" w:hAnsi="Arial" w:cs="Arial"/>
          <w:sz w:val="22"/>
          <w:szCs w:val="22"/>
        </w:rPr>
        <w:t>Crime and Justice</w:t>
      </w:r>
      <w:r w:rsidRPr="00602CC8">
        <w:rPr>
          <w:rFonts w:ascii="Arial" w:hAnsi="Arial" w:cs="Arial"/>
          <w:sz w:val="22"/>
          <w:szCs w:val="22"/>
        </w:rPr>
        <w:t>, 30, pp. 283–357.</w:t>
      </w:r>
    </w:p>
    <w:p w14:paraId="19C7680A"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UK Government (2005) </w:t>
      </w:r>
      <w:r w:rsidRPr="00602CC8">
        <w:rPr>
          <w:rStyle w:val="Emphasis"/>
          <w:rFonts w:ascii="Arial" w:eastAsiaTheme="majorEastAsia" w:hAnsi="Arial" w:cs="Arial"/>
          <w:sz w:val="22"/>
          <w:szCs w:val="22"/>
        </w:rPr>
        <w:t>Mental Capacity Act 2005</w:t>
      </w:r>
      <w:r w:rsidRPr="00602CC8">
        <w:rPr>
          <w:rFonts w:ascii="Arial" w:hAnsi="Arial" w:cs="Arial"/>
          <w:sz w:val="22"/>
          <w:szCs w:val="22"/>
        </w:rPr>
        <w:t>. London: The Stationery Office.</w:t>
      </w:r>
    </w:p>
    <w:p w14:paraId="11EF07D9"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UK Government (2014) </w:t>
      </w:r>
      <w:r w:rsidRPr="00602CC8">
        <w:rPr>
          <w:rStyle w:val="Emphasis"/>
          <w:rFonts w:ascii="Arial" w:eastAsiaTheme="majorEastAsia" w:hAnsi="Arial" w:cs="Arial"/>
          <w:sz w:val="22"/>
          <w:szCs w:val="22"/>
        </w:rPr>
        <w:t>Care Act 2014</w:t>
      </w:r>
      <w:r w:rsidRPr="00602CC8">
        <w:rPr>
          <w:rFonts w:ascii="Arial" w:hAnsi="Arial" w:cs="Arial"/>
          <w:sz w:val="22"/>
          <w:szCs w:val="22"/>
        </w:rPr>
        <w:t>. London: The Stationery Office.</w:t>
      </w:r>
    </w:p>
    <w:p w14:paraId="1A0CDCDC"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United Nations (2006) </w:t>
      </w:r>
      <w:r w:rsidRPr="00602CC8">
        <w:rPr>
          <w:rStyle w:val="Emphasis"/>
          <w:rFonts w:ascii="Arial" w:eastAsiaTheme="majorEastAsia" w:hAnsi="Arial" w:cs="Arial"/>
          <w:sz w:val="22"/>
          <w:szCs w:val="22"/>
        </w:rPr>
        <w:t>Convention on the Rights of Persons with Disabilities</w:t>
      </w:r>
      <w:r w:rsidRPr="00602CC8">
        <w:rPr>
          <w:rFonts w:ascii="Arial" w:hAnsi="Arial" w:cs="Arial"/>
          <w:sz w:val="22"/>
          <w:szCs w:val="22"/>
        </w:rPr>
        <w:t>. New York: United Nations.</w:t>
      </w:r>
    </w:p>
    <w:p w14:paraId="7A81B345"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Violence against Women, Domestic Abuse and Sexual Violence (Wales) Act 2015 (2015). Cardiff: Welsh Government.</w:t>
      </w:r>
    </w:p>
    <w:p w14:paraId="5CC7459E"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Wales Centre for Public Policy (2025) </w:t>
      </w:r>
      <w:r w:rsidRPr="00602CC8">
        <w:rPr>
          <w:rStyle w:val="Emphasis"/>
          <w:rFonts w:ascii="Arial" w:eastAsiaTheme="majorEastAsia" w:hAnsi="Arial" w:cs="Arial"/>
          <w:sz w:val="22"/>
          <w:szCs w:val="22"/>
        </w:rPr>
        <w:t>Rural Poverty in Wales</w:t>
      </w:r>
      <w:r w:rsidRPr="00602CC8">
        <w:rPr>
          <w:rFonts w:ascii="Arial" w:hAnsi="Arial" w:cs="Arial"/>
          <w:sz w:val="22"/>
          <w:szCs w:val="22"/>
        </w:rPr>
        <w:t>. Available at: https://wcpp.org.uk/report/rural-poverty-in-wales/ (Accessed: 10 February 2026).</w:t>
      </w:r>
    </w:p>
    <w:p w14:paraId="63C6996F"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Welsh Government (2011) </w:t>
      </w:r>
      <w:r w:rsidRPr="00602CC8">
        <w:rPr>
          <w:rStyle w:val="Emphasis"/>
          <w:rFonts w:ascii="Arial" w:eastAsiaTheme="majorEastAsia" w:hAnsi="Arial" w:cs="Arial"/>
          <w:sz w:val="22"/>
          <w:szCs w:val="22"/>
        </w:rPr>
        <w:t>Welsh Language (Wales) Measure 2011</w:t>
      </w:r>
      <w:r w:rsidRPr="00602CC8">
        <w:rPr>
          <w:rFonts w:ascii="Arial" w:hAnsi="Arial" w:cs="Arial"/>
          <w:sz w:val="22"/>
          <w:szCs w:val="22"/>
        </w:rPr>
        <w:t>. Cardiff: Welsh Government.</w:t>
      </w:r>
    </w:p>
    <w:p w14:paraId="54F92BC3"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Welsh Government (2014) </w:t>
      </w:r>
      <w:r w:rsidRPr="00602CC8">
        <w:rPr>
          <w:rStyle w:val="Emphasis"/>
          <w:rFonts w:ascii="Arial" w:eastAsiaTheme="majorEastAsia" w:hAnsi="Arial" w:cs="Arial"/>
          <w:sz w:val="22"/>
          <w:szCs w:val="22"/>
        </w:rPr>
        <w:t>Social Services and Well-being (Wales) Act 2014</w:t>
      </w:r>
      <w:r w:rsidRPr="00602CC8">
        <w:rPr>
          <w:rFonts w:ascii="Arial" w:hAnsi="Arial" w:cs="Arial"/>
          <w:sz w:val="22"/>
          <w:szCs w:val="22"/>
        </w:rPr>
        <w:t>. Cardiff: Welsh Government.</w:t>
      </w:r>
    </w:p>
    <w:p w14:paraId="7610BC04"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Welsh Government (2015) </w:t>
      </w:r>
      <w:r w:rsidRPr="00602CC8">
        <w:rPr>
          <w:rStyle w:val="Emphasis"/>
          <w:rFonts w:ascii="Arial" w:eastAsiaTheme="majorEastAsia" w:hAnsi="Arial" w:cs="Arial"/>
          <w:sz w:val="22"/>
          <w:szCs w:val="22"/>
        </w:rPr>
        <w:t>Well-being of Future Generations (Wales) Act 2015</w:t>
      </w:r>
      <w:r w:rsidRPr="00602CC8">
        <w:rPr>
          <w:rFonts w:ascii="Arial" w:hAnsi="Arial" w:cs="Arial"/>
          <w:sz w:val="22"/>
          <w:szCs w:val="22"/>
        </w:rPr>
        <w:t>. Cardiff: Welsh Government.</w:t>
      </w:r>
    </w:p>
    <w:p w14:paraId="7B09E008"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Welsh Government (2018a) </w:t>
      </w:r>
      <w:r w:rsidRPr="00602CC8">
        <w:rPr>
          <w:rStyle w:val="Emphasis"/>
          <w:rFonts w:ascii="Arial" w:eastAsiaTheme="majorEastAsia" w:hAnsi="Arial" w:cs="Arial"/>
          <w:sz w:val="22"/>
          <w:szCs w:val="22"/>
        </w:rPr>
        <w:t>Working Together to Safeguard People: Volume 5 – Safeguarding Children</w:t>
      </w:r>
      <w:r w:rsidRPr="00602CC8">
        <w:rPr>
          <w:rFonts w:ascii="Arial" w:hAnsi="Arial" w:cs="Arial"/>
          <w:sz w:val="22"/>
          <w:szCs w:val="22"/>
        </w:rPr>
        <w:t>. Cardiff: Welsh Government.</w:t>
      </w:r>
    </w:p>
    <w:p w14:paraId="44E49967"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Welsh Government (2019) </w:t>
      </w:r>
      <w:r w:rsidRPr="00602CC8">
        <w:rPr>
          <w:rStyle w:val="Emphasis"/>
          <w:rFonts w:ascii="Arial" w:eastAsiaTheme="majorEastAsia" w:hAnsi="Arial" w:cs="Arial"/>
          <w:sz w:val="22"/>
          <w:szCs w:val="22"/>
        </w:rPr>
        <w:t>Wales Safeguarding Procedures</w:t>
      </w:r>
      <w:r w:rsidRPr="00602CC8">
        <w:rPr>
          <w:rFonts w:ascii="Arial" w:hAnsi="Arial" w:cs="Arial"/>
          <w:sz w:val="22"/>
          <w:szCs w:val="22"/>
        </w:rPr>
        <w:t>. Cardiff: Welsh Government.</w:t>
      </w:r>
    </w:p>
    <w:p w14:paraId="10DDE00F"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Welsh Government (2019) </w:t>
      </w:r>
      <w:r w:rsidRPr="00602CC8">
        <w:rPr>
          <w:rStyle w:val="Emphasis"/>
          <w:rFonts w:ascii="Arial" w:eastAsiaTheme="majorEastAsia" w:hAnsi="Arial" w:cs="Arial"/>
          <w:sz w:val="22"/>
          <w:szCs w:val="22"/>
        </w:rPr>
        <w:t>More Than Just Words</w:t>
      </w:r>
      <w:r w:rsidRPr="00602CC8">
        <w:rPr>
          <w:rFonts w:ascii="Arial" w:hAnsi="Arial" w:cs="Arial"/>
          <w:sz w:val="22"/>
          <w:szCs w:val="22"/>
        </w:rPr>
        <w:t>. Available at: https://www.gov.wales (Accessed: 10 February 2026).</w:t>
      </w:r>
    </w:p>
    <w:p w14:paraId="2AE9588C" w14:textId="77777777" w:rsidR="005F1676" w:rsidRPr="00602CC8" w:rsidRDefault="005F1676" w:rsidP="005F1676">
      <w:pPr>
        <w:pStyle w:val="NormalWeb"/>
        <w:spacing w:line="480" w:lineRule="auto"/>
        <w:jc w:val="both"/>
        <w:rPr>
          <w:rFonts w:ascii="Arial" w:hAnsi="Arial" w:cs="Arial"/>
          <w:sz w:val="22"/>
          <w:szCs w:val="22"/>
        </w:rPr>
      </w:pPr>
      <w:r w:rsidRPr="00602CC8">
        <w:rPr>
          <w:rFonts w:ascii="Arial" w:hAnsi="Arial" w:cs="Arial"/>
          <w:sz w:val="22"/>
          <w:szCs w:val="22"/>
        </w:rPr>
        <w:t xml:space="preserve">Welsh Government (2022) </w:t>
      </w:r>
      <w:r w:rsidRPr="00602CC8">
        <w:rPr>
          <w:rStyle w:val="Emphasis"/>
          <w:rFonts w:ascii="Arial" w:eastAsiaTheme="majorEastAsia" w:hAnsi="Arial" w:cs="Arial"/>
          <w:sz w:val="22"/>
          <w:szCs w:val="22"/>
        </w:rPr>
        <w:t>More Than Just Words: Plan for Improving Services for Welsh Speakers</w:t>
      </w:r>
      <w:r w:rsidRPr="00602CC8">
        <w:rPr>
          <w:rFonts w:ascii="Arial" w:hAnsi="Arial" w:cs="Arial"/>
          <w:sz w:val="22"/>
          <w:szCs w:val="22"/>
        </w:rPr>
        <w:t>. Cardiff: Welsh Government.</w:t>
      </w:r>
    </w:p>
    <w:p w14:paraId="46F89AC8" w14:textId="4ECDB784" w:rsidR="002A1A44" w:rsidRPr="0061625D" w:rsidRDefault="005F1676" w:rsidP="0061625D">
      <w:pPr>
        <w:pStyle w:val="NormalWeb"/>
        <w:spacing w:line="480" w:lineRule="auto"/>
        <w:jc w:val="both"/>
        <w:rPr>
          <w:rFonts w:ascii="Arial" w:hAnsi="Arial" w:cs="Arial"/>
          <w:sz w:val="22"/>
          <w:szCs w:val="22"/>
        </w:rPr>
      </w:pPr>
      <w:r w:rsidRPr="00602CC8">
        <w:rPr>
          <w:rFonts w:ascii="Arial" w:hAnsi="Arial" w:cs="Arial"/>
          <w:sz w:val="22"/>
          <w:szCs w:val="22"/>
        </w:rPr>
        <w:t xml:space="preserve">Welsh Government (2022) </w:t>
      </w:r>
      <w:r w:rsidRPr="00602CC8">
        <w:rPr>
          <w:rStyle w:val="Emphasis"/>
          <w:rFonts w:ascii="Arial" w:eastAsiaTheme="majorEastAsia" w:hAnsi="Arial" w:cs="Arial"/>
          <w:sz w:val="22"/>
          <w:szCs w:val="22"/>
        </w:rPr>
        <w:t>Violence against women, domestic abuse and sexual violence: strategy 2022 to 2026</w:t>
      </w:r>
      <w:r w:rsidRPr="00602CC8">
        <w:rPr>
          <w:rFonts w:ascii="Arial" w:hAnsi="Arial" w:cs="Arial"/>
          <w:sz w:val="22"/>
          <w:szCs w:val="22"/>
        </w:rPr>
        <w:t>. Cardiff: Welsh Government.</w:t>
      </w:r>
    </w:p>
    <w:p w14:paraId="4A56D2E2"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DCE0D4B" w:rsidR="00E559CE" w:rsidRPr="00C43E2F" w:rsidRDefault="00C43E2F" w:rsidP="00C43E2F">
            <w:pPr>
              <w:pStyle w:val="ListParagraph"/>
              <w:numPr>
                <w:ilvl w:val="0"/>
                <w:numId w:val="55"/>
              </w:numPr>
              <w:jc w:val="both"/>
              <w:rPr>
                <w:sz w:val="24"/>
                <w:szCs w:val="24"/>
              </w:rPr>
            </w:pPr>
            <w:r>
              <w:rPr>
                <w:sz w:val="24"/>
                <w:szCs w:val="24"/>
              </w:rPr>
              <w:t xml:space="preserve">- </w:t>
            </w:r>
            <w:r w:rsidR="006C05C0" w:rsidRPr="00C43E2F">
              <w:rPr>
                <w:sz w:val="24"/>
                <w:szCs w:val="24"/>
              </w:rPr>
              <w:t>CPEL Induction</w:t>
            </w:r>
          </w:p>
        </w:tc>
        <w:tc>
          <w:tcPr>
            <w:tcW w:w="5094" w:type="dxa"/>
          </w:tcPr>
          <w:p w14:paraId="4504991A" w14:textId="70C4627B" w:rsidR="00E559CE" w:rsidRPr="00B17FA0" w:rsidRDefault="00B44EEA" w:rsidP="00B94443">
            <w:pPr>
              <w:jc w:val="both"/>
              <w:rPr>
                <w:sz w:val="24"/>
                <w:szCs w:val="24"/>
              </w:rPr>
            </w:pPr>
            <w:r>
              <w:rPr>
                <w:sz w:val="24"/>
                <w:szCs w:val="24"/>
              </w:rPr>
              <w:t>13/02/2025</w:t>
            </w:r>
          </w:p>
        </w:tc>
      </w:tr>
      <w:tr w:rsidR="00E559CE" w:rsidRPr="00B17FA0" w14:paraId="05C1FAE9" w14:textId="77777777" w:rsidTr="00B94443">
        <w:tc>
          <w:tcPr>
            <w:tcW w:w="5094" w:type="dxa"/>
          </w:tcPr>
          <w:p w14:paraId="2BDB6661" w14:textId="34B1F963" w:rsidR="00E559CE" w:rsidRPr="00B17FA0" w:rsidRDefault="00E559CE" w:rsidP="00B94443">
            <w:pPr>
              <w:jc w:val="both"/>
              <w:rPr>
                <w:sz w:val="24"/>
                <w:szCs w:val="24"/>
              </w:rPr>
            </w:pPr>
            <w:r w:rsidRPr="00B17FA0">
              <w:rPr>
                <w:sz w:val="24"/>
                <w:szCs w:val="24"/>
              </w:rPr>
              <w:t>2</w:t>
            </w:r>
            <w:r w:rsidR="00525F36">
              <w:rPr>
                <w:sz w:val="24"/>
                <w:szCs w:val="24"/>
              </w:rPr>
              <w:t xml:space="preserve"> </w:t>
            </w:r>
            <w:r w:rsidR="006C05C0">
              <w:rPr>
                <w:sz w:val="24"/>
                <w:szCs w:val="24"/>
              </w:rPr>
              <w:t>–</w:t>
            </w:r>
            <w:r w:rsidR="00525F36">
              <w:rPr>
                <w:sz w:val="24"/>
                <w:szCs w:val="24"/>
              </w:rPr>
              <w:t xml:space="preserve"> </w:t>
            </w:r>
            <w:r w:rsidR="006C05C0">
              <w:rPr>
                <w:sz w:val="24"/>
                <w:szCs w:val="24"/>
              </w:rPr>
              <w:t>CPEL Workshop 1</w:t>
            </w:r>
          </w:p>
        </w:tc>
        <w:tc>
          <w:tcPr>
            <w:tcW w:w="5094" w:type="dxa"/>
          </w:tcPr>
          <w:p w14:paraId="1AF3604C" w14:textId="3D76F04F" w:rsidR="00E559CE" w:rsidRPr="00B17FA0" w:rsidRDefault="003E29B5" w:rsidP="00B94443">
            <w:pPr>
              <w:jc w:val="both"/>
              <w:rPr>
                <w:sz w:val="24"/>
                <w:szCs w:val="24"/>
              </w:rPr>
            </w:pPr>
            <w:r>
              <w:rPr>
                <w:sz w:val="24"/>
                <w:szCs w:val="24"/>
              </w:rPr>
              <w:t>03/04/2025</w:t>
            </w:r>
          </w:p>
        </w:tc>
      </w:tr>
      <w:tr w:rsidR="00E559CE" w:rsidRPr="00B17FA0" w14:paraId="5356395F" w14:textId="77777777" w:rsidTr="00B94443">
        <w:tc>
          <w:tcPr>
            <w:tcW w:w="5094" w:type="dxa"/>
          </w:tcPr>
          <w:p w14:paraId="7DC37211" w14:textId="40D5F56F" w:rsidR="00E559CE" w:rsidRPr="00B17FA0" w:rsidRDefault="00E559CE" w:rsidP="00B94443">
            <w:pPr>
              <w:jc w:val="both"/>
              <w:rPr>
                <w:sz w:val="24"/>
                <w:szCs w:val="24"/>
              </w:rPr>
            </w:pPr>
            <w:r w:rsidRPr="00B17FA0">
              <w:rPr>
                <w:sz w:val="24"/>
                <w:szCs w:val="24"/>
              </w:rPr>
              <w:t>3</w:t>
            </w:r>
            <w:r w:rsidR="006C05C0">
              <w:rPr>
                <w:sz w:val="24"/>
                <w:szCs w:val="24"/>
              </w:rPr>
              <w:t xml:space="preserve"> – CPEL Workshop 2</w:t>
            </w:r>
          </w:p>
        </w:tc>
        <w:tc>
          <w:tcPr>
            <w:tcW w:w="5094" w:type="dxa"/>
          </w:tcPr>
          <w:p w14:paraId="4DFBE392" w14:textId="6416F849" w:rsidR="00E559CE" w:rsidRPr="00B17FA0" w:rsidRDefault="003E29B5" w:rsidP="00B94443">
            <w:pPr>
              <w:jc w:val="both"/>
              <w:rPr>
                <w:sz w:val="24"/>
                <w:szCs w:val="24"/>
              </w:rPr>
            </w:pPr>
            <w:r>
              <w:rPr>
                <w:sz w:val="24"/>
                <w:szCs w:val="24"/>
              </w:rPr>
              <w:t>08/05/2025</w:t>
            </w:r>
          </w:p>
        </w:tc>
      </w:tr>
      <w:tr w:rsidR="00E559CE" w:rsidRPr="008B28E7" w14:paraId="40165146" w14:textId="77777777" w:rsidTr="00B94443">
        <w:tc>
          <w:tcPr>
            <w:tcW w:w="5094" w:type="dxa"/>
          </w:tcPr>
          <w:p w14:paraId="3B6AE5F7" w14:textId="77777777" w:rsidR="00E559CE" w:rsidRDefault="00E559CE" w:rsidP="00B94443">
            <w:pPr>
              <w:jc w:val="both"/>
              <w:rPr>
                <w:sz w:val="24"/>
                <w:szCs w:val="24"/>
              </w:rPr>
            </w:pPr>
            <w:r w:rsidRPr="00B17FA0">
              <w:rPr>
                <w:sz w:val="24"/>
                <w:szCs w:val="24"/>
              </w:rPr>
              <w:t>4</w:t>
            </w:r>
            <w:r w:rsidR="006C05C0">
              <w:rPr>
                <w:sz w:val="24"/>
                <w:szCs w:val="24"/>
              </w:rPr>
              <w:t xml:space="preserve"> </w:t>
            </w:r>
            <w:r w:rsidR="00C43E2F">
              <w:rPr>
                <w:sz w:val="24"/>
                <w:szCs w:val="24"/>
              </w:rPr>
              <w:t>–</w:t>
            </w:r>
            <w:r w:rsidR="003270F4">
              <w:rPr>
                <w:sz w:val="24"/>
                <w:szCs w:val="24"/>
              </w:rPr>
              <w:t xml:space="preserve"> </w:t>
            </w:r>
            <w:r w:rsidR="00C43E2F">
              <w:rPr>
                <w:sz w:val="24"/>
                <w:szCs w:val="24"/>
              </w:rPr>
              <w:t>CPEL Workshop 3</w:t>
            </w:r>
          </w:p>
          <w:p w14:paraId="2DE3C97B" w14:textId="3AF047F1" w:rsidR="00C43E2F" w:rsidRPr="00B17FA0" w:rsidRDefault="00C43E2F" w:rsidP="00B94443">
            <w:pPr>
              <w:jc w:val="both"/>
              <w:rPr>
                <w:sz w:val="24"/>
                <w:szCs w:val="24"/>
              </w:rPr>
            </w:pPr>
            <w:r>
              <w:rPr>
                <w:sz w:val="24"/>
                <w:szCs w:val="24"/>
              </w:rPr>
              <w:t>5 – CPEL Workshop 4</w:t>
            </w:r>
          </w:p>
        </w:tc>
        <w:tc>
          <w:tcPr>
            <w:tcW w:w="5094" w:type="dxa"/>
          </w:tcPr>
          <w:p w14:paraId="59CFF1D9" w14:textId="77777777" w:rsidR="00E559CE" w:rsidRDefault="00525F36" w:rsidP="00B94443">
            <w:pPr>
              <w:jc w:val="both"/>
              <w:rPr>
                <w:sz w:val="24"/>
                <w:szCs w:val="24"/>
              </w:rPr>
            </w:pPr>
            <w:r>
              <w:rPr>
                <w:sz w:val="24"/>
                <w:szCs w:val="24"/>
              </w:rPr>
              <w:t>10/07/2025</w:t>
            </w:r>
          </w:p>
          <w:p w14:paraId="16B5309A" w14:textId="0CA90E86" w:rsidR="00525F36" w:rsidRPr="00B17FA0" w:rsidRDefault="00525F36" w:rsidP="00B94443">
            <w:pPr>
              <w:jc w:val="both"/>
              <w:rPr>
                <w:sz w:val="24"/>
                <w:szCs w:val="24"/>
              </w:rPr>
            </w:pPr>
            <w:r>
              <w:rPr>
                <w:sz w:val="24"/>
                <w:szCs w:val="24"/>
              </w:rPr>
              <w:t>09/10/2025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A9EA859" w14:textId="77777777" w:rsidR="00C61093" w:rsidRDefault="00C61093" w:rsidP="003743F2">
            <w:pPr>
              <w:pStyle w:val="NormalWeb"/>
              <w:spacing w:line="360" w:lineRule="auto"/>
              <w:jc w:val="both"/>
              <w:rPr>
                <w:color w:val="000000"/>
                <w:sz w:val="27"/>
                <w:szCs w:val="27"/>
              </w:rPr>
            </w:pPr>
            <w:r>
              <w:rPr>
                <w:color w:val="000000"/>
                <w:sz w:val="27"/>
                <w:szCs w:val="27"/>
              </w:rPr>
              <w:t>The learner is a valued, competent Social Worker within the Adult Services Long Term Social Work Team. The three areas of learning and development needs identified by the learner in supervision (Task 1), were developing assessment and recording skills in Mental Capacity Assessments; improving practice regarding Decision Support Tool and Continuing care work; exercising professional judgement in complex Best Interest Work.</w:t>
            </w:r>
          </w:p>
          <w:p w14:paraId="33AD54B8" w14:textId="77777777" w:rsidR="00C61093" w:rsidRDefault="00C61093" w:rsidP="003743F2">
            <w:pPr>
              <w:pStyle w:val="NormalWeb"/>
              <w:spacing w:line="360" w:lineRule="auto"/>
              <w:jc w:val="both"/>
              <w:rPr>
                <w:color w:val="000000"/>
                <w:sz w:val="27"/>
                <w:szCs w:val="27"/>
              </w:rPr>
            </w:pPr>
            <w:r>
              <w:rPr>
                <w:color w:val="000000"/>
                <w:sz w:val="27"/>
                <w:szCs w:val="27"/>
              </w:rPr>
              <w:t>Throughout the year the learner has developed a better understanding of the legislation which frames Adult Social Work practice. We have had discussions in supervision on different sections of the Social Services and Wellbeing Act 2014 and applied it to various assessment and safeguarding work. The learner has attended updated training on the Mental Capacity Act 2005 and has used this to inform her practice in carrying out Mental Capacity Assessments and Best Interest decisions. She has improved her knowledge of the Welsh Language Act 1993 and the Welsh Language (Wales) measure 2011. The importance of the active offer, promoting and respecting people’s rights to use their preferred language. In addition, the learner has been able to discuss in depth the social political and historical significance of the active offer and apply cultural sensitivity to her practice. Other areas of legislation the learner has improved understanding of and has applied to her practice are the Human Rights Act (1998), Wales Safeguarding Procedures (2019), the Wellbeing and Future Generations (Wales) Act 2015. The learner adheres to the Code of Professional Practice for social care in Wales (2020) and had identified a future learning need in updated her knowledge when the new codes of practice are updated in July 20206.</w:t>
            </w:r>
          </w:p>
          <w:p w14:paraId="1B97F063" w14:textId="77777777" w:rsidR="00C61093" w:rsidRDefault="00C61093" w:rsidP="003743F2">
            <w:pPr>
              <w:pStyle w:val="NormalWeb"/>
              <w:spacing w:line="360" w:lineRule="auto"/>
              <w:jc w:val="both"/>
              <w:rPr>
                <w:color w:val="000000"/>
                <w:sz w:val="27"/>
                <w:szCs w:val="27"/>
              </w:rPr>
            </w:pPr>
            <w:r>
              <w:rPr>
                <w:color w:val="000000"/>
                <w:sz w:val="27"/>
                <w:szCs w:val="27"/>
              </w:rPr>
              <w:t>The learners practice reflects a person centred, strengthen based approach. She promotes well-being whilst encouraging independence and works in partnership with individuals, families and professionals. The learner is competent in identifying service users and carers strengths and involves them in making positive contributions to their care and support plans. The learner is very skilled in working with what’s important in their lives and areas which give them a sense of wellbeing. She has excellent communication skills which help promote meaningful conversations to understand outcomes needed. This has been evidenced throughout the year in varied case work and as evidenced in Task 2 and Task 3.</w:t>
            </w:r>
          </w:p>
          <w:p w14:paraId="2EEDBBC4" w14:textId="77777777" w:rsidR="00C61093" w:rsidRDefault="00C61093" w:rsidP="003743F2">
            <w:pPr>
              <w:pStyle w:val="NormalWeb"/>
              <w:spacing w:line="360" w:lineRule="auto"/>
              <w:jc w:val="both"/>
              <w:rPr>
                <w:color w:val="000000"/>
                <w:sz w:val="27"/>
                <w:szCs w:val="27"/>
              </w:rPr>
            </w:pPr>
            <w:r>
              <w:rPr>
                <w:color w:val="000000"/>
                <w:sz w:val="27"/>
                <w:szCs w:val="27"/>
              </w:rPr>
              <w:t>The learner has demonstrated a commitment to Anti-discriminatory practice and Anti oppressive practice throughout her work. For example, she has identified the need for assessment and services in the service users first language and has ensured that services have been appropriate for cultural and religious beliefs. The learner has also experienced assessing and care planning for cases involving issues of poverty, poor housing, isolation and minority groups. The learner has reflected upon disadvantages and discrimination being multi- faceted and how this can be seen on a personal, cultural and structural level (the PCS model) including social policies and legislation.</w:t>
            </w:r>
          </w:p>
          <w:p w14:paraId="714911B6" w14:textId="77777777" w:rsidR="00C61093" w:rsidRDefault="00C61093" w:rsidP="003743F2">
            <w:pPr>
              <w:pStyle w:val="NormalWeb"/>
              <w:spacing w:line="360" w:lineRule="auto"/>
              <w:jc w:val="both"/>
              <w:rPr>
                <w:color w:val="000000"/>
                <w:sz w:val="27"/>
                <w:szCs w:val="27"/>
              </w:rPr>
            </w:pPr>
            <w:r>
              <w:rPr>
                <w:color w:val="000000"/>
                <w:sz w:val="27"/>
                <w:szCs w:val="27"/>
              </w:rPr>
              <w:t>Throughout the year the learner has undertaken Mental Capacity Assessments, mainly in the areas of Finance and Care and Residency. During discussions in supervision and reflection sessions she has evidenced a greater understanding of decision and time specific elements. This area of her work has greatly improved and has been supported by her evidenced based recordings and clear analytical rationale for decisions made. The learner has taken every opportunity to shadow other workers undertaking assessments and has undertaken various training on Mental Capacity and Best Interest.</w:t>
            </w:r>
          </w:p>
          <w:p w14:paraId="1B396636" w14:textId="77777777" w:rsidR="00C61093" w:rsidRDefault="00C61093" w:rsidP="003743F2">
            <w:pPr>
              <w:pStyle w:val="NormalWeb"/>
              <w:spacing w:line="360" w:lineRule="auto"/>
              <w:jc w:val="both"/>
              <w:rPr>
                <w:color w:val="000000"/>
                <w:sz w:val="27"/>
                <w:szCs w:val="27"/>
              </w:rPr>
            </w:pPr>
            <w:r>
              <w:rPr>
                <w:color w:val="000000"/>
                <w:sz w:val="27"/>
                <w:szCs w:val="27"/>
              </w:rPr>
              <w:t>The learner has practised and strengthened her skills in Best Interest assessments and meetings. She has managed some complex cases and has demonstrated skills in weighing up risks and safety needs, whilst balancing the service user’s rights and wishes. She has applied her professional judgement in decision making and evidencing decisions made in a person’s best interest. Her confidence and skills have developed in managing families, other professionals and advocates expectations, ensuring she is following law and process to ensure best practice. A good example of this has been a case which has been taken to the Court of Protection due to a family dispute regarding care and residency. The learner has been asked to prepare statements and in her professional opinion advise on care and support required for the service user and present this in the court arena. Her assessments, care plans, recordings and court statements have been of a very high standard, and she has been complimented by our legal department on her standard of work.</w:t>
            </w:r>
          </w:p>
          <w:p w14:paraId="0412D919" w14:textId="77777777" w:rsidR="00C61093" w:rsidRDefault="00C61093" w:rsidP="003743F2">
            <w:pPr>
              <w:pStyle w:val="NormalWeb"/>
              <w:spacing w:line="360" w:lineRule="auto"/>
              <w:jc w:val="both"/>
              <w:rPr>
                <w:color w:val="000000"/>
                <w:sz w:val="27"/>
                <w:szCs w:val="27"/>
              </w:rPr>
            </w:pPr>
            <w:r>
              <w:rPr>
                <w:color w:val="000000"/>
                <w:sz w:val="27"/>
                <w:szCs w:val="27"/>
              </w:rPr>
              <w:t>The learner has strengthened and practised her social work skills in Safeguarding vulnerable adults. She has worked on various cases throughout the year, which have needed varied input from the Safeguarding Team, Childcare Team and police. The learner has been able to reflect on Human Rights versus risk, safety and harm. As evidenced in the learners Task 3, the learner has strengthened collaborative working, knowledge of working in Wales, the importance of professional judgement and adhering to the safeguarding process. It has also given topics of reflection to discuss in supervision regarding the interlink between Safeguarding, Mental Capacity and Best Interest Decisions. We have also had discussions on sexual, physical and emotional abuse and manipulative behaviours. The use of sexual harm prevention orders and Clare’s Law (Domestic Violence Disclosure Scheme). The learner has been able to demonstrate skills in balancing the need to safeguard whilst respecting the rights and autonomy of the service user. The learner has also undertaken comprehensive Safeguarding training throughout the year.</w:t>
            </w:r>
          </w:p>
          <w:p w14:paraId="621F3F64" w14:textId="77777777" w:rsidR="00C61093" w:rsidRDefault="00C61093" w:rsidP="003743F2">
            <w:pPr>
              <w:pStyle w:val="NormalWeb"/>
              <w:spacing w:line="360" w:lineRule="auto"/>
              <w:jc w:val="both"/>
              <w:rPr>
                <w:color w:val="000000"/>
                <w:sz w:val="27"/>
                <w:szCs w:val="27"/>
              </w:rPr>
            </w:pPr>
            <w:r>
              <w:rPr>
                <w:color w:val="000000"/>
                <w:sz w:val="27"/>
                <w:szCs w:val="27"/>
              </w:rPr>
              <w:t>The learner has worked collaboratively with partner agencies, including involvement with Section 117 (Mental Health Act 1998) assessment and after care planning. Liaising with hospital and community multi-disciplinary teams and Senior professionals in the Local Health Board. She has worked in partnership with service users, carers, families and</w:t>
            </w:r>
          </w:p>
          <w:p w14:paraId="63CFB8B7" w14:textId="77777777" w:rsidR="00C61093" w:rsidRDefault="00C61093" w:rsidP="003743F2">
            <w:pPr>
              <w:pStyle w:val="NormalWeb"/>
              <w:spacing w:line="360" w:lineRule="auto"/>
              <w:jc w:val="both"/>
              <w:rPr>
                <w:color w:val="000000"/>
                <w:sz w:val="27"/>
                <w:szCs w:val="27"/>
              </w:rPr>
            </w:pPr>
            <w:r>
              <w:rPr>
                <w:color w:val="000000"/>
                <w:sz w:val="27"/>
                <w:szCs w:val="27"/>
              </w:rPr>
              <w:t>other professionals, ensuring a person centred, strength based, out come focused assessment and has co-ordinated the appropriate after care support.</w:t>
            </w:r>
          </w:p>
          <w:p w14:paraId="32EE3912" w14:textId="77777777" w:rsidR="00C61093" w:rsidRDefault="00C61093" w:rsidP="003743F2">
            <w:pPr>
              <w:pStyle w:val="NormalWeb"/>
              <w:spacing w:line="360" w:lineRule="auto"/>
              <w:jc w:val="both"/>
              <w:rPr>
                <w:color w:val="000000"/>
                <w:sz w:val="27"/>
                <w:szCs w:val="27"/>
              </w:rPr>
            </w:pPr>
            <w:r>
              <w:rPr>
                <w:color w:val="000000"/>
                <w:sz w:val="27"/>
                <w:szCs w:val="27"/>
              </w:rPr>
              <w:t>The learner has shadowed, joint worked and undertaken Continuing Care DST assessments and attended meetings with professionals, service users and families. She has been able to reflect upon having the right care at the right time and the difficulties with having separate Local Authority and Local Heath Board funding budgets. Her confidence has grown in advocating the needs for service users, and at these meetings she has had to use her professional judgement in agreeing assessed need and right category of care. Advocating for the service user in a process which is health led and attended mainly by health professionals.</w:t>
            </w:r>
          </w:p>
          <w:p w14:paraId="7810334A" w14:textId="77777777" w:rsidR="00C61093" w:rsidRDefault="00C61093" w:rsidP="003743F2">
            <w:pPr>
              <w:pStyle w:val="NormalWeb"/>
              <w:spacing w:line="360" w:lineRule="auto"/>
              <w:jc w:val="both"/>
              <w:rPr>
                <w:color w:val="000000"/>
                <w:sz w:val="27"/>
                <w:szCs w:val="27"/>
              </w:rPr>
            </w:pPr>
            <w:r>
              <w:rPr>
                <w:color w:val="000000"/>
                <w:sz w:val="27"/>
                <w:szCs w:val="27"/>
              </w:rPr>
              <w:t>In the observed practice (Task2), the learner demonstrates and evidences her planning, communication and assessment skills in direct case work. Understanding that effective communication enables person centred practice. The learner is sensitive to language and cultural needs and shows awareness of the service users communication difficulties. She adapts and uses different methods, actively listens, encourages participation and is non-judgmental which enables working in partnership to agree on outcomes and goals. Feed back from the Service user was positive, and the observer fed back that the learner had an excellent rapport with the service user and empowered her to make her own decisions with agreed positive outcomes.</w:t>
            </w:r>
          </w:p>
          <w:p w14:paraId="2837C449" w14:textId="075EFCFE" w:rsidR="00FC0334" w:rsidRPr="00C61093" w:rsidRDefault="00C61093" w:rsidP="003743F2">
            <w:pPr>
              <w:pStyle w:val="NormalWeb"/>
              <w:spacing w:line="360" w:lineRule="auto"/>
              <w:jc w:val="both"/>
              <w:rPr>
                <w:color w:val="000000"/>
                <w:sz w:val="27"/>
                <w:szCs w:val="27"/>
              </w:rPr>
            </w:pPr>
            <w:r>
              <w:rPr>
                <w:color w:val="000000"/>
                <w:sz w:val="27"/>
                <w:szCs w:val="27"/>
              </w:rPr>
              <w:t>Throughout the year the learner has built upon her confidence and skills in social work practice. She has managed complex situations and has promoted good practice. She has applied her learning to practice and has focused on improving outcomes for service users, carers and families. She has met her identified learning needs, engaged well in training, supervision and mentoring sessions, and has participated in individual and team reflection work. The learner is very proactive in her learning and is keen to continue her professional development and experience areas of work that she hasn’t yet had an opportunity to practice in. The learner has identified her future learning needs following completion of her CPEL, which include undertaking the advanced Mental Capacity course and the Practice Educator award. I also believe that the learner would make an excellent Mentor for the 1st year in practice Social Workers.</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1E7AF0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1625D">
        <w:rPr>
          <w:b/>
          <w:sz w:val="24"/>
          <w:szCs w:val="24"/>
        </w:rPr>
        <w:t>Courtney Honey-Jones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9290C2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1625D">
        <w:rPr>
          <w:b/>
          <w:sz w:val="24"/>
          <w:szCs w:val="24"/>
        </w:rPr>
        <w:t xml:space="preserve"> </w:t>
      </w:r>
      <w:r w:rsidR="0061625D" w:rsidRPr="0061625D">
        <w:rPr>
          <w:bCs/>
          <w:color w:val="auto"/>
          <w:sz w:val="22"/>
          <w:szCs w:val="22"/>
        </w:rPr>
        <w:t>2432489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7DC787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61093">
        <w:rPr>
          <w:b/>
          <w:sz w:val="24"/>
          <w:szCs w:val="24"/>
        </w:rPr>
        <w:t xml:space="preserve"> 1 Clos Saron, Gendros, Swansea SA5 8DG.</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F3FA3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1625D">
        <w:rPr>
          <w:b/>
          <w:sz w:val="24"/>
          <w:szCs w:val="24"/>
        </w:rPr>
        <w:t xml:space="preserve"> 07498522513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2596D4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61093">
        <w:rPr>
          <w:b/>
          <w:sz w:val="24"/>
          <w:szCs w:val="24"/>
        </w:rPr>
        <w:t xml:space="preserve"> choney-jones@carmarthenshire.gov.uk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08B9A6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61093">
        <w:rPr>
          <w:b/>
          <w:sz w:val="24"/>
          <w:szCs w:val="24"/>
        </w:rPr>
        <w:t>August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FDB8C9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61093">
        <w:rPr>
          <w:b/>
          <w:sz w:val="24"/>
          <w:szCs w:val="24"/>
        </w:rPr>
        <w:t xml:space="preserve"> August 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FB3BB57" w:rsidR="004923DA"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3363624D" w14:textId="77777777" w:rsidR="00C61093" w:rsidRPr="008B28E7" w:rsidRDefault="00C61093" w:rsidP="00FF7EBB">
      <w:pPr>
        <w:pBdr>
          <w:top w:val="single" w:sz="6" w:space="1" w:color="auto"/>
          <w:left w:val="single" w:sz="6" w:space="1" w:color="auto"/>
          <w:bottom w:val="single" w:sz="6" w:space="1" w:color="auto"/>
          <w:right w:val="single" w:sz="6" w:space="1" w:color="auto"/>
        </w:pBdr>
        <w:jc w:val="both"/>
        <w:rPr>
          <w:b/>
          <w:sz w:val="24"/>
          <w:szCs w:val="24"/>
        </w:rPr>
      </w:pP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AD383F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bookmarkStart w:id="1" w:name="_Hlk222734202"/>
    </w:p>
    <w:bookmarkEnd w:id="1"/>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0148E4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61093">
        <w:rPr>
          <w:b/>
          <w:sz w:val="24"/>
          <w:szCs w:val="24"/>
        </w:rPr>
        <w:t xml:space="preserve"> Carmarthenshire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114D25F" w14:textId="79C1719D" w:rsidR="00C61093" w:rsidRDefault="004923DA" w:rsidP="00C6109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61093" w:rsidRPr="00C61093">
        <w:rPr>
          <w:b/>
          <w:sz w:val="24"/>
          <w:szCs w:val="24"/>
        </w:rPr>
        <w:t xml:space="preserve"> </w:t>
      </w:r>
      <w:r w:rsidR="00C61093">
        <w:rPr>
          <w:b/>
          <w:sz w:val="24"/>
          <w:szCs w:val="24"/>
        </w:rPr>
        <w:t>Eastgate Offices, Llanelli, SA15 3YF</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EBB519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FB3211">
        <w:rPr>
          <w:b/>
          <w:sz w:val="24"/>
          <w:szCs w:val="24"/>
        </w:rPr>
        <w:t xml:space="preserve"> 07525912030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C75ADE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B3211">
        <w:rPr>
          <w:b/>
          <w:sz w:val="24"/>
          <w:szCs w:val="24"/>
        </w:rPr>
        <w:t>AEaton@carmarthenshire.gov.uk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AA357B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B3211">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005F4F8C" w:rsidR="004923DA" w:rsidRPr="00FC311D"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FC311D">
        <w:rPr>
          <w:b/>
          <w:sz w:val="24"/>
          <w:szCs w:val="24"/>
        </w:rPr>
        <w:t>5</w:t>
      </w:r>
      <w:r w:rsidR="004923DA" w:rsidRPr="00FC311D">
        <w:rPr>
          <w:b/>
          <w:sz w:val="24"/>
          <w:szCs w:val="24"/>
        </w:rPr>
        <w:t>. Mentor’s details</w:t>
      </w:r>
      <w:r w:rsidR="00FB3211" w:rsidRPr="00FC311D">
        <w:rPr>
          <w:b/>
          <w:sz w:val="24"/>
          <w:szCs w:val="24"/>
        </w:rPr>
        <w:t xml:space="preserve">: </w:t>
      </w:r>
    </w:p>
    <w:p w14:paraId="7F798883" w14:textId="77777777" w:rsidR="004923DA" w:rsidRPr="00FC311D"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3A57A31" w:rsidR="004923DA" w:rsidRPr="00FB3211"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FB3211">
        <w:rPr>
          <w:b/>
          <w:sz w:val="24"/>
          <w:szCs w:val="24"/>
        </w:rPr>
        <w:t>Name:</w:t>
      </w:r>
      <w:r w:rsidR="00FB3211" w:rsidRPr="00FB3211">
        <w:rPr>
          <w:b/>
          <w:sz w:val="24"/>
          <w:szCs w:val="24"/>
        </w:rPr>
        <w:t xml:space="preserve"> Adele Eaton-Brown</w:t>
      </w:r>
    </w:p>
    <w:p w14:paraId="1286878A" w14:textId="77777777" w:rsidR="004923DA" w:rsidRPr="00FB3211"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681053F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B3211">
        <w:rPr>
          <w:b/>
          <w:sz w:val="24"/>
          <w:szCs w:val="24"/>
        </w:rPr>
        <w:t xml:space="preserve"> Eastgate Offices, Llanelli, SA15 3YF</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47293F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B3211" w:rsidRPr="00FB3211">
        <w:rPr>
          <w:b/>
          <w:sz w:val="24"/>
          <w:szCs w:val="24"/>
        </w:rPr>
        <w:t xml:space="preserve"> </w:t>
      </w:r>
      <w:r w:rsidR="00FB3211">
        <w:rPr>
          <w:b/>
          <w:sz w:val="24"/>
          <w:szCs w:val="24"/>
        </w:rPr>
        <w:t>07525912030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E9765B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B3211" w:rsidRPr="00FB3211">
        <w:rPr>
          <w:b/>
          <w:sz w:val="24"/>
          <w:szCs w:val="24"/>
        </w:rPr>
        <w:t xml:space="preserve"> </w:t>
      </w:r>
      <w:r w:rsidR="00FB3211">
        <w:rPr>
          <w:b/>
          <w:sz w:val="24"/>
          <w:szCs w:val="24"/>
        </w:rPr>
        <w:t>AEaton@carmarthenshire.gov.uk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FB3211">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011BF85" w:rsidR="004923DA" w:rsidRDefault="004923DA" w:rsidP="00FF7EBB">
            <w:pPr>
              <w:jc w:val="both"/>
              <w:rPr>
                <w:b/>
                <w:sz w:val="24"/>
                <w:szCs w:val="24"/>
              </w:rPr>
            </w:pPr>
            <w:r w:rsidRPr="008B28E7">
              <w:rPr>
                <w:b/>
                <w:sz w:val="24"/>
                <w:szCs w:val="24"/>
              </w:rPr>
              <w:t>Name:</w:t>
            </w:r>
            <w:r w:rsidR="00182365">
              <w:rPr>
                <w:b/>
                <w:sz w:val="24"/>
                <w:szCs w:val="24"/>
              </w:rPr>
              <w:t xml:space="preserve"> Kelly Thomas</w:t>
            </w:r>
          </w:p>
          <w:p w14:paraId="4EF4A770" w14:textId="77777777" w:rsidR="004923DA" w:rsidRPr="008B28E7" w:rsidRDefault="004923DA" w:rsidP="00FF7EBB">
            <w:pPr>
              <w:jc w:val="both"/>
              <w:rPr>
                <w:b/>
                <w:sz w:val="24"/>
                <w:szCs w:val="24"/>
              </w:rPr>
            </w:pPr>
          </w:p>
          <w:p w14:paraId="1AC8522D" w14:textId="607D2697" w:rsidR="004923DA" w:rsidRDefault="004923DA" w:rsidP="00FF7EBB">
            <w:pPr>
              <w:jc w:val="both"/>
              <w:rPr>
                <w:b/>
                <w:sz w:val="24"/>
                <w:szCs w:val="24"/>
              </w:rPr>
            </w:pPr>
            <w:r w:rsidRPr="008B28E7">
              <w:rPr>
                <w:b/>
                <w:sz w:val="24"/>
                <w:szCs w:val="24"/>
              </w:rPr>
              <w:t xml:space="preserve">Work Address: </w:t>
            </w:r>
            <w:r w:rsidR="00FB3211">
              <w:rPr>
                <w:b/>
                <w:sz w:val="24"/>
                <w:szCs w:val="24"/>
              </w:rPr>
              <w:t>East Gate Offices, Llanelli, SA15 3YF</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7C39264E" w14:textId="77777777" w:rsidR="00873FF4" w:rsidRDefault="004923DA" w:rsidP="00FF7EBB">
            <w:pPr>
              <w:jc w:val="both"/>
              <w:rPr>
                <w:b/>
                <w:sz w:val="24"/>
                <w:szCs w:val="24"/>
              </w:rPr>
            </w:pPr>
            <w:r w:rsidRPr="008B28E7">
              <w:rPr>
                <w:b/>
                <w:sz w:val="24"/>
                <w:szCs w:val="24"/>
              </w:rPr>
              <w:t>Professional Qualification and date of qualification:</w:t>
            </w:r>
            <w:r w:rsidR="00FB3211">
              <w:rPr>
                <w:b/>
                <w:sz w:val="24"/>
                <w:szCs w:val="24"/>
              </w:rPr>
              <w:t xml:space="preserve"> </w:t>
            </w:r>
          </w:p>
          <w:p w14:paraId="6E1CBC17" w14:textId="15A6B05F" w:rsidR="004923DA" w:rsidRPr="008B28E7" w:rsidRDefault="00FB3211" w:rsidP="00FF7EBB">
            <w:pPr>
              <w:jc w:val="both"/>
              <w:rPr>
                <w:b/>
                <w:sz w:val="24"/>
                <w:szCs w:val="24"/>
              </w:rPr>
            </w:pPr>
            <w:r>
              <w:rPr>
                <w:b/>
                <w:sz w:val="24"/>
                <w:szCs w:val="24"/>
              </w:rPr>
              <w:t>BSc (Hons) Degree in Social Work</w:t>
            </w:r>
            <w:r w:rsidR="00A4602A">
              <w:rPr>
                <w:b/>
                <w:sz w:val="24"/>
                <w:szCs w:val="24"/>
              </w:rPr>
              <w:t xml:space="preserve">     Date:</w:t>
            </w:r>
            <w:r>
              <w:rPr>
                <w:b/>
                <w:sz w:val="24"/>
                <w:szCs w:val="24"/>
              </w:rPr>
              <w:t xml:space="preserve"> 26/11/2021</w:t>
            </w:r>
          </w:p>
          <w:p w14:paraId="5F68A3CF" w14:textId="77777777" w:rsidR="004923DA" w:rsidRDefault="004923DA" w:rsidP="00FF7EBB">
            <w:pPr>
              <w:jc w:val="both"/>
              <w:rPr>
                <w:b/>
                <w:sz w:val="24"/>
                <w:szCs w:val="24"/>
              </w:rPr>
            </w:pPr>
          </w:p>
          <w:p w14:paraId="4C6113F1" w14:textId="792573F6" w:rsidR="004923DA" w:rsidRDefault="009D59C2" w:rsidP="00FF7EBB">
            <w:pPr>
              <w:jc w:val="both"/>
              <w:rPr>
                <w:b/>
                <w:sz w:val="24"/>
                <w:szCs w:val="24"/>
              </w:rPr>
            </w:pPr>
            <w:r>
              <w:rPr>
                <w:b/>
                <w:sz w:val="24"/>
                <w:szCs w:val="24"/>
              </w:rPr>
              <w:t>T</w:t>
            </w:r>
            <w:r w:rsidR="004923DA" w:rsidRPr="008B28E7">
              <w:rPr>
                <w:b/>
                <w:sz w:val="24"/>
                <w:szCs w:val="24"/>
              </w:rPr>
              <w:t>elephone number:</w:t>
            </w:r>
            <w:r w:rsidR="00FB3211">
              <w:rPr>
                <w:b/>
                <w:sz w:val="24"/>
                <w:szCs w:val="24"/>
              </w:rPr>
              <w:t xml:space="preserve"> 07341096720</w:t>
            </w:r>
          </w:p>
          <w:p w14:paraId="0BB87919" w14:textId="548A11EF" w:rsidR="009D59C2" w:rsidRDefault="009D59C2" w:rsidP="00FF7EBB">
            <w:pPr>
              <w:jc w:val="both"/>
              <w:rPr>
                <w:b/>
                <w:sz w:val="24"/>
                <w:szCs w:val="24"/>
              </w:rPr>
            </w:pPr>
          </w:p>
          <w:p w14:paraId="4FDEE73F" w14:textId="5E2C70E9" w:rsidR="009D59C2" w:rsidRPr="008B28E7" w:rsidRDefault="009D59C2" w:rsidP="00FF7EBB">
            <w:pPr>
              <w:jc w:val="both"/>
              <w:rPr>
                <w:b/>
                <w:sz w:val="24"/>
                <w:szCs w:val="24"/>
              </w:rPr>
            </w:pPr>
            <w:r>
              <w:rPr>
                <w:b/>
                <w:sz w:val="24"/>
                <w:szCs w:val="24"/>
              </w:rPr>
              <w:t>Email address:</w:t>
            </w:r>
            <w:r w:rsidR="00FB3211">
              <w:rPr>
                <w:b/>
                <w:sz w:val="24"/>
                <w:szCs w:val="24"/>
              </w:rPr>
              <w:t xml:space="preserve"> KMGThomas@carmarthenshire.gov.uk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DBF6E5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bookmarkStart w:id="2" w:name="_Hlk222734806"/>
      <w:r w:rsidRPr="00B26887">
        <w:rPr>
          <w:rFonts w:ascii="Fairwater Script" w:hAnsi="Fairwater Script"/>
          <w:sz w:val="24"/>
          <w:szCs w:val="24"/>
        </w:rPr>
        <w:t xml:space="preserve">: </w:t>
      </w:r>
      <w:r w:rsidR="009D59C2" w:rsidRPr="00B26887">
        <w:rPr>
          <w:rFonts w:ascii="Fairwater Script" w:hAnsi="Fairwater Script"/>
          <w:sz w:val="24"/>
          <w:szCs w:val="24"/>
        </w:rPr>
        <w:t xml:space="preserve">  </w:t>
      </w:r>
      <w:r w:rsidRPr="00B26887">
        <w:rPr>
          <w:rFonts w:ascii="Fairwater Script" w:hAnsi="Fairwater Script"/>
          <w:sz w:val="24"/>
          <w:szCs w:val="24"/>
        </w:rPr>
        <w:t xml:space="preserve"> </w:t>
      </w:r>
      <w:r w:rsidR="00B26887" w:rsidRPr="00B26887">
        <w:rPr>
          <w:rFonts w:ascii="Fairwater Script" w:hAnsi="Fairwater Script"/>
          <w:sz w:val="24"/>
          <w:szCs w:val="24"/>
        </w:rPr>
        <w:t>CHoneyJ</w:t>
      </w:r>
      <w:r w:rsidR="00B26887">
        <w:rPr>
          <w:sz w:val="24"/>
          <w:szCs w:val="24"/>
        </w:rPr>
        <w:t xml:space="preserve"> </w:t>
      </w:r>
      <w:bookmarkEnd w:id="2"/>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52AB76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26887">
        <w:rPr>
          <w:sz w:val="24"/>
          <w:szCs w:val="24"/>
        </w:rPr>
        <w:t>23/02/2026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B9EE1D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26887">
        <w:rPr>
          <w:sz w:val="24"/>
          <w:szCs w:val="24"/>
        </w:rPr>
        <w:t>K</w:t>
      </w:r>
      <w:r w:rsidR="00A4602A">
        <w:rPr>
          <w:sz w:val="24"/>
          <w:szCs w:val="24"/>
        </w:rPr>
        <w:t xml:space="preserve"> </w:t>
      </w:r>
      <w:r w:rsidR="00B26887">
        <w:rPr>
          <w:sz w:val="24"/>
          <w:szCs w:val="24"/>
        </w:rPr>
        <w:t>Thomas</w:t>
      </w:r>
      <w:r w:rsidR="00A4602A">
        <w:rPr>
          <w:sz w:val="24"/>
          <w:szCs w:val="24"/>
        </w:rPr>
        <w:t xml:space="preserve"> – Kelly Thomas</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04ADE5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26887">
        <w:rPr>
          <w:sz w:val="24"/>
          <w:szCs w:val="24"/>
        </w:rPr>
        <w:t>23/02/2026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128E635" w:rsidR="00335C41" w:rsidRPr="00D3203C" w:rsidRDefault="00335C41" w:rsidP="00335C41">
            <w:pPr>
              <w:ind w:right="180"/>
              <w:jc w:val="both"/>
              <w:rPr>
                <w:sz w:val="24"/>
                <w:szCs w:val="24"/>
              </w:rPr>
            </w:pPr>
            <w:r w:rsidRPr="00D3203C">
              <w:rPr>
                <w:sz w:val="24"/>
                <w:szCs w:val="24"/>
              </w:rPr>
              <w:t>Signed</w:t>
            </w:r>
            <w:r w:rsidR="007F33A9">
              <w:rPr>
                <w:sz w:val="24"/>
                <w:szCs w:val="24"/>
              </w:rPr>
              <w:t>:</w:t>
            </w:r>
            <w:r w:rsidR="007F33A9" w:rsidRPr="000E3305">
              <w:rPr>
                <w:i/>
                <w:iCs/>
                <w:sz w:val="24"/>
                <w:szCs w:val="24"/>
              </w:rPr>
              <w:t xml:space="preserve"> A Eaton-Brown</w:t>
            </w:r>
            <w:r w:rsidR="007F33A9" w:rsidRPr="00DA5682">
              <w:rPr>
                <w:sz w:val="24"/>
                <w:szCs w:val="24"/>
              </w:rPr>
              <w:t xml:space="preserve"> </w:t>
            </w:r>
            <w:r w:rsidR="007F33A9">
              <w:rPr>
                <w:sz w:val="24"/>
                <w:szCs w:val="24"/>
              </w:rPr>
              <w:t xml:space="preserve">      </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3B82D36C" w:rsidR="00335C41" w:rsidRPr="00D3203C" w:rsidRDefault="00335C41" w:rsidP="00335C41">
            <w:pPr>
              <w:ind w:right="180"/>
              <w:jc w:val="both"/>
              <w:rPr>
                <w:sz w:val="24"/>
                <w:szCs w:val="24"/>
              </w:rPr>
            </w:pPr>
            <w:r w:rsidRPr="00D3203C">
              <w:rPr>
                <w:sz w:val="24"/>
                <w:szCs w:val="24"/>
              </w:rPr>
              <w:t>Date</w:t>
            </w:r>
            <w:r w:rsidR="007F33A9">
              <w:rPr>
                <w:sz w:val="24"/>
                <w:szCs w:val="24"/>
              </w:rPr>
              <w:t>: 23/02/2026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C5EC5C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FF68EE">
        <w:rPr>
          <w:caps/>
          <w:sz w:val="24"/>
          <w:szCs w:val="24"/>
        </w:rPr>
        <w:t>Adele eaton-brown</w:t>
      </w:r>
    </w:p>
    <w:p w14:paraId="7C11F360" w14:textId="71D395C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7F33A9" w:rsidRPr="000E3305">
        <w:rPr>
          <w:i/>
          <w:iCs/>
          <w:sz w:val="24"/>
          <w:szCs w:val="24"/>
        </w:rPr>
        <w:t>A Eaton-Brown</w:t>
      </w:r>
      <w:r w:rsidR="007F33A9" w:rsidRPr="00DA5682">
        <w:rPr>
          <w:sz w:val="24"/>
          <w:szCs w:val="24"/>
        </w:rPr>
        <w:t xml:space="preserve"> </w:t>
      </w:r>
      <w:r w:rsidR="007F33A9">
        <w:rPr>
          <w:sz w:val="24"/>
          <w:szCs w:val="24"/>
        </w:rPr>
        <w:t xml:space="preserve">     </w:t>
      </w:r>
    </w:p>
    <w:p w14:paraId="57B2A00A" w14:textId="312FA24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7F33A9">
        <w:rPr>
          <w:sz w:val="24"/>
          <w:szCs w:val="24"/>
        </w:rPr>
        <w:t>23/02/2026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D0CB5B4" w:rsidR="00D05A5D" w:rsidRPr="00DA5682" w:rsidRDefault="004232F2" w:rsidP="00CC14B6">
            <w:pPr>
              <w:rPr>
                <w:sz w:val="24"/>
                <w:szCs w:val="24"/>
              </w:rPr>
            </w:pPr>
            <w:r>
              <w:rPr>
                <w:sz w:val="24"/>
                <w:szCs w:val="24"/>
              </w:rPr>
              <w:t>Courtney Honey-Jones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E0FF64F" w:rsidR="00D05A5D" w:rsidRPr="00DA5682" w:rsidRDefault="004232F2" w:rsidP="00CC14B6">
            <w:pPr>
              <w:rPr>
                <w:sz w:val="24"/>
                <w:szCs w:val="24"/>
              </w:rPr>
            </w:pPr>
            <w:r>
              <w:rPr>
                <w:sz w:val="24"/>
                <w:szCs w:val="24"/>
              </w:rPr>
              <w:t>Carmarthenshire County Council Social Work</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284D533A" w:rsidR="00D05A5D" w:rsidRPr="00DA5682" w:rsidRDefault="004232F2" w:rsidP="00CC14B6">
            <w:pPr>
              <w:rPr>
                <w:sz w:val="24"/>
                <w:szCs w:val="24"/>
              </w:rPr>
            </w:pPr>
            <w:r>
              <w:rPr>
                <w:sz w:val="24"/>
                <w:szCs w:val="24"/>
              </w:rPr>
              <w:t>Adele Eaton-Brown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E730E26" w:rsidR="00D05A5D" w:rsidRPr="00DA5682" w:rsidRDefault="004232F2" w:rsidP="00CC14B6">
            <w:pPr>
              <w:rPr>
                <w:sz w:val="24"/>
                <w:szCs w:val="24"/>
              </w:rPr>
            </w:pPr>
            <w:r>
              <w:rPr>
                <w:sz w:val="24"/>
                <w:szCs w:val="24"/>
              </w:rPr>
              <w:t>Adele Eaton-Brown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01EFA8A6" w:rsidR="00D05A5D" w:rsidRPr="00DA5682" w:rsidRDefault="00D05A5D" w:rsidP="00D05A5D">
      <w:pPr>
        <w:rPr>
          <w:sz w:val="24"/>
          <w:szCs w:val="24"/>
        </w:rPr>
      </w:pPr>
      <w:r w:rsidRPr="00DA5682">
        <w:rPr>
          <w:sz w:val="24"/>
          <w:szCs w:val="24"/>
        </w:rPr>
        <w:t>Signed</w:t>
      </w:r>
      <w:r w:rsidR="003743F2">
        <w:rPr>
          <w:sz w:val="24"/>
          <w:szCs w:val="24"/>
        </w:rPr>
        <w:t xml:space="preserve">: </w:t>
      </w:r>
      <w:r w:rsidR="00FF68EE" w:rsidRPr="00B26887">
        <w:rPr>
          <w:rFonts w:ascii="Fairwater Script" w:hAnsi="Fairwater Script"/>
          <w:sz w:val="24"/>
          <w:szCs w:val="24"/>
        </w:rPr>
        <w:t>:    CHoneyJ</w:t>
      </w:r>
      <w:r w:rsidR="00FF68EE">
        <w:rPr>
          <w:sz w:val="24"/>
          <w:szCs w:val="24"/>
        </w:rPr>
        <w:t xml:space="preserve">  </w:t>
      </w:r>
      <w:r w:rsidR="000E3305">
        <w:rPr>
          <w:sz w:val="24"/>
          <w:szCs w:val="24"/>
        </w:rPr>
        <w:t xml:space="preserve">   </w:t>
      </w:r>
      <w:r w:rsidR="00FF68EE">
        <w:rPr>
          <w:sz w:val="24"/>
          <w:szCs w:val="24"/>
        </w:rPr>
        <w:t xml:space="preserve">    </w:t>
      </w:r>
      <w:r w:rsidRPr="00DA5682">
        <w:rPr>
          <w:sz w:val="24"/>
          <w:szCs w:val="24"/>
        </w:rPr>
        <w:t>Print Name</w:t>
      </w:r>
      <w:r w:rsidR="003743F2">
        <w:rPr>
          <w:sz w:val="24"/>
          <w:szCs w:val="24"/>
        </w:rPr>
        <w:t>:</w:t>
      </w:r>
      <w:r w:rsidR="00FF68EE">
        <w:rPr>
          <w:sz w:val="24"/>
          <w:szCs w:val="24"/>
        </w:rPr>
        <w:t xml:space="preserve">  </w:t>
      </w:r>
      <w:r w:rsidR="003743F2">
        <w:rPr>
          <w:sz w:val="24"/>
          <w:szCs w:val="24"/>
        </w:rPr>
        <w:t xml:space="preserve"> Courtney Honey-Jones</w:t>
      </w:r>
      <w:r w:rsidRPr="00DA5682">
        <w:rPr>
          <w:sz w:val="24"/>
          <w:szCs w:val="24"/>
        </w:rPr>
        <w:t xml:space="preserve"> </w:t>
      </w:r>
      <w:r w:rsidR="00FF68EE">
        <w:rPr>
          <w:sz w:val="24"/>
          <w:szCs w:val="24"/>
        </w:rPr>
        <w:t xml:space="preserve">    </w:t>
      </w:r>
      <w:r w:rsidRPr="00DA5682">
        <w:rPr>
          <w:sz w:val="24"/>
          <w:szCs w:val="24"/>
        </w:rPr>
        <w:t>Date</w:t>
      </w:r>
      <w:r w:rsidR="00FF68EE">
        <w:rPr>
          <w:sz w:val="24"/>
          <w:szCs w:val="24"/>
        </w:rPr>
        <w:t xml:space="preserve">: </w:t>
      </w:r>
      <w:r w:rsidR="003743F2">
        <w:rPr>
          <w:sz w:val="24"/>
          <w:szCs w:val="24"/>
        </w:rPr>
        <w:t>23/02/2026</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7C24F53" w:rsidR="00D05A5D" w:rsidRPr="00DA5682" w:rsidRDefault="00D05A5D" w:rsidP="00D05A5D">
      <w:pPr>
        <w:rPr>
          <w:sz w:val="24"/>
          <w:szCs w:val="24"/>
        </w:rPr>
      </w:pPr>
      <w:r w:rsidRPr="00DA5682">
        <w:rPr>
          <w:sz w:val="24"/>
          <w:szCs w:val="24"/>
        </w:rPr>
        <w:t>Signed:</w:t>
      </w:r>
      <w:r w:rsidR="000E3305">
        <w:rPr>
          <w:sz w:val="24"/>
          <w:szCs w:val="24"/>
        </w:rPr>
        <w:t xml:space="preserve"> </w:t>
      </w:r>
      <w:r w:rsidR="000E3305" w:rsidRPr="000E3305">
        <w:rPr>
          <w:i/>
          <w:iCs/>
          <w:sz w:val="24"/>
          <w:szCs w:val="24"/>
        </w:rPr>
        <w:t>A Eaton-Brown</w:t>
      </w:r>
      <w:r w:rsidRPr="00DA5682">
        <w:rPr>
          <w:sz w:val="24"/>
          <w:szCs w:val="24"/>
        </w:rPr>
        <w:t xml:space="preserve"> </w:t>
      </w:r>
      <w:r w:rsidR="000E3305">
        <w:rPr>
          <w:sz w:val="24"/>
          <w:szCs w:val="24"/>
        </w:rPr>
        <w:t xml:space="preserve">     </w:t>
      </w:r>
      <w:r w:rsidRPr="00DA5682">
        <w:rPr>
          <w:sz w:val="24"/>
          <w:szCs w:val="24"/>
        </w:rPr>
        <w:t>Print Name:</w:t>
      </w:r>
      <w:r w:rsidR="000E3305">
        <w:rPr>
          <w:sz w:val="24"/>
          <w:szCs w:val="24"/>
        </w:rPr>
        <w:t xml:space="preserve"> Adele Eaton-Brown</w:t>
      </w:r>
      <w:r w:rsidR="000E3305" w:rsidRPr="00DA5682">
        <w:rPr>
          <w:sz w:val="24"/>
          <w:szCs w:val="24"/>
        </w:rPr>
        <w:t xml:space="preserve"> </w:t>
      </w:r>
      <w:r w:rsidR="000E3305">
        <w:rPr>
          <w:sz w:val="24"/>
          <w:szCs w:val="24"/>
        </w:rPr>
        <w:t xml:space="preserve">         </w:t>
      </w:r>
      <w:r w:rsidRPr="00DA5682">
        <w:rPr>
          <w:sz w:val="24"/>
          <w:szCs w:val="24"/>
        </w:rPr>
        <w:t>Date</w:t>
      </w:r>
      <w:r w:rsidR="000E3305">
        <w:rPr>
          <w:sz w:val="24"/>
          <w:szCs w:val="24"/>
        </w:rPr>
        <w:t>: 23/02/</w:t>
      </w:r>
      <w:r w:rsidR="00FB7EB2">
        <w:rPr>
          <w:sz w:val="24"/>
          <w:szCs w:val="24"/>
        </w:rPr>
        <w:t>20</w:t>
      </w:r>
      <w:r w:rsidR="000E3305">
        <w:rPr>
          <w:sz w:val="24"/>
          <w:szCs w:val="24"/>
        </w:rPr>
        <w:t>26</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5C815E2A" w:rsidR="00D05A5D" w:rsidRPr="00DA5682" w:rsidRDefault="00D05A5D" w:rsidP="00D05A5D">
      <w:pPr>
        <w:rPr>
          <w:sz w:val="24"/>
          <w:szCs w:val="24"/>
        </w:rPr>
      </w:pPr>
      <w:r w:rsidRPr="00DA5682">
        <w:rPr>
          <w:sz w:val="24"/>
          <w:szCs w:val="24"/>
        </w:rPr>
        <w:t>Signed</w:t>
      </w:r>
      <w:r w:rsidR="000E3305">
        <w:rPr>
          <w:sz w:val="24"/>
          <w:szCs w:val="24"/>
        </w:rPr>
        <w:t xml:space="preserve">: </w:t>
      </w:r>
      <w:r w:rsidR="000E3305" w:rsidRPr="000E3305">
        <w:rPr>
          <w:i/>
          <w:iCs/>
          <w:sz w:val="24"/>
          <w:szCs w:val="24"/>
        </w:rPr>
        <w:t xml:space="preserve">A Eaton-Brown </w:t>
      </w:r>
      <w:r w:rsidR="000E3305">
        <w:rPr>
          <w:i/>
          <w:iCs/>
          <w:sz w:val="24"/>
          <w:szCs w:val="24"/>
        </w:rPr>
        <w:t xml:space="preserve"> </w:t>
      </w:r>
      <w:r w:rsidR="000E3305" w:rsidRPr="000E3305">
        <w:rPr>
          <w:i/>
          <w:iCs/>
          <w:sz w:val="24"/>
          <w:szCs w:val="24"/>
        </w:rPr>
        <w:t xml:space="preserve">   </w:t>
      </w:r>
      <w:r w:rsidRPr="000E3305">
        <w:rPr>
          <w:i/>
          <w:iCs/>
          <w:sz w:val="24"/>
          <w:szCs w:val="24"/>
        </w:rPr>
        <w:t xml:space="preserve"> </w:t>
      </w:r>
      <w:r w:rsidRPr="00DA5682">
        <w:rPr>
          <w:sz w:val="24"/>
          <w:szCs w:val="24"/>
        </w:rPr>
        <w:t>Print Name</w:t>
      </w:r>
      <w:r w:rsidR="000E3305">
        <w:rPr>
          <w:sz w:val="24"/>
          <w:szCs w:val="24"/>
        </w:rPr>
        <w:t xml:space="preserve">: Adele Eaton-Brown          </w:t>
      </w:r>
      <w:r w:rsidRPr="00DA5682">
        <w:rPr>
          <w:sz w:val="24"/>
          <w:szCs w:val="24"/>
        </w:rPr>
        <w:t>Date</w:t>
      </w:r>
      <w:r w:rsidR="000E3305">
        <w:rPr>
          <w:sz w:val="24"/>
          <w:szCs w:val="24"/>
        </w:rPr>
        <w:t>: 23/02/2026</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5CB2E" w14:textId="77777777" w:rsidR="00520256" w:rsidRDefault="00520256">
      <w:r>
        <w:separator/>
      </w:r>
    </w:p>
  </w:endnote>
  <w:endnote w:type="continuationSeparator" w:id="0">
    <w:p w14:paraId="51448C85" w14:textId="77777777" w:rsidR="00520256" w:rsidRDefault="005202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Fairwater Script">
    <w:charset w:val="00"/>
    <w:family w:val="auto"/>
    <w:pitch w:val="variable"/>
    <w:sig w:usb0="A000002F" w:usb1="1000004B"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C01C1" w14:textId="77777777" w:rsidR="00520256" w:rsidRDefault="00520256">
      <w:r>
        <w:separator/>
      </w:r>
    </w:p>
  </w:footnote>
  <w:footnote w:type="continuationSeparator" w:id="0">
    <w:p w14:paraId="0F413BCC" w14:textId="77777777" w:rsidR="00520256" w:rsidRDefault="005202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CFA5CE9"/>
    <w:multiLevelType w:val="hybridMultilevel"/>
    <w:tmpl w:val="0E100120"/>
    <w:lvl w:ilvl="0" w:tplc="8CB69E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BE1018"/>
    <w:multiLevelType w:val="hybridMultilevel"/>
    <w:tmpl w:val="4D0417C4"/>
    <w:lvl w:ilvl="0" w:tplc="D05E55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0"/>
  </w:num>
  <w:num w:numId="8" w16cid:durableId="1237400777">
    <w:abstractNumId w:val="32"/>
  </w:num>
  <w:num w:numId="9" w16cid:durableId="1914463563">
    <w:abstractNumId w:val="10"/>
  </w:num>
  <w:num w:numId="10" w16cid:durableId="693307142">
    <w:abstractNumId w:val="35"/>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3"/>
  </w:num>
  <w:num w:numId="26" w16cid:durableId="1104690971">
    <w:abstractNumId w:val="37"/>
  </w:num>
  <w:num w:numId="27" w16cid:durableId="1201670287">
    <w:abstractNumId w:val="42"/>
  </w:num>
  <w:num w:numId="28" w16cid:durableId="598562144">
    <w:abstractNumId w:val="21"/>
  </w:num>
  <w:num w:numId="29" w16cid:durableId="871068292">
    <w:abstractNumId w:val="45"/>
  </w:num>
  <w:num w:numId="30" w16cid:durableId="482159744">
    <w:abstractNumId w:val="33"/>
  </w:num>
  <w:num w:numId="31" w16cid:durableId="1565527110">
    <w:abstractNumId w:val="13"/>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2134589993">
    <w:abstractNumId w:val="31"/>
  </w:num>
  <w:num w:numId="55" w16cid:durableId="1015688109">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305"/>
    <w:rsid w:val="000E37C2"/>
    <w:rsid w:val="000E38C3"/>
    <w:rsid w:val="000F1599"/>
    <w:rsid w:val="000F1769"/>
    <w:rsid w:val="000F1A97"/>
    <w:rsid w:val="000F3682"/>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5882"/>
    <w:rsid w:val="00147DE3"/>
    <w:rsid w:val="00150794"/>
    <w:rsid w:val="00151DA6"/>
    <w:rsid w:val="001608C4"/>
    <w:rsid w:val="00164832"/>
    <w:rsid w:val="00171418"/>
    <w:rsid w:val="001772BF"/>
    <w:rsid w:val="001772DE"/>
    <w:rsid w:val="00182365"/>
    <w:rsid w:val="0019496C"/>
    <w:rsid w:val="001961CF"/>
    <w:rsid w:val="00196872"/>
    <w:rsid w:val="001A59BB"/>
    <w:rsid w:val="001A607E"/>
    <w:rsid w:val="001A6A51"/>
    <w:rsid w:val="001A79C4"/>
    <w:rsid w:val="001B331A"/>
    <w:rsid w:val="001C0237"/>
    <w:rsid w:val="001C0E74"/>
    <w:rsid w:val="001C4DB8"/>
    <w:rsid w:val="001C50B8"/>
    <w:rsid w:val="001D229F"/>
    <w:rsid w:val="001E2EB6"/>
    <w:rsid w:val="001F4552"/>
    <w:rsid w:val="001F4D46"/>
    <w:rsid w:val="002019EB"/>
    <w:rsid w:val="002044B2"/>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70F4"/>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43F2"/>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64B2"/>
    <w:rsid w:val="003D0D2D"/>
    <w:rsid w:val="003D1885"/>
    <w:rsid w:val="003D1BC0"/>
    <w:rsid w:val="003D20F1"/>
    <w:rsid w:val="003D4710"/>
    <w:rsid w:val="003E16D7"/>
    <w:rsid w:val="003E197E"/>
    <w:rsid w:val="003E29B5"/>
    <w:rsid w:val="003E4B70"/>
    <w:rsid w:val="003E54CF"/>
    <w:rsid w:val="003E5FBA"/>
    <w:rsid w:val="003F1233"/>
    <w:rsid w:val="003F67A4"/>
    <w:rsid w:val="00400786"/>
    <w:rsid w:val="00401FDA"/>
    <w:rsid w:val="004046F0"/>
    <w:rsid w:val="0040668F"/>
    <w:rsid w:val="00411EF7"/>
    <w:rsid w:val="00412677"/>
    <w:rsid w:val="004232F2"/>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0256"/>
    <w:rsid w:val="00521123"/>
    <w:rsid w:val="00521221"/>
    <w:rsid w:val="0052250B"/>
    <w:rsid w:val="00525F36"/>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1676"/>
    <w:rsid w:val="005F64AA"/>
    <w:rsid w:val="005F7851"/>
    <w:rsid w:val="00606E27"/>
    <w:rsid w:val="006108C9"/>
    <w:rsid w:val="00614DF7"/>
    <w:rsid w:val="0061625D"/>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05C0"/>
    <w:rsid w:val="006C2EB5"/>
    <w:rsid w:val="006D18A3"/>
    <w:rsid w:val="006D5970"/>
    <w:rsid w:val="006D72D7"/>
    <w:rsid w:val="006E481E"/>
    <w:rsid w:val="006E795F"/>
    <w:rsid w:val="006F0862"/>
    <w:rsid w:val="006F1438"/>
    <w:rsid w:val="006F2A9E"/>
    <w:rsid w:val="006F5806"/>
    <w:rsid w:val="006F5ED3"/>
    <w:rsid w:val="00700249"/>
    <w:rsid w:val="007069CD"/>
    <w:rsid w:val="00706BB5"/>
    <w:rsid w:val="0071231A"/>
    <w:rsid w:val="00712E90"/>
    <w:rsid w:val="00713B7E"/>
    <w:rsid w:val="00714667"/>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F6A"/>
    <w:rsid w:val="007F10BD"/>
    <w:rsid w:val="007F312E"/>
    <w:rsid w:val="007F33A9"/>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3FF4"/>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1EB"/>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062"/>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602A"/>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0FA"/>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6887"/>
    <w:rsid w:val="00B2754B"/>
    <w:rsid w:val="00B31C91"/>
    <w:rsid w:val="00B3747F"/>
    <w:rsid w:val="00B42E76"/>
    <w:rsid w:val="00B43194"/>
    <w:rsid w:val="00B436BF"/>
    <w:rsid w:val="00B44EEA"/>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3E2F"/>
    <w:rsid w:val="00C4664D"/>
    <w:rsid w:val="00C472AA"/>
    <w:rsid w:val="00C50A05"/>
    <w:rsid w:val="00C54AED"/>
    <w:rsid w:val="00C555FC"/>
    <w:rsid w:val="00C55E9B"/>
    <w:rsid w:val="00C56D09"/>
    <w:rsid w:val="00C57D24"/>
    <w:rsid w:val="00C604D6"/>
    <w:rsid w:val="00C61093"/>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6EA6"/>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5974"/>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3211"/>
    <w:rsid w:val="00FB5FA6"/>
    <w:rsid w:val="00FB7EB2"/>
    <w:rsid w:val="00FC0334"/>
    <w:rsid w:val="00FC1310"/>
    <w:rsid w:val="00FC2FF3"/>
    <w:rsid w:val="00FC311D"/>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8EE"/>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unhideWhenUsed/>
    <w:rsid w:val="005F167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5F1676"/>
    <w:rPr>
      <w:i/>
      <w:iCs/>
    </w:rPr>
  </w:style>
  <w:style w:type="paragraph" w:styleId="ListParagraph">
    <w:name w:val="List Paragraph"/>
    <w:basedOn w:val="Normal"/>
    <w:uiPriority w:val="34"/>
    <w:qFormat/>
    <w:rsid w:val="00525F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4" ma:contentTypeDescription="Create a new document." ma:contentTypeScope="" ma:versionID="3cbf8ddd46ebb354d833ba1df197354e">
  <xsd:schema xmlns:xsd="http://www.w3.org/2001/XMLSchema" xmlns:xs="http://www.w3.org/2001/XMLSchema" xmlns:p="http://schemas.microsoft.com/office/2006/metadata/properties" xmlns:ns2="d0dbf51a-2386-45fa-b5ae-93d18e57f4d7" targetNamespace="http://schemas.microsoft.com/office/2006/metadata/properties" ma:root="true" ma:fieldsID="9d9d139c0334212886edd8a4bf138839" ns2:_="">
    <xsd:import namespace="d0dbf51a-2386-45fa-b5ae-93d18e57f4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dbf51a-2386-45fa-b5ae-93d18e57f4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D3151DE-C283-4213-92C5-984F4C944EA8}">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d0dbf51a-2386-45fa-b5ae-93d18e57f4d7"/>
    <ds:schemaRef ds:uri="http://www.w3.org/XML/1998/namespace"/>
    <ds:schemaRef ds:uri="http://purl.org/dc/dcmitype/"/>
  </ds:schemaRefs>
</ds:datastoreItem>
</file>

<file path=customXml/itemProps3.xml><?xml version="1.0" encoding="utf-8"?>
<ds:datastoreItem xmlns:ds="http://schemas.openxmlformats.org/officeDocument/2006/customXml" ds:itemID="{F9E2917E-2CB5-4428-90B7-F51DF2575C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dbf51a-2386-45fa-b5ae-93d18e57f4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4844</Words>
  <Characters>27617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Courtney Honey-Jones</cp:lastModifiedBy>
  <cp:revision>2</cp:revision>
  <cp:lastPrinted>2020-02-11T19:20:00Z</cp:lastPrinted>
  <dcterms:created xsi:type="dcterms:W3CDTF">2026-02-23T11:56:00Z</dcterms:created>
  <dcterms:modified xsi:type="dcterms:W3CDTF">2026-02-23T11:56:00Z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