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67523" w:rsidRDefault="00E67523">
      <w:pPr>
        <w:spacing w:line="480" w:lineRule="auto"/>
        <w:rPr>
          <w:rFonts w:ascii="Times New Roman" w:eastAsia="Times New Roman" w:hAnsi="Times New Roman" w:cs="Times New Roman"/>
          <w:sz w:val="24"/>
          <w:szCs w:val="24"/>
        </w:rPr>
      </w:pPr>
    </w:p>
    <w:p w14:paraId="00000002" w14:textId="77777777" w:rsidR="00E67523" w:rsidRDefault="00E67523">
      <w:pPr>
        <w:spacing w:line="480" w:lineRule="auto"/>
        <w:ind w:firstLine="720"/>
        <w:rPr>
          <w:rFonts w:ascii="Times New Roman" w:eastAsia="Times New Roman" w:hAnsi="Times New Roman" w:cs="Times New Roman"/>
          <w:sz w:val="24"/>
          <w:szCs w:val="24"/>
        </w:rPr>
      </w:pPr>
    </w:p>
    <w:p w14:paraId="00000005" w14:textId="77777777" w:rsidR="00E67523" w:rsidRDefault="00E67523" w:rsidP="00267825">
      <w:pPr>
        <w:spacing w:line="480" w:lineRule="auto"/>
        <w:rPr>
          <w:rFonts w:ascii="Times New Roman" w:eastAsia="Times New Roman" w:hAnsi="Times New Roman" w:cs="Times New Roman"/>
          <w:sz w:val="24"/>
          <w:szCs w:val="24"/>
        </w:rPr>
      </w:pPr>
    </w:p>
    <w:p w14:paraId="00000006" w14:textId="77777777" w:rsidR="00E67523" w:rsidRDefault="00E67523">
      <w:pPr>
        <w:spacing w:line="480" w:lineRule="auto"/>
        <w:ind w:firstLine="720"/>
        <w:rPr>
          <w:rFonts w:ascii="Times New Roman" w:eastAsia="Times New Roman" w:hAnsi="Times New Roman" w:cs="Times New Roman"/>
          <w:sz w:val="24"/>
          <w:szCs w:val="24"/>
        </w:rPr>
      </w:pPr>
    </w:p>
    <w:p w14:paraId="00000007" w14:textId="77777777" w:rsidR="00E67523" w:rsidRPr="00D33F76" w:rsidRDefault="00000000" w:rsidP="00D33F76">
      <w:pPr>
        <w:ind w:left="360"/>
        <w:jc w:val="center"/>
        <w:rPr>
          <w:rFonts w:ascii="Times New Roman" w:eastAsia="Times New Roman" w:hAnsi="Times New Roman" w:cs="Times New Roman"/>
          <w:b/>
          <w:color w:val="FAFAFD"/>
          <w:sz w:val="44"/>
          <w:szCs w:val="44"/>
          <w:shd w:val="clear" w:color="auto" w:fill="273142"/>
        </w:rPr>
      </w:pPr>
      <w:r w:rsidRPr="00D33F76">
        <w:rPr>
          <w:rFonts w:ascii="Times New Roman" w:eastAsia="Times New Roman" w:hAnsi="Times New Roman" w:cs="Times New Roman"/>
          <w:b/>
          <w:sz w:val="44"/>
          <w:szCs w:val="44"/>
        </w:rPr>
        <w:t>Current Trends of Business Intelligence</w:t>
      </w:r>
    </w:p>
    <w:p w14:paraId="00000008" w14:textId="77777777" w:rsidR="00E67523" w:rsidRPr="00D33F76" w:rsidRDefault="00E67523" w:rsidP="00D33F76">
      <w:pPr>
        <w:spacing w:line="480" w:lineRule="auto"/>
        <w:jc w:val="center"/>
        <w:rPr>
          <w:rFonts w:ascii="Times New Roman" w:eastAsia="Times New Roman" w:hAnsi="Times New Roman" w:cs="Times New Roman"/>
          <w:sz w:val="44"/>
          <w:szCs w:val="44"/>
        </w:rPr>
      </w:pPr>
    </w:p>
    <w:p w14:paraId="0000000D" w14:textId="1718FAE8" w:rsidR="00E67523" w:rsidRPr="00D33F76" w:rsidRDefault="00CE22CB" w:rsidP="00D33F76">
      <w:pPr>
        <w:spacing w:line="480" w:lineRule="auto"/>
        <w:ind w:left="1080"/>
        <w:jc w:val="center"/>
        <w:rPr>
          <w:rFonts w:ascii="Times New Roman" w:eastAsia="Times New Roman" w:hAnsi="Times New Roman" w:cs="Times New Roman"/>
          <w:sz w:val="44"/>
          <w:szCs w:val="44"/>
        </w:rPr>
      </w:pPr>
      <w:r w:rsidRPr="00D33F76">
        <w:rPr>
          <w:rFonts w:ascii="Times New Roman" w:eastAsia="Times New Roman" w:hAnsi="Times New Roman" w:cs="Times New Roman"/>
          <w:sz w:val="44"/>
          <w:szCs w:val="44"/>
        </w:rPr>
        <w:t>Veselina Uchkunova</w:t>
      </w:r>
    </w:p>
    <w:p w14:paraId="345E6123" w14:textId="23C140CD" w:rsidR="00CE22CB" w:rsidRPr="00D33F76" w:rsidRDefault="00CE22CB" w:rsidP="00D33F76">
      <w:pPr>
        <w:spacing w:line="480" w:lineRule="auto"/>
        <w:ind w:left="720"/>
        <w:jc w:val="center"/>
        <w:rPr>
          <w:rFonts w:ascii="Times New Roman" w:eastAsia="Times New Roman" w:hAnsi="Times New Roman" w:cs="Times New Roman"/>
          <w:sz w:val="44"/>
          <w:szCs w:val="44"/>
        </w:rPr>
      </w:pPr>
    </w:p>
    <w:p w14:paraId="47DFBE15" w14:textId="64135A19" w:rsidR="00CE22CB" w:rsidRPr="00D33F76" w:rsidRDefault="00CE22CB" w:rsidP="00D33F76">
      <w:pPr>
        <w:spacing w:line="480" w:lineRule="auto"/>
        <w:ind w:left="1080"/>
        <w:jc w:val="center"/>
        <w:rPr>
          <w:rFonts w:ascii="Times New Roman" w:eastAsia="Times New Roman" w:hAnsi="Times New Roman" w:cs="Times New Roman"/>
          <w:sz w:val="44"/>
          <w:szCs w:val="44"/>
        </w:rPr>
      </w:pPr>
      <w:r w:rsidRPr="00D33F76">
        <w:rPr>
          <w:rFonts w:ascii="Times New Roman" w:eastAsia="Times New Roman" w:hAnsi="Times New Roman" w:cs="Times New Roman"/>
          <w:sz w:val="44"/>
          <w:szCs w:val="44"/>
        </w:rPr>
        <w:t>20</w:t>
      </w:r>
      <w:r w:rsidR="002853F9" w:rsidRPr="00D33F76">
        <w:rPr>
          <w:rFonts w:ascii="Times New Roman" w:eastAsia="Times New Roman" w:hAnsi="Times New Roman" w:cs="Times New Roman"/>
          <w:sz w:val="44"/>
          <w:szCs w:val="44"/>
        </w:rPr>
        <w:t>28272</w:t>
      </w:r>
    </w:p>
    <w:p w14:paraId="0000000E" w14:textId="77777777" w:rsidR="00E67523" w:rsidRDefault="00E67523">
      <w:pPr>
        <w:spacing w:line="480" w:lineRule="auto"/>
        <w:ind w:firstLine="720"/>
        <w:rPr>
          <w:rFonts w:ascii="Times New Roman" w:eastAsia="Times New Roman" w:hAnsi="Times New Roman" w:cs="Times New Roman"/>
          <w:sz w:val="24"/>
          <w:szCs w:val="24"/>
        </w:rPr>
      </w:pPr>
    </w:p>
    <w:p w14:paraId="0000000F" w14:textId="77777777" w:rsidR="00E67523" w:rsidRDefault="00E67523">
      <w:pPr>
        <w:spacing w:line="480" w:lineRule="auto"/>
        <w:ind w:firstLine="720"/>
        <w:rPr>
          <w:rFonts w:ascii="Times New Roman" w:eastAsia="Times New Roman" w:hAnsi="Times New Roman" w:cs="Times New Roman"/>
          <w:sz w:val="24"/>
          <w:szCs w:val="24"/>
        </w:rPr>
      </w:pPr>
    </w:p>
    <w:p w14:paraId="00000010" w14:textId="77777777" w:rsidR="00E67523" w:rsidRDefault="00E67523">
      <w:pPr>
        <w:spacing w:line="480" w:lineRule="auto"/>
        <w:ind w:firstLine="720"/>
        <w:rPr>
          <w:rFonts w:ascii="Times New Roman" w:eastAsia="Times New Roman" w:hAnsi="Times New Roman" w:cs="Times New Roman"/>
          <w:sz w:val="24"/>
          <w:szCs w:val="24"/>
        </w:rPr>
      </w:pPr>
    </w:p>
    <w:p w14:paraId="00000011" w14:textId="77777777" w:rsidR="00E67523" w:rsidRDefault="00E67523">
      <w:pPr>
        <w:spacing w:line="480" w:lineRule="auto"/>
        <w:ind w:firstLine="720"/>
        <w:rPr>
          <w:rFonts w:ascii="Times New Roman" w:eastAsia="Times New Roman" w:hAnsi="Times New Roman" w:cs="Times New Roman"/>
          <w:sz w:val="24"/>
          <w:szCs w:val="24"/>
        </w:rPr>
      </w:pPr>
    </w:p>
    <w:p w14:paraId="00000012" w14:textId="77777777" w:rsidR="00E67523" w:rsidRDefault="00E67523">
      <w:pPr>
        <w:spacing w:line="480" w:lineRule="auto"/>
        <w:ind w:firstLine="720"/>
        <w:rPr>
          <w:rFonts w:ascii="Times New Roman" w:eastAsia="Times New Roman" w:hAnsi="Times New Roman" w:cs="Times New Roman"/>
          <w:sz w:val="24"/>
          <w:szCs w:val="24"/>
        </w:rPr>
      </w:pPr>
    </w:p>
    <w:p w14:paraId="00000013" w14:textId="77777777" w:rsidR="00E67523" w:rsidRDefault="00E67523">
      <w:pPr>
        <w:spacing w:line="480" w:lineRule="auto"/>
        <w:ind w:firstLine="720"/>
        <w:rPr>
          <w:rFonts w:ascii="Times New Roman" w:eastAsia="Times New Roman" w:hAnsi="Times New Roman" w:cs="Times New Roman"/>
          <w:sz w:val="24"/>
          <w:szCs w:val="24"/>
        </w:rPr>
      </w:pPr>
    </w:p>
    <w:p w14:paraId="00000014" w14:textId="77777777" w:rsidR="00E67523" w:rsidRDefault="00E67523">
      <w:pPr>
        <w:spacing w:line="480" w:lineRule="auto"/>
        <w:ind w:firstLine="720"/>
        <w:rPr>
          <w:rFonts w:ascii="Times New Roman" w:eastAsia="Times New Roman" w:hAnsi="Times New Roman" w:cs="Times New Roman"/>
          <w:sz w:val="24"/>
          <w:szCs w:val="24"/>
        </w:rPr>
      </w:pPr>
    </w:p>
    <w:p w14:paraId="00000015" w14:textId="77777777" w:rsidR="00E67523" w:rsidRDefault="00E67523">
      <w:pPr>
        <w:spacing w:line="480" w:lineRule="auto"/>
        <w:ind w:firstLine="720"/>
        <w:rPr>
          <w:rFonts w:ascii="Times New Roman" w:eastAsia="Times New Roman" w:hAnsi="Times New Roman" w:cs="Times New Roman"/>
          <w:sz w:val="24"/>
          <w:szCs w:val="24"/>
        </w:rPr>
      </w:pPr>
    </w:p>
    <w:p w14:paraId="00000016" w14:textId="77777777" w:rsidR="00E67523" w:rsidRDefault="00E67523">
      <w:pPr>
        <w:spacing w:line="480" w:lineRule="auto"/>
        <w:ind w:firstLine="720"/>
        <w:rPr>
          <w:rFonts w:ascii="Times New Roman" w:eastAsia="Times New Roman" w:hAnsi="Times New Roman" w:cs="Times New Roman"/>
          <w:sz w:val="24"/>
          <w:szCs w:val="24"/>
        </w:rPr>
      </w:pPr>
    </w:p>
    <w:p w14:paraId="00000017" w14:textId="77777777" w:rsidR="00E67523" w:rsidRDefault="00E67523">
      <w:pPr>
        <w:spacing w:line="480" w:lineRule="auto"/>
        <w:ind w:firstLine="720"/>
        <w:rPr>
          <w:rFonts w:ascii="Times New Roman" w:eastAsia="Times New Roman" w:hAnsi="Times New Roman" w:cs="Times New Roman"/>
          <w:sz w:val="24"/>
          <w:szCs w:val="24"/>
        </w:rPr>
      </w:pPr>
    </w:p>
    <w:p w14:paraId="00000018" w14:textId="77777777" w:rsidR="00E67523" w:rsidRDefault="00E67523">
      <w:pPr>
        <w:spacing w:line="480" w:lineRule="auto"/>
        <w:ind w:firstLine="720"/>
        <w:rPr>
          <w:rFonts w:ascii="Times New Roman" w:eastAsia="Times New Roman" w:hAnsi="Times New Roman" w:cs="Times New Roman"/>
          <w:sz w:val="24"/>
          <w:szCs w:val="24"/>
        </w:rPr>
      </w:pPr>
    </w:p>
    <w:p w14:paraId="00000019" w14:textId="77777777" w:rsidR="00E67523"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Current Trends of Business Intelligence</w:t>
      </w:r>
    </w:p>
    <w:p w14:paraId="0000001A" w14:textId="77777777" w:rsidR="00E67523" w:rsidRDefault="00000000">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Business intelligence (BI) has significantly transformed over the past decade. The explosion of data and the rise of the cloud have made it easier for businesses of all sizes to access and analyze data in real time. This has led to a shift away from traditional spreadsheets and towards more actionable and insightful data visualizations and interactive business dashboards. The rise of self-service analytics has also democratized the data product chain, making advanced analytics more accessible to non-analysts. In 2021, the BI industry saw significant developments, and the future of BI is poised to continue evolving. In the coming years, we can expect BI tools and strategies to become increasingly customized, with businesses seeking the best BI solutions for their specific needs (</w:t>
      </w:r>
      <w:proofErr w:type="spellStart"/>
      <w:r>
        <w:rPr>
          <w:rFonts w:ascii="Times New Roman" w:eastAsia="Times New Roman" w:hAnsi="Times New Roman" w:cs="Times New Roman"/>
          <w:color w:val="0E101A"/>
          <w:sz w:val="24"/>
          <w:szCs w:val="24"/>
        </w:rPr>
        <w:t>Božič</w:t>
      </w:r>
      <w:proofErr w:type="spellEnd"/>
      <w:r>
        <w:rPr>
          <w:rFonts w:ascii="Times New Roman" w:eastAsia="Times New Roman" w:hAnsi="Times New Roman" w:cs="Times New Roman"/>
          <w:color w:val="0E101A"/>
          <w:sz w:val="24"/>
          <w:szCs w:val="24"/>
        </w:rPr>
        <w:t xml:space="preserve"> &amp; </w:t>
      </w:r>
      <w:proofErr w:type="spellStart"/>
      <w:r>
        <w:rPr>
          <w:rFonts w:ascii="Times New Roman" w:eastAsia="Times New Roman" w:hAnsi="Times New Roman" w:cs="Times New Roman"/>
          <w:color w:val="0E101A"/>
          <w:sz w:val="24"/>
          <w:szCs w:val="24"/>
        </w:rPr>
        <w:t>Dimovski</w:t>
      </w:r>
      <w:proofErr w:type="spellEnd"/>
      <w:r>
        <w:rPr>
          <w:rFonts w:ascii="Times New Roman" w:eastAsia="Times New Roman" w:hAnsi="Times New Roman" w:cs="Times New Roman"/>
          <w:color w:val="0E101A"/>
          <w:sz w:val="24"/>
          <w:szCs w:val="24"/>
        </w:rPr>
        <w:t>, 2019). Data visualizations will continue to play a crucial role in analysis, and organizations will look for the best ways to tell their data stories with the help of modern BI dashboard software. Data security and discovery will also be major focus areas as organizations seek to protect their data and uncover hidden insights. Additionally, collaborative BI and artificial intelligence will become more prevalent as organizations look for ways to work more efficiently and derive greater value from their data.</w:t>
      </w:r>
    </w:p>
    <w:p w14:paraId="0000001B" w14:textId="77777777" w:rsidR="00E67523" w:rsidRDefault="00000000">
      <w:pPr>
        <w:spacing w:line="48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Increased adoption of cloud-based BI platforms</w:t>
      </w:r>
    </w:p>
    <w:p w14:paraId="0000001C" w14:textId="77777777" w:rsidR="00E67523" w:rsidRDefault="00000000">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The adoption of cloud-based BI platforms has been on the rise in recent years, with over 50% of organizations now using these platforms, according to a survey by Gartner (Chen et al., 2020). This trend is expected to continue as more organizations recognize the benefits of cloud-based BI, including cost savings, scalability, and faster deployment times (DeCarlo et al., 2019). Cloud-based BI platforms are software that allows organizations to access and analyze their data from any location with an internet connection. Unlike on-premises BI solutions, which require an upfront investment in hardware and software, cloud-based BI platforms are accessed via a web </w:t>
      </w:r>
      <w:r>
        <w:rPr>
          <w:rFonts w:ascii="Times New Roman" w:eastAsia="Times New Roman" w:hAnsi="Times New Roman" w:cs="Times New Roman"/>
          <w:color w:val="0E101A"/>
          <w:sz w:val="24"/>
          <w:szCs w:val="24"/>
        </w:rPr>
        <w:lastRenderedPageBreak/>
        <w:t xml:space="preserve">browser and do not require any additional infrastructure. This makes them a cost-effective and scalable option for organizations looking to optimize their data analysis capabilities. </w:t>
      </w:r>
    </w:p>
    <w:p w14:paraId="0000001D" w14:textId="77777777" w:rsidR="00E67523" w:rsidRDefault="00000000">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Cloud-based BI platforms offer several benefits over on-premises solutions. For one, they are generally easier to set up and maintain, as the vendor handles all the infrastructure and maintenance tasks. This can save organizations time and resources that would otherwise be spent on maintaining and updating the BI software (Ain et al., 2019). Additionally, cloud-based BI platforms are more flexible, as they can be accessed from any location with an internet connection. This makes it possible for organizations to analyze their data in real-time, regardless of where their employees are. Finally, cloud-based BI platforms are typically more cost-effective than on-premises solutions, as they do not require any upfront investment in hardware and software. As a result, cloud-based BI has become a popular choice for organizations looking to optimize their data analysis capabilities.</w:t>
      </w:r>
    </w:p>
    <w:p w14:paraId="0000001E" w14:textId="77777777" w:rsidR="00E67523" w:rsidRDefault="00000000">
      <w:pPr>
        <w:spacing w:line="48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Greater focus on data visualization</w:t>
      </w:r>
    </w:p>
    <w:p w14:paraId="0000001F" w14:textId="77777777" w:rsidR="00E67523" w:rsidRDefault="00000000">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Data visualization refers to using charts, graphs, maps, and other visual elements to represent and communicate data. Data visualization aims to make data more easily understood and interpreted by presenting it in a visual format(</w:t>
      </w:r>
      <w:proofErr w:type="spellStart"/>
      <w:r>
        <w:rPr>
          <w:rFonts w:ascii="Times New Roman" w:eastAsia="Times New Roman" w:hAnsi="Times New Roman" w:cs="Times New Roman"/>
          <w:color w:val="0E101A"/>
          <w:sz w:val="24"/>
          <w:szCs w:val="24"/>
        </w:rPr>
        <w:t>Divatia</w:t>
      </w:r>
      <w:proofErr w:type="spellEnd"/>
      <w:r>
        <w:rPr>
          <w:rFonts w:ascii="Times New Roman" w:eastAsia="Times New Roman" w:hAnsi="Times New Roman" w:cs="Times New Roman"/>
          <w:color w:val="0E101A"/>
          <w:sz w:val="24"/>
          <w:szCs w:val="24"/>
        </w:rPr>
        <w:t xml:space="preserve">, </w:t>
      </w:r>
      <w:proofErr w:type="spellStart"/>
      <w:r>
        <w:rPr>
          <w:rFonts w:ascii="Times New Roman" w:eastAsia="Times New Roman" w:hAnsi="Times New Roman" w:cs="Times New Roman"/>
          <w:color w:val="0E101A"/>
          <w:sz w:val="24"/>
          <w:szCs w:val="24"/>
        </w:rPr>
        <w:t>Tikoria</w:t>
      </w:r>
      <w:proofErr w:type="spellEnd"/>
      <w:r>
        <w:rPr>
          <w:rFonts w:ascii="Times New Roman" w:eastAsia="Times New Roman" w:hAnsi="Times New Roman" w:cs="Times New Roman"/>
          <w:color w:val="0E101A"/>
          <w:sz w:val="24"/>
          <w:szCs w:val="24"/>
        </w:rPr>
        <w:t xml:space="preserve"> &amp; </w:t>
      </w:r>
      <w:proofErr w:type="spellStart"/>
      <w:r>
        <w:rPr>
          <w:rFonts w:ascii="Times New Roman" w:eastAsia="Times New Roman" w:hAnsi="Times New Roman" w:cs="Times New Roman"/>
          <w:color w:val="0E101A"/>
          <w:sz w:val="24"/>
          <w:szCs w:val="24"/>
        </w:rPr>
        <w:t>Lakdawala</w:t>
      </w:r>
      <w:proofErr w:type="spellEnd"/>
      <w:r>
        <w:rPr>
          <w:rFonts w:ascii="Times New Roman" w:eastAsia="Times New Roman" w:hAnsi="Times New Roman" w:cs="Times New Roman"/>
          <w:color w:val="0E101A"/>
          <w:sz w:val="24"/>
          <w:szCs w:val="24"/>
        </w:rPr>
        <w:t>, 2021). By using data visualization tools, organizations can identify patterns and trends in their data that might not be immediately apparent from raw data. They can also communicate complex data in a more easily digestible and visually appealing way.</w:t>
      </w:r>
    </w:p>
    <w:p w14:paraId="00000020" w14:textId="77777777" w:rsidR="00E67523" w:rsidRDefault="00000000">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There is a growing recognition of the importance of data visualization in business intelligence, as it allows organizations to communicate complex data in a more easily digestible and visually appealing format (Huang et al., 2018). Effective data visualization can also help organizations identify patterns and trends in their data that might not be immediately apparent </w:t>
      </w:r>
      <w:r>
        <w:rPr>
          <w:rFonts w:ascii="Times New Roman" w:eastAsia="Times New Roman" w:hAnsi="Times New Roman" w:cs="Times New Roman"/>
          <w:color w:val="0E101A"/>
          <w:sz w:val="24"/>
          <w:szCs w:val="24"/>
        </w:rPr>
        <w:lastRenderedPageBreak/>
        <w:t xml:space="preserve">from raw data (González et al., 2019). Data visualization tools like charts, graphs, and maps can help users better understand and interpret data. They can be used to present data to stakeholders more engaging and </w:t>
      </w:r>
      <w:proofErr w:type="spellStart"/>
      <w:r>
        <w:rPr>
          <w:rFonts w:ascii="Times New Roman" w:eastAsia="Times New Roman" w:hAnsi="Times New Roman" w:cs="Times New Roman"/>
          <w:color w:val="0E101A"/>
          <w:sz w:val="24"/>
          <w:szCs w:val="24"/>
        </w:rPr>
        <w:t>impactfully</w:t>
      </w:r>
      <w:proofErr w:type="spellEnd"/>
      <w:r>
        <w:rPr>
          <w:rFonts w:ascii="Times New Roman" w:eastAsia="Times New Roman" w:hAnsi="Times New Roman" w:cs="Times New Roman"/>
          <w:color w:val="0E101A"/>
          <w:sz w:val="24"/>
          <w:szCs w:val="24"/>
        </w:rPr>
        <w:t>. As the amount of data available to organizations continues to grow, effectively visualizing data will become increasingly important for making informed decisions.</w:t>
      </w:r>
    </w:p>
    <w:p w14:paraId="00000021" w14:textId="77777777" w:rsidR="00E67523" w:rsidRDefault="00000000">
      <w:pPr>
        <w:spacing w:line="48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Increased use of artificial intelligence and machine learning</w:t>
      </w:r>
    </w:p>
    <w:p w14:paraId="00000022" w14:textId="77777777" w:rsidR="00E67523" w:rsidRDefault="00000000">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Many BI platforms now incorporate artificial intelligence and machine learning capabilities, which can help organizations automate processes, identify patterns in data, and make more accurate predictions (</w:t>
      </w:r>
      <w:proofErr w:type="spellStart"/>
      <w:r>
        <w:rPr>
          <w:rFonts w:ascii="Times New Roman" w:eastAsia="Times New Roman" w:hAnsi="Times New Roman" w:cs="Times New Roman"/>
          <w:color w:val="0E101A"/>
          <w:sz w:val="24"/>
          <w:szCs w:val="24"/>
        </w:rPr>
        <w:t>Verma</w:t>
      </w:r>
      <w:proofErr w:type="spellEnd"/>
      <w:r>
        <w:rPr>
          <w:rFonts w:ascii="Times New Roman" w:eastAsia="Times New Roman" w:hAnsi="Times New Roman" w:cs="Times New Roman"/>
          <w:color w:val="0E101A"/>
          <w:sz w:val="24"/>
          <w:szCs w:val="24"/>
        </w:rPr>
        <w:t xml:space="preserve"> et al., 2020). This trend is expected to continue as organizations seek to derive more value from their data (García et al., 2021). Artificial intelligence and machine learning can analyze large and complex datasets, identify trends and patterns that may not be immediately apparent to humans, and make predictions based on that analysis. For example, an organization might use machine learning to predict customer churn or identify cross-selling opportunities. As these technologies become more prevalent in BI, they will likely transform how organizations use data to drive business decisions.</w:t>
      </w:r>
    </w:p>
    <w:p w14:paraId="00000023" w14:textId="77777777" w:rsidR="00E67523" w:rsidRDefault="00000000">
      <w:pPr>
        <w:spacing w:line="48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Greater emphasis on data security</w:t>
      </w:r>
    </w:p>
    <w:p w14:paraId="00000024" w14:textId="77777777" w:rsidR="00E67523" w:rsidRDefault="00000000">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With the increasing amount of data being collected and stored by organizations, data security has become a major concern (Liu et al., 2020). BI platforms that prioritize data security, such as those that offer encryption and access controls, will likely be in high demand in the coming years (Yao et al., 2019). Data security is crucial for protecting sensitive information, such as customer data and financial records. Maintaining stakeholders' trust, such as customers and shareholders, is also important. As the amount of data being generated and stored continues </w:t>
      </w:r>
      <w:r>
        <w:rPr>
          <w:rFonts w:ascii="Times New Roman" w:eastAsia="Times New Roman" w:hAnsi="Times New Roman" w:cs="Times New Roman"/>
          <w:color w:val="0E101A"/>
          <w:sz w:val="24"/>
          <w:szCs w:val="24"/>
        </w:rPr>
        <w:lastRenderedPageBreak/>
        <w:t>to grow, organizations need to invest in BI platforms that offer robust security measures to protect that data.</w:t>
      </w:r>
    </w:p>
    <w:p w14:paraId="00000025" w14:textId="77777777" w:rsidR="00E67523" w:rsidRDefault="00000000">
      <w:pPr>
        <w:spacing w:line="48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Rise of self-service BI</w:t>
      </w:r>
    </w:p>
    <w:p w14:paraId="00000026" w14:textId="77777777" w:rsidR="00E67523" w:rsidRDefault="00000000">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Self-service BI refers to tools that allow users to access and analyze data without IT support (Le et al., 2020). This trend has recently gained popularity as it enables organizations to become more agile and responsive to changing business needs (Wang et al., 2018). With self-service BI, business users can access and analyze data independently without waiting for IT to create reports or dashboards. This empowers business users to get the insights they need when they need them, enabling them to make more informed decisions and take timely action.</w:t>
      </w:r>
    </w:p>
    <w:p w14:paraId="00000027" w14:textId="77777777" w:rsidR="00E67523" w:rsidRDefault="00000000">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Self-service BI has become increasingly popular as it allows organizations to become more agile and responsive to changing business needs. With self-service BI, business users can access and analyze data independently without IT support (Le et al., 2020). This can help organizations make data-driven decisions more quickly and efficiently, as business users do not have to wait for IT to create reports or dashboards.</w:t>
      </w:r>
    </w:p>
    <w:p w14:paraId="00000028" w14:textId="77777777" w:rsidR="00E67523" w:rsidRDefault="00000000">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One of the main benefits of self-service BI is that it empowers business users to get the insights they need when they need them. With traditional BI systems, business users often had to rely on IT to create reports and dashboards, which could be time-consuming. With self-service BI, business users can access and analyze data independently, making more informed decisions and taking timely action.In addition to empowering business users, self-service BI can also help organizations to become more agile and responsive to changing business needs. However in  traditional BI systems, it can take time for organizations to respond quickly to changing market conditions or customer needs (Richardson et al., 2020). With self-service BI, business users can </w:t>
      </w:r>
      <w:r>
        <w:rPr>
          <w:rFonts w:ascii="Times New Roman" w:eastAsia="Times New Roman" w:hAnsi="Times New Roman" w:cs="Times New Roman"/>
          <w:color w:val="0E101A"/>
          <w:sz w:val="24"/>
          <w:szCs w:val="24"/>
        </w:rPr>
        <w:lastRenderedPageBreak/>
        <w:t>access and analyze data independently, allowing them to identify and respond to changes in real time.</w:t>
      </w:r>
    </w:p>
    <w:p w14:paraId="00000029" w14:textId="77777777" w:rsidR="00E67523" w:rsidRDefault="00E67523">
      <w:pPr>
        <w:spacing w:line="480" w:lineRule="auto"/>
        <w:ind w:firstLine="720"/>
        <w:rPr>
          <w:rFonts w:ascii="Times New Roman" w:eastAsia="Times New Roman" w:hAnsi="Times New Roman" w:cs="Times New Roman"/>
          <w:sz w:val="24"/>
          <w:szCs w:val="24"/>
        </w:rPr>
      </w:pPr>
    </w:p>
    <w:p w14:paraId="0000002A" w14:textId="77777777" w:rsidR="00E67523" w:rsidRDefault="00E67523">
      <w:pPr>
        <w:spacing w:line="480" w:lineRule="auto"/>
        <w:ind w:firstLine="720"/>
        <w:rPr>
          <w:rFonts w:ascii="Times New Roman" w:eastAsia="Times New Roman" w:hAnsi="Times New Roman" w:cs="Times New Roman"/>
          <w:sz w:val="24"/>
          <w:szCs w:val="24"/>
        </w:rPr>
      </w:pPr>
    </w:p>
    <w:p w14:paraId="0000002B" w14:textId="77777777" w:rsidR="00E67523" w:rsidRDefault="00E67523">
      <w:pPr>
        <w:spacing w:line="480" w:lineRule="auto"/>
        <w:ind w:firstLine="720"/>
        <w:rPr>
          <w:rFonts w:ascii="Times New Roman" w:eastAsia="Times New Roman" w:hAnsi="Times New Roman" w:cs="Times New Roman"/>
          <w:sz w:val="24"/>
          <w:szCs w:val="24"/>
        </w:rPr>
      </w:pPr>
    </w:p>
    <w:p w14:paraId="0000002C" w14:textId="77777777" w:rsidR="00E67523" w:rsidRDefault="00E67523">
      <w:pPr>
        <w:spacing w:line="480" w:lineRule="auto"/>
        <w:ind w:firstLine="720"/>
        <w:rPr>
          <w:rFonts w:ascii="Times New Roman" w:eastAsia="Times New Roman" w:hAnsi="Times New Roman" w:cs="Times New Roman"/>
          <w:sz w:val="24"/>
          <w:szCs w:val="24"/>
        </w:rPr>
      </w:pPr>
    </w:p>
    <w:p w14:paraId="0000002D" w14:textId="77777777" w:rsidR="00E67523" w:rsidRDefault="00E67523">
      <w:pPr>
        <w:spacing w:line="480" w:lineRule="auto"/>
        <w:ind w:firstLine="720"/>
        <w:rPr>
          <w:rFonts w:ascii="Times New Roman" w:eastAsia="Times New Roman" w:hAnsi="Times New Roman" w:cs="Times New Roman"/>
          <w:sz w:val="24"/>
          <w:szCs w:val="24"/>
        </w:rPr>
      </w:pPr>
    </w:p>
    <w:p w14:paraId="0000002E" w14:textId="77777777" w:rsidR="00E67523" w:rsidRDefault="00E67523">
      <w:pPr>
        <w:spacing w:line="480" w:lineRule="auto"/>
        <w:ind w:firstLine="720"/>
        <w:rPr>
          <w:rFonts w:ascii="Times New Roman" w:eastAsia="Times New Roman" w:hAnsi="Times New Roman" w:cs="Times New Roman"/>
          <w:sz w:val="24"/>
          <w:szCs w:val="24"/>
        </w:rPr>
      </w:pPr>
    </w:p>
    <w:p w14:paraId="0000002F" w14:textId="77777777" w:rsidR="00E67523" w:rsidRDefault="00E67523">
      <w:pPr>
        <w:spacing w:line="480" w:lineRule="auto"/>
        <w:ind w:firstLine="720"/>
        <w:rPr>
          <w:rFonts w:ascii="Times New Roman" w:eastAsia="Times New Roman" w:hAnsi="Times New Roman" w:cs="Times New Roman"/>
          <w:sz w:val="24"/>
          <w:szCs w:val="24"/>
        </w:rPr>
      </w:pPr>
    </w:p>
    <w:p w14:paraId="00000030" w14:textId="77777777" w:rsidR="00E67523" w:rsidRDefault="00E67523">
      <w:pPr>
        <w:spacing w:line="480" w:lineRule="auto"/>
        <w:ind w:firstLine="720"/>
        <w:rPr>
          <w:rFonts w:ascii="Times New Roman" w:eastAsia="Times New Roman" w:hAnsi="Times New Roman" w:cs="Times New Roman"/>
          <w:sz w:val="24"/>
          <w:szCs w:val="24"/>
        </w:rPr>
      </w:pPr>
    </w:p>
    <w:p w14:paraId="00000031" w14:textId="77777777" w:rsidR="00E67523" w:rsidRDefault="00E67523">
      <w:pPr>
        <w:spacing w:line="480" w:lineRule="auto"/>
        <w:ind w:firstLine="720"/>
        <w:rPr>
          <w:rFonts w:ascii="Times New Roman" w:eastAsia="Times New Roman" w:hAnsi="Times New Roman" w:cs="Times New Roman"/>
          <w:sz w:val="24"/>
          <w:szCs w:val="24"/>
        </w:rPr>
      </w:pPr>
    </w:p>
    <w:p w14:paraId="00000032" w14:textId="77777777" w:rsidR="00E67523" w:rsidRDefault="00E67523">
      <w:pPr>
        <w:spacing w:line="480" w:lineRule="auto"/>
        <w:ind w:firstLine="720"/>
        <w:rPr>
          <w:rFonts w:ascii="Times New Roman" w:eastAsia="Times New Roman" w:hAnsi="Times New Roman" w:cs="Times New Roman"/>
          <w:sz w:val="24"/>
          <w:szCs w:val="24"/>
        </w:rPr>
      </w:pPr>
    </w:p>
    <w:p w14:paraId="00000033" w14:textId="77777777" w:rsidR="00E67523" w:rsidRDefault="00E67523">
      <w:pPr>
        <w:spacing w:line="480" w:lineRule="auto"/>
        <w:ind w:firstLine="720"/>
        <w:rPr>
          <w:rFonts w:ascii="Times New Roman" w:eastAsia="Times New Roman" w:hAnsi="Times New Roman" w:cs="Times New Roman"/>
          <w:sz w:val="24"/>
          <w:szCs w:val="24"/>
        </w:rPr>
      </w:pPr>
    </w:p>
    <w:p w14:paraId="00000034" w14:textId="77777777" w:rsidR="00E67523" w:rsidRDefault="00E67523">
      <w:pPr>
        <w:spacing w:line="480" w:lineRule="auto"/>
        <w:ind w:firstLine="720"/>
        <w:rPr>
          <w:rFonts w:ascii="Times New Roman" w:eastAsia="Times New Roman" w:hAnsi="Times New Roman" w:cs="Times New Roman"/>
          <w:sz w:val="24"/>
          <w:szCs w:val="24"/>
        </w:rPr>
      </w:pPr>
    </w:p>
    <w:p w14:paraId="00000035" w14:textId="77777777" w:rsidR="00E67523" w:rsidRDefault="00E67523">
      <w:pPr>
        <w:spacing w:line="480" w:lineRule="auto"/>
        <w:ind w:firstLine="720"/>
        <w:rPr>
          <w:rFonts w:ascii="Times New Roman" w:eastAsia="Times New Roman" w:hAnsi="Times New Roman" w:cs="Times New Roman"/>
          <w:sz w:val="24"/>
          <w:szCs w:val="24"/>
        </w:rPr>
      </w:pPr>
    </w:p>
    <w:p w14:paraId="00000036" w14:textId="77777777" w:rsidR="00E67523" w:rsidRDefault="00E67523">
      <w:pPr>
        <w:spacing w:line="480" w:lineRule="auto"/>
        <w:ind w:firstLine="720"/>
        <w:rPr>
          <w:rFonts w:ascii="Times New Roman" w:eastAsia="Times New Roman" w:hAnsi="Times New Roman" w:cs="Times New Roman"/>
          <w:sz w:val="24"/>
          <w:szCs w:val="24"/>
        </w:rPr>
      </w:pPr>
    </w:p>
    <w:p w14:paraId="00000037" w14:textId="77777777" w:rsidR="00E67523" w:rsidRDefault="00E67523">
      <w:pPr>
        <w:spacing w:line="480" w:lineRule="auto"/>
        <w:ind w:firstLine="720"/>
        <w:rPr>
          <w:rFonts w:ascii="Times New Roman" w:eastAsia="Times New Roman" w:hAnsi="Times New Roman" w:cs="Times New Roman"/>
          <w:sz w:val="24"/>
          <w:szCs w:val="24"/>
        </w:rPr>
      </w:pPr>
    </w:p>
    <w:p w14:paraId="00000038" w14:textId="77777777" w:rsidR="00E67523" w:rsidRDefault="00E67523">
      <w:pPr>
        <w:spacing w:line="480" w:lineRule="auto"/>
        <w:ind w:firstLine="720"/>
        <w:rPr>
          <w:rFonts w:ascii="Times New Roman" w:eastAsia="Times New Roman" w:hAnsi="Times New Roman" w:cs="Times New Roman"/>
          <w:sz w:val="24"/>
          <w:szCs w:val="24"/>
        </w:rPr>
      </w:pPr>
    </w:p>
    <w:p w14:paraId="00000039" w14:textId="77777777" w:rsidR="00E67523" w:rsidRDefault="00E67523">
      <w:pPr>
        <w:spacing w:line="480" w:lineRule="auto"/>
        <w:ind w:firstLine="720"/>
        <w:rPr>
          <w:rFonts w:ascii="Times New Roman" w:eastAsia="Times New Roman" w:hAnsi="Times New Roman" w:cs="Times New Roman"/>
          <w:sz w:val="24"/>
          <w:szCs w:val="24"/>
        </w:rPr>
      </w:pPr>
    </w:p>
    <w:p w14:paraId="0000003A" w14:textId="77777777" w:rsidR="00E67523" w:rsidRDefault="00E67523">
      <w:pPr>
        <w:spacing w:line="480" w:lineRule="auto"/>
        <w:ind w:firstLine="720"/>
        <w:rPr>
          <w:rFonts w:ascii="Times New Roman" w:eastAsia="Times New Roman" w:hAnsi="Times New Roman" w:cs="Times New Roman"/>
          <w:sz w:val="24"/>
          <w:szCs w:val="24"/>
        </w:rPr>
      </w:pPr>
    </w:p>
    <w:p w14:paraId="0000003B" w14:textId="77777777" w:rsidR="00E67523" w:rsidRDefault="00E67523">
      <w:pPr>
        <w:spacing w:line="480" w:lineRule="auto"/>
        <w:ind w:firstLine="720"/>
        <w:rPr>
          <w:rFonts w:ascii="Times New Roman" w:eastAsia="Times New Roman" w:hAnsi="Times New Roman" w:cs="Times New Roman"/>
          <w:sz w:val="24"/>
          <w:szCs w:val="24"/>
        </w:rPr>
      </w:pPr>
    </w:p>
    <w:p w14:paraId="0000003C" w14:textId="77777777" w:rsidR="00E67523" w:rsidRDefault="00E67523">
      <w:pPr>
        <w:spacing w:line="480" w:lineRule="auto"/>
        <w:ind w:firstLine="720"/>
        <w:rPr>
          <w:rFonts w:ascii="Times New Roman" w:eastAsia="Times New Roman" w:hAnsi="Times New Roman" w:cs="Times New Roman"/>
          <w:sz w:val="24"/>
          <w:szCs w:val="24"/>
        </w:rPr>
      </w:pPr>
    </w:p>
    <w:p w14:paraId="0000003D" w14:textId="77777777" w:rsidR="00E67523" w:rsidRDefault="00E67523">
      <w:pPr>
        <w:spacing w:line="480" w:lineRule="auto"/>
        <w:ind w:firstLine="720"/>
        <w:rPr>
          <w:rFonts w:ascii="Times New Roman" w:eastAsia="Times New Roman" w:hAnsi="Times New Roman" w:cs="Times New Roman"/>
          <w:sz w:val="24"/>
          <w:szCs w:val="24"/>
        </w:rPr>
      </w:pPr>
    </w:p>
    <w:p w14:paraId="0000003E" w14:textId="77777777" w:rsidR="00E67523" w:rsidRDefault="00000000">
      <w:pPr>
        <w:spacing w:line="48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 References</w:t>
      </w:r>
    </w:p>
    <w:p w14:paraId="0000003F" w14:textId="77777777" w:rsidR="00E67523"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Ain, N., </w:t>
      </w:r>
      <w:proofErr w:type="spellStart"/>
      <w:r>
        <w:rPr>
          <w:rFonts w:ascii="Times New Roman" w:eastAsia="Times New Roman" w:hAnsi="Times New Roman" w:cs="Times New Roman"/>
          <w:sz w:val="24"/>
          <w:szCs w:val="24"/>
        </w:rPr>
        <w:t>Vaia</w:t>
      </w:r>
      <w:proofErr w:type="spellEnd"/>
      <w:r>
        <w:rPr>
          <w:rFonts w:ascii="Times New Roman" w:eastAsia="Times New Roman" w:hAnsi="Times New Roman" w:cs="Times New Roman"/>
          <w:sz w:val="24"/>
          <w:szCs w:val="24"/>
        </w:rPr>
        <w:t xml:space="preserve">, G., DeLone, W. H., &amp; </w:t>
      </w:r>
      <w:proofErr w:type="spellStart"/>
      <w:r>
        <w:rPr>
          <w:rFonts w:ascii="Times New Roman" w:eastAsia="Times New Roman" w:hAnsi="Times New Roman" w:cs="Times New Roman"/>
          <w:sz w:val="24"/>
          <w:szCs w:val="24"/>
        </w:rPr>
        <w:t>Waheed</w:t>
      </w:r>
      <w:proofErr w:type="spellEnd"/>
      <w:r>
        <w:rPr>
          <w:rFonts w:ascii="Times New Roman" w:eastAsia="Times New Roman" w:hAnsi="Times New Roman" w:cs="Times New Roman"/>
          <w:sz w:val="24"/>
          <w:szCs w:val="24"/>
        </w:rPr>
        <w:t>, M. (2019). Two decades of research on business intelligence system adoption, utilization and success–A systematic literature review. Decision Support Systems, 125, 113113.</w:t>
      </w:r>
      <w:hyperlink r:id="rId7">
        <w:r>
          <w:rPr>
            <w:rFonts w:ascii="Times New Roman" w:eastAsia="Times New Roman" w:hAnsi="Times New Roman" w:cs="Times New Roman"/>
            <w:color w:val="1155CC"/>
            <w:sz w:val="24"/>
            <w:szCs w:val="24"/>
            <w:u w:val="single"/>
          </w:rPr>
          <w:t>https://doi.org/10.1016/j.dss.2019.113113</w:t>
        </w:r>
      </w:hyperlink>
      <w:r>
        <w:rPr>
          <w:rFonts w:ascii="Times New Roman" w:eastAsia="Times New Roman" w:hAnsi="Times New Roman" w:cs="Times New Roman"/>
          <w:sz w:val="24"/>
          <w:szCs w:val="24"/>
        </w:rPr>
        <w:t xml:space="preserve"> </w:t>
      </w:r>
    </w:p>
    <w:p w14:paraId="00000040" w14:textId="77777777" w:rsidR="00E67523"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Božič</w:t>
      </w:r>
      <w:proofErr w:type="spellEnd"/>
      <w:r>
        <w:rPr>
          <w:rFonts w:ascii="Times New Roman" w:eastAsia="Times New Roman" w:hAnsi="Times New Roman" w:cs="Times New Roman"/>
          <w:sz w:val="24"/>
          <w:szCs w:val="24"/>
        </w:rPr>
        <w:t xml:space="preserve">, K., &amp; </w:t>
      </w:r>
      <w:proofErr w:type="spellStart"/>
      <w:r>
        <w:rPr>
          <w:rFonts w:ascii="Times New Roman" w:eastAsia="Times New Roman" w:hAnsi="Times New Roman" w:cs="Times New Roman"/>
          <w:sz w:val="24"/>
          <w:szCs w:val="24"/>
        </w:rPr>
        <w:t>Dimovski</w:t>
      </w:r>
      <w:proofErr w:type="spellEnd"/>
      <w:r>
        <w:rPr>
          <w:rFonts w:ascii="Times New Roman" w:eastAsia="Times New Roman" w:hAnsi="Times New Roman" w:cs="Times New Roman"/>
          <w:sz w:val="24"/>
          <w:szCs w:val="24"/>
        </w:rPr>
        <w:t xml:space="preserve">, V. (2019). Business intelligence and analytics for value creation: The role of absorptive capacity. </w:t>
      </w:r>
      <w:r>
        <w:rPr>
          <w:rFonts w:ascii="Times New Roman" w:eastAsia="Times New Roman" w:hAnsi="Times New Roman" w:cs="Times New Roman"/>
          <w:i/>
          <w:sz w:val="24"/>
          <w:szCs w:val="24"/>
        </w:rPr>
        <w:t>International journal of information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46</w:t>
      </w:r>
      <w:r>
        <w:rPr>
          <w:rFonts w:ascii="Times New Roman" w:eastAsia="Times New Roman" w:hAnsi="Times New Roman" w:cs="Times New Roman"/>
          <w:sz w:val="24"/>
          <w:szCs w:val="24"/>
        </w:rPr>
        <w:t>, 93-103.</w:t>
      </w:r>
    </w:p>
    <w:p w14:paraId="00000041" w14:textId="77777777" w:rsidR="00E67523"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Divatia</w:t>
      </w:r>
      <w:proofErr w:type="spellEnd"/>
      <w:r>
        <w:rPr>
          <w:rFonts w:ascii="Times New Roman" w:eastAsia="Times New Roman" w:hAnsi="Times New Roman" w:cs="Times New Roman"/>
          <w:sz w:val="24"/>
          <w:szCs w:val="24"/>
        </w:rPr>
        <w:t xml:space="preserve">, A. S., </w:t>
      </w:r>
      <w:proofErr w:type="spellStart"/>
      <w:r>
        <w:rPr>
          <w:rFonts w:ascii="Times New Roman" w:eastAsia="Times New Roman" w:hAnsi="Times New Roman" w:cs="Times New Roman"/>
          <w:sz w:val="24"/>
          <w:szCs w:val="24"/>
        </w:rPr>
        <w:t>Tikoria</w:t>
      </w:r>
      <w:proofErr w:type="spellEnd"/>
      <w:r>
        <w:rPr>
          <w:rFonts w:ascii="Times New Roman" w:eastAsia="Times New Roman" w:hAnsi="Times New Roman" w:cs="Times New Roman"/>
          <w:sz w:val="24"/>
          <w:szCs w:val="24"/>
        </w:rPr>
        <w:t xml:space="preserve">, J., &amp; </w:t>
      </w:r>
      <w:proofErr w:type="spellStart"/>
      <w:r>
        <w:rPr>
          <w:rFonts w:ascii="Times New Roman" w:eastAsia="Times New Roman" w:hAnsi="Times New Roman" w:cs="Times New Roman"/>
          <w:sz w:val="24"/>
          <w:szCs w:val="24"/>
        </w:rPr>
        <w:t>Lakdawala</w:t>
      </w:r>
      <w:proofErr w:type="spellEnd"/>
      <w:r>
        <w:rPr>
          <w:rFonts w:ascii="Times New Roman" w:eastAsia="Times New Roman" w:hAnsi="Times New Roman" w:cs="Times New Roman"/>
          <w:sz w:val="24"/>
          <w:szCs w:val="24"/>
        </w:rPr>
        <w:t xml:space="preserve">, S. (2021). Emerging trends and impact of business intelligence &amp; analytics in organizations: Case studies from India. </w:t>
      </w:r>
      <w:r>
        <w:rPr>
          <w:rFonts w:ascii="Times New Roman" w:eastAsia="Times New Roman" w:hAnsi="Times New Roman" w:cs="Times New Roman"/>
          <w:i/>
          <w:sz w:val="24"/>
          <w:szCs w:val="24"/>
        </w:rPr>
        <w:t>Business Information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38</w:t>
      </w:r>
      <w:r>
        <w:rPr>
          <w:rFonts w:ascii="Times New Roman" w:eastAsia="Times New Roman" w:hAnsi="Times New Roman" w:cs="Times New Roman"/>
          <w:sz w:val="24"/>
          <w:szCs w:val="24"/>
        </w:rPr>
        <w:t>(1), 40-52.</w:t>
      </w:r>
      <w:hyperlink r:id="rId8">
        <w:r>
          <w:rPr>
            <w:rFonts w:ascii="Times New Roman" w:eastAsia="Times New Roman" w:hAnsi="Times New Roman" w:cs="Times New Roman"/>
            <w:color w:val="1155CC"/>
            <w:sz w:val="24"/>
            <w:szCs w:val="24"/>
            <w:u w:val="single"/>
          </w:rPr>
          <w:t>https://doi.org/10.1177/0266382120969265</w:t>
        </w:r>
      </w:hyperlink>
      <w:r>
        <w:rPr>
          <w:rFonts w:ascii="Times New Roman" w:eastAsia="Times New Roman" w:hAnsi="Times New Roman" w:cs="Times New Roman"/>
          <w:sz w:val="24"/>
          <w:szCs w:val="24"/>
        </w:rPr>
        <w:t xml:space="preserve"> </w:t>
      </w:r>
    </w:p>
    <w:p w14:paraId="00000042" w14:textId="77777777" w:rsidR="00E67523"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González-Masip</w:t>
      </w:r>
      <w:proofErr w:type="spellEnd"/>
      <w:r>
        <w:rPr>
          <w:rFonts w:ascii="Times New Roman" w:eastAsia="Times New Roman" w:hAnsi="Times New Roman" w:cs="Times New Roman"/>
          <w:sz w:val="24"/>
          <w:szCs w:val="24"/>
        </w:rPr>
        <w:t xml:space="preserve">, J., Martín-de Castro, G., &amp; Hernández, A. (2019). </w:t>
      </w:r>
      <w:proofErr w:type="spellStart"/>
      <w:r>
        <w:rPr>
          <w:rFonts w:ascii="Times New Roman" w:eastAsia="Times New Roman" w:hAnsi="Times New Roman" w:cs="Times New Roman"/>
          <w:sz w:val="24"/>
          <w:szCs w:val="24"/>
        </w:rPr>
        <w:t>Inter-organisational</w:t>
      </w:r>
      <w:proofErr w:type="spellEnd"/>
      <w:r>
        <w:rPr>
          <w:rFonts w:ascii="Times New Roman" w:eastAsia="Times New Roman" w:hAnsi="Times New Roman" w:cs="Times New Roman"/>
          <w:sz w:val="24"/>
          <w:szCs w:val="24"/>
        </w:rPr>
        <w:t xml:space="preserve"> knowledge spillovers: attracting talent in science and technology parks and corporate social responsibility practices. </w:t>
      </w:r>
      <w:r>
        <w:rPr>
          <w:rFonts w:ascii="Times New Roman" w:eastAsia="Times New Roman" w:hAnsi="Times New Roman" w:cs="Times New Roman"/>
          <w:i/>
          <w:sz w:val="24"/>
          <w:szCs w:val="24"/>
        </w:rPr>
        <w:t>Journal of Knowledge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w:t>
      </w:r>
      <w:r>
        <w:rPr>
          <w:rFonts w:ascii="Times New Roman" w:eastAsia="Times New Roman" w:hAnsi="Times New Roman" w:cs="Times New Roman"/>
          <w:sz w:val="24"/>
          <w:szCs w:val="24"/>
        </w:rPr>
        <w:t>(5), 975-997.</w:t>
      </w:r>
      <w:hyperlink r:id="rId9">
        <w:r>
          <w:rPr>
            <w:rFonts w:ascii="Times New Roman" w:eastAsia="Times New Roman" w:hAnsi="Times New Roman" w:cs="Times New Roman"/>
            <w:color w:val="1155CC"/>
            <w:sz w:val="24"/>
            <w:szCs w:val="24"/>
            <w:u w:val="single"/>
          </w:rPr>
          <w:t>https://doi.org/10.1108/JKM-06-2018-0367</w:t>
        </w:r>
      </w:hyperlink>
      <w:r>
        <w:rPr>
          <w:rFonts w:ascii="Times New Roman" w:eastAsia="Times New Roman" w:hAnsi="Times New Roman" w:cs="Times New Roman"/>
          <w:sz w:val="24"/>
          <w:szCs w:val="24"/>
        </w:rPr>
        <w:t xml:space="preserve"> </w:t>
      </w:r>
    </w:p>
    <w:p w14:paraId="00000043" w14:textId="77777777" w:rsidR="00E67523"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Haris</w:t>
      </w:r>
      <w:proofErr w:type="spellEnd"/>
      <w:r>
        <w:rPr>
          <w:rFonts w:ascii="Times New Roman" w:eastAsia="Times New Roman" w:hAnsi="Times New Roman" w:cs="Times New Roman"/>
          <w:sz w:val="24"/>
          <w:szCs w:val="24"/>
        </w:rPr>
        <w:t xml:space="preserve">, M., Yao, H., Tariq, G., Javaid, H. M., &amp; Ain, Q. U. (2019). Corporate governance, political connections, and bank performance. </w:t>
      </w:r>
      <w:r>
        <w:rPr>
          <w:rFonts w:ascii="Times New Roman" w:eastAsia="Times New Roman" w:hAnsi="Times New Roman" w:cs="Times New Roman"/>
          <w:i/>
          <w:sz w:val="24"/>
          <w:szCs w:val="24"/>
        </w:rPr>
        <w:t>International Journal of Financial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(4), 62.</w:t>
      </w:r>
      <w:hyperlink r:id="rId10">
        <w:r>
          <w:rPr>
            <w:rFonts w:ascii="Times New Roman" w:eastAsia="Times New Roman" w:hAnsi="Times New Roman" w:cs="Times New Roman"/>
            <w:color w:val="1155CC"/>
            <w:sz w:val="24"/>
            <w:szCs w:val="24"/>
            <w:u w:val="single"/>
          </w:rPr>
          <w:t>https://doi.org/10.3390/ijfs7040062</w:t>
        </w:r>
      </w:hyperlink>
      <w:r>
        <w:rPr>
          <w:rFonts w:ascii="Times New Roman" w:eastAsia="Times New Roman" w:hAnsi="Times New Roman" w:cs="Times New Roman"/>
          <w:sz w:val="24"/>
          <w:szCs w:val="24"/>
        </w:rPr>
        <w:t xml:space="preserve"> </w:t>
      </w:r>
    </w:p>
    <w:p w14:paraId="00000044" w14:textId="77777777" w:rsidR="00E67523"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Huang, Z. X., </w:t>
      </w:r>
      <w:proofErr w:type="spellStart"/>
      <w:r>
        <w:rPr>
          <w:rFonts w:ascii="Times New Roman" w:eastAsia="Times New Roman" w:hAnsi="Times New Roman" w:cs="Times New Roman"/>
          <w:sz w:val="24"/>
          <w:szCs w:val="24"/>
        </w:rPr>
        <w:t>Savita</w:t>
      </w:r>
      <w:proofErr w:type="spellEnd"/>
      <w:r>
        <w:rPr>
          <w:rFonts w:ascii="Times New Roman" w:eastAsia="Times New Roman" w:hAnsi="Times New Roman" w:cs="Times New Roman"/>
          <w:sz w:val="24"/>
          <w:szCs w:val="24"/>
        </w:rPr>
        <w:t xml:space="preserve">, K. S., </w:t>
      </w:r>
      <w:proofErr w:type="spellStart"/>
      <w:r>
        <w:rPr>
          <w:rFonts w:ascii="Times New Roman" w:eastAsia="Times New Roman" w:hAnsi="Times New Roman" w:cs="Times New Roman"/>
          <w:sz w:val="24"/>
          <w:szCs w:val="24"/>
        </w:rPr>
        <w:t>Dan-yi</w:t>
      </w:r>
      <w:proofErr w:type="spellEnd"/>
      <w:r>
        <w:rPr>
          <w:rFonts w:ascii="Times New Roman" w:eastAsia="Times New Roman" w:hAnsi="Times New Roman" w:cs="Times New Roman"/>
          <w:sz w:val="24"/>
          <w:szCs w:val="24"/>
        </w:rPr>
        <w:t xml:space="preserve">, L., &amp; Omar, A. H. (2022). The impact of business intelligence on the marketing with emphasis on cooperative learning: Case-study on the insurance companies. </w:t>
      </w:r>
      <w:r>
        <w:rPr>
          <w:rFonts w:ascii="Times New Roman" w:eastAsia="Times New Roman" w:hAnsi="Times New Roman" w:cs="Times New Roman"/>
          <w:i/>
          <w:sz w:val="24"/>
          <w:szCs w:val="24"/>
        </w:rPr>
        <w:t>Information Processing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59</w:t>
      </w:r>
      <w:r>
        <w:rPr>
          <w:rFonts w:ascii="Times New Roman" w:eastAsia="Times New Roman" w:hAnsi="Times New Roman" w:cs="Times New Roman"/>
          <w:sz w:val="24"/>
          <w:szCs w:val="24"/>
        </w:rPr>
        <w:t>(2), 102824.</w:t>
      </w:r>
      <w:hyperlink r:id="rId11">
        <w:r>
          <w:rPr>
            <w:rFonts w:ascii="Times New Roman" w:eastAsia="Times New Roman" w:hAnsi="Times New Roman" w:cs="Times New Roman"/>
            <w:color w:val="1155CC"/>
            <w:sz w:val="24"/>
            <w:szCs w:val="24"/>
            <w:u w:val="single"/>
          </w:rPr>
          <w:t>https://doi.org/10.1016/j.ipm.2021.102824</w:t>
        </w:r>
      </w:hyperlink>
      <w:r>
        <w:rPr>
          <w:rFonts w:ascii="Times New Roman" w:eastAsia="Times New Roman" w:hAnsi="Times New Roman" w:cs="Times New Roman"/>
          <w:sz w:val="24"/>
          <w:szCs w:val="24"/>
        </w:rPr>
        <w:t xml:space="preserve"> </w:t>
      </w:r>
    </w:p>
    <w:p w14:paraId="00000045" w14:textId="77777777" w:rsidR="00E67523"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 Nguyen, B., Lydia, E. L., </w:t>
      </w:r>
      <w:proofErr w:type="spellStart"/>
      <w:r>
        <w:rPr>
          <w:rFonts w:ascii="Times New Roman" w:eastAsia="Times New Roman" w:hAnsi="Times New Roman" w:cs="Times New Roman"/>
          <w:sz w:val="24"/>
          <w:szCs w:val="24"/>
        </w:rPr>
        <w:t>Elhoseny</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Pustokhina</w:t>
      </w:r>
      <w:proofErr w:type="spellEnd"/>
      <w:r>
        <w:rPr>
          <w:rFonts w:ascii="Times New Roman" w:eastAsia="Times New Roman" w:hAnsi="Times New Roman" w:cs="Times New Roman"/>
          <w:sz w:val="24"/>
          <w:szCs w:val="24"/>
        </w:rPr>
        <w:t xml:space="preserve">, I., </w:t>
      </w:r>
      <w:proofErr w:type="spellStart"/>
      <w:r>
        <w:rPr>
          <w:rFonts w:ascii="Times New Roman" w:eastAsia="Times New Roman" w:hAnsi="Times New Roman" w:cs="Times New Roman"/>
          <w:sz w:val="24"/>
          <w:szCs w:val="24"/>
        </w:rPr>
        <w:t>Pustokhin</w:t>
      </w:r>
      <w:proofErr w:type="spellEnd"/>
      <w:r>
        <w:rPr>
          <w:rFonts w:ascii="Times New Roman" w:eastAsia="Times New Roman" w:hAnsi="Times New Roman" w:cs="Times New Roman"/>
          <w:sz w:val="24"/>
          <w:szCs w:val="24"/>
        </w:rPr>
        <w:t xml:space="preserve">, D. A., Selim, M. M., ... &amp; Shankar, K. (2020). Privacy preserving blockchain technique to achieve secure and </w:t>
      </w:r>
      <w:r>
        <w:rPr>
          <w:rFonts w:ascii="Times New Roman" w:eastAsia="Times New Roman" w:hAnsi="Times New Roman" w:cs="Times New Roman"/>
          <w:sz w:val="24"/>
          <w:szCs w:val="24"/>
        </w:rPr>
        <w:lastRenderedPageBreak/>
        <w:t xml:space="preserve">reliable sharing of IoT data. </w:t>
      </w:r>
      <w:r>
        <w:rPr>
          <w:rFonts w:ascii="Times New Roman" w:eastAsia="Times New Roman" w:hAnsi="Times New Roman" w:cs="Times New Roman"/>
          <w:i/>
          <w:sz w:val="24"/>
          <w:szCs w:val="24"/>
        </w:rPr>
        <w:t>Computers, Materials &amp; Continua</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65</w:t>
      </w:r>
      <w:r>
        <w:rPr>
          <w:rFonts w:ascii="Times New Roman" w:eastAsia="Times New Roman" w:hAnsi="Times New Roman" w:cs="Times New Roman"/>
          <w:sz w:val="24"/>
          <w:szCs w:val="24"/>
        </w:rPr>
        <w:t>(1), 87-107.</w:t>
      </w:r>
      <w:hyperlink r:id="rId12">
        <w:r>
          <w:rPr>
            <w:rFonts w:ascii="Times New Roman" w:eastAsia="Times New Roman" w:hAnsi="Times New Roman" w:cs="Times New Roman"/>
            <w:color w:val="1155CC"/>
            <w:sz w:val="24"/>
            <w:szCs w:val="24"/>
            <w:u w:val="single"/>
          </w:rPr>
          <w:t>Https://doi.org/0.32604/cmc.2020.011599</w:t>
        </w:r>
      </w:hyperlink>
      <w:r>
        <w:rPr>
          <w:rFonts w:ascii="Times New Roman" w:eastAsia="Times New Roman" w:hAnsi="Times New Roman" w:cs="Times New Roman"/>
          <w:sz w:val="24"/>
          <w:szCs w:val="24"/>
        </w:rPr>
        <w:t xml:space="preserve"> </w:t>
      </w:r>
    </w:p>
    <w:p w14:paraId="00000046" w14:textId="77777777" w:rsidR="00E67523"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Richardson, J., </w:t>
      </w:r>
      <w:proofErr w:type="spellStart"/>
      <w:r>
        <w:rPr>
          <w:rFonts w:ascii="Times New Roman" w:eastAsia="Times New Roman" w:hAnsi="Times New Roman" w:cs="Times New Roman"/>
          <w:sz w:val="24"/>
          <w:szCs w:val="24"/>
        </w:rPr>
        <w:t>Sallam</w:t>
      </w:r>
      <w:proofErr w:type="spellEnd"/>
      <w:r>
        <w:rPr>
          <w:rFonts w:ascii="Times New Roman" w:eastAsia="Times New Roman" w:hAnsi="Times New Roman" w:cs="Times New Roman"/>
          <w:sz w:val="24"/>
          <w:szCs w:val="24"/>
        </w:rPr>
        <w:t xml:space="preserve">, R., Schlegel, K., </w:t>
      </w:r>
      <w:proofErr w:type="spellStart"/>
      <w:r>
        <w:rPr>
          <w:rFonts w:ascii="Times New Roman" w:eastAsia="Times New Roman" w:hAnsi="Times New Roman" w:cs="Times New Roman"/>
          <w:sz w:val="24"/>
          <w:szCs w:val="24"/>
        </w:rPr>
        <w:t>Kronz</w:t>
      </w:r>
      <w:proofErr w:type="spellEnd"/>
      <w:r>
        <w:rPr>
          <w:rFonts w:ascii="Times New Roman" w:eastAsia="Times New Roman" w:hAnsi="Times New Roman" w:cs="Times New Roman"/>
          <w:sz w:val="24"/>
          <w:szCs w:val="24"/>
        </w:rPr>
        <w:t xml:space="preserve">, A., &amp; Sun, J. (2020). Magic quadrant for analytics and business intelligence platforms. </w:t>
      </w:r>
      <w:r>
        <w:rPr>
          <w:rFonts w:ascii="Times New Roman" w:eastAsia="Times New Roman" w:hAnsi="Times New Roman" w:cs="Times New Roman"/>
          <w:i/>
          <w:sz w:val="24"/>
          <w:szCs w:val="24"/>
        </w:rPr>
        <w:t>Gartner ID G00386610</w:t>
      </w:r>
      <w:r>
        <w:rPr>
          <w:rFonts w:ascii="Times New Roman" w:eastAsia="Times New Roman" w:hAnsi="Times New Roman" w:cs="Times New Roman"/>
          <w:sz w:val="24"/>
          <w:szCs w:val="24"/>
        </w:rPr>
        <w:t>.</w:t>
      </w:r>
    </w:p>
    <w:p w14:paraId="00000047" w14:textId="77777777" w:rsidR="00E67523"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Verma</w:t>
      </w:r>
      <w:proofErr w:type="spellEnd"/>
      <w:r>
        <w:rPr>
          <w:rFonts w:ascii="Times New Roman" w:eastAsia="Times New Roman" w:hAnsi="Times New Roman" w:cs="Times New Roman"/>
          <w:sz w:val="24"/>
          <w:szCs w:val="24"/>
        </w:rPr>
        <w:t xml:space="preserve">, S., &amp; </w:t>
      </w:r>
      <w:proofErr w:type="spellStart"/>
      <w:r>
        <w:rPr>
          <w:rFonts w:ascii="Times New Roman" w:eastAsia="Times New Roman" w:hAnsi="Times New Roman" w:cs="Times New Roman"/>
          <w:sz w:val="24"/>
          <w:szCs w:val="24"/>
        </w:rPr>
        <w:t>Gustafsson</w:t>
      </w:r>
      <w:proofErr w:type="spellEnd"/>
      <w:r>
        <w:rPr>
          <w:rFonts w:ascii="Times New Roman" w:eastAsia="Times New Roman" w:hAnsi="Times New Roman" w:cs="Times New Roman"/>
          <w:sz w:val="24"/>
          <w:szCs w:val="24"/>
        </w:rPr>
        <w:t xml:space="preserve">, A. (2020). Investigating the emerging COVID-19 research trends in the field of business and management: A </w:t>
      </w:r>
      <w:proofErr w:type="spellStart"/>
      <w:r>
        <w:rPr>
          <w:rFonts w:ascii="Times New Roman" w:eastAsia="Times New Roman" w:hAnsi="Times New Roman" w:cs="Times New Roman"/>
          <w:sz w:val="24"/>
          <w:szCs w:val="24"/>
        </w:rPr>
        <w:t>bibliometric</w:t>
      </w:r>
      <w:proofErr w:type="spellEnd"/>
      <w:r>
        <w:rPr>
          <w:rFonts w:ascii="Times New Roman" w:eastAsia="Times New Roman" w:hAnsi="Times New Roman" w:cs="Times New Roman"/>
          <w:sz w:val="24"/>
          <w:szCs w:val="24"/>
        </w:rPr>
        <w:t xml:space="preserve"> analysis approach. Journal of Business Research, 118, 253-261.</w:t>
      </w:r>
      <w:hyperlink r:id="rId13">
        <w:r>
          <w:rPr>
            <w:rFonts w:ascii="Times New Roman" w:eastAsia="Times New Roman" w:hAnsi="Times New Roman" w:cs="Times New Roman"/>
            <w:color w:val="1155CC"/>
            <w:sz w:val="24"/>
            <w:szCs w:val="24"/>
            <w:u w:val="single"/>
          </w:rPr>
          <w:t>https://doi.org/10.1016/j.jbusres.2020.06.057</w:t>
        </w:r>
      </w:hyperlink>
      <w:r>
        <w:rPr>
          <w:rFonts w:ascii="Times New Roman" w:eastAsia="Times New Roman" w:hAnsi="Times New Roman" w:cs="Times New Roman"/>
          <w:sz w:val="24"/>
          <w:szCs w:val="24"/>
        </w:rPr>
        <w:t xml:space="preserve"> </w:t>
      </w:r>
    </w:p>
    <w:p w14:paraId="00000048" w14:textId="77777777" w:rsidR="00E67523"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J., Omar, A. H., </w:t>
      </w:r>
      <w:proofErr w:type="spellStart"/>
      <w:r>
        <w:rPr>
          <w:rFonts w:ascii="Times New Roman" w:eastAsia="Times New Roman" w:hAnsi="Times New Roman" w:cs="Times New Roman"/>
          <w:sz w:val="24"/>
          <w:szCs w:val="24"/>
        </w:rPr>
        <w:t>Alotaibi</w:t>
      </w:r>
      <w:proofErr w:type="spellEnd"/>
      <w:r>
        <w:rPr>
          <w:rFonts w:ascii="Times New Roman" w:eastAsia="Times New Roman" w:hAnsi="Times New Roman" w:cs="Times New Roman"/>
          <w:sz w:val="24"/>
          <w:szCs w:val="24"/>
        </w:rPr>
        <w:t xml:space="preserve">, F. M., </w:t>
      </w:r>
      <w:proofErr w:type="spellStart"/>
      <w:r>
        <w:rPr>
          <w:rFonts w:ascii="Times New Roman" w:eastAsia="Times New Roman" w:hAnsi="Times New Roman" w:cs="Times New Roman"/>
          <w:sz w:val="24"/>
          <w:szCs w:val="24"/>
        </w:rPr>
        <w:t>Daradkeh</w:t>
      </w:r>
      <w:proofErr w:type="spellEnd"/>
      <w:r>
        <w:rPr>
          <w:rFonts w:ascii="Times New Roman" w:eastAsia="Times New Roman" w:hAnsi="Times New Roman" w:cs="Times New Roman"/>
          <w:sz w:val="24"/>
          <w:szCs w:val="24"/>
        </w:rPr>
        <w:t xml:space="preserve">, Y. I., &amp; </w:t>
      </w:r>
      <w:proofErr w:type="spellStart"/>
      <w:r>
        <w:rPr>
          <w:rFonts w:ascii="Times New Roman" w:eastAsia="Times New Roman" w:hAnsi="Times New Roman" w:cs="Times New Roman"/>
          <w:sz w:val="24"/>
          <w:szCs w:val="24"/>
        </w:rPr>
        <w:t>Althubiti</w:t>
      </w:r>
      <w:proofErr w:type="spellEnd"/>
      <w:r>
        <w:rPr>
          <w:rFonts w:ascii="Times New Roman" w:eastAsia="Times New Roman" w:hAnsi="Times New Roman" w:cs="Times New Roman"/>
          <w:sz w:val="24"/>
          <w:szCs w:val="24"/>
        </w:rPr>
        <w:t xml:space="preserve">, S. A. (2022). Business intelligence ability to enhance organizational performance and performance evaluation capabilities by improving data mining systems for competitive advantage. </w:t>
      </w:r>
      <w:r>
        <w:rPr>
          <w:rFonts w:ascii="Times New Roman" w:eastAsia="Times New Roman" w:hAnsi="Times New Roman" w:cs="Times New Roman"/>
          <w:i/>
          <w:sz w:val="24"/>
          <w:szCs w:val="24"/>
        </w:rPr>
        <w:t>Information Processing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59</w:t>
      </w:r>
      <w:r>
        <w:rPr>
          <w:rFonts w:ascii="Times New Roman" w:eastAsia="Times New Roman" w:hAnsi="Times New Roman" w:cs="Times New Roman"/>
          <w:sz w:val="24"/>
          <w:szCs w:val="24"/>
        </w:rPr>
        <w:t>(6), 103075.</w:t>
      </w:r>
      <w:hyperlink r:id="rId14">
        <w:r>
          <w:rPr>
            <w:rFonts w:ascii="Times New Roman" w:eastAsia="Times New Roman" w:hAnsi="Times New Roman" w:cs="Times New Roman"/>
            <w:color w:val="1155CC"/>
            <w:sz w:val="24"/>
            <w:szCs w:val="24"/>
            <w:u w:val="single"/>
          </w:rPr>
          <w:t>https://doi.org/10.1016/j.ipm.2022.103075</w:t>
        </w:r>
      </w:hyperlink>
      <w:r>
        <w:rPr>
          <w:rFonts w:ascii="Times New Roman" w:eastAsia="Times New Roman" w:hAnsi="Times New Roman" w:cs="Times New Roman"/>
          <w:sz w:val="24"/>
          <w:szCs w:val="24"/>
        </w:rPr>
        <w:t xml:space="preserve"> </w:t>
      </w:r>
    </w:p>
    <w:p w14:paraId="00000049" w14:textId="77777777" w:rsidR="00E67523" w:rsidRDefault="00E67523">
      <w:pPr>
        <w:spacing w:line="480" w:lineRule="auto"/>
        <w:ind w:left="720" w:hanging="720"/>
        <w:rPr>
          <w:rFonts w:ascii="Times New Roman" w:eastAsia="Times New Roman" w:hAnsi="Times New Roman" w:cs="Times New Roman"/>
          <w:sz w:val="24"/>
          <w:szCs w:val="24"/>
        </w:rPr>
      </w:pPr>
    </w:p>
    <w:p w14:paraId="0000004A" w14:textId="77777777" w:rsidR="00E67523" w:rsidRDefault="00E67523">
      <w:pPr>
        <w:spacing w:line="480" w:lineRule="auto"/>
        <w:ind w:firstLine="720"/>
        <w:rPr>
          <w:rFonts w:ascii="Times New Roman" w:eastAsia="Times New Roman" w:hAnsi="Times New Roman" w:cs="Times New Roman"/>
          <w:b/>
          <w:sz w:val="24"/>
          <w:szCs w:val="24"/>
        </w:rPr>
      </w:pPr>
    </w:p>
    <w:sectPr w:rsidR="00E67523">
      <w:head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EDBEA" w14:textId="77777777" w:rsidR="002F59D8" w:rsidRDefault="002F59D8">
      <w:pPr>
        <w:spacing w:line="240" w:lineRule="auto"/>
      </w:pPr>
      <w:r>
        <w:separator/>
      </w:r>
    </w:p>
  </w:endnote>
  <w:endnote w:type="continuationSeparator" w:id="0">
    <w:p w14:paraId="319FBA61" w14:textId="77777777" w:rsidR="002F59D8" w:rsidRDefault="002F59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BE2A0" w14:textId="77777777" w:rsidR="002F59D8" w:rsidRDefault="002F59D8">
      <w:pPr>
        <w:spacing w:line="240" w:lineRule="auto"/>
      </w:pPr>
      <w:r>
        <w:separator/>
      </w:r>
    </w:p>
  </w:footnote>
  <w:footnote w:type="continuationSeparator" w:id="0">
    <w:p w14:paraId="313EAE34" w14:textId="77777777" w:rsidR="002F59D8" w:rsidRDefault="002F59D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B" w14:textId="65D1E9E1" w:rsidR="00E67523"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515A31">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32DB5"/>
    <w:multiLevelType w:val="hybridMultilevel"/>
    <w:tmpl w:val="528424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1825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7523"/>
    <w:rsid w:val="00267825"/>
    <w:rsid w:val="002853F9"/>
    <w:rsid w:val="002F59D8"/>
    <w:rsid w:val="00515A31"/>
    <w:rsid w:val="00CE22CB"/>
    <w:rsid w:val="00D33F76"/>
    <w:rsid w:val="00E67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06390D"/>
  <w15:docId w15:val="{DFCA93DA-5C42-7E42-B647-362458E25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D33F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177/0266382120969265" TargetMode="External"/><Relationship Id="rId13" Type="http://schemas.openxmlformats.org/officeDocument/2006/relationships/hyperlink" Target="https://doi.org/10.1016/j.jbusres.2020.06.057" TargetMode="External"/><Relationship Id="rId3" Type="http://schemas.openxmlformats.org/officeDocument/2006/relationships/settings" Target="settings.xml"/><Relationship Id="rId7" Type="http://schemas.openxmlformats.org/officeDocument/2006/relationships/hyperlink" Target="https://doi.org/10.1016/j.dss.2019.113113" TargetMode="External"/><Relationship Id="rId12" Type="http://schemas.openxmlformats.org/officeDocument/2006/relationships/hyperlink" Target="https://doi.org/0.32604/cmc.2020.01159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ipm.2021.102824"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3390/ijfs7040062" TargetMode="External"/><Relationship Id="rId4" Type="http://schemas.openxmlformats.org/officeDocument/2006/relationships/webSettings" Target="webSettings.xml"/><Relationship Id="rId9" Type="http://schemas.openxmlformats.org/officeDocument/2006/relationships/hyperlink" Target="https://doi.org/10.1108/JKM-06-2018-0367" TargetMode="External"/><Relationship Id="rId14" Type="http://schemas.openxmlformats.org/officeDocument/2006/relationships/hyperlink" Target="https://doi.org/10.1016/j.ipm.2022.1030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1646</Words>
  <Characters>9387</Characters>
  <Application>Microsoft Office Word</Application>
  <DocSecurity>0</DocSecurity>
  <Lines>78</Lines>
  <Paragraphs>22</Paragraphs>
  <ScaleCrop>false</ScaleCrop>
  <Company/>
  <LinksUpToDate>false</LinksUpToDate>
  <CharactersWithSpaces>11011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Veselina Dimitrova Uchkunova (2028272)</cp:lastModifiedBy>
  <cp:revision>6</cp:revision>
  <dcterms:created xsi:type="dcterms:W3CDTF">2023-01-06T10:06:00Z</dcterms:created>
  <dcterms:modified xsi:type="dcterms:W3CDTF">2023-01-06T10:09:00Z</dcterms:modified>
</cp:coreProperties>
</file>