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20D0B6" w14:textId="77777777" w:rsidR="00925B43" w:rsidRDefault="000A70CC" w:rsidP="000A70CC">
      <w:pPr>
        <w:jc w:val="center"/>
        <w:rPr>
          <w:b/>
          <w:sz w:val="32"/>
          <w:szCs w:val="32"/>
          <w:u w:val="single"/>
        </w:rPr>
      </w:pPr>
      <w:r>
        <w:rPr>
          <w:b/>
          <w:sz w:val="32"/>
          <w:szCs w:val="32"/>
          <w:u w:val="single"/>
        </w:rPr>
        <w:t>Explain the Differences in the Portrayal of Philip II in Demosthenes and Aeschines</w:t>
      </w:r>
    </w:p>
    <w:p w14:paraId="01C01DF1" w14:textId="77777777" w:rsidR="00DD1732" w:rsidRDefault="00DD1732" w:rsidP="000A70CC">
      <w:pPr>
        <w:jc w:val="center"/>
        <w:rPr>
          <w:b/>
          <w:sz w:val="32"/>
          <w:szCs w:val="32"/>
          <w:u w:val="single"/>
        </w:rPr>
      </w:pPr>
    </w:p>
    <w:p w14:paraId="42494D5D" w14:textId="77777777" w:rsidR="00DD1732" w:rsidRDefault="00DD1732" w:rsidP="000A70CC">
      <w:pPr>
        <w:jc w:val="center"/>
        <w:rPr>
          <w:b/>
          <w:sz w:val="32"/>
          <w:szCs w:val="32"/>
          <w:u w:val="single"/>
        </w:rPr>
      </w:pPr>
    </w:p>
    <w:p w14:paraId="1129C614" w14:textId="4DC7FBC4" w:rsidR="00DD1732" w:rsidRDefault="00DD1732" w:rsidP="000A70CC">
      <w:pPr>
        <w:jc w:val="center"/>
      </w:pPr>
      <w:r>
        <w:tab/>
      </w:r>
    </w:p>
    <w:p w14:paraId="0AA096DB" w14:textId="541C21C9" w:rsidR="00DD1732" w:rsidRDefault="00DD1732" w:rsidP="00DD1732">
      <w:r>
        <w:tab/>
      </w:r>
      <w:r w:rsidR="00852C1F">
        <w:t xml:space="preserve">When looking into the differing portrayals of Philip II in the writings and speeches of Demosthenes and Aeschines, it is helpful </w:t>
      </w:r>
      <w:r w:rsidR="006F0077">
        <w:t xml:space="preserve">to look into their respective childhoods and pasts. By doing this, we can attempt to come to and understanding of why they might view Philip II the way they do and why they were seemingly so passionate in their vilification or defense of Philip II and his actions. </w:t>
      </w:r>
      <w:r w:rsidR="000F3EF1">
        <w:t>Demosthenes had a long standing history of his fight against injustice and of things being taken away from him. On the other hand, Aeschines had turned to politics in a young age and later to acting, where it is possible that he could have learned greate</w:t>
      </w:r>
      <w:r w:rsidR="009B38F5">
        <w:t>r empathy from his studies and work in an artistic field</w:t>
      </w:r>
      <w:r w:rsidR="000F3EF1">
        <w:t xml:space="preserve">. </w:t>
      </w:r>
      <w:r w:rsidR="009639AF">
        <w:t xml:space="preserve">When explaining the differences in portrayals in their various texts, </w:t>
      </w:r>
      <w:r w:rsidR="009B38F5">
        <w:t xml:space="preserve">it is also important to focus on some of the language used to try to interpret any deeper meanings that may be prevalent in their works. </w:t>
      </w:r>
    </w:p>
    <w:p w14:paraId="3AE73D01" w14:textId="0A8FBC89" w:rsidR="009B38F5" w:rsidRDefault="009B38F5" w:rsidP="00DD1732">
      <w:r>
        <w:tab/>
      </w:r>
      <w:r w:rsidR="00321F7C">
        <w:t xml:space="preserve">As a </w:t>
      </w:r>
      <w:r w:rsidR="00A85693">
        <w:t>young man</w:t>
      </w:r>
      <w:r w:rsidR="00321F7C">
        <w:t xml:space="preserve">, Demosthenes </w:t>
      </w:r>
      <w:r w:rsidR="009014C3">
        <w:t>was already fighting injustice on a smaller scale</w:t>
      </w:r>
      <w:r w:rsidR="00A85693">
        <w:t xml:space="preserve"> against his guardians who neglected to give him his full inheritance after his father’s death</w:t>
      </w:r>
      <w:r w:rsidR="00570505">
        <w:t xml:space="preserve"> when he was a child</w:t>
      </w:r>
      <w:r w:rsidR="00A85693">
        <w:t>.</w:t>
      </w:r>
      <w:r w:rsidR="00A85693">
        <w:rPr>
          <w:rStyle w:val="FootnoteReference"/>
        </w:rPr>
        <w:footnoteReference w:id="1"/>
      </w:r>
      <w:r w:rsidR="00F62161">
        <w:t xml:space="preserve"> He was born to an incredibly wealthy father who ran a large estate</w:t>
      </w:r>
      <w:r w:rsidR="009C4EE2">
        <w:t xml:space="preserve"> worth around 14 talents. Despite this wealth,</w:t>
      </w:r>
      <w:r w:rsidR="006863BE">
        <w:t xml:space="preserve"> Demosthenes was only given an inheritan</w:t>
      </w:r>
      <w:r w:rsidR="009C4EE2">
        <w:t xml:space="preserve">ce worth approximately 70 </w:t>
      </w:r>
      <w:r w:rsidR="009C4EE2" w:rsidRPr="00301F8E">
        <w:rPr>
          <w:i/>
        </w:rPr>
        <w:t>minae</w:t>
      </w:r>
      <w:r w:rsidR="009C4EE2">
        <w:t xml:space="preserve">, </w:t>
      </w:r>
      <w:r w:rsidR="00D37058">
        <w:t>an amount just over 1/14</w:t>
      </w:r>
      <w:r w:rsidR="00D37058" w:rsidRPr="00D37058">
        <w:rPr>
          <w:vertAlign w:val="superscript"/>
        </w:rPr>
        <w:t>th</w:t>
      </w:r>
      <w:r w:rsidR="00D37058">
        <w:t xml:space="preserve"> what he was owed.</w:t>
      </w:r>
      <w:r w:rsidR="003726B6">
        <w:rPr>
          <w:rStyle w:val="FootnoteReference"/>
        </w:rPr>
        <w:footnoteReference w:id="2"/>
      </w:r>
      <w:r w:rsidR="00446100">
        <w:t xml:space="preserve"> It is understandable that he would have viewed this as a huge injustice and therefore</w:t>
      </w:r>
      <w:r w:rsidR="00585368">
        <w:t xml:space="preserve"> it is easy to believe that he</w:t>
      </w:r>
      <w:r w:rsidR="00446100">
        <w:t xml:space="preserve"> would have been incredibly passionate about</w:t>
      </w:r>
      <w:r w:rsidR="00E84636">
        <w:t xml:space="preserve"> </w:t>
      </w:r>
      <w:r w:rsidR="00916F63">
        <w:t xml:space="preserve">fighting against the loss of rights, property, and freedom. </w:t>
      </w:r>
      <w:r w:rsidR="009873FE">
        <w:t xml:space="preserve">Aside from </w:t>
      </w:r>
      <w:r w:rsidR="002F4FFB">
        <w:t>the numerous examples and points that Demosthenes states as I will talk about later, a natural distrustfulness is understandable in his portrayal of Philip II.</w:t>
      </w:r>
    </w:p>
    <w:p w14:paraId="689A8290" w14:textId="08AD3316" w:rsidR="002F4FFB" w:rsidRDefault="002F4FFB" w:rsidP="00DD1732">
      <w:r>
        <w:tab/>
        <w:t>Fairly similarly</w:t>
      </w:r>
      <w:r w:rsidR="005C05F8">
        <w:t xml:space="preserve"> to Demosthenes, Aeschines and his family had lost their property during the Peloponnesian War.</w:t>
      </w:r>
      <w:r w:rsidR="00AD2512">
        <w:rPr>
          <w:rStyle w:val="FootnoteReference"/>
        </w:rPr>
        <w:footnoteReference w:id="3"/>
      </w:r>
      <w:r w:rsidR="005C05F8">
        <w:t xml:space="preserve"> The main significant</w:t>
      </w:r>
      <w:r w:rsidR="00DF2823">
        <w:t xml:space="preserve"> differing</w:t>
      </w:r>
      <w:r w:rsidR="005C05F8">
        <w:t xml:space="preserve"> factor is that his propert</w:t>
      </w:r>
      <w:r w:rsidR="00DF2823">
        <w:t xml:space="preserve">y was lost during a time of war, rather than a personal injustice from a legal guardian such as Demosthenes faced. </w:t>
      </w:r>
      <w:r w:rsidR="007A225C">
        <w:t xml:space="preserve">Working as a juror clerk, secretary to the assembly, and later as an actor, he would have been exposed to a varying amount of people and </w:t>
      </w:r>
      <w:r w:rsidR="00E24D7B">
        <w:t>been made familiar with court cases in his younger life.</w:t>
      </w:r>
      <w:r w:rsidR="00E24D7B">
        <w:rPr>
          <w:rStyle w:val="FootnoteReference"/>
        </w:rPr>
        <w:footnoteReference w:id="4"/>
      </w:r>
      <w:r w:rsidR="00950251">
        <w:t xml:space="preserve"> As mentioned earlier, Aeschines’ work in his early life as an actor may have made him a bit more empathetic and therefore susceptible to trusting the words of Philip II more quickly</w:t>
      </w:r>
      <w:r w:rsidR="00B91AC1">
        <w:t>.</w:t>
      </w:r>
    </w:p>
    <w:p w14:paraId="5B6D324F" w14:textId="1E318EAC" w:rsidR="00893DE3" w:rsidRDefault="00893DE3" w:rsidP="00DD1732">
      <w:r>
        <w:tab/>
      </w:r>
      <w:r w:rsidR="00501DD3">
        <w:t xml:space="preserve">Demosthenes was not shy in his hatred of Philip II and often spoke out against him, very passionately and consistently. </w:t>
      </w:r>
      <w:r w:rsidR="004172B0">
        <w:t xml:space="preserve">The language that Demosthenes used was </w:t>
      </w:r>
      <w:r w:rsidR="00200D4C">
        <w:t>strict</w:t>
      </w:r>
      <w:r w:rsidR="004172B0">
        <w:t xml:space="preserve">, </w:t>
      </w:r>
      <w:r w:rsidR="00E62CE0">
        <w:t>purposeful, and intense. Statements such as, “Philip’s… violations of the peace” (Dem. Phil 2. 6.1.), and “… ambition and desire of universal dominion.” (Dem. Phil 2. 6.7.) demonstrate</w:t>
      </w:r>
      <w:r w:rsidR="001964CC">
        <w:t>d</w:t>
      </w:r>
      <w:r w:rsidR="00E62CE0">
        <w:t xml:space="preserve"> powerful stances on Philip’s actions. Demosthenes </w:t>
      </w:r>
      <w:r w:rsidR="001964CC">
        <w:t>was</w:t>
      </w:r>
      <w:r w:rsidR="00E62CE0">
        <w:t xml:space="preserve"> sure to use every word to be outspoken against Philip so that no citizen of Athens could ever confuse his words for support. </w:t>
      </w:r>
      <w:r w:rsidR="00095EF4">
        <w:t xml:space="preserve">He used very deliberate, rousing language </w:t>
      </w:r>
      <w:r w:rsidR="00327636">
        <w:t xml:space="preserve">and used rhetorical questions to engage the audience and pull them into the speech he was giving. </w:t>
      </w:r>
      <w:r w:rsidR="00D835E5">
        <w:t>In his words, “Beware, lest seeking to be rid of war, you find a master”</w:t>
      </w:r>
      <w:r w:rsidR="001964CC">
        <w:t xml:space="preserve"> (Dem. Phil 2. 6.25) he was</w:t>
      </w:r>
      <w:r w:rsidR="00D835E5">
        <w:t xml:space="preserve"> urging the people not to give in to Philip’s words and instead look at </w:t>
      </w:r>
      <w:r w:rsidR="00D835E5">
        <w:lastRenderedPageBreak/>
        <w:t xml:space="preserve">his actions and the lack of freedom that Athens would face if they readily allowed Philip to take control of them. </w:t>
      </w:r>
      <w:r w:rsidR="00F10B38">
        <w:t>Demosthenes targets Philip as a man whose words constantly contradict his actions, something that it is understandable that Demosthenes</w:t>
      </w:r>
      <w:r w:rsidR="00995F9A">
        <w:t xml:space="preserve"> especially would find offensive</w:t>
      </w:r>
      <w:r w:rsidR="00F10B38">
        <w:t xml:space="preserve"> when keeping his child</w:t>
      </w:r>
      <w:r w:rsidR="00995F9A">
        <w:t xml:space="preserve">hood in mind. </w:t>
      </w:r>
      <w:r w:rsidR="00FD4C0B">
        <w:t>He wa</w:t>
      </w:r>
      <w:r w:rsidR="00F900F2">
        <w:t>s quick to urge Athens agains</w:t>
      </w:r>
      <w:r w:rsidR="00FD4C0B">
        <w:t>t trusting Philip and encouraged</w:t>
      </w:r>
      <w:r w:rsidR="00F900F2">
        <w:t xml:space="preserve"> them to attempt to imagine what other poleis must have felt when Philip conquered them.</w:t>
      </w:r>
      <w:r w:rsidR="007A194A">
        <w:rPr>
          <w:rStyle w:val="FootnoteReference"/>
        </w:rPr>
        <w:footnoteReference w:id="5"/>
      </w:r>
    </w:p>
    <w:p w14:paraId="6DE01CE0" w14:textId="77F6C79A" w:rsidR="002343E2" w:rsidRDefault="00926DBD" w:rsidP="00DD1732">
      <w:r>
        <w:tab/>
        <w:t>On the contrary, Aeschine</w:t>
      </w:r>
      <w:r w:rsidR="002343E2">
        <w:t xml:space="preserve">s was fairly supportive of Philip’s claim and trusted Philip’s words when he attempted to sue for peace. </w:t>
      </w:r>
      <w:r w:rsidR="005D6A30">
        <w:t>His was a much less negative approach and portrayal of Philip II and</w:t>
      </w:r>
      <w:r w:rsidR="0021315E">
        <w:t xml:space="preserve"> believed there was fairly moderate treatment of the Athenians by the Macedonians.</w:t>
      </w:r>
      <w:r w:rsidR="00C378C6">
        <w:rPr>
          <w:rStyle w:val="FootnoteReference"/>
        </w:rPr>
        <w:footnoteReference w:id="6"/>
      </w:r>
      <w:r w:rsidR="00EC3FA2">
        <w:t xml:space="preserve"> He</w:t>
      </w:r>
      <w:r w:rsidR="003F3008">
        <w:t xml:space="preserve"> was in stark contrast to Demosthenes who never appeared to trust a word that </w:t>
      </w:r>
    </w:p>
    <w:p w14:paraId="56A7A1CB" w14:textId="49CACAAA" w:rsidR="003F3008" w:rsidRDefault="003F3008" w:rsidP="00DD1732">
      <w:r>
        <w:t xml:space="preserve">Philip II said. </w:t>
      </w:r>
      <w:r w:rsidR="00FD1B5D">
        <w:t>Instead of condemning Philip for his actions against Ath</w:t>
      </w:r>
      <w:r w:rsidR="00AA160C">
        <w:t>ens and their allies, he appeared</w:t>
      </w:r>
      <w:r w:rsidR="00FD1B5D">
        <w:t xml:space="preserve"> to view Philip as an opportunist and some</w:t>
      </w:r>
      <w:r w:rsidR="00AA160C">
        <w:t>one who was</w:t>
      </w:r>
      <w:r w:rsidR="00FD1B5D">
        <w:t xml:space="preserve"> not to blame for the misfortune of others</w:t>
      </w:r>
      <w:r w:rsidR="00AA160C">
        <w:t>, and someone who merely accepted</w:t>
      </w:r>
      <w:r w:rsidR="00FD1B5D">
        <w:t xml:space="preserve"> the </w:t>
      </w:r>
      <w:r w:rsidR="00255C68">
        <w:t>possibilities presented</w:t>
      </w:r>
      <w:r w:rsidR="005107A8">
        <w:t xml:space="preserve"> to him. </w:t>
      </w:r>
      <w:r w:rsidR="00C10764">
        <w:t xml:space="preserve">While favouring Philip extremely, Aeschines did seem to place the thoughts and wellbeing of Athenians first, he simply trusted Philip more than Demosthenes did. He cannot be faulted for his beliefs or the methods of which he chose to present his case to the public. </w:t>
      </w:r>
    </w:p>
    <w:p w14:paraId="32355FD7" w14:textId="6CA68133" w:rsidR="00B94B30" w:rsidRDefault="00B94B30" w:rsidP="00DD1732">
      <w:r>
        <w:tab/>
        <w:t xml:space="preserve">In terms of Demosthenes versus Aeschines, their personal distaste for one another cannot be considered when evaluating their stance </w:t>
      </w:r>
      <w:r w:rsidR="00BD7A93">
        <w:t>of the incoming rule of Philip</w:t>
      </w:r>
      <w:r w:rsidR="00795779">
        <w:t xml:space="preserve">. Demosthenes clearly had a personal distrustfulness for the man while Aeschines seemed to tolerate him more as their strife continued. It is significant to account for the personal beliefs of men throughout this period as this can give us insight into the daily lives of the people living through this time. Whichever way we view it, it is apparent that Philip II was a force to be reckoned with who was very polarizing and significant. Both men did their work to bring others to their side which is a fight which can only be commended. </w:t>
      </w:r>
    </w:p>
    <w:p w14:paraId="2BC097AB" w14:textId="77777777" w:rsidR="009D3390" w:rsidRDefault="009D3390" w:rsidP="00DD1732"/>
    <w:p w14:paraId="16874946" w14:textId="77777777" w:rsidR="009D3390" w:rsidRDefault="009D3390" w:rsidP="00DD1732"/>
    <w:p w14:paraId="5F12C736" w14:textId="77777777" w:rsidR="009D3390" w:rsidRDefault="009D3390" w:rsidP="00DD1732"/>
    <w:p w14:paraId="6E715914" w14:textId="77777777" w:rsidR="009D3390" w:rsidRDefault="009D3390" w:rsidP="00DD1732"/>
    <w:p w14:paraId="4B6D447B" w14:textId="39E8FD6C" w:rsidR="00200D4C" w:rsidRDefault="00200D4C" w:rsidP="00DD1732">
      <w:r>
        <w:tab/>
      </w:r>
    </w:p>
    <w:p w14:paraId="0D7334C7" w14:textId="77777777" w:rsidR="009D3390" w:rsidRDefault="009D3390" w:rsidP="00DD1732"/>
    <w:p w14:paraId="17BC67F9" w14:textId="77777777" w:rsidR="009D3390" w:rsidRDefault="009D3390" w:rsidP="00DD1732"/>
    <w:p w14:paraId="31ED7F58" w14:textId="77777777" w:rsidR="009D3390" w:rsidRDefault="009D3390" w:rsidP="00DD1732"/>
    <w:p w14:paraId="7F3B1C2C" w14:textId="77777777" w:rsidR="009D3390" w:rsidRDefault="009D3390" w:rsidP="00DD1732"/>
    <w:p w14:paraId="19B4AF96" w14:textId="77777777" w:rsidR="009D3390" w:rsidRDefault="009D3390" w:rsidP="00DD1732"/>
    <w:p w14:paraId="43C0BAAD" w14:textId="77777777" w:rsidR="009D3390" w:rsidRDefault="009D3390" w:rsidP="00DD1732"/>
    <w:p w14:paraId="53C646A1" w14:textId="77777777" w:rsidR="009D3390" w:rsidRDefault="009D3390" w:rsidP="00DD1732"/>
    <w:p w14:paraId="789068C6" w14:textId="77777777" w:rsidR="009D3390" w:rsidRDefault="009D3390" w:rsidP="00DD1732"/>
    <w:p w14:paraId="57106F69" w14:textId="77777777" w:rsidR="009D3390" w:rsidRDefault="009D3390" w:rsidP="00DD1732"/>
    <w:p w14:paraId="2C8EF62C" w14:textId="77777777" w:rsidR="009D3390" w:rsidRDefault="009D3390" w:rsidP="00DD1732"/>
    <w:p w14:paraId="0386C676" w14:textId="77777777" w:rsidR="009D3390" w:rsidRDefault="009D3390" w:rsidP="00DD1732"/>
    <w:p w14:paraId="6478537D" w14:textId="77777777" w:rsidR="009D3390" w:rsidRDefault="009D3390" w:rsidP="00DD1732"/>
    <w:p w14:paraId="7727CC35" w14:textId="77777777" w:rsidR="009D3390" w:rsidRDefault="009D3390" w:rsidP="00DD1732"/>
    <w:p w14:paraId="4CD1F960" w14:textId="77777777" w:rsidR="009D3390" w:rsidRDefault="009D3390" w:rsidP="00DD1732"/>
    <w:p w14:paraId="1C4783EA" w14:textId="77777777" w:rsidR="009D3390" w:rsidRDefault="009D3390" w:rsidP="009D3390">
      <w:pPr>
        <w:jc w:val="center"/>
        <w:rPr>
          <w:b/>
          <w:sz w:val="32"/>
          <w:szCs w:val="32"/>
          <w:u w:val="single"/>
        </w:rPr>
      </w:pPr>
      <w:r>
        <w:rPr>
          <w:b/>
          <w:sz w:val="32"/>
          <w:szCs w:val="32"/>
          <w:u w:val="single"/>
        </w:rPr>
        <w:t>Bibliography</w:t>
      </w:r>
    </w:p>
    <w:p w14:paraId="7E9C5A6E" w14:textId="77777777" w:rsidR="009D3390" w:rsidRDefault="009D3390" w:rsidP="009D3390">
      <w:pPr>
        <w:jc w:val="center"/>
        <w:rPr>
          <w:b/>
          <w:sz w:val="32"/>
          <w:szCs w:val="32"/>
          <w:u w:val="single"/>
        </w:rPr>
      </w:pPr>
    </w:p>
    <w:p w14:paraId="4F463787" w14:textId="77777777" w:rsidR="009D3390" w:rsidRDefault="009D3390" w:rsidP="009D3390">
      <w:r>
        <w:t>Ancient:</w:t>
      </w:r>
    </w:p>
    <w:p w14:paraId="53CD22C3" w14:textId="77777777" w:rsidR="009D3390" w:rsidRDefault="009D3390" w:rsidP="009D3390"/>
    <w:p w14:paraId="7FBB822E" w14:textId="77777777" w:rsidR="009D3390" w:rsidRDefault="009D3390" w:rsidP="009D3390">
      <w:r>
        <w:t xml:space="preserve">Aeschines, </w:t>
      </w:r>
      <w:r>
        <w:rPr>
          <w:i/>
        </w:rPr>
        <w:t xml:space="preserve">Against Ctesiphon. </w:t>
      </w:r>
      <w:r>
        <w:t>Edgar (trans.). 1886. Edinburgh: James Thin</w:t>
      </w:r>
    </w:p>
    <w:p w14:paraId="577E1BC4" w14:textId="77777777" w:rsidR="009D3390" w:rsidRDefault="009D3390" w:rsidP="009D3390"/>
    <w:p w14:paraId="1BFC0E30" w14:textId="77777777" w:rsidR="009D3390" w:rsidRPr="00F90060" w:rsidRDefault="009D3390" w:rsidP="009D3390">
      <w:r>
        <w:t xml:space="preserve">Aeschines, </w:t>
      </w:r>
      <w:r>
        <w:rPr>
          <w:i/>
        </w:rPr>
        <w:t xml:space="preserve">On the Embassy. </w:t>
      </w:r>
      <w:r>
        <w:t>Adams (trans.). 1919. Cambridge, MA: Harvard University Press</w:t>
      </w:r>
    </w:p>
    <w:p w14:paraId="2FB91511" w14:textId="77777777" w:rsidR="009D3390" w:rsidRDefault="009D3390" w:rsidP="009D3390"/>
    <w:p w14:paraId="6A69E78B" w14:textId="77777777" w:rsidR="009D3390" w:rsidRDefault="009D3390" w:rsidP="009D3390">
      <w:r>
        <w:t xml:space="preserve">Demosthenes, </w:t>
      </w:r>
      <w:r>
        <w:rPr>
          <w:i/>
        </w:rPr>
        <w:t xml:space="preserve">On the Crown. </w:t>
      </w:r>
      <w:r>
        <w:t>Usher (trans.). 1993. England: Aris &amp; Phillips Ltd</w:t>
      </w:r>
    </w:p>
    <w:p w14:paraId="7BE4AC70" w14:textId="77777777" w:rsidR="009D3390" w:rsidRDefault="009D3390" w:rsidP="009D3390"/>
    <w:p w14:paraId="0EB848F0" w14:textId="77777777" w:rsidR="009D3390" w:rsidRPr="000D26EB" w:rsidRDefault="009D3390" w:rsidP="009D3390">
      <w:r>
        <w:t xml:space="preserve">Demosthenes, </w:t>
      </w:r>
      <w:r>
        <w:rPr>
          <w:i/>
        </w:rPr>
        <w:t xml:space="preserve">On the False Embassy. </w:t>
      </w:r>
      <w:r>
        <w:t>Vince (trans.). 1926. Cambridge, MA: Harvard University Press</w:t>
      </w:r>
    </w:p>
    <w:p w14:paraId="4ED2E997" w14:textId="77777777" w:rsidR="009D3390" w:rsidRDefault="009D3390" w:rsidP="009D3390"/>
    <w:p w14:paraId="0C582DDC" w14:textId="77777777" w:rsidR="009D3390" w:rsidRDefault="009D3390" w:rsidP="009D3390">
      <w:r>
        <w:t xml:space="preserve">Demosthenes, </w:t>
      </w:r>
      <w:r>
        <w:rPr>
          <w:i/>
        </w:rPr>
        <w:t xml:space="preserve">Philippic 2. </w:t>
      </w:r>
      <w:r>
        <w:t>Vince (trans.). 1930. Cambridge, MA: Harvard University Press</w:t>
      </w:r>
    </w:p>
    <w:p w14:paraId="2DE408E5" w14:textId="77777777" w:rsidR="009D3390" w:rsidRDefault="009D3390" w:rsidP="009D3390"/>
    <w:p w14:paraId="203606F8" w14:textId="77777777" w:rsidR="009D3390" w:rsidRDefault="009D3390" w:rsidP="009D3390">
      <w:r>
        <w:t xml:space="preserve">Demosthenes, </w:t>
      </w:r>
      <w:r w:rsidRPr="00606761">
        <w:rPr>
          <w:i/>
        </w:rPr>
        <w:t>Philippic 3</w:t>
      </w:r>
      <w:r>
        <w:rPr>
          <w:i/>
        </w:rPr>
        <w:t xml:space="preserve">. </w:t>
      </w:r>
      <w:r>
        <w:t>Vince (trans.). 1930. Cambridge, MA: Harvard University Press</w:t>
      </w:r>
    </w:p>
    <w:p w14:paraId="53B62066" w14:textId="77777777" w:rsidR="009D3390" w:rsidRDefault="009D3390" w:rsidP="009D3390"/>
    <w:p w14:paraId="0D05CDC3" w14:textId="77777777" w:rsidR="009D3390" w:rsidRDefault="009D3390" w:rsidP="009D3390">
      <w:r>
        <w:t xml:space="preserve">Demosthenes, </w:t>
      </w:r>
      <w:r>
        <w:rPr>
          <w:i/>
        </w:rPr>
        <w:t xml:space="preserve">Reply to Philip. </w:t>
      </w:r>
      <w:r>
        <w:t>Vince (trans.). 1926. Cambridge, MA: Harvard University Press</w:t>
      </w:r>
    </w:p>
    <w:p w14:paraId="32B36A1D" w14:textId="77777777" w:rsidR="009D3390" w:rsidRDefault="009D3390" w:rsidP="009D3390"/>
    <w:p w14:paraId="27FA9DD3" w14:textId="77777777" w:rsidR="009D3390" w:rsidRPr="00A939E8" w:rsidRDefault="009D3390" w:rsidP="009D3390">
      <w:r>
        <w:t xml:space="preserve">Herodotus, and Dewald, C., </w:t>
      </w:r>
      <w:r>
        <w:rPr>
          <w:i/>
        </w:rPr>
        <w:t xml:space="preserve">The Histories. </w:t>
      </w:r>
      <w:r>
        <w:t>Waterfield (trans.). 1998. Oxford: Oxford University Press</w:t>
      </w:r>
    </w:p>
    <w:p w14:paraId="54855F79" w14:textId="77777777" w:rsidR="009D3390" w:rsidRPr="00BE3942" w:rsidRDefault="009D3390" w:rsidP="009D3390"/>
    <w:p w14:paraId="1BAC8B29" w14:textId="77777777" w:rsidR="009D3390" w:rsidRDefault="009D3390" w:rsidP="009D3390"/>
    <w:p w14:paraId="45637471" w14:textId="77777777" w:rsidR="009D3390" w:rsidRDefault="009D3390" w:rsidP="009D3390"/>
    <w:p w14:paraId="1376F702" w14:textId="77777777" w:rsidR="009D3390" w:rsidRDefault="009D3390" w:rsidP="009D3390">
      <w:r>
        <w:t>Modern:</w:t>
      </w:r>
    </w:p>
    <w:p w14:paraId="55EEC70A" w14:textId="77777777" w:rsidR="009D3390" w:rsidRDefault="009D3390" w:rsidP="009D3390"/>
    <w:p w14:paraId="4456B721" w14:textId="77777777" w:rsidR="009D3390" w:rsidRDefault="009D3390" w:rsidP="009D3390">
      <w:r>
        <w:t>Calhoun, G.M</w:t>
      </w:r>
      <w:r w:rsidRPr="00DF264E">
        <w:t>. “Demosthenes' Second Philippic.” </w:t>
      </w:r>
      <w:r w:rsidRPr="00DF264E">
        <w:rPr>
          <w:i/>
          <w:iCs/>
        </w:rPr>
        <w:t>Transactions and Proceedings of the American Philological Association</w:t>
      </w:r>
      <w:r w:rsidRPr="00DF264E">
        <w:t>, vol. 64, 1933, pp. 1–17</w:t>
      </w:r>
    </w:p>
    <w:p w14:paraId="4DBC476D" w14:textId="77777777" w:rsidR="009D3390" w:rsidRDefault="009D3390" w:rsidP="009D3390"/>
    <w:p w14:paraId="4B0D03A7" w14:textId="77777777" w:rsidR="009D3390" w:rsidRPr="00A72E5D" w:rsidRDefault="009D3390" w:rsidP="009D3390">
      <w:r>
        <w:t xml:space="preserve">Carney, E.D. 2015. </w:t>
      </w:r>
      <w:r>
        <w:rPr>
          <w:i/>
        </w:rPr>
        <w:t xml:space="preserve">King and Court in Ancient Macedonia: Rivalry, Treason, and Conspiracy. </w:t>
      </w:r>
      <w:r>
        <w:t>Swansea: The Classical Press of Wales</w:t>
      </w:r>
    </w:p>
    <w:p w14:paraId="4D51FC74" w14:textId="77777777" w:rsidR="009D3390" w:rsidRDefault="009D3390" w:rsidP="009D3390"/>
    <w:p w14:paraId="5D4EBF5D" w14:textId="77777777" w:rsidR="009D3390" w:rsidRDefault="009D3390" w:rsidP="009D3390">
      <w:r>
        <w:t>Dorjahn, A.</w:t>
      </w:r>
      <w:r w:rsidRPr="00F85C03">
        <w:t>P. “A Further Study on Demosthenes' Ability to Speak Extemporaneously.” </w:t>
      </w:r>
      <w:r w:rsidRPr="00F85C03">
        <w:rPr>
          <w:i/>
          <w:iCs/>
        </w:rPr>
        <w:t>Transactions and Proceedings of the American Philological Association</w:t>
      </w:r>
      <w:r w:rsidRPr="00F85C03">
        <w:t>, vol. 81, 1950, pp. 9–15</w:t>
      </w:r>
    </w:p>
    <w:p w14:paraId="311028BB" w14:textId="77777777" w:rsidR="009D3390" w:rsidRDefault="009D3390" w:rsidP="009D3390"/>
    <w:p w14:paraId="53F74E85" w14:textId="77777777" w:rsidR="009D3390" w:rsidRPr="00623FB8" w:rsidRDefault="009D3390" w:rsidP="009D3390">
      <w:r>
        <w:t xml:space="preserve">Edwards, M. 1994. </w:t>
      </w:r>
      <w:r>
        <w:rPr>
          <w:i/>
        </w:rPr>
        <w:t xml:space="preserve">The Attic Orators. </w:t>
      </w:r>
      <w:r>
        <w:t>Bristol: Bristol Classical Press</w:t>
      </w:r>
    </w:p>
    <w:p w14:paraId="518C342F" w14:textId="77777777" w:rsidR="009D3390" w:rsidRDefault="009D3390" w:rsidP="009D3390"/>
    <w:p w14:paraId="0ABAD02F" w14:textId="77777777" w:rsidR="009D3390" w:rsidRDefault="009D3390" w:rsidP="009D3390">
      <w:r>
        <w:t>Guth, D</w:t>
      </w:r>
      <w:r w:rsidRPr="00936276">
        <w:t>. “The King’s Speech: Philip’s Rhetoric and Democratic Leadership in the Debate over the Peace of Philocrates.” </w:t>
      </w:r>
      <w:r w:rsidRPr="00936276">
        <w:rPr>
          <w:i/>
          <w:iCs/>
        </w:rPr>
        <w:t>Rhetorica: A Journal of the History of Rhetoric</w:t>
      </w:r>
      <w:r w:rsidRPr="00936276">
        <w:t>, vol. 33, no. 4, 2015, pp. 333–348</w:t>
      </w:r>
    </w:p>
    <w:p w14:paraId="3BD15E23" w14:textId="77777777" w:rsidR="009D3390" w:rsidRDefault="009D3390" w:rsidP="009D3390"/>
    <w:p w14:paraId="6A152DFE" w14:textId="77777777" w:rsidR="009D3390" w:rsidRPr="008E0722" w:rsidRDefault="009D3390" w:rsidP="009D3390">
      <w:r>
        <w:t xml:space="preserve">Hornblower, S. 1983. </w:t>
      </w:r>
      <w:r>
        <w:rPr>
          <w:i/>
        </w:rPr>
        <w:t xml:space="preserve">The Greek World: 479-323 BC. </w:t>
      </w:r>
      <w:r>
        <w:t>London and New York: Routledge</w:t>
      </w:r>
    </w:p>
    <w:p w14:paraId="49925BD7" w14:textId="77777777" w:rsidR="009D3390" w:rsidRDefault="009D3390" w:rsidP="009D3390"/>
    <w:p w14:paraId="0EDA1688" w14:textId="77777777" w:rsidR="009D3390" w:rsidRPr="00560922" w:rsidRDefault="009D3390" w:rsidP="009D3390">
      <w:r>
        <w:t xml:space="preserve">Jaeger, W. 1938. </w:t>
      </w:r>
      <w:r>
        <w:rPr>
          <w:i/>
        </w:rPr>
        <w:t xml:space="preserve">Demosthenes: The Origin and Growth of His Policy. </w:t>
      </w:r>
      <w:r>
        <w:t>California: University of California Press</w:t>
      </w:r>
    </w:p>
    <w:p w14:paraId="5F9F2790" w14:textId="77777777" w:rsidR="009D3390" w:rsidRDefault="009D3390" w:rsidP="009D3390"/>
    <w:p w14:paraId="77BD9614" w14:textId="77777777" w:rsidR="009D3390" w:rsidRDefault="009D3390" w:rsidP="009D3390">
      <w:r>
        <w:t>Mader, G</w:t>
      </w:r>
      <w:r w:rsidRPr="00C40F23">
        <w:t>. “Fighting Philip with Decrees: Demosthenes and the Syndrome of Symbolic Action.” </w:t>
      </w:r>
      <w:r w:rsidRPr="00C40F23">
        <w:rPr>
          <w:i/>
          <w:iCs/>
        </w:rPr>
        <w:t>The American Journal of Philology</w:t>
      </w:r>
      <w:r w:rsidRPr="00C40F23">
        <w:t>, vol. 127, no. 3, 2006, pp. 367–386</w:t>
      </w:r>
    </w:p>
    <w:p w14:paraId="3F336424" w14:textId="77777777" w:rsidR="009D3390" w:rsidRDefault="009D3390" w:rsidP="009D3390"/>
    <w:p w14:paraId="3195A20E" w14:textId="77777777" w:rsidR="009D3390" w:rsidRPr="00B43327" w:rsidRDefault="009D3390" w:rsidP="009D3390">
      <w:r>
        <w:t>Worman, N</w:t>
      </w:r>
      <w:r w:rsidRPr="00B43327">
        <w:t>. “Insult and Oral Excess in the Disputes between Aeschines and Demosthenes.” </w:t>
      </w:r>
      <w:r w:rsidRPr="00B43327">
        <w:rPr>
          <w:i/>
          <w:iCs/>
        </w:rPr>
        <w:t>The American Journal of Philology</w:t>
      </w:r>
      <w:r w:rsidRPr="00B43327">
        <w:t>, vol. 125, no. 1, 2004, pp. 1–25</w:t>
      </w:r>
    </w:p>
    <w:p w14:paraId="5476B8EB" w14:textId="77777777" w:rsidR="009D3390" w:rsidRPr="00C40F23" w:rsidRDefault="009D3390" w:rsidP="009D3390"/>
    <w:p w14:paraId="69A0F44C" w14:textId="77777777" w:rsidR="009D3390" w:rsidRPr="00C40F23" w:rsidRDefault="009D3390" w:rsidP="009D3390"/>
    <w:p w14:paraId="2E58B5E9" w14:textId="77777777" w:rsidR="009D3390" w:rsidRPr="00DD1732" w:rsidRDefault="009D3390" w:rsidP="00DD1732">
      <w:bookmarkStart w:id="0" w:name="_GoBack"/>
      <w:bookmarkEnd w:id="0"/>
    </w:p>
    <w:sectPr w:rsidR="009D3390" w:rsidRPr="00DD1732"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1C2D31" w14:textId="77777777" w:rsidR="00691312" w:rsidRDefault="00691312" w:rsidP="00A85693">
      <w:r>
        <w:separator/>
      </w:r>
    </w:p>
  </w:endnote>
  <w:endnote w:type="continuationSeparator" w:id="0">
    <w:p w14:paraId="712942AF" w14:textId="77777777" w:rsidR="00691312" w:rsidRDefault="00691312" w:rsidP="00A856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2AF174" w14:textId="77777777" w:rsidR="00691312" w:rsidRDefault="00691312" w:rsidP="00A85693">
      <w:r>
        <w:separator/>
      </w:r>
    </w:p>
  </w:footnote>
  <w:footnote w:type="continuationSeparator" w:id="0">
    <w:p w14:paraId="7B0C7A67" w14:textId="77777777" w:rsidR="00691312" w:rsidRDefault="00691312" w:rsidP="00A85693">
      <w:r>
        <w:continuationSeparator/>
      </w:r>
    </w:p>
  </w:footnote>
  <w:footnote w:id="1">
    <w:p w14:paraId="6F15AA76" w14:textId="2879922A" w:rsidR="00A85693" w:rsidRDefault="00A85693">
      <w:pPr>
        <w:pStyle w:val="FootnoteText"/>
      </w:pPr>
      <w:r>
        <w:rPr>
          <w:rStyle w:val="FootnoteReference"/>
        </w:rPr>
        <w:footnoteRef/>
      </w:r>
      <w:r>
        <w:t xml:space="preserve"> Jaeger 1938: 22</w:t>
      </w:r>
    </w:p>
  </w:footnote>
  <w:footnote w:id="2">
    <w:p w14:paraId="1FE1AE00" w14:textId="083B771A" w:rsidR="003726B6" w:rsidRDefault="003726B6">
      <w:pPr>
        <w:pStyle w:val="FootnoteText"/>
      </w:pPr>
      <w:r>
        <w:rPr>
          <w:rStyle w:val="FootnoteReference"/>
        </w:rPr>
        <w:footnoteRef/>
      </w:r>
      <w:r>
        <w:t xml:space="preserve"> </w:t>
      </w:r>
      <w:r w:rsidR="00AE45C0">
        <w:t xml:space="preserve">Jaeger 1938: 24, </w:t>
      </w:r>
      <w:r>
        <w:t>Waterfield and Dewald 1998: 593</w:t>
      </w:r>
    </w:p>
  </w:footnote>
  <w:footnote w:id="3">
    <w:p w14:paraId="6B0DAF33" w14:textId="6FFC9AE8" w:rsidR="00AD2512" w:rsidRDefault="00AD2512">
      <w:pPr>
        <w:pStyle w:val="FootnoteText"/>
      </w:pPr>
      <w:r>
        <w:rPr>
          <w:rStyle w:val="FootnoteReference"/>
        </w:rPr>
        <w:footnoteRef/>
      </w:r>
      <w:r>
        <w:t xml:space="preserve"> </w:t>
      </w:r>
      <w:r w:rsidR="00455C00">
        <w:t>Edwards</w:t>
      </w:r>
      <w:r w:rsidR="00D6173B">
        <w:t xml:space="preserve"> 1994: 50</w:t>
      </w:r>
    </w:p>
  </w:footnote>
  <w:footnote w:id="4">
    <w:p w14:paraId="4D21D47F" w14:textId="528B40C7" w:rsidR="00E24D7B" w:rsidRDefault="00E24D7B">
      <w:pPr>
        <w:pStyle w:val="FootnoteText"/>
      </w:pPr>
      <w:r>
        <w:rPr>
          <w:rStyle w:val="FootnoteReference"/>
        </w:rPr>
        <w:footnoteRef/>
      </w:r>
      <w:r>
        <w:t xml:space="preserve"> Edwards </w:t>
      </w:r>
      <w:r w:rsidR="00885260">
        <w:t>1994: 50</w:t>
      </w:r>
    </w:p>
  </w:footnote>
  <w:footnote w:id="5">
    <w:p w14:paraId="6333F628" w14:textId="2D635CA8" w:rsidR="007A194A" w:rsidRDefault="007A194A">
      <w:pPr>
        <w:pStyle w:val="FootnoteText"/>
      </w:pPr>
      <w:r>
        <w:rPr>
          <w:rStyle w:val="FootnoteReference"/>
        </w:rPr>
        <w:footnoteRef/>
      </w:r>
      <w:r>
        <w:t xml:space="preserve"> </w:t>
      </w:r>
      <w:r w:rsidR="00F2473F">
        <w:t>Dem. Phil 2. 6.20.</w:t>
      </w:r>
    </w:p>
  </w:footnote>
  <w:footnote w:id="6">
    <w:p w14:paraId="5E859F64" w14:textId="3E5EC698" w:rsidR="00C378C6" w:rsidRDefault="00C378C6">
      <w:pPr>
        <w:pStyle w:val="FootnoteText"/>
      </w:pPr>
      <w:r>
        <w:rPr>
          <w:rStyle w:val="FootnoteReference"/>
        </w:rPr>
        <w:footnoteRef/>
      </w:r>
      <w:r>
        <w:t xml:space="preserve"> Aes. Against Ctesiphon. 3.57.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0CC"/>
    <w:rsid w:val="00095EF4"/>
    <w:rsid w:val="000A70CC"/>
    <w:rsid w:val="000F3EF1"/>
    <w:rsid w:val="00123FE8"/>
    <w:rsid w:val="001964CC"/>
    <w:rsid w:val="00200D4C"/>
    <w:rsid w:val="0021315E"/>
    <w:rsid w:val="002343E2"/>
    <w:rsid w:val="00241CF9"/>
    <w:rsid w:val="00255C68"/>
    <w:rsid w:val="002F4FFB"/>
    <w:rsid w:val="00301F8E"/>
    <w:rsid w:val="00321F7C"/>
    <w:rsid w:val="00327636"/>
    <w:rsid w:val="003726B6"/>
    <w:rsid w:val="003F3008"/>
    <w:rsid w:val="004172B0"/>
    <w:rsid w:val="00420C4D"/>
    <w:rsid w:val="00446100"/>
    <w:rsid w:val="00455C00"/>
    <w:rsid w:val="00474634"/>
    <w:rsid w:val="00501DD3"/>
    <w:rsid w:val="005107A8"/>
    <w:rsid w:val="00570505"/>
    <w:rsid w:val="00585368"/>
    <w:rsid w:val="005C05F8"/>
    <w:rsid w:val="005D6A30"/>
    <w:rsid w:val="006000B5"/>
    <w:rsid w:val="006863BE"/>
    <w:rsid w:val="00691312"/>
    <w:rsid w:val="006E10B7"/>
    <w:rsid w:val="006F0077"/>
    <w:rsid w:val="00705F83"/>
    <w:rsid w:val="00786ED0"/>
    <w:rsid w:val="00795779"/>
    <w:rsid w:val="007A194A"/>
    <w:rsid w:val="007A225C"/>
    <w:rsid w:val="0082772B"/>
    <w:rsid w:val="00852C1F"/>
    <w:rsid w:val="00853D57"/>
    <w:rsid w:val="00885260"/>
    <w:rsid w:val="00893DE3"/>
    <w:rsid w:val="009014C3"/>
    <w:rsid w:val="00916F63"/>
    <w:rsid w:val="00925B43"/>
    <w:rsid w:val="00926DBD"/>
    <w:rsid w:val="00950251"/>
    <w:rsid w:val="009639AF"/>
    <w:rsid w:val="009873FE"/>
    <w:rsid w:val="00995F9A"/>
    <w:rsid w:val="009B38F5"/>
    <w:rsid w:val="009C4EE2"/>
    <w:rsid w:val="009D3390"/>
    <w:rsid w:val="009D3D3A"/>
    <w:rsid w:val="00A85693"/>
    <w:rsid w:val="00AA160C"/>
    <w:rsid w:val="00AD2512"/>
    <w:rsid w:val="00AE45C0"/>
    <w:rsid w:val="00AF3D08"/>
    <w:rsid w:val="00B31982"/>
    <w:rsid w:val="00B91AC1"/>
    <w:rsid w:val="00B94B30"/>
    <w:rsid w:val="00BD3204"/>
    <w:rsid w:val="00BD7A93"/>
    <w:rsid w:val="00C10764"/>
    <w:rsid w:val="00C378C6"/>
    <w:rsid w:val="00C66A3D"/>
    <w:rsid w:val="00D37058"/>
    <w:rsid w:val="00D6173B"/>
    <w:rsid w:val="00D835E5"/>
    <w:rsid w:val="00DD1732"/>
    <w:rsid w:val="00DF2823"/>
    <w:rsid w:val="00E223AB"/>
    <w:rsid w:val="00E24D7B"/>
    <w:rsid w:val="00E31833"/>
    <w:rsid w:val="00E62CE0"/>
    <w:rsid w:val="00E84636"/>
    <w:rsid w:val="00EC3FA2"/>
    <w:rsid w:val="00F10B38"/>
    <w:rsid w:val="00F2473F"/>
    <w:rsid w:val="00F62161"/>
    <w:rsid w:val="00F900F2"/>
    <w:rsid w:val="00FD1B5D"/>
    <w:rsid w:val="00FD4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50FB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85693"/>
  </w:style>
  <w:style w:type="character" w:customStyle="1" w:styleId="FootnoteTextChar">
    <w:name w:val="Footnote Text Char"/>
    <w:basedOn w:val="DefaultParagraphFont"/>
    <w:link w:val="FootnoteText"/>
    <w:uiPriority w:val="99"/>
    <w:rsid w:val="00A85693"/>
  </w:style>
  <w:style w:type="character" w:styleId="FootnoteReference">
    <w:name w:val="footnote reference"/>
    <w:basedOn w:val="DefaultParagraphFont"/>
    <w:uiPriority w:val="99"/>
    <w:unhideWhenUsed/>
    <w:rsid w:val="00A85693"/>
    <w:rPr>
      <w:vertAlign w:val="superscript"/>
    </w:rPr>
  </w:style>
  <w:style w:type="character" w:styleId="PlaceholderText">
    <w:name w:val="Placeholder Text"/>
    <w:basedOn w:val="DefaultParagraphFont"/>
    <w:uiPriority w:val="99"/>
    <w:semiHidden/>
    <w:rsid w:val="00D3705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4</Pages>
  <Words>1106</Words>
  <Characters>6306</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146</cp:revision>
  <dcterms:created xsi:type="dcterms:W3CDTF">2019-04-12T09:55:00Z</dcterms:created>
  <dcterms:modified xsi:type="dcterms:W3CDTF">2019-04-12T13:48:00Z</dcterms:modified>
</cp:coreProperties>
</file>