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09B7" w:rsidRDefault="003C2826" w:rsidP="00DB09B7">
      <w:pPr>
        <w:rPr>
          <w:rFonts w:ascii="Arial" w:eastAsia="Times New Roman" w:hAnsi="Arial" w:cs="Arial"/>
          <w:b/>
          <w:bCs/>
          <w:lang w:eastAsia="en-GB"/>
        </w:rPr>
      </w:pPr>
      <w:r>
        <w:rPr>
          <w:rFonts w:ascii="Arial" w:eastAsia="Times New Roman" w:hAnsi="Arial" w:cs="Arial"/>
          <w:b/>
          <w:bCs/>
          <w:lang w:eastAsia="en-GB"/>
        </w:rPr>
        <w:t xml:space="preserve">Alannah Miller - </w:t>
      </w:r>
      <w:r w:rsidR="00DB09B7">
        <w:rPr>
          <w:rFonts w:ascii="Arial" w:eastAsia="Times New Roman" w:hAnsi="Arial" w:cs="Arial"/>
          <w:b/>
          <w:lang w:eastAsia="en-GB"/>
        </w:rPr>
        <w:t>1920587</w:t>
      </w:r>
    </w:p>
    <w:p w:rsidR="00EC2138" w:rsidRPr="00D507F6" w:rsidRDefault="00DB09B7" w:rsidP="00EC2138">
      <w:pPr>
        <w:spacing w:line="360" w:lineRule="auto"/>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r w:rsidR="00EC2138">
        <w:rPr>
          <w:rFonts w:ascii="Arial" w:eastAsia="Times New Roman" w:hAnsi="Arial" w:cs="Arial"/>
          <w:b/>
          <w:bCs/>
          <w:lang w:eastAsia="en-GB"/>
        </w:rPr>
        <w:t xml:space="preserve"> </w:t>
      </w:r>
      <w:r w:rsidR="00EC2138" w:rsidRPr="00D507F6">
        <w:rPr>
          <w:rFonts w:ascii="Arial" w:eastAsia="Times New Roman" w:hAnsi="Arial" w:cs="Arial"/>
          <w:lang w:eastAsia="en-GB"/>
        </w:rPr>
        <w:t>Review complex types of internet-dependent crimes (2000 words)</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Cybercrime is an umbrella term for two separate but very closely related types of criminal activity. These are defined in the government's National Cyber Security Strategy as:</w:t>
      </w:r>
    </w:p>
    <w:p w:rsidR="00EC2138" w:rsidRPr="00EC2138" w:rsidRDefault="00EC2138" w:rsidP="00EC2138">
      <w:pPr>
        <w:pStyle w:val="ListParagraph"/>
        <w:numPr>
          <w:ilvl w:val="0"/>
          <w:numId w:val="3"/>
        </w:numPr>
        <w:spacing w:line="360" w:lineRule="auto"/>
        <w:rPr>
          <w:rFonts w:ascii="Arial" w:eastAsia="Times New Roman" w:hAnsi="Arial" w:cs="Arial"/>
          <w:lang w:eastAsia="en-GB"/>
        </w:rPr>
      </w:pPr>
      <w:r w:rsidRPr="00EC2138">
        <w:rPr>
          <w:rFonts w:ascii="Arial" w:eastAsia="Times New Roman" w:hAnsi="Arial" w:cs="Arial"/>
          <w:lang w:eastAsia="en-GB"/>
        </w:rPr>
        <w:t>Cyber-dependent crime which are also known as internet dependant crime - crimes that can be committed only through the use of Information and Communications Technology (‘ICT’) devices, where the devices are both the tool for committing the crime, and the target of the crime (e.g. developing and propagating malware for financial gain, hacking to steal, damage, distort or destroy data and/or network or activity).</w:t>
      </w:r>
    </w:p>
    <w:p w:rsidR="00EC2138" w:rsidRPr="00EC2138" w:rsidRDefault="00EC2138" w:rsidP="00EC2138">
      <w:pPr>
        <w:pStyle w:val="ListParagraph"/>
        <w:numPr>
          <w:ilvl w:val="0"/>
          <w:numId w:val="3"/>
        </w:numPr>
        <w:spacing w:line="360" w:lineRule="auto"/>
        <w:rPr>
          <w:rFonts w:ascii="Arial" w:eastAsia="Times New Roman" w:hAnsi="Arial" w:cs="Arial"/>
          <w:lang w:eastAsia="en-GB"/>
        </w:rPr>
      </w:pPr>
      <w:r w:rsidRPr="00EC2138">
        <w:rPr>
          <w:rFonts w:ascii="Arial" w:eastAsia="Times New Roman" w:hAnsi="Arial" w:cs="Arial"/>
          <w:lang w:eastAsia="en-GB"/>
        </w:rPr>
        <w:t xml:space="preserve">Cyber-enabled crimes - traditional crimes which can be increased in scale or reach by the use of computers, computer networks or other forms of ICT (such as cyber-enabled fraud and data theft) </w:t>
      </w:r>
      <w:r w:rsidRPr="00EC2138">
        <w:rPr>
          <w:rFonts w:ascii="Arial" w:hAnsi="Arial" w:cs="Arial"/>
          <w:color w:val="000000"/>
          <w:shd w:val="clear" w:color="auto" w:fill="FFFFFF"/>
        </w:rPr>
        <w:t>(CPS, 2021)</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word "cybercrime" has been extensively used since the introduction of the Council of Europe's cybercrime convention, also known as the Budapest Convention on Cybercrime </w:t>
      </w:r>
      <w:r w:rsidRPr="00EC2138">
        <w:rPr>
          <w:rFonts w:ascii="Arial" w:hAnsi="Arial" w:cs="Arial"/>
          <w:color w:val="000000"/>
          <w:shd w:val="clear" w:color="auto" w:fill="FFFFFF"/>
        </w:rPr>
        <w:t>(Daskal and Kennedy-Mayo, 2021)</w:t>
      </w:r>
      <w:r w:rsidRPr="00EC2138">
        <w:rPr>
          <w:rFonts w:ascii="Arial" w:eastAsia="Times New Roman" w:hAnsi="Arial" w:cs="Arial"/>
          <w:lang w:eastAsia="en-GB"/>
        </w:rPr>
        <w:t xml:space="preserve">. In this essay I will be reviewing complex types of internet-dependent crimes.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origins of cybercrime can be traced back to telecommunications, with “hacker” culture deriving from the term “phone phreaking,” which peaked in the 1970s. Phreaking was the technique of exploiting hardware and frequency weaknesses in a telephone network, predominantly to get free or discounted telephone rates </w:t>
      </w:r>
      <w:r w:rsidRPr="00EC2138">
        <w:rPr>
          <w:rFonts w:ascii="Arial" w:hAnsi="Arial" w:cs="Arial"/>
          <w:color w:val="000000"/>
          <w:shd w:val="clear" w:color="auto" w:fill="FFFFFF"/>
        </w:rPr>
        <w:t>(Gold, 2011)</w:t>
      </w:r>
      <w:r w:rsidRPr="00EC2138">
        <w:rPr>
          <w:rFonts w:ascii="Arial" w:eastAsia="Times New Roman" w:hAnsi="Arial" w:cs="Arial"/>
          <w:lang w:eastAsia="en-GB"/>
        </w:rPr>
        <w:t xml:space="preserve">. Phone phreaking became less prevalent as landline networks grew more secure and eventually died off. It was not phased out completely, and in 2018, a phone phreaker conducted a series of assaults in New York City WiFi kiosks </w:t>
      </w:r>
      <w:r w:rsidRPr="00EC2138">
        <w:rPr>
          <w:rFonts w:ascii="Arial" w:hAnsi="Arial" w:cs="Arial"/>
          <w:color w:val="000000"/>
          <w:shd w:val="clear" w:color="auto" w:fill="FFFFFF"/>
        </w:rPr>
        <w:t>(Maloney, 2018)</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In 1995, the first person was prosecuted for spreading a computer virus. Christopher Pile spread the virus using bulletin boards disguised as games and in one case he used an anti-virus software. It was believed that the virus cost around one million pound </w:t>
      </w:r>
      <w:r w:rsidRPr="00EC2138">
        <w:rPr>
          <w:rFonts w:ascii="Arial" w:hAnsi="Arial" w:cs="Arial"/>
          <w:color w:val="000000"/>
          <w:shd w:val="clear" w:color="auto" w:fill="FFFFFF"/>
        </w:rPr>
        <w:t>(Bates, 2015)</w:t>
      </w:r>
      <w:r w:rsidRPr="00EC2138">
        <w:rPr>
          <w:rFonts w:ascii="Arial" w:eastAsia="Times New Roman" w:hAnsi="Arial" w:cs="Arial"/>
          <w:lang w:eastAsia="en-GB"/>
        </w:rPr>
        <w:t xml:space="preserve">. He pled guilty to eleven counts under Sections 2 and 3 of the Computer Misuse Act and was sentenced to 18 months in jail.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The Computer Misuse Act of 1990 was the first piece of UK law to target computer misuse. This act defines computer misuse as "an act to provide provision for safeguarding computer material against unauthorised access or alteration and for related purposes." It establishes three computer misuse offences</w:t>
      </w:r>
      <w:r w:rsidRPr="00EC2138">
        <w:rPr>
          <w:rFonts w:ascii="Arial" w:eastAsia="Times New Roman" w:hAnsi="Arial" w:cs="Arial"/>
          <w:color w:val="000000" w:themeColor="text1"/>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lastRenderedPageBreak/>
        <w:t xml:space="preserve">     -Unauthorised access to computer material</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     -Unauthorised access with intent to commit or facilitate commission of further offences</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     -Unauthorised modification of computer material </w:t>
      </w:r>
      <w:r w:rsidRPr="00EC2138">
        <w:rPr>
          <w:rFonts w:ascii="Arial" w:eastAsia="Times New Roman" w:hAnsi="Arial" w:cs="Arial"/>
          <w:color w:val="000000" w:themeColor="text1"/>
          <w:lang w:eastAsia="en-GB"/>
        </w:rPr>
        <w:t>(Singleton, 1993).</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The act was put in place in response to rising concern that existing legislation was insufficient for dealing with hackers (Macewan, 2008).</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According to the Oxford Dictionary, hacking is defined as "the act of using computers to gain unauthorised access to data on another person's computer or phone system" (Oxford dictionary, 2021). Darlington believes that hacking is more than just accessing data or information, it also includes an attack on everyone's privacy, but almost everyone agrees that hacking is illegal (Rao M, 2014).</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Originally, the term hacker was used to describe individuals who had a more advanced perspective and understanding of computer and programming language concepts. Hackers were thought to be geniuses because they contributed significantly to the development of computers and internet technology in general, but today, where personal gain is so important, people are often drawn to things they can do and gain through illegal entry into people's privacy and using for their own purposes </w:t>
      </w:r>
      <w:r w:rsidRPr="00EC2138">
        <w:rPr>
          <w:rFonts w:ascii="Arial" w:hAnsi="Arial" w:cs="Arial"/>
          <w:shd w:val="clear" w:color="auto" w:fill="FFFFFF"/>
        </w:rPr>
        <w:t>(Chai, 2021)</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In the past, hackers were motivated by naive ends, such as curiosity or identifying vulnerabilities in computer systems, but more recently, hackers are motivated by criminal intent, such as terrorism or financial gain. (Koops, 2010). Malware and social engineering are examples of technical subterfuge used by hackers to access computer systems (Hutchings, 2013).</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Cyberattacks and malware are among the most serious risks on the internet. Malware is a term for harmful software. It is software created by cyber attackers with the goal of obtaining access to or inflicting harm to a computer or network, frequently while the victim is unaware that a breach has occurred. Infections with malware pose a significant threat to the security of electronic devices and to the privacy of internet users (Bettany and Halsey, 2017).  Although there are significant variations between various sorts of dangerous programmes, 'computer virus' is a frequent alternative term for malware. Malware and the harmful code that powers it are particularly designed to create damage and issues on computer systems. Malware has developed through time and now performs a variety of roles depending on the developer's objectives</w:t>
      </w:r>
      <w:r w:rsidRPr="00EC2138">
        <w:rPr>
          <w:rFonts w:ascii="Arial" w:hAnsi="Arial" w:cs="Arial"/>
          <w:color w:val="000000"/>
          <w:shd w:val="clear" w:color="auto" w:fill="FFFFFF"/>
        </w:rPr>
        <w:t xml:space="preserve"> (Palmer, 2018)</w:t>
      </w:r>
      <w:r w:rsidRPr="00EC2138">
        <w:rPr>
          <w:rFonts w:ascii="Arial" w:eastAsia="Times New Roman" w:hAnsi="Arial" w:cs="Arial"/>
          <w:lang w:eastAsia="en-GB"/>
        </w:rPr>
        <w:t>. Symantec reported that one out of every 3,207 emails contains malware. Additionally, in 2018 7.8% of emails contain malicious URLs that redirect internet users to fake websites (Symantec, 2019).</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lastRenderedPageBreak/>
        <w:t xml:space="preserve">A Trojan horse is a form of malware that often appears as a legitimate tool that tricks the user into installing it, allowing it to perform malicious tasks. Trojan horses are among the most common forms of malware. Trojans can potentially gain access to and steal everything from the system once they are installed including login information, passwords, keystrokes, screenshots, banking details and then secretly send it all to the attackers </w:t>
      </w:r>
      <w:r w:rsidRPr="00EC2138">
        <w:rPr>
          <w:rFonts w:ascii="Arial" w:hAnsi="Arial" w:cs="Arial"/>
          <w:shd w:val="clear" w:color="auto" w:fill="FFFFFF"/>
        </w:rPr>
        <w:t>(Johansen, 2020)</w:t>
      </w:r>
      <w:r w:rsidRPr="00EC2138">
        <w:rPr>
          <w:rFonts w:ascii="Arial" w:eastAsia="Times New Roman" w:hAnsi="Arial" w:cs="Arial"/>
          <w:lang w:eastAsia="en-GB"/>
        </w:rPr>
        <w:t>. Trojan horses can even remove anti-malware protection or modify data. Due to its powerful capabilities, Trojan horses are used by everyone from solo hackers to criminal gangs. Occasionally, malware authors will combine different forms of malware to make an attack more potent such as using ransomware as a distraction to erase evidence of a trojan attack (Clark, 2021).</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Ransomware, on the other hand, isn't subtle nor does it remain hidden for as long as possible, like some forms of malware. Ransomware is often delivered via malicious attachments or links in phishing emails, it encrypts infected systems and locks users until they pay the ransom </w:t>
      </w:r>
      <w:r w:rsidRPr="00EC2138">
        <w:rPr>
          <w:rFonts w:ascii="Arial" w:hAnsi="Arial" w:cs="Arial"/>
          <w:color w:val="000000"/>
          <w:shd w:val="clear" w:color="auto" w:fill="FFFFFF"/>
        </w:rPr>
        <w:t>(Fruhlinger, 2020)</w:t>
      </w:r>
      <w:r w:rsidRPr="00EC2138">
        <w:rPr>
          <w:rFonts w:ascii="Arial" w:eastAsia="Times New Roman" w:hAnsi="Arial" w:cs="Arial"/>
          <w:lang w:eastAsia="en-GB"/>
        </w:rPr>
        <w:t xml:space="preserve">.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Spyware is software that monitors actions taken on PCs and other devices. This includes browsing history, apps used, messages sent, and more. Spyware can arrive as a Trojan horse malware or it could be downloaded to your device in other ways </w:t>
      </w:r>
      <w:r w:rsidRPr="00EC2138">
        <w:rPr>
          <w:rFonts w:ascii="Arial" w:hAnsi="Arial" w:cs="Arial"/>
          <w:color w:val="000000"/>
          <w:shd w:val="clear" w:color="auto" w:fill="FFFFFF"/>
        </w:rPr>
        <w:t>(Gillis, 2021)</w:t>
      </w:r>
      <w:r w:rsidRPr="00EC2138">
        <w:rPr>
          <w:rFonts w:ascii="Arial" w:eastAsia="Times New Roman" w:hAnsi="Arial" w:cs="Arial"/>
          <w:lang w:eastAsia="en-GB"/>
        </w:rPr>
        <w:t xml:space="preserve">.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worm is a type of malware designed to spread between systems without the users of the system becoming active. Worms often exploit vulnerabilities in operating systems and software, but they can also spread via email attachments when the worm accesses the contact book of an infected computer or machine </w:t>
      </w:r>
      <w:r w:rsidRPr="00EC2138">
        <w:rPr>
          <w:rFonts w:ascii="Arial" w:hAnsi="Arial" w:cs="Arial"/>
          <w:shd w:val="clear" w:color="auto" w:fill="FFFFFF"/>
        </w:rPr>
        <w:t>(Bedell, 2021)</w:t>
      </w:r>
      <w:r w:rsidRPr="00EC2138">
        <w:rPr>
          <w:rFonts w:ascii="Arial" w:eastAsia="Times New Roman" w:hAnsi="Arial" w:cs="Arial"/>
          <w:lang w:eastAsia="en-GB"/>
        </w:rPr>
        <w:t>. Previously, before the spread of the World Wide Web, malware and viruses had to be manually and physically distributed on floppy disks or CD-ROMs.</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Often, malware is still sent via an external device, but these days it can be delivered from a flash drive or USB stick. </w:t>
      </w:r>
      <w:r w:rsidRPr="00EC2138">
        <w:rPr>
          <w:rFonts w:ascii="Arial" w:hAnsi="Arial" w:cs="Arial"/>
          <w:shd w:val="clear" w:color="auto" w:fill="FFFFFF"/>
        </w:rPr>
        <w:t>In a Universal Serial Bus (USB) drop attack</w:t>
      </w:r>
      <w:r w:rsidRPr="00EC2138">
        <w:rPr>
          <w:rFonts w:ascii="Arial" w:eastAsia="Times New Roman" w:hAnsi="Arial" w:cs="Arial"/>
          <w:lang w:eastAsia="en-GB"/>
        </w:rPr>
        <w:t xml:space="preserve"> the USB stick may be left in a parking lot outside the target organization in the hope that it will be picked up from curiosity and plugged into a computer connected to the network </w:t>
      </w:r>
      <w:r w:rsidRPr="00EC2138">
        <w:rPr>
          <w:rFonts w:ascii="Arial" w:hAnsi="Arial" w:cs="Arial"/>
          <w:color w:val="000000"/>
          <w:shd w:val="clear" w:color="auto" w:fill="FFFFFF"/>
        </w:rPr>
        <w:t>(Talamantes, 2021)</w:t>
      </w:r>
      <w:r w:rsidRPr="00EC2138">
        <w:rPr>
          <w:rFonts w:ascii="Arial" w:eastAsia="Times New Roman" w:hAnsi="Arial" w:cs="Arial"/>
          <w:lang w:eastAsia="en-GB"/>
        </w:rPr>
        <w:t xml:space="preserve">. However, malware is more common today, with user data delivered in phishing emails and distributed as email attachments.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quality of spam email attempts varies. Some attempts to spread the malware require minimal effort on the part of the attacker, perhaps even sending an email containing only randomly named attachments. In this case, the attacker is looking for someone naive as they usually don't have anti-malware protection installed, which will make the attack successful just by clicking on an email attachment or link. If the attacker has a specific goal in mind, phishing emails may be specially tailored to attract only people or individuals within an </w:t>
      </w:r>
      <w:r w:rsidRPr="00EC2138">
        <w:rPr>
          <w:rFonts w:ascii="Arial" w:eastAsia="Times New Roman" w:hAnsi="Arial" w:cs="Arial"/>
          <w:lang w:eastAsia="en-GB"/>
        </w:rPr>
        <w:lastRenderedPageBreak/>
        <w:t xml:space="preserve">organisation. This means of delivering malware is often associated with the most sophisticated malware campaigns </w:t>
      </w:r>
      <w:r w:rsidRPr="00EC2138">
        <w:rPr>
          <w:rFonts w:ascii="Arial" w:hAnsi="Arial" w:cs="Arial"/>
          <w:color w:val="000000"/>
          <w:shd w:val="clear" w:color="auto" w:fill="FFFFFF"/>
        </w:rPr>
        <w:t>(Hauk, 2021)</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Some of the most basic cybersecurity practices can go a long way to protecting systems and their users from falling victim to malware. Simply ensuring software is patched and up to date, and all operating system updates are applied as quickly as possible after they`re released, will help protect users from falling victim to attacks using known exploits </w:t>
      </w:r>
      <w:r w:rsidRPr="00EC2138">
        <w:rPr>
          <w:rFonts w:ascii="Arial" w:hAnsi="Arial" w:cs="Arial"/>
          <w:color w:val="000000"/>
          <w:shd w:val="clear" w:color="auto" w:fill="FFFFFF"/>
        </w:rPr>
        <w:t>(Overby, 2021).</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scope and complexity of cyber-attacks are vast because of the equipment that is now available and easily acceptable, less technically skilled criminals are now able to commit cyber-crime, and they are doing so as the potential rewards are greater and they are less likely to be detected. These sorts of crimes can be difficult to identify and investigate because they can be committed from anywhere in the world. Malware's growing technological capabilities include evolving harm as well as the facilitation of new crimes </w:t>
      </w:r>
      <w:r w:rsidRPr="00EC2138">
        <w:rPr>
          <w:rFonts w:ascii="Arial" w:hAnsi="Arial" w:cs="Arial"/>
          <w:color w:val="000000"/>
          <w:shd w:val="clear" w:color="auto" w:fill="FFFFFF"/>
        </w:rPr>
        <w:t>(NCA, 2021)</w:t>
      </w:r>
      <w:r w:rsidRPr="00EC2138">
        <w:rPr>
          <w:rFonts w:ascii="Arial" w:eastAsia="Times New Roman" w:hAnsi="Arial" w:cs="Arial"/>
          <w:lang w:eastAsia="en-GB"/>
        </w:rPr>
        <w:t xml:space="preserve">.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Cybercrime is evolving at a rapid rate, with new forms appearing all the time. Cybercriminals are becoming more creative, exploiting new technology at ridiculous speeds, customising their attacks using new tactics, and collaborating with one another in new and different ways </w:t>
      </w:r>
      <w:r w:rsidRPr="00EC2138">
        <w:rPr>
          <w:rFonts w:ascii="Arial" w:hAnsi="Arial" w:cs="Arial"/>
          <w:shd w:val="clear" w:color="auto" w:fill="FFFFFF"/>
        </w:rPr>
        <w:t>(Nordon, 2013)</w:t>
      </w:r>
      <w:r w:rsidRPr="00EC2138">
        <w:rPr>
          <w:rFonts w:ascii="Arial" w:eastAsia="Times New Roman" w:hAnsi="Arial" w:cs="Arial"/>
          <w:lang w:eastAsia="en-GB"/>
        </w:rPr>
        <w:t xml:space="preserve">. Complex criminal networks exist all over the world, organising sophisticated attacks in minutes. As a result it is essential that police keep up with emerging technology in order to understand the opportunities they provide for criminals and how they may be utilised as weapons to fight cybercrime </w:t>
      </w:r>
      <w:r w:rsidRPr="00EC2138">
        <w:rPr>
          <w:rFonts w:ascii="Arial" w:hAnsi="Arial" w:cs="Arial"/>
          <w:color w:val="000000"/>
          <w:shd w:val="clear" w:color="auto" w:fill="FFFFFF"/>
        </w:rPr>
        <w:t>(Interpol, 2021)</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A magistrate decided in November 2004 that a teenager accused of taking down a server by sending millions of emails had not violated the Computer Misuse Act since the action did not include making unauthorised alterations to a computer, as defined in the Act. Although the Court of Appeal eventually overturned this judgement, it provided more support to many who questioned the efficacy of a legislation enacted in an age dominated by now obsolete technology such as DOS, floppy discs, and bulletin boards </w:t>
      </w:r>
      <w:r w:rsidRPr="00EC2138">
        <w:rPr>
          <w:rFonts w:ascii="Arial" w:hAnsi="Arial" w:cs="Arial"/>
          <w:color w:val="000000"/>
          <w:shd w:val="clear" w:color="auto" w:fill="FFFFFF"/>
        </w:rPr>
        <w:t>(Espiner, 2005)</w:t>
      </w:r>
      <w:r w:rsidRPr="00EC2138">
        <w:rPr>
          <w:rFonts w:ascii="Arial" w:eastAsia="Times New Roman" w:hAnsi="Arial" w:cs="Arial"/>
          <w:lang w:eastAsia="en-GB"/>
        </w:rPr>
        <w:t>.</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The Computer Misuse Act was amended as part of the Police and Justice Act of 2006 (which addresses a larger range of issues than just computer crimes) </w:t>
      </w:r>
      <w:r w:rsidRPr="00EC2138">
        <w:rPr>
          <w:rFonts w:ascii="Arial" w:hAnsi="Arial" w:cs="Arial"/>
          <w:color w:val="000000"/>
          <w:shd w:val="clear" w:color="auto" w:fill="FFFFFF"/>
        </w:rPr>
        <w:t>(Fafinski, 2008)</w:t>
      </w:r>
      <w:r w:rsidRPr="00EC2138">
        <w:rPr>
          <w:rFonts w:ascii="Arial" w:eastAsia="Times New Roman" w:hAnsi="Arial" w:cs="Arial"/>
          <w:lang w:eastAsia="en-GB"/>
        </w:rPr>
        <w:t xml:space="preserve">. The Act also included a new clause, 'Making, providing, or acquiring materials for use in computer abuse offences,' with a maximum penalty of two years in prison. According to this section: </w:t>
      </w:r>
    </w:p>
    <w:p w:rsidR="00EC2138" w:rsidRPr="00EC2138" w:rsidRDefault="00EC2138" w:rsidP="00EC2138">
      <w:pPr>
        <w:pStyle w:val="ListParagraph"/>
        <w:numPr>
          <w:ilvl w:val="0"/>
          <w:numId w:val="2"/>
        </w:numPr>
        <w:spacing w:line="360" w:lineRule="auto"/>
        <w:rPr>
          <w:rFonts w:ascii="Arial" w:eastAsia="Times New Roman" w:hAnsi="Arial" w:cs="Arial"/>
          <w:lang w:eastAsia="en-GB"/>
        </w:rPr>
      </w:pPr>
      <w:r w:rsidRPr="00EC2138">
        <w:rPr>
          <w:rFonts w:ascii="Arial" w:eastAsia="Times New Roman" w:hAnsi="Arial" w:cs="Arial"/>
          <w:lang w:eastAsia="en-GB"/>
        </w:rPr>
        <w:t xml:space="preserve">A person commits an offence if he produces, modifies, provides, or proposes to supply any object with the intent of using it to commit, or assist in the commission of, an offence under section 1 or 3. </w:t>
      </w:r>
    </w:p>
    <w:p w:rsidR="00EC2138" w:rsidRPr="00EC2138" w:rsidRDefault="00EC2138" w:rsidP="00EC2138">
      <w:pPr>
        <w:pStyle w:val="ListParagraph"/>
        <w:numPr>
          <w:ilvl w:val="0"/>
          <w:numId w:val="2"/>
        </w:numPr>
        <w:spacing w:line="360" w:lineRule="auto"/>
        <w:rPr>
          <w:rFonts w:ascii="Arial" w:eastAsia="Times New Roman" w:hAnsi="Arial" w:cs="Arial"/>
          <w:lang w:eastAsia="en-GB"/>
        </w:rPr>
      </w:pPr>
      <w:r w:rsidRPr="00EC2138">
        <w:rPr>
          <w:rFonts w:ascii="Arial" w:eastAsia="Times New Roman" w:hAnsi="Arial" w:cs="Arial"/>
          <w:lang w:eastAsia="en-GB"/>
        </w:rPr>
        <w:lastRenderedPageBreak/>
        <w:t xml:space="preserve">A person commits an offence if he gives or proposes to supply any object with the knowledge that it will be used to commit or assist in the commission of an offence under section 1 or 3. </w:t>
      </w:r>
    </w:p>
    <w:p w:rsidR="00EC2138" w:rsidRPr="00EC2138" w:rsidRDefault="00EC2138" w:rsidP="00EC2138">
      <w:pPr>
        <w:pStyle w:val="ListParagraph"/>
        <w:numPr>
          <w:ilvl w:val="0"/>
          <w:numId w:val="2"/>
        </w:numPr>
        <w:spacing w:line="360" w:lineRule="auto"/>
        <w:rPr>
          <w:rFonts w:ascii="Arial" w:eastAsia="Times New Roman" w:hAnsi="Arial" w:cs="Arial"/>
          <w:lang w:eastAsia="en-GB"/>
        </w:rPr>
      </w:pPr>
      <w:r w:rsidRPr="00EC2138">
        <w:rPr>
          <w:rFonts w:ascii="Arial" w:eastAsia="Times New Roman" w:hAnsi="Arial" w:cs="Arial"/>
          <w:lang w:eastAsia="en-GB"/>
        </w:rPr>
        <w:t xml:space="preserve">A person commits an offence if he acquires any object with the intent of supplying it for use in committing, or assisting in the commission of, an offence under section 1 or 3. In this section, "article" refers to any programme or data that is stored in electronic form </w:t>
      </w:r>
      <w:r w:rsidRPr="00EC2138">
        <w:rPr>
          <w:rFonts w:ascii="Arial" w:hAnsi="Arial" w:cs="Arial"/>
          <w:color w:val="000000"/>
          <w:shd w:val="clear" w:color="auto" w:fill="FFFFFF"/>
        </w:rPr>
        <w:t>(gov, 2021)</w:t>
      </w:r>
      <w:r w:rsidRPr="00EC2138">
        <w:rPr>
          <w:rFonts w:ascii="Arial" w:eastAsia="Times New Roman" w:hAnsi="Arial" w:cs="Arial"/>
          <w:lang w:eastAsia="en-GB"/>
        </w:rPr>
        <w:t xml:space="preserve">. </w:t>
      </w:r>
    </w:p>
    <w:p w:rsidR="00EC2138" w:rsidRP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Even in the presence of a functional criminal justice system, crime and cybercrime have become more widespread in our society. On both the public and dark webs, cybercriminals are highly skilled and tough to track down. Cybercrime has posed a major threat to internet users, with millions of users' personal information stolen. Cybercrime is the "biggest threat to every profession, every field, and every organisation in the world," according to IBM President and CEO Ginni Rometty </w:t>
      </w:r>
      <w:r w:rsidRPr="00EC2138">
        <w:rPr>
          <w:rFonts w:ascii="Arial" w:hAnsi="Arial" w:cs="Arial"/>
          <w:shd w:val="clear" w:color="auto" w:fill="FFFFFF"/>
        </w:rPr>
        <w:t>(Zolkos, 2021)</w:t>
      </w:r>
      <w:r w:rsidRPr="00EC2138">
        <w:rPr>
          <w:rFonts w:ascii="Arial" w:eastAsia="Times New Roman" w:hAnsi="Arial" w:cs="Arial"/>
          <w:lang w:eastAsia="en-GB"/>
        </w:rPr>
        <w:t xml:space="preserve">. </w:t>
      </w:r>
    </w:p>
    <w:p w:rsidR="00EC2138" w:rsidRDefault="00EC2138" w:rsidP="00EC2138">
      <w:pPr>
        <w:spacing w:line="360" w:lineRule="auto"/>
        <w:rPr>
          <w:rFonts w:ascii="Arial" w:eastAsia="Times New Roman" w:hAnsi="Arial" w:cs="Arial"/>
          <w:lang w:eastAsia="en-GB"/>
        </w:rPr>
      </w:pPr>
      <w:r w:rsidRPr="00EC2138">
        <w:rPr>
          <w:rFonts w:ascii="Arial" w:eastAsia="Times New Roman" w:hAnsi="Arial" w:cs="Arial"/>
          <w:lang w:eastAsia="en-GB"/>
        </w:rPr>
        <w:t xml:space="preserve">To conclude this essay, it is impossible to predict what computer and cybercrime will become in the future. Things that have happened in the past are not indicative of what will happen in the future, because the computing world advances on a daily basis. Organizations all throughout the world are attempting to put a stop to such attacks. Nonetheless, hackers are one step ahead due to their rapidly expanding and innovating ways </w:t>
      </w:r>
      <w:r w:rsidRPr="00EC2138">
        <w:rPr>
          <w:rFonts w:ascii="Arial" w:hAnsi="Arial" w:cs="Arial"/>
          <w:shd w:val="clear" w:color="auto" w:fill="FFFFFF"/>
        </w:rPr>
        <w:t>(McKinsey, 2019)</w:t>
      </w:r>
      <w:r w:rsidRPr="00EC2138">
        <w:rPr>
          <w:rFonts w:ascii="Arial" w:eastAsia="Times New Roman" w:hAnsi="Arial" w:cs="Arial"/>
          <w:lang w:eastAsia="en-GB"/>
        </w:rPr>
        <w:t xml:space="preserve">. Countries all around the world are progressively outlining their positions on cyberspace, cybercrime, and cybersecurity in order to protect and defend themselves from cyberattacks. The UK government, for example, has set aside £1.9 billion over the last five years to support a cybersecurity programme because it considers cybersecurity to be one of their top priorities </w:t>
      </w:r>
      <w:r w:rsidRPr="00EC2138">
        <w:rPr>
          <w:rFonts w:ascii="Arial" w:hAnsi="Arial" w:cs="Arial"/>
          <w:color w:val="000000"/>
          <w:shd w:val="clear" w:color="auto" w:fill="FFFFFF"/>
        </w:rPr>
        <w:t>(NAO, 2019)</w:t>
      </w:r>
      <w:r w:rsidRPr="00EC2138">
        <w:rPr>
          <w:rFonts w:ascii="Arial" w:eastAsia="Times New Roman" w:hAnsi="Arial" w:cs="Arial"/>
          <w:lang w:eastAsia="en-GB"/>
        </w:rPr>
        <w:t>. In every field of human activity, one generation follows those who came before them, learning from what has been done before, re-applying tactics that have proven effective while also attempting to explore new ground. This is also true for individuals who design malware, and successive generations of malware developers have reshaped the cybersecurity risks.</w:t>
      </w:r>
    </w:p>
    <w:p w:rsidR="00DB09B7" w:rsidRDefault="00EC2138" w:rsidP="00DB09B7">
      <w:pPr>
        <w:rPr>
          <w:rFonts w:ascii="Arial" w:eastAsia="Times New Roman" w:hAnsi="Arial" w:cs="Arial"/>
          <w:lang w:eastAsia="en-GB"/>
        </w:rPr>
      </w:pPr>
      <w:r>
        <w:rPr>
          <w:rFonts w:ascii="Arial" w:eastAsia="Times New Roman" w:hAnsi="Arial" w:cs="Arial"/>
          <w:lang w:eastAsia="en-GB"/>
        </w:rPr>
        <w:t>Words 2031</w:t>
      </w:r>
    </w:p>
    <w:p w:rsidR="002E27CC" w:rsidRPr="008A27A7" w:rsidRDefault="002E27CC" w:rsidP="00DB09B7">
      <w:pPr>
        <w:rPr>
          <w:rFonts w:ascii="Arial" w:eastAsia="Times New Roman" w:hAnsi="Arial" w:cs="Arial"/>
          <w:lang w:eastAsia="en-GB"/>
        </w:rPr>
      </w:pPr>
    </w:p>
    <w:p w:rsidR="00DB09B7" w:rsidRPr="00BC461A" w:rsidRDefault="00DB09B7" w:rsidP="00DB09B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rsidR="00EC2138" w:rsidRPr="006E4187" w:rsidRDefault="00DB09B7" w:rsidP="00EC2138">
      <w:pPr>
        <w:spacing w:after="0" w:line="480" w:lineRule="auto"/>
        <w:rPr>
          <w:rFonts w:ascii="Arial" w:eastAsia="Times New Roman" w:hAnsi="Arial" w:cs="Arial"/>
          <w:lang w:eastAsia="en-GB"/>
        </w:rPr>
      </w:pPr>
      <w:r>
        <w:rPr>
          <w:rFonts w:ascii="Arial" w:eastAsia="Times New Roman" w:hAnsi="Arial" w:cs="Arial"/>
          <w:b/>
          <w:bCs/>
          <w:lang w:eastAsia="en-GB"/>
        </w:rPr>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r w:rsidR="00EC2138" w:rsidRPr="006E4187">
        <w:rPr>
          <w:rFonts w:ascii="Arial" w:eastAsia="Times New Roman" w:hAnsi="Arial" w:cs="Arial"/>
          <w:lang w:eastAsia="en-GB"/>
        </w:rPr>
        <w:t>Assess the role of community policing in fostering and maintaining community cohesion. (2000 words)</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Community cohesiveness refers to our local community’s capacity to be welcoming and supportive of individuals of diverse cultures, races, identities, and beliefs. A cohesive </w:t>
      </w:r>
      <w:r w:rsidRPr="00874EB5">
        <w:rPr>
          <w:rFonts w:ascii="Arial" w:eastAsia="Times New Roman" w:hAnsi="Arial" w:cs="Arial"/>
          <w:lang w:eastAsia="en-GB"/>
        </w:rPr>
        <w:lastRenderedPageBreak/>
        <w:t>community is one in which people get along well (LGA, 2004). In this essay I will be assessing the role of community policing in fostering and maintaining community cohesion.</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In Europe, community policing is a well-known idea. Many countries have used it, based on the problems that arise and the requirements that develop from society. The different police systems and techniques in these countries also have an impact on how Community Policing is structured (EUCPN, 2021).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In the early 1990s, community policing originated as a method of reducing rising crime rates as well as the improvement of the connection between the police and the general public. It was discovered through community policing that strong arrests for disorderly conduct and drunk driving had a deterrent effect on unrelated crimes such as robbery. This is regulated by the ideals of 'policing as community issue resolution' and 'policing by consent' in order to be more sensitive to community needs and expectations </w:t>
      </w:r>
      <w:r w:rsidRPr="00874EB5">
        <w:rPr>
          <w:rFonts w:ascii="Arial" w:hAnsi="Arial" w:cs="Arial"/>
          <w:color w:val="000000"/>
          <w:shd w:val="clear" w:color="auto" w:fill="FFFFFF"/>
        </w:rPr>
        <w:t>(NPCC, 2021)</w:t>
      </w:r>
      <w:r w:rsidRPr="00874EB5">
        <w:rPr>
          <w:rFonts w:ascii="Arial" w:eastAsia="Times New Roman" w:hAnsi="Arial" w:cs="Arial"/>
          <w:lang w:eastAsia="en-GB"/>
        </w:rPr>
        <w:t xml:space="preserve">.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Wilson and Kelling published a seminal paper in 1982 that defined the broken windows model of policing. In a nutshell, the model focuses on the role of disorder (e.g.,broken windows) in the development and persistence of more serious crime (Wilson and Kelling, 1982). Disorder is not directly connected to major crime; rather, disorder causes communities to become more fearful and withdrawn, allowing more serious crime to creep in due to a lack of informal social control. Throughout the 1990s, the broken windows theory had a significant influence on police policy, and it has remained relevant into the twenty-first century (McKee, 2018).</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Following the riots and disturbances in the northern towns of Bradford, Burnley, and Oldham in 2001, and the report of the Independent Review Team, the phrase "community cohesiveness" was established. This arose as a policy reaction to the perceived need for stronger community identity and purpose in the midst of more varied identities, transnational affiliations, and a general environment of fear and marginalisation (Bagguley and Hussain, 2019).</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According to research, communities with poor levels of community cohesiveness have some similar characteristics </w:t>
      </w:r>
      <w:r w:rsidRPr="00874EB5">
        <w:rPr>
          <w:rFonts w:ascii="Arial" w:hAnsi="Arial" w:cs="Arial"/>
          <w:color w:val="000000"/>
          <w:shd w:val="clear" w:color="auto" w:fill="FFFFFF"/>
        </w:rPr>
        <w:t>(Bertotti, Adams-Eaton, Sheridan and Renton, 2009)</w:t>
      </w:r>
      <w:r w:rsidRPr="00874EB5">
        <w:rPr>
          <w:rFonts w:ascii="Arial" w:eastAsia="Times New Roman" w:hAnsi="Arial" w:cs="Arial"/>
          <w:lang w:eastAsia="en-GB"/>
        </w:rPr>
        <w:t>.</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This research-identified characteristics such as:</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Deprivation - the lower the level of cohesiveness, the less wealthy the area.</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Isolation occurs whether a region is rural or urban, and is caused by physical obstacles such as major highways or waterways</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lastRenderedPageBreak/>
        <w:t>•Population churn - if a population is shifting in a region, for example, if individuals are only staying for a short time or have only recently arrived, this is referred to as population churn.</w:t>
      </w: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Manufacturing decline — if a region has witnessed significant declines in conventional manufacturing industry</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There is always the possibility of tensions escalating into conflict inside every community. The source of tensions, conflicts, and divides will vary by region, there may be tensions and distrust between various ethnic or religious groups, urban and rural people, newcomers and long-term residents, or along inter-generational lines </w:t>
      </w:r>
      <w:r w:rsidRPr="00874EB5">
        <w:rPr>
          <w:rFonts w:ascii="Arial" w:hAnsi="Arial" w:cs="Arial"/>
          <w:color w:val="000000"/>
          <w:shd w:val="clear" w:color="auto" w:fill="FFFFFF"/>
        </w:rPr>
        <w:t>(Hickman, 2008)</w:t>
      </w:r>
      <w:r w:rsidRPr="00874EB5">
        <w:rPr>
          <w:rFonts w:ascii="Arial" w:eastAsia="Times New Roman" w:hAnsi="Arial" w:cs="Arial"/>
          <w:lang w:eastAsia="en-GB"/>
        </w:rPr>
        <w:t xml:space="preserve">. Councils and police sectors must be able to track and monitor local trends and "hot spots," as well as any national or international events that may threaten cohesion. Whilst identifying these possible tensions they must agree on and implement actions to manage tensions based on the belief that early intervention can make a significant difference in preventing incidents of public disorder.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Visible police patrol can decrease crime, but only if it is properly targeted to crime hotspots, according to reviews of the best evidence on 'what works' in policing to reduce crime </w:t>
      </w:r>
      <w:r w:rsidRPr="00874EB5">
        <w:rPr>
          <w:rFonts w:ascii="Arial" w:eastAsia="Times New Roman" w:hAnsi="Arial" w:cs="Arial"/>
          <w:color w:val="000000" w:themeColor="text1"/>
          <w:lang w:eastAsia="en-GB"/>
        </w:rPr>
        <w:t xml:space="preserve">(Sherman and Eck, 2002). </w:t>
      </w:r>
      <w:r w:rsidRPr="00874EB5">
        <w:rPr>
          <w:rFonts w:ascii="Arial" w:eastAsia="Times New Roman" w:hAnsi="Arial" w:cs="Arial"/>
          <w:lang w:eastAsia="en-GB"/>
        </w:rPr>
        <w:t>Research into public expectations of policing in the UK has previously identified that the presence of a highly visible police force is strongly preferred by the public (Bradley 1998).</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The traditional belief that targeting crime hotspots would simply result in the problem relocating elsewhere (known as "crime displacement") has been one of the challenges to implementing focused patrol in the past. New research suggests that increased police activity in high-crime regions doesn't always result in criminal displacement, and that the advantages of crime reduction may even expand to communities immediately surrounding the targeted locations </w:t>
      </w:r>
      <w:r w:rsidRPr="00874EB5">
        <w:rPr>
          <w:rFonts w:ascii="Arial" w:eastAsia="Times New Roman" w:hAnsi="Arial" w:cs="Arial"/>
          <w:color w:val="000000" w:themeColor="text1"/>
          <w:lang w:eastAsia="en-GB"/>
        </w:rPr>
        <w:t>(Bowers et al, 2011).</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When implemented alongside community engagement and problem-solving, the National Reassurance Policing Programme, which tested the impact of neighbourhood teams, showed that targeted foot patrol can improve public confidence in the police, perceptions of crime, and feelings of safety as well as reducing crime (Tuffin et al, 2006).The police implemented foot patrol to establish good, casual interaction with the public and to respond to local priorities. The appearance of an officer patrolling on foot may also serve as a 'control signal,' indicating that the police are paying attention to local issues within communities (Innes, 2004). A follow-up review found that, while focused foot patrol may be required for </w:t>
      </w:r>
      <w:r w:rsidRPr="00874EB5">
        <w:rPr>
          <w:rFonts w:ascii="Arial" w:eastAsia="Times New Roman" w:hAnsi="Arial" w:cs="Arial"/>
          <w:lang w:eastAsia="en-GB"/>
        </w:rPr>
        <w:lastRenderedPageBreak/>
        <w:t>improving public trust, it may not be adequate on its own without community participation and problem solving to have an impact. (Quinton and Morris, 2008).</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It is critical that police forces and other government institutions gain the public's trust. Certain members of the public may fear the police as an organisation, whether as a result of direct interaction, word-of-mouth experiences, or rumoured incidents. This distrust, especially if other parts of the community believe they have more control over police and other agencies, can lead to an increase in fear and in extreme situations, a surge in violent behaviour (Goldsmith, 2005).</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Insufficient or excessive formal police control may reduce the public’s desire to fight crime and disorder, deflate law-abiding residents' sense of shared efficacy and willingness or ability to engage in informal control, or invite illegal retributive practises by some community members </w:t>
      </w:r>
      <w:r w:rsidRPr="00874EB5">
        <w:rPr>
          <w:rFonts w:ascii="Arial" w:eastAsia="Times New Roman" w:hAnsi="Arial" w:cs="Arial"/>
          <w:color w:val="000000" w:themeColor="text1"/>
          <w:lang w:eastAsia="en-GB"/>
        </w:rPr>
        <w:t xml:space="preserve">(Kubrin and Weitzer 2003). </w:t>
      </w:r>
      <w:r w:rsidRPr="00874EB5">
        <w:rPr>
          <w:rFonts w:ascii="Arial" w:eastAsia="Times New Roman" w:hAnsi="Arial" w:cs="Arial"/>
          <w:lang w:eastAsia="en-GB"/>
        </w:rPr>
        <w:t xml:space="preserve">The failures of community policing to develop greater community processes of community cohesiveness and organisation has been a main point of criticism </w:t>
      </w:r>
      <w:r w:rsidRPr="00874EB5">
        <w:rPr>
          <w:rFonts w:ascii="Arial" w:eastAsia="Times New Roman" w:hAnsi="Arial" w:cs="Arial"/>
          <w:color w:val="000000" w:themeColor="text1"/>
          <w:lang w:eastAsia="en-GB"/>
        </w:rPr>
        <w:t xml:space="preserve">(Kerley and Benson 2000).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Around 30 years ago, police practitioners and scholars began calling for a change in police values, including the recognition of the public's involvement in the delivery of justice, which is today regarded a founding principle of modern policing (Dowler &amp; Sparks, 2008). It is equally crucial for officers to understand the public's attitudes regarding the police 'Public opinion matters in part because widespread confidence in the police makes law enforcement officers' work easier and more effective,' according to one scholar (Skogan,2006).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Institutional legitimacy of the police based on public confidence is especially important because it may encourage interaction between the public and the criminal justice system. Public voluntary compliance with the law and public commitment to the rule of law may improve if individuals feel their long-term personal interests will be properly served (Hinton &amp; Newborn, 2009). Legitimacy motivates individuals to obey the rules not because they are afraid of being punished, but because they feel they should. To summarise, "the criminal justice system, unlike other public institutions, is heavily reliant on legitimacy and consent: public support is critical if the police and other criminal justice agencies are to function both successfully and efficiently" (Jackson &amp; Bradford,2009).</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Every area should attempt to map its community. A Local Authority should carry out this task, and the outcomes should be shared with local partners. This provides local authorities with a good idea of who resides in the region and where they live. It provides information of </w:t>
      </w:r>
      <w:r w:rsidRPr="00874EB5">
        <w:rPr>
          <w:rFonts w:ascii="Arial" w:eastAsia="Times New Roman" w:hAnsi="Arial" w:cs="Arial"/>
          <w:lang w:eastAsia="en-GB"/>
        </w:rPr>
        <w:lastRenderedPageBreak/>
        <w:t>where conflicts occur between various groups, the variables that cause them, and where fault lines may arise in the future, as well as knowledge of present and possible divides amongst persons from the same group. It also provides awareness of the barriers and possibilities for individuals to mix or be brought together, as a starting point for judgments on whether cohesion initiatives are needed in the local area, who should be targeted, and how existing examples of excellent practise might be adapted to match the local area. This has been demonstrated in papers such as the research of community cohesion tensions in the Swansea region (Steele, 2012).</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The most efficient approach to accomplish this is to form a multi-agency tension monitoring group led by an officer or officers from the local authority and/or the local police force. This should include key statutory sector partners (for example, housing, community safety, education, fire service, health, probation/youth offending team, community workers, neighbourhood wardens, police community support officers, and the National Asylum Support Service), as well as relevant representatives from the voluntary, community, and faith sectors (Home Office, 2014). Community engagement is an important component of neighbourhood policing. To understand the community's requirements, you must have robust community engagement mechanisms in place, and this must be done in collaboration with other local partners. It is much easier to interact with communities when they are all working together.</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Police in neighbourhoods are responsible for creating communities that are safe and feel safe by providing the right people, in the right places and in the right numbers. It is true that overall crime does generally decrease with effective community policing, but some disorders and criminal offences produce fear and insecurity, which can alter a person's daily routine. The purpose of neighbourhood policing is to build confidence in people, confidence that the police are working closely with their partners and communities to understand issues that matter to people, and are dealing with them. It is important for police to have community confidence as it provides legitimacy and the community support they need to prevent crime and bring offenders to justice. This is a crucial aspect of building a cohesive community (Colovor, 2018). </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Local authorities need to work closely with neighbourhood police teams in order to improve cohesion. While the police are visible representatives of the statutory sector, many of the services which will benefit cohesion are only accessible through local authorities. In the world of law enforcement, police are known for their proactive approach, and they are therefore best equipped to deal with issues of crime and disorder, as well as refer cases to </w:t>
      </w:r>
      <w:r w:rsidRPr="00874EB5">
        <w:rPr>
          <w:rFonts w:ascii="Arial" w:eastAsia="Times New Roman" w:hAnsi="Arial" w:cs="Arial"/>
          <w:lang w:eastAsia="en-GB"/>
        </w:rPr>
        <w:lastRenderedPageBreak/>
        <w:t>other agencies for issues beyond their remit. The public will have a much greater faith in the police as a force for good in their neighbourhood if this is accomplished successfully (Denham, 2009).</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The confidence cycle is the relationship between improved public trust in the police and increased community participation. It may encourage a greater desire on the part of the people to cooperate with the police, enhancing intelligence gathering.</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keepNext/>
        <w:spacing w:after="0" w:line="360" w:lineRule="auto"/>
        <w:jc w:val="center"/>
        <w:rPr>
          <w:rFonts w:ascii="Arial" w:hAnsi="Arial" w:cs="Arial"/>
        </w:rPr>
      </w:pPr>
      <w:r w:rsidRPr="00874EB5">
        <w:rPr>
          <w:rFonts w:ascii="Arial" w:hAnsi="Arial" w:cs="Arial"/>
          <w:noProof/>
          <w:shd w:val="clear" w:color="auto" w:fill="FFFFFF" w:themeFill="background1"/>
          <w:lang w:eastAsia="en-GB"/>
        </w:rPr>
        <w:drawing>
          <wp:inline distT="0" distB="0" distL="0" distR="0" wp14:anchorId="2FA5BB21" wp14:editId="0408AE51">
            <wp:extent cx="5731510" cy="4178300"/>
            <wp:effectExtent l="152400" t="152400" r="193040" b="222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78300"/>
                    </a:xfrm>
                    <a:prstGeom prst="rect">
                      <a:avLst/>
                    </a:prstGeom>
                    <a:solidFill>
                      <a:srgbClr val="FFFFFF">
                        <a:shade val="85000"/>
                      </a:srgbClr>
                    </a:solidFill>
                    <a:ln w="190500" cap="rnd">
                      <a:solidFill>
                        <a:srgbClr val="FFFFFF"/>
                      </a:solidFill>
                    </a:ln>
                    <a:effectLst>
                      <a:outerShdw blurRad="50800" dist="38100" dir="2700000" algn="tl"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8842B3" w:rsidRPr="00874EB5" w:rsidRDefault="008842B3" w:rsidP="00874EB5">
      <w:pPr>
        <w:pStyle w:val="Caption"/>
        <w:spacing w:line="360" w:lineRule="auto"/>
        <w:jc w:val="center"/>
        <w:rPr>
          <w:rFonts w:ascii="Arial" w:eastAsia="Times New Roman" w:hAnsi="Arial" w:cs="Arial"/>
          <w:sz w:val="22"/>
          <w:szCs w:val="22"/>
          <w:lang w:eastAsia="en-GB"/>
        </w:rPr>
      </w:pPr>
      <w:r w:rsidRPr="00874EB5">
        <w:rPr>
          <w:rFonts w:ascii="Arial" w:hAnsi="Arial" w:cs="Arial"/>
          <w:sz w:val="22"/>
          <w:szCs w:val="22"/>
        </w:rPr>
        <w:t xml:space="preserve">Figure </w:t>
      </w:r>
      <w:r w:rsidRPr="00874EB5">
        <w:rPr>
          <w:rFonts w:ascii="Arial" w:hAnsi="Arial" w:cs="Arial"/>
          <w:sz w:val="22"/>
          <w:szCs w:val="22"/>
        </w:rPr>
        <w:fldChar w:fldCharType="begin"/>
      </w:r>
      <w:r w:rsidRPr="00874EB5">
        <w:rPr>
          <w:rFonts w:ascii="Arial" w:hAnsi="Arial" w:cs="Arial"/>
          <w:sz w:val="22"/>
          <w:szCs w:val="22"/>
        </w:rPr>
        <w:instrText xml:space="preserve"> SEQ Figure \* ARABIC </w:instrText>
      </w:r>
      <w:r w:rsidRPr="00874EB5">
        <w:rPr>
          <w:rFonts w:ascii="Arial" w:hAnsi="Arial" w:cs="Arial"/>
          <w:sz w:val="22"/>
          <w:szCs w:val="22"/>
        </w:rPr>
        <w:fldChar w:fldCharType="separate"/>
      </w:r>
      <w:r w:rsidRPr="00874EB5">
        <w:rPr>
          <w:rFonts w:ascii="Arial" w:hAnsi="Arial" w:cs="Arial"/>
          <w:noProof/>
          <w:sz w:val="22"/>
          <w:szCs w:val="22"/>
        </w:rPr>
        <w:t>1</w:t>
      </w:r>
      <w:r w:rsidRPr="00874EB5">
        <w:rPr>
          <w:rFonts w:ascii="Arial" w:hAnsi="Arial" w:cs="Arial"/>
          <w:sz w:val="22"/>
          <w:szCs w:val="22"/>
        </w:rPr>
        <w:fldChar w:fldCharType="end"/>
      </w:r>
      <w:r w:rsidRPr="00874EB5">
        <w:rPr>
          <w:rFonts w:ascii="Arial" w:hAnsi="Arial" w:cs="Arial"/>
          <w:sz w:val="22"/>
          <w:szCs w:val="22"/>
        </w:rPr>
        <w:t xml:space="preserve"> The Confidence Cycle (College of police, 2021)</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 xml:space="preserve">In communities that are cohesive and resilient, incidents of anti-social behaviour, crime, and waste mismanagement are less likely to occur </w:t>
      </w:r>
      <w:r w:rsidRPr="00874EB5">
        <w:rPr>
          <w:rFonts w:ascii="Arial" w:eastAsia="Times New Roman" w:hAnsi="Arial" w:cs="Arial"/>
          <w:color w:val="000000" w:themeColor="text1"/>
          <w:lang w:eastAsia="en-GB"/>
        </w:rPr>
        <w:t xml:space="preserve">(CLES, 2014). </w:t>
      </w:r>
      <w:r w:rsidRPr="00874EB5">
        <w:rPr>
          <w:rFonts w:ascii="Arial" w:eastAsia="Times New Roman" w:hAnsi="Arial" w:cs="Arial"/>
          <w:lang w:eastAsia="en-GB"/>
        </w:rPr>
        <w:t xml:space="preserve">Community security and social cohesiveness are mutually reinforcing ideas. The term social cohesion' and 'community cohesion' are sometimes used interchangeably, although they should be distinguished </w:t>
      </w:r>
      <w:r w:rsidRPr="00874EB5">
        <w:rPr>
          <w:rFonts w:ascii="Arial" w:eastAsia="Times New Roman" w:hAnsi="Arial" w:cs="Arial"/>
          <w:color w:val="000000" w:themeColor="text1"/>
          <w:lang w:eastAsia="en-GB"/>
        </w:rPr>
        <w:t xml:space="preserve">(Cantle 2001). </w:t>
      </w:r>
      <w:r w:rsidRPr="00874EB5">
        <w:rPr>
          <w:rFonts w:ascii="Arial" w:eastAsia="Times New Roman" w:hAnsi="Arial" w:cs="Arial"/>
          <w:lang w:eastAsia="en-GB"/>
        </w:rPr>
        <w:t xml:space="preserve">Social cohesion involves building shared values and communities of interpretation, minimising gaps in wealth and income, and generally helping people to have a sense that they are involved in a common endeavour, confronting similar issues, and are </w:t>
      </w:r>
      <w:r w:rsidRPr="00874EB5">
        <w:rPr>
          <w:rFonts w:ascii="Arial" w:eastAsia="Times New Roman" w:hAnsi="Arial" w:cs="Arial"/>
          <w:lang w:eastAsia="en-GB"/>
        </w:rPr>
        <w:lastRenderedPageBreak/>
        <w:t xml:space="preserve">members of the same community are all part of social cohesiveness </w:t>
      </w:r>
      <w:r w:rsidRPr="00874EB5">
        <w:rPr>
          <w:rFonts w:ascii="Arial" w:eastAsia="Times New Roman" w:hAnsi="Arial" w:cs="Arial"/>
          <w:color w:val="000000" w:themeColor="text1"/>
          <w:lang w:eastAsia="en-GB"/>
        </w:rPr>
        <w:t xml:space="preserve">(Maxwell 1996). </w:t>
      </w:r>
      <w:r w:rsidRPr="00874EB5">
        <w:rPr>
          <w:rFonts w:ascii="Arial" w:eastAsia="Times New Roman" w:hAnsi="Arial" w:cs="Arial"/>
          <w:lang w:eastAsia="en-GB"/>
        </w:rPr>
        <w:t xml:space="preserve">Communities that feel physically safe are more inclined to act cohesively, and vice versa. However, community cohesiveness does not mean the absence of conflict, but rather the community's collective ability to handle the dynamic diversity of tensions and conflicts </w:t>
      </w:r>
      <w:r w:rsidRPr="00874EB5">
        <w:rPr>
          <w:rFonts w:ascii="Arial" w:eastAsia="Times New Roman" w:hAnsi="Arial" w:cs="Arial"/>
          <w:color w:val="000000" w:themeColor="text1"/>
          <w:lang w:eastAsia="en-GB"/>
        </w:rPr>
        <w:t>(Gilchrist 2004).</w:t>
      </w:r>
    </w:p>
    <w:p w:rsidR="008842B3" w:rsidRPr="00874EB5" w:rsidRDefault="008842B3" w:rsidP="00874EB5">
      <w:pPr>
        <w:spacing w:after="0" w:line="360" w:lineRule="auto"/>
        <w:rPr>
          <w:rFonts w:ascii="Arial" w:eastAsia="Times New Roman" w:hAnsi="Arial" w:cs="Arial"/>
          <w:lang w:eastAsia="en-GB"/>
        </w:rPr>
      </w:pPr>
    </w:p>
    <w:p w:rsidR="008842B3" w:rsidRPr="00874EB5" w:rsidRDefault="008842B3" w:rsidP="00874EB5">
      <w:pPr>
        <w:spacing w:after="0" w:line="360" w:lineRule="auto"/>
        <w:rPr>
          <w:rFonts w:ascii="Arial" w:eastAsia="Times New Roman" w:hAnsi="Arial" w:cs="Arial"/>
          <w:lang w:eastAsia="en-GB"/>
        </w:rPr>
      </w:pPr>
      <w:r w:rsidRPr="00874EB5">
        <w:rPr>
          <w:rFonts w:ascii="Arial" w:eastAsia="Times New Roman" w:hAnsi="Arial" w:cs="Arial"/>
          <w:lang w:eastAsia="en-GB"/>
        </w:rPr>
        <w:t>To conclude this essay, police should overcome hurdles arising from structural features to lessen apparent failure of existing Community Policing programmes in their efforts to enhance community cohesiveness and organisation (NCJ, 1994). By building efficient multi-agency arrangements and communication channels to exchange information among community residents, freely utilising information and communication technology, police should also encourage communities to join in the fight against crime. Overall, in order for Community Policing to achieve social and community cohesion, programmes should strive to reduce tensions within communities and tensions between police and communities while also improving the quality of police services including visibility, efficacy in dealing with community issues, and accountability to the community (LGA,2004).</w:t>
      </w:r>
    </w:p>
    <w:p w:rsidR="00DB09B7" w:rsidRDefault="008842B3" w:rsidP="00DB09B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Words 1992</w:t>
      </w:r>
    </w:p>
    <w:p w:rsidR="00DB09B7" w:rsidRDefault="00DB09B7" w:rsidP="00DB09B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DB09B7" w:rsidRDefault="00DB09B7" w:rsidP="00DB09B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rsidR="0041217E" w:rsidRDefault="0041217E" w:rsidP="0041217E">
      <w:pPr>
        <w:spacing w:line="360" w:lineRule="auto"/>
        <w:rPr>
          <w:rFonts w:ascii="Arial" w:hAnsi="Arial" w:cs="Arial"/>
          <w:b/>
          <w:color w:val="000000"/>
          <w:shd w:val="clear" w:color="auto" w:fill="FFFFFF"/>
        </w:rPr>
      </w:pPr>
      <w:r w:rsidRPr="00EB4931">
        <w:rPr>
          <w:rFonts w:ascii="Arial" w:hAnsi="Arial" w:cs="Arial"/>
          <w:b/>
          <w:color w:val="000000"/>
          <w:shd w:val="clear" w:color="auto" w:fill="FFFFFF"/>
        </w:rPr>
        <w:t>Bibliography</w:t>
      </w:r>
    </w:p>
    <w:p w:rsidR="00874EB5" w:rsidRPr="00C67FAF" w:rsidRDefault="00874EB5" w:rsidP="00874EB5">
      <w:pPr>
        <w:spacing w:line="360" w:lineRule="auto"/>
        <w:rPr>
          <w:rFonts w:ascii="Arial" w:hAnsi="Arial" w:cs="Arial"/>
        </w:rPr>
      </w:pPr>
      <w:r w:rsidRPr="00C67FAF">
        <w:rPr>
          <w:rFonts w:ascii="Arial" w:hAnsi="Arial" w:cs="Arial"/>
        </w:rPr>
        <w:t>Bagguley, P. and Hussain, Y., 2019. Ethnic Riots in United Kingdom in 2001. [online] Springer Link. Available at: &lt;https://link.springer.com/referenceworkentry/10.1007%2F978-981-13-0242-8_30-1&gt;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Bates, J., 2015. </w:t>
      </w:r>
      <w:r w:rsidRPr="00C67FAF">
        <w:rPr>
          <w:rFonts w:ascii="Arial" w:hAnsi="Arial" w:cs="Arial"/>
          <w:i/>
          <w:iCs/>
          <w:shd w:val="clear" w:color="auto" w:fill="FFFFFF"/>
        </w:rPr>
        <w:t>Throwback Thursday: Regina v Christopher Pile: The Inside Story (February 1996)</w:t>
      </w:r>
      <w:r w:rsidRPr="00C67FAF">
        <w:rPr>
          <w:rFonts w:ascii="Arial" w:hAnsi="Arial" w:cs="Arial"/>
          <w:shd w:val="clear" w:color="auto" w:fill="FFFFFF"/>
        </w:rPr>
        <w:t>. [online] Virus Bulletin. Available at: &lt;https://www.virusbulletin.com/virusbulletin/2015/04/throwback-thursday-regina-v-christopher-pile-inside-story-february-1996&gt; [Accessed 7 October 2021].</w:t>
      </w:r>
    </w:p>
    <w:p w:rsidR="00874EB5" w:rsidRPr="00C67FAF" w:rsidRDefault="00874EB5" w:rsidP="00874EB5">
      <w:pPr>
        <w:spacing w:line="360" w:lineRule="auto"/>
        <w:rPr>
          <w:rFonts w:ascii="Arial" w:hAnsi="Arial" w:cs="Arial"/>
        </w:rPr>
      </w:pPr>
      <w:r w:rsidRPr="00C67FAF">
        <w:rPr>
          <w:rFonts w:ascii="Arial" w:hAnsi="Arial" w:cs="Arial"/>
        </w:rPr>
        <w:t>Bedell, C., 2021. What is a computer worm and how does it work?. [online] SearchSecurity. Available at: &lt;https://www.techtarget.com/searchsecurity/definition/worm&gt;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Bertotti, M., Adams-Eaton, F., Sheridan, K. and Renton, A., 2009. </w:t>
      </w:r>
      <w:r w:rsidRPr="00C67FAF">
        <w:rPr>
          <w:rFonts w:ascii="Arial" w:hAnsi="Arial" w:cs="Arial"/>
          <w:i/>
          <w:iCs/>
          <w:shd w:val="clear" w:color="auto" w:fill="FFFFFF"/>
        </w:rPr>
        <w:t>Key barriers to community cohesion: views from residents of 20 London deprived neighbourhoods</w:t>
      </w:r>
      <w:r w:rsidRPr="00C67FAF">
        <w:rPr>
          <w:rFonts w:ascii="Arial" w:hAnsi="Arial" w:cs="Arial"/>
          <w:shd w:val="clear" w:color="auto" w:fill="FFFFFF"/>
        </w:rPr>
        <w:t>. [online] NCBI. Available at: &lt;https://www.ncbi.nlm.nih.gov/pmc/articles/PMC5066839/&gt; [Accessed 21 November 2021].</w:t>
      </w:r>
    </w:p>
    <w:p w:rsidR="00874EB5" w:rsidRDefault="00874EB5" w:rsidP="00874EB5">
      <w:pPr>
        <w:spacing w:line="360" w:lineRule="auto"/>
        <w:rPr>
          <w:rFonts w:ascii="Arial" w:hAnsi="Arial" w:cs="Arial"/>
        </w:rPr>
      </w:pPr>
      <w:r w:rsidRPr="00C67FAF">
        <w:rPr>
          <w:rFonts w:ascii="Arial" w:hAnsi="Arial" w:cs="Arial"/>
        </w:rPr>
        <w:lastRenderedPageBreak/>
        <w:t>Bettany, A. and Halsey, M. (2017), Windows Virus and Malware Troubleshooting, Springer, New York, NY.</w:t>
      </w:r>
    </w:p>
    <w:p w:rsidR="00874EB5" w:rsidRPr="00C67FAF" w:rsidRDefault="00874EB5" w:rsidP="00874EB5">
      <w:pPr>
        <w:spacing w:line="360" w:lineRule="auto"/>
        <w:rPr>
          <w:rFonts w:ascii="Arial" w:hAnsi="Arial" w:cs="Arial"/>
        </w:rPr>
      </w:pPr>
      <w:r w:rsidRPr="00C67FAF">
        <w:rPr>
          <w:rFonts w:ascii="Arial" w:hAnsi="Arial" w:cs="Arial"/>
        </w:rPr>
        <w:t>Bradley, R., 1998. Public Expectations and Perceptions of Policing | Office of Justice Programs. [online] Ojp.gov. Available at: &lt;https://www.ojp.gov/ncjrs/virtual-library/abstracts/public-expectations-and-perceptions-policing&gt; [Accessed 20 November 2021].</w:t>
      </w:r>
    </w:p>
    <w:p w:rsidR="00874EB5" w:rsidRPr="00C67FAF" w:rsidRDefault="00874EB5" w:rsidP="00874EB5">
      <w:pPr>
        <w:spacing w:line="360" w:lineRule="auto"/>
        <w:rPr>
          <w:rFonts w:ascii="Arial" w:hAnsi="Arial" w:cs="Arial"/>
        </w:rPr>
      </w:pPr>
      <w:r w:rsidRPr="00C67FAF">
        <w:rPr>
          <w:rFonts w:ascii="Arial" w:hAnsi="Arial" w:cs="Arial"/>
        </w:rPr>
        <w:t>Cantle, 2001. About Community Cohesion – Community Cohesion and Intercultural Relations | Professor Ted Cantle. [online] Tedcantle.co.uk. Available at: &lt;https://tedcantle.co.uk/about-community-cohesion/&gt; [Accessed 20 November 2021].</w:t>
      </w:r>
    </w:p>
    <w:p w:rsidR="00874EB5" w:rsidRPr="00C67FAF" w:rsidRDefault="00874EB5" w:rsidP="00874EB5">
      <w:pPr>
        <w:spacing w:line="360" w:lineRule="auto"/>
        <w:rPr>
          <w:rFonts w:ascii="Arial" w:hAnsi="Arial" w:cs="Arial"/>
        </w:rPr>
      </w:pPr>
      <w:r w:rsidRPr="00C67FAF">
        <w:rPr>
          <w:rFonts w:ascii="Arial" w:hAnsi="Arial" w:cs="Arial"/>
        </w:rPr>
        <w:t>Chai, W., 2021. What is a hacker?. [online] SearchSecurity. Available at: &lt;https://www.techtarget.com/searchsecurity/definition/hacker&gt; [Accessed 21 November 2021].</w:t>
      </w:r>
    </w:p>
    <w:p w:rsidR="00874EB5" w:rsidRPr="00C67FAF" w:rsidRDefault="00874EB5" w:rsidP="00874EB5">
      <w:pPr>
        <w:spacing w:line="360" w:lineRule="auto"/>
        <w:rPr>
          <w:rFonts w:ascii="Arial" w:hAnsi="Arial" w:cs="Arial"/>
        </w:rPr>
      </w:pPr>
      <w:r w:rsidRPr="00C67FAF">
        <w:rPr>
          <w:rFonts w:ascii="Arial" w:hAnsi="Arial" w:cs="Arial"/>
        </w:rPr>
        <w:t>Clark, C., 2021. What is a Trojan Horse? Definition from WhatIs.com.. [online] SearchSecurity. Available at: &lt;https://www.techtarget.com/searchsecurity/definition/Trojan-horse&gt; [Accessed 21 November 2021].</w:t>
      </w:r>
    </w:p>
    <w:p w:rsidR="00874EB5" w:rsidRPr="00C67FAF" w:rsidRDefault="00874EB5" w:rsidP="00874EB5">
      <w:pPr>
        <w:spacing w:line="360" w:lineRule="auto"/>
        <w:rPr>
          <w:rFonts w:ascii="Arial" w:hAnsi="Arial" w:cs="Arial"/>
        </w:rPr>
      </w:pPr>
      <w:r w:rsidRPr="00C67FAF">
        <w:rPr>
          <w:rFonts w:ascii="Arial" w:hAnsi="Arial" w:cs="Arial"/>
        </w:rPr>
        <w:t>CLES, 2014. Centre for Local Economic Strategies | Change The Rules. [online] Change The Rules. Available at: &lt;https://letschangetherules.org/organisations/cles&gt; [Accessed 20 November 2021].</w:t>
      </w:r>
    </w:p>
    <w:p w:rsidR="00874EB5" w:rsidRPr="00C67FAF" w:rsidRDefault="00874EB5" w:rsidP="00874EB5">
      <w:pPr>
        <w:spacing w:line="360" w:lineRule="auto"/>
        <w:rPr>
          <w:rFonts w:ascii="Arial" w:hAnsi="Arial" w:cs="Arial"/>
        </w:rPr>
      </w:pPr>
      <w:r w:rsidRPr="00C67FAF">
        <w:rPr>
          <w:rFonts w:ascii="Arial" w:hAnsi="Arial" w:cs="Arial"/>
        </w:rPr>
        <w:t>College of police, 2021. Engagement. [online] App.college.police.uk. Available at: &lt;https://www.app.college.police.uk/app-content/engagement-and-communication/engaging-with-communities/&gt; [Accessed 21 November 2021].</w:t>
      </w:r>
    </w:p>
    <w:p w:rsidR="00874EB5" w:rsidRPr="00C67FAF" w:rsidRDefault="00874EB5" w:rsidP="00874EB5">
      <w:pPr>
        <w:spacing w:line="360" w:lineRule="auto"/>
        <w:rPr>
          <w:rFonts w:ascii="Arial" w:hAnsi="Arial" w:cs="Arial"/>
        </w:rPr>
      </w:pPr>
      <w:r w:rsidRPr="00C67FAF">
        <w:rPr>
          <w:rFonts w:ascii="Arial" w:hAnsi="Arial" w:cs="Arial"/>
        </w:rPr>
        <w:t>Colovor, S., 2018. Neighbourhood policing: impact and implementation. [online] Paas-s3-broker-prod-lon-6453d964-1d1a-432a-9260-5e0ba7d2fc51.s3.eu-west-2.amazonaws.com. Available at: &lt;https://paas-s3-broker-prod-lon-6453d964-1d1a-432a-9260-5e0ba7d2fc51.s3.eu-west-2.amazonaws.com/s3fs-public/2021-02/np_rea_summary.pdf&gt;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CPS, 2021. </w:t>
      </w:r>
      <w:r w:rsidRPr="00C67FAF">
        <w:rPr>
          <w:rFonts w:ascii="Arial" w:hAnsi="Arial" w:cs="Arial"/>
          <w:i/>
          <w:iCs/>
          <w:shd w:val="clear" w:color="auto" w:fill="FFFFFF"/>
        </w:rPr>
        <w:t>Cybercrime - prosecution guidance | The Crown Prosecution Service</w:t>
      </w:r>
      <w:r w:rsidRPr="00C67FAF">
        <w:rPr>
          <w:rFonts w:ascii="Arial" w:hAnsi="Arial" w:cs="Arial"/>
          <w:shd w:val="clear" w:color="auto" w:fill="FFFFFF"/>
        </w:rPr>
        <w:t>. [online] Cps.gov.uk. Available at: &lt;https://www.cps.gov.uk/legal-guidance/cybercrime-prosecution-guidance&gt; [Accessed 16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Daskal, J. and Kennedy-Mayo, D., 2021. </w:t>
      </w:r>
      <w:r w:rsidRPr="00C67FAF">
        <w:rPr>
          <w:rFonts w:ascii="Arial" w:hAnsi="Arial" w:cs="Arial"/>
          <w:i/>
          <w:iCs/>
          <w:shd w:val="clear" w:color="auto" w:fill="FFFFFF"/>
        </w:rPr>
        <w:t>Budapest Convention: What is it and How is it Being Updated? | Cross-Border Data Forum</w:t>
      </w:r>
      <w:r w:rsidRPr="00C67FAF">
        <w:rPr>
          <w:rFonts w:ascii="Arial" w:hAnsi="Arial" w:cs="Arial"/>
          <w:shd w:val="clear" w:color="auto" w:fill="FFFFFF"/>
        </w:rPr>
        <w:t>. [online] Cross-Border Data Forum. Available at: &lt;https://www.crossborderdataforum.org/budapest-convention-what-is-it-and-how-is-it-being-updated/&gt; [Accessed 3 November 2021].</w:t>
      </w:r>
    </w:p>
    <w:p w:rsidR="00874EB5" w:rsidRPr="00C67FAF" w:rsidRDefault="00874EB5" w:rsidP="00874EB5">
      <w:pPr>
        <w:spacing w:line="360" w:lineRule="auto"/>
        <w:rPr>
          <w:rFonts w:ascii="Arial" w:hAnsi="Arial" w:cs="Arial"/>
        </w:rPr>
      </w:pPr>
      <w:r w:rsidRPr="00C67FAF">
        <w:rPr>
          <w:rFonts w:ascii="Arial" w:hAnsi="Arial" w:cs="Arial"/>
        </w:rPr>
        <w:lastRenderedPageBreak/>
        <w:t>Denham, J., 2009. Guidance for local authorities on how to mainstream community cohesion into other services. [online] Assets.publishing.service.gov.uk. Available at: &lt;https://assets.publishing.service.gov.uk/government/uploads/system/uploads/attachment_data/file/7619/1303527.pdf&gt;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Dowler, K. and Sparks, R., 2008. Victimization, contact with police, and neighborhood conditions: reconsidering African American and Hispanic attitudes toward the police. [online] Taylor &amp; Francis. Available at: &lt;https://www.tandfonline.com/doi/full/10.1080/15614260801980760&gt;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Espiner, T., 2005. </w:t>
      </w:r>
      <w:r w:rsidRPr="00C67FAF">
        <w:rPr>
          <w:rFonts w:ascii="Arial" w:hAnsi="Arial" w:cs="Arial"/>
          <w:i/>
          <w:iCs/>
          <w:shd w:val="clear" w:color="auto" w:fill="FFFFFF"/>
        </w:rPr>
        <w:t>British teen cleared in 'e-mail bomb' case | ZDNet</w:t>
      </w:r>
      <w:r w:rsidRPr="00C67FAF">
        <w:rPr>
          <w:rFonts w:ascii="Arial" w:hAnsi="Arial" w:cs="Arial"/>
          <w:shd w:val="clear" w:color="auto" w:fill="FFFFFF"/>
        </w:rPr>
        <w:t>. [online] ZDNet. Available at: &lt;https://www.zdnet.com/article/british-teen-cleared-in-e-mail-bomb-case/&gt; [Accessed 7 October 2021].</w:t>
      </w:r>
    </w:p>
    <w:p w:rsidR="00874EB5" w:rsidRPr="00C67FAF" w:rsidRDefault="00874EB5" w:rsidP="00874EB5">
      <w:pPr>
        <w:spacing w:line="360" w:lineRule="auto"/>
        <w:rPr>
          <w:rFonts w:ascii="Arial" w:hAnsi="Arial" w:cs="Arial"/>
        </w:rPr>
      </w:pPr>
      <w:r w:rsidRPr="00C67FAF">
        <w:rPr>
          <w:rFonts w:ascii="Arial" w:hAnsi="Arial" w:cs="Arial"/>
        </w:rPr>
        <w:t>EUCPN, 2021. Community Oriented Policing in the European Union Today. [online] Eucpn.org. Available at: &lt;https://eucpn.org/sites/default/files/document/files/Toolbox%2014_EN_LR.pdf&gt;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Fafinski, S., 2008. </w:t>
      </w:r>
      <w:r w:rsidRPr="00C67FAF">
        <w:rPr>
          <w:rFonts w:ascii="Arial" w:hAnsi="Arial" w:cs="Arial"/>
          <w:i/>
          <w:iCs/>
          <w:shd w:val="clear" w:color="auto" w:fill="FFFFFF"/>
        </w:rPr>
        <w:t>Computer Misuse: The Implications of the Police and Justice Act 2006 - Stefan Fafinski, 2008</w:t>
      </w:r>
      <w:r w:rsidRPr="00C67FAF">
        <w:rPr>
          <w:rFonts w:ascii="Arial" w:hAnsi="Arial" w:cs="Arial"/>
          <w:shd w:val="clear" w:color="auto" w:fill="FFFFFF"/>
        </w:rPr>
        <w:t>. [online] SAGE Journals. Available at: &lt;https://journals.sagepub.com/doi/abs/10.1350/jcla.2008.72.1.477&gt; [Accessed 7 October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Fruhlinger, J., 2020. </w:t>
      </w:r>
      <w:r w:rsidRPr="00C67FAF">
        <w:rPr>
          <w:rFonts w:ascii="Arial" w:hAnsi="Arial" w:cs="Arial"/>
          <w:i/>
          <w:iCs/>
          <w:shd w:val="clear" w:color="auto" w:fill="FFFFFF"/>
        </w:rPr>
        <w:t>Ransomware explained: How it works and how to remove it</w:t>
      </w:r>
      <w:r w:rsidRPr="00C67FAF">
        <w:rPr>
          <w:rFonts w:ascii="Arial" w:hAnsi="Arial" w:cs="Arial"/>
          <w:shd w:val="clear" w:color="auto" w:fill="FFFFFF"/>
        </w:rPr>
        <w:t>. [online] CSO Online. Available at: &lt;https://www.csoonline.com/article/3236183/what-is-ransomware-how-it-works-and-how-to-remove-it.html&gt; [Accessed 3 November 2021].</w:t>
      </w:r>
    </w:p>
    <w:p w:rsidR="00874EB5" w:rsidRPr="00C67FAF" w:rsidRDefault="00874EB5" w:rsidP="00874EB5">
      <w:pPr>
        <w:spacing w:line="360" w:lineRule="auto"/>
        <w:rPr>
          <w:rFonts w:ascii="Arial" w:hAnsi="Arial" w:cs="Arial"/>
        </w:rPr>
      </w:pPr>
      <w:r w:rsidRPr="00C67FAF">
        <w:rPr>
          <w:rFonts w:ascii="Arial" w:hAnsi="Arial" w:cs="Arial"/>
        </w:rPr>
        <w:t>Gilchrist, A., 2004. If the rhetoric of community-led regeneration is to be translated into real change, then informal networks are crucial to the journey. [online] Demos.co.uk. Available at: &lt;http://www.demos.co.uk/files/File/networklogic11gilchrist.pdf&gt;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Gillis, A., 2021. </w:t>
      </w:r>
      <w:r w:rsidRPr="00C67FAF">
        <w:rPr>
          <w:rFonts w:ascii="Arial" w:hAnsi="Arial" w:cs="Arial"/>
          <w:i/>
          <w:iCs/>
          <w:shd w:val="clear" w:color="auto" w:fill="FFFFFF"/>
        </w:rPr>
        <w:t>What is Spyware?</w:t>
      </w:r>
      <w:r w:rsidRPr="00C67FAF">
        <w:rPr>
          <w:rFonts w:ascii="Arial" w:hAnsi="Arial" w:cs="Arial"/>
          <w:shd w:val="clear" w:color="auto" w:fill="FFFFFF"/>
        </w:rPr>
        <w:t>. [online] SearchSecurity. Available at: &lt;https://searchsecurity.techtarget.com/definition/spyware#:~:text=Spyware%20is%20a%20type%20of,data%20firms%20or%20external%20users.&gt; [Accessed 3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Gold, S., 2011. </w:t>
      </w:r>
      <w:r w:rsidRPr="00C67FAF">
        <w:rPr>
          <w:rFonts w:ascii="Arial" w:hAnsi="Arial" w:cs="Arial"/>
          <w:i/>
          <w:iCs/>
          <w:shd w:val="clear" w:color="auto" w:fill="FFFFFF"/>
        </w:rPr>
        <w:t>The rebirth of phreaking</w:t>
      </w:r>
      <w:r w:rsidRPr="00C67FAF">
        <w:rPr>
          <w:rFonts w:ascii="Arial" w:hAnsi="Arial" w:cs="Arial"/>
          <w:shd w:val="clear" w:color="auto" w:fill="FFFFFF"/>
        </w:rPr>
        <w:t>. [online] Science Direct. Available at: &lt;https://www.sciencedirect.com/science/article/abs/pii/S1353485811700642&gt; [Accessed 6 October 2021].</w:t>
      </w:r>
    </w:p>
    <w:p w:rsidR="00874EB5" w:rsidRPr="00C67FAF" w:rsidRDefault="00874EB5" w:rsidP="00874EB5">
      <w:pPr>
        <w:spacing w:line="360" w:lineRule="auto"/>
        <w:rPr>
          <w:rFonts w:ascii="Arial" w:hAnsi="Arial" w:cs="Arial"/>
        </w:rPr>
      </w:pPr>
      <w:r w:rsidRPr="00C67FAF">
        <w:rPr>
          <w:rFonts w:ascii="Arial" w:hAnsi="Arial" w:cs="Arial"/>
        </w:rPr>
        <w:lastRenderedPageBreak/>
        <w:t>Goldsmith, A., 2005. Police reform and the problem of trust. [online] Slcdocs.com. Available at: &lt;http://www.slcdocs.com/ODHR/Website/Right%20to%20Safety/Literature/PoliceReformAndTheProblemOfTrust.pdf&gt;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gov, 2021. </w:t>
      </w:r>
      <w:r w:rsidRPr="00C67FAF">
        <w:rPr>
          <w:rFonts w:ascii="Arial" w:hAnsi="Arial" w:cs="Arial"/>
          <w:i/>
          <w:iCs/>
          <w:shd w:val="clear" w:color="auto" w:fill="FFFFFF"/>
        </w:rPr>
        <w:t>Police and Justice Act 2006</w:t>
      </w:r>
      <w:r w:rsidRPr="00C67FAF">
        <w:rPr>
          <w:rFonts w:ascii="Arial" w:hAnsi="Arial" w:cs="Arial"/>
          <w:shd w:val="clear" w:color="auto" w:fill="FFFFFF"/>
        </w:rPr>
        <w:t>. [online] Legislation.gov.uk. Available at: &lt;https://www.legislation.gov.uk/ukpga/2006/48/section/35&gt;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Hauk, C., 2021. </w:t>
      </w:r>
      <w:r w:rsidRPr="00C67FAF">
        <w:rPr>
          <w:rFonts w:ascii="Arial" w:hAnsi="Arial" w:cs="Arial"/>
          <w:i/>
          <w:iCs/>
          <w:shd w:val="clear" w:color="auto" w:fill="FFFFFF"/>
        </w:rPr>
        <w:t>Phishing Emails : What’s the Risk, How to Identify Them &amp; Deal With Them - Pixel Privacy</w:t>
      </w:r>
      <w:r w:rsidRPr="00C67FAF">
        <w:rPr>
          <w:rFonts w:ascii="Arial" w:hAnsi="Arial" w:cs="Arial"/>
          <w:shd w:val="clear" w:color="auto" w:fill="FFFFFF"/>
        </w:rPr>
        <w:t>. [online] Pixel Privacy. Available at: &lt;https://pixelprivacy.com/resources/phishing-emails/&gt; [Accessed 3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Hickman, M., 2008. </w:t>
      </w:r>
      <w:r w:rsidRPr="00C67FAF">
        <w:rPr>
          <w:rFonts w:ascii="Arial" w:hAnsi="Arial" w:cs="Arial"/>
          <w:i/>
          <w:iCs/>
          <w:shd w:val="clear" w:color="auto" w:fill="FFFFFF"/>
        </w:rPr>
        <w:t>Immigration and social cohesion in the UK</w:t>
      </w:r>
      <w:r w:rsidRPr="00C67FAF">
        <w:rPr>
          <w:rFonts w:ascii="Arial" w:hAnsi="Arial" w:cs="Arial"/>
          <w:shd w:val="clear" w:color="auto" w:fill="FFFFFF"/>
        </w:rPr>
        <w:t>. [online] Jrf.org.uk. Available at: &lt;https://www.jrf.org.uk/sites/default/files/jrf/migrated/files/2230-deprivation-cohesion-immigration.pdf&gt; [Accessed 21 November 2021].</w:t>
      </w:r>
    </w:p>
    <w:p w:rsidR="00874EB5" w:rsidRPr="00C67FAF" w:rsidRDefault="00874EB5" w:rsidP="00874EB5">
      <w:pPr>
        <w:spacing w:line="360" w:lineRule="auto"/>
        <w:rPr>
          <w:rFonts w:ascii="Arial" w:hAnsi="Arial" w:cs="Arial"/>
        </w:rPr>
      </w:pPr>
      <w:r w:rsidRPr="00C67FAF">
        <w:rPr>
          <w:rFonts w:ascii="Arial" w:hAnsi="Arial" w:cs="Arial"/>
        </w:rPr>
        <w:t>Hinton, M. and Newburn, T., 2009. Policing developing democracies. London ; New York: Routledge, pp.1-28.</w:t>
      </w:r>
    </w:p>
    <w:p w:rsidR="00874EB5" w:rsidRPr="00C67FAF" w:rsidRDefault="00874EB5" w:rsidP="00874EB5">
      <w:pPr>
        <w:spacing w:line="360" w:lineRule="auto"/>
        <w:rPr>
          <w:rFonts w:ascii="Arial" w:hAnsi="Arial" w:cs="Arial"/>
        </w:rPr>
      </w:pPr>
      <w:r w:rsidRPr="00C67FAF">
        <w:rPr>
          <w:rFonts w:ascii="Arial" w:hAnsi="Arial" w:cs="Arial"/>
        </w:rPr>
        <w:t>Home Office, 2014. Multi Agency Working and Information Sharing Project Final report. [online] Assets.publishing.service.gov.uk. Available at: &lt;https://assets.publishing.service.gov.uk/government/uploads/system/uploads/attachment_data/file/338875/MASH.pdf&gt; [Accessed 21 November 2021].</w:t>
      </w:r>
    </w:p>
    <w:p w:rsidR="00874EB5" w:rsidRPr="00C67FAF" w:rsidRDefault="00874EB5" w:rsidP="00874EB5">
      <w:pPr>
        <w:spacing w:line="360" w:lineRule="auto"/>
        <w:rPr>
          <w:rFonts w:ascii="Arial" w:hAnsi="Arial" w:cs="Arial"/>
        </w:rPr>
      </w:pPr>
      <w:r w:rsidRPr="00C67FAF">
        <w:rPr>
          <w:rFonts w:ascii="Arial" w:hAnsi="Arial" w:cs="Arial"/>
        </w:rPr>
        <w:t>Hutchings, A. (2013), "Hacking and Fraud: Qualitative Analysis of Online Offending and Victimization", in: Jaishankar, K. and Natti, R. (Ed.s) Global Criminology: Crime and Victimization in the Globalized Era. CRC Press, New York, pp. 93-114.</w:t>
      </w:r>
    </w:p>
    <w:p w:rsidR="00874EB5" w:rsidRPr="00C67FAF" w:rsidRDefault="00874EB5" w:rsidP="00874EB5">
      <w:pPr>
        <w:spacing w:line="360" w:lineRule="auto"/>
        <w:rPr>
          <w:rFonts w:ascii="Arial" w:hAnsi="Arial" w:cs="Arial"/>
        </w:rPr>
      </w:pPr>
      <w:r w:rsidRPr="00C67FAF">
        <w:rPr>
          <w:rFonts w:ascii="Arial" w:hAnsi="Arial" w:cs="Arial"/>
        </w:rPr>
        <w:t>Innes, M., 2004. Signal crimes and signal disorders: notes on deviance as communicative action1. [online] Wiley Online Library. Available at: &lt;https://onlinelibrary.wiley.com/doi/abs/10.1111/j.1468-4446.2004.00023.x&gt;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Interpol, 2021. </w:t>
      </w:r>
      <w:r w:rsidRPr="00C67FAF">
        <w:rPr>
          <w:rFonts w:ascii="Arial" w:hAnsi="Arial" w:cs="Arial"/>
          <w:i/>
          <w:iCs/>
          <w:shd w:val="clear" w:color="auto" w:fill="FFFFFF"/>
        </w:rPr>
        <w:t>Cybercrime</w:t>
      </w:r>
      <w:r w:rsidRPr="00C67FAF">
        <w:rPr>
          <w:rFonts w:ascii="Arial" w:hAnsi="Arial" w:cs="Arial"/>
          <w:shd w:val="clear" w:color="auto" w:fill="FFFFFF"/>
        </w:rPr>
        <w:t>. [online] Interpol.int. Available at: &lt;https://www.interpol.int/en/Crimes/Cybercrime&gt; [Accessed 6 October 2021].</w:t>
      </w:r>
    </w:p>
    <w:p w:rsidR="00874EB5" w:rsidRPr="00C67FAF" w:rsidRDefault="00874EB5" w:rsidP="00874EB5">
      <w:pPr>
        <w:spacing w:line="360" w:lineRule="auto"/>
        <w:rPr>
          <w:rFonts w:ascii="Arial" w:hAnsi="Arial" w:cs="Arial"/>
        </w:rPr>
      </w:pPr>
      <w:r w:rsidRPr="00C67FAF">
        <w:rPr>
          <w:rFonts w:ascii="Arial" w:hAnsi="Arial" w:cs="Arial"/>
        </w:rPr>
        <w:t>Jackson, J., &amp; Bradford, B, 2009. Crime, policing and social order: on the expressive nature of public confidence in policing. British Journal of Sociology, 60, 493–521</w:t>
      </w:r>
    </w:p>
    <w:p w:rsidR="00874EB5" w:rsidRPr="00C67FAF" w:rsidRDefault="00874EB5" w:rsidP="00874EB5">
      <w:pPr>
        <w:spacing w:line="360" w:lineRule="auto"/>
        <w:rPr>
          <w:rFonts w:ascii="Arial" w:hAnsi="Arial" w:cs="Arial"/>
        </w:rPr>
      </w:pPr>
      <w:r w:rsidRPr="00C67FAF">
        <w:rPr>
          <w:rFonts w:ascii="Arial" w:hAnsi="Arial" w:cs="Arial"/>
        </w:rPr>
        <w:t>Johnson, S., Guerette, R. and Bowers, K., 2011. Crime displacement: what we know, what we don’t know, and what it means for crime reduction.</w:t>
      </w:r>
    </w:p>
    <w:p w:rsidR="00874EB5" w:rsidRPr="00C67FAF" w:rsidRDefault="00874EB5" w:rsidP="00874EB5">
      <w:pPr>
        <w:spacing w:line="360" w:lineRule="auto"/>
        <w:rPr>
          <w:rFonts w:ascii="Arial" w:hAnsi="Arial" w:cs="Arial"/>
        </w:rPr>
      </w:pPr>
      <w:r w:rsidRPr="00C67FAF">
        <w:rPr>
          <w:rFonts w:ascii="Arial" w:hAnsi="Arial" w:cs="Arial"/>
        </w:rPr>
        <w:lastRenderedPageBreak/>
        <w:t>Kerley, K. and Benson, M., 2000. Does Community-Oriented Policing Help Build Stronger Communities?. [online] Research gate. Available at: &lt;https://www.researchgate.net/publication/255658928_Does_Community-Oriented_Policing_Help_Build_Stronger_Communities&gt; [Accessed 20 November 2021].</w:t>
      </w:r>
    </w:p>
    <w:p w:rsidR="00874EB5" w:rsidRPr="00C67FAF" w:rsidRDefault="00874EB5" w:rsidP="00874EB5">
      <w:pPr>
        <w:spacing w:line="360" w:lineRule="auto"/>
        <w:rPr>
          <w:rFonts w:ascii="Arial" w:hAnsi="Arial" w:cs="Arial"/>
        </w:rPr>
      </w:pPr>
      <w:r w:rsidRPr="00C67FAF">
        <w:rPr>
          <w:rFonts w:ascii="Arial" w:hAnsi="Arial" w:cs="Arial"/>
        </w:rPr>
        <w:t>Koops, B.-J. (2010), "The Internet and Its Opportunities for Cybercrime", Transnational Criminology Manual, Vol. 1, No. 1, pp. 735-754, doi: 10.2139/ssrn.1738223</w:t>
      </w:r>
    </w:p>
    <w:p w:rsidR="00874EB5" w:rsidRPr="00C67FAF" w:rsidRDefault="00874EB5" w:rsidP="00874EB5">
      <w:pPr>
        <w:spacing w:line="360" w:lineRule="auto"/>
        <w:rPr>
          <w:rFonts w:ascii="Arial" w:hAnsi="Arial" w:cs="Arial"/>
        </w:rPr>
      </w:pPr>
      <w:r w:rsidRPr="00C67FAF">
        <w:rPr>
          <w:rFonts w:ascii="Arial" w:hAnsi="Arial" w:cs="Arial"/>
        </w:rPr>
        <w:t>Kubrin, C. and Weitzer, R., 2003. New Directions in Social Disorganization Theory | Office of Justice Programs. [online] Ojp.gov. Available at: &lt;https://www.ojp.gov/ncjrs/virtual-library/abstracts/new-directions-social-disorganization-theory&gt; [Accessed 20 November 2021].</w:t>
      </w:r>
    </w:p>
    <w:p w:rsidR="00874EB5" w:rsidRPr="00C67FAF" w:rsidRDefault="00874EB5" w:rsidP="00874EB5">
      <w:pPr>
        <w:spacing w:line="360" w:lineRule="auto"/>
        <w:rPr>
          <w:rFonts w:ascii="Arial" w:hAnsi="Arial" w:cs="Arial"/>
        </w:rPr>
      </w:pPr>
      <w:r w:rsidRPr="00C67FAF">
        <w:rPr>
          <w:rFonts w:ascii="Arial" w:hAnsi="Arial" w:cs="Arial"/>
        </w:rPr>
        <w:t>LGA, 2004. community cohesion – an action guide. [online] London.gov.uk. Available at: &lt;https://www.london.gov.uk/sites/default/files/communitycohesionactionguide.pdf&gt;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Macewan, A., 2008. </w:t>
      </w:r>
      <w:r w:rsidRPr="00C67FAF">
        <w:rPr>
          <w:rFonts w:ascii="Arial" w:hAnsi="Arial" w:cs="Arial"/>
          <w:i/>
          <w:iCs/>
          <w:shd w:val="clear" w:color="auto" w:fill="FFFFFF"/>
        </w:rPr>
        <w:t>The Computer Misuse Act 1990: lessons from its past and predictions for its future</w:t>
      </w:r>
      <w:r w:rsidRPr="00C67FAF">
        <w:rPr>
          <w:rFonts w:ascii="Arial" w:hAnsi="Arial" w:cs="Arial"/>
          <w:shd w:val="clear" w:color="auto" w:fill="FFFFFF"/>
        </w:rPr>
        <w:t>. [online] Usir.salford.ac.uk. Available at: &lt;http://usir.salford.ac.uk/id/eprint/15815/7/MacEian_Crim_LR.pdf&gt; [Accessed 7 October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Maloney, D., 2018. </w:t>
      </w:r>
      <w:r w:rsidRPr="00C67FAF">
        <w:rPr>
          <w:rFonts w:ascii="Arial" w:hAnsi="Arial" w:cs="Arial"/>
          <w:i/>
          <w:iCs/>
          <w:shd w:val="clear" w:color="auto" w:fill="FFFFFF"/>
        </w:rPr>
        <w:t>Manhattan Mystery Of Creepy Jingles And Random Noises Solved</w:t>
      </w:r>
      <w:r w:rsidRPr="00C67FAF">
        <w:rPr>
          <w:rFonts w:ascii="Arial" w:hAnsi="Arial" w:cs="Arial"/>
          <w:shd w:val="clear" w:color="auto" w:fill="FFFFFF"/>
        </w:rPr>
        <w:t>. [online] Hackaday. Available at: &lt;https://hackaday.com/2018/12/15/manhattan-mystery-of-creepy-jingles-and-random-noises-solved/&gt; [Accessed 7 October 2021].</w:t>
      </w:r>
    </w:p>
    <w:p w:rsidR="00874EB5" w:rsidRPr="00C67FAF" w:rsidRDefault="00874EB5" w:rsidP="00874EB5">
      <w:pPr>
        <w:spacing w:line="360" w:lineRule="auto"/>
        <w:rPr>
          <w:rFonts w:ascii="Arial" w:hAnsi="Arial" w:cs="Arial"/>
        </w:rPr>
      </w:pPr>
      <w:r w:rsidRPr="00C67FAF">
        <w:rPr>
          <w:rFonts w:ascii="Arial" w:hAnsi="Arial" w:cs="Arial"/>
        </w:rPr>
        <w:t>Maxwell, J., 1996. Judith Maxwell (CPRN) on Social Cohesion. [online] Speechless. Available at: &lt;https://oceanflynn.wordpress.com/2008/04/15/judith-maxwell-cprn-on-social-cohesion/&gt; [Accessed 20 November 2021].</w:t>
      </w:r>
    </w:p>
    <w:p w:rsidR="00874EB5" w:rsidRPr="00C67FAF" w:rsidRDefault="00874EB5" w:rsidP="00874EB5">
      <w:pPr>
        <w:spacing w:line="360" w:lineRule="auto"/>
        <w:rPr>
          <w:rFonts w:ascii="Arial" w:hAnsi="Arial" w:cs="Arial"/>
        </w:rPr>
      </w:pPr>
      <w:r w:rsidRPr="00C67FAF">
        <w:rPr>
          <w:rFonts w:ascii="Arial" w:hAnsi="Arial" w:cs="Arial"/>
        </w:rPr>
        <w:t>McKee, A., 2018. broken windows theory | Description &amp; Results. [online] Encyclopedia Britannica. Available at: &lt;https://www.britannica.com/topic/broken-windows-theory&gt;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McKinsey, 2019. </w:t>
      </w:r>
      <w:r w:rsidRPr="00C67FAF">
        <w:rPr>
          <w:rFonts w:ascii="Arial" w:hAnsi="Arial" w:cs="Arial"/>
          <w:i/>
          <w:iCs/>
          <w:shd w:val="clear" w:color="auto" w:fill="FFFFFF"/>
        </w:rPr>
        <w:t>Perspectives on transforming cybersecurity</w:t>
      </w:r>
      <w:r w:rsidRPr="00C67FAF">
        <w:rPr>
          <w:rFonts w:ascii="Arial" w:hAnsi="Arial" w:cs="Arial"/>
          <w:shd w:val="clear" w:color="auto" w:fill="FFFFFF"/>
        </w:rPr>
        <w:t>. [online] Available at: &lt;https://www.mckinsey.com/~/media/McKinsey/McKinsey%20Solutions/Cyber%20Solutions/Perspectives%20on%20transforming%20cybersecurity/Transforming%20cybersecurity_March2019.ashx&gt; [Accessed 21 November 2021].</w:t>
      </w:r>
    </w:p>
    <w:p w:rsidR="00874EB5" w:rsidRPr="00C67FAF" w:rsidRDefault="00874EB5" w:rsidP="00874EB5">
      <w:pPr>
        <w:spacing w:line="360" w:lineRule="auto"/>
        <w:rPr>
          <w:rFonts w:ascii="Arial" w:hAnsi="Arial" w:cs="Arial"/>
        </w:rPr>
      </w:pPr>
      <w:r w:rsidRPr="00C67FAF">
        <w:rPr>
          <w:rFonts w:ascii="Arial" w:hAnsi="Arial" w:cs="Arial"/>
          <w:shd w:val="clear" w:color="auto" w:fill="FFFFFF"/>
        </w:rPr>
        <w:t>NAO, 2019. </w:t>
      </w:r>
      <w:r w:rsidRPr="00C67FAF">
        <w:rPr>
          <w:rFonts w:ascii="Arial" w:hAnsi="Arial" w:cs="Arial"/>
          <w:i/>
          <w:iCs/>
          <w:shd w:val="clear" w:color="auto" w:fill="FFFFFF"/>
        </w:rPr>
        <w:t>Progress of the 2016–2021 National Cyber Security Programme</w:t>
      </w:r>
      <w:r w:rsidRPr="00C67FAF">
        <w:rPr>
          <w:rFonts w:ascii="Arial" w:hAnsi="Arial" w:cs="Arial"/>
          <w:shd w:val="clear" w:color="auto" w:fill="FFFFFF"/>
        </w:rPr>
        <w:t>. [online] Nao.org.uk. Available at: &lt;https://www.nao.org.uk/wp-content/uploads/2019/03/Progress-of-the-2016-2021-National-Cyber-Security-Programme.pdf&gt;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lastRenderedPageBreak/>
        <w:t>NCA, 2021. </w:t>
      </w:r>
      <w:r w:rsidRPr="00C67FAF">
        <w:rPr>
          <w:rFonts w:ascii="Arial" w:hAnsi="Arial" w:cs="Arial"/>
          <w:i/>
          <w:iCs/>
          <w:shd w:val="clear" w:color="auto" w:fill="FFFFFF"/>
        </w:rPr>
        <w:t>Cyber crime</w:t>
      </w:r>
      <w:r w:rsidRPr="00C67FAF">
        <w:rPr>
          <w:rFonts w:ascii="Arial" w:hAnsi="Arial" w:cs="Arial"/>
          <w:shd w:val="clear" w:color="auto" w:fill="FFFFFF"/>
        </w:rPr>
        <w:t>. National Crime Agency.</w:t>
      </w:r>
    </w:p>
    <w:p w:rsidR="00874EB5" w:rsidRPr="00C67FAF" w:rsidRDefault="00874EB5" w:rsidP="00874EB5">
      <w:pPr>
        <w:spacing w:line="360" w:lineRule="auto"/>
        <w:rPr>
          <w:rFonts w:ascii="Arial" w:hAnsi="Arial" w:cs="Arial"/>
        </w:rPr>
      </w:pPr>
      <w:r w:rsidRPr="00C67FAF">
        <w:rPr>
          <w:rFonts w:ascii="Arial" w:hAnsi="Arial" w:cs="Arial"/>
        </w:rPr>
        <w:t>NCJ, 1994. Understanding Community Policing. [online] Ojp.gov. Available at: &lt;https://www.ojp.gov/pdffiles/commp.pdf&gt; [Accessed 21 November 2021].</w:t>
      </w:r>
    </w:p>
    <w:p w:rsidR="00874EB5" w:rsidRPr="00C67FAF" w:rsidRDefault="00874EB5" w:rsidP="00874EB5">
      <w:pPr>
        <w:spacing w:line="360" w:lineRule="auto"/>
        <w:rPr>
          <w:rFonts w:ascii="Arial" w:hAnsi="Arial" w:cs="Arial"/>
        </w:rPr>
      </w:pPr>
      <w:r w:rsidRPr="00C67FAF">
        <w:rPr>
          <w:rFonts w:ascii="Arial" w:hAnsi="Arial" w:cs="Arial"/>
        </w:rPr>
        <w:t>NPCC, 2021. Policing Vision 2025. [online] Npcc.police.uk. Available at: &lt;https://www.npcc.police.uk/documents/Policing%20Vision.pdf&gt; [Accessed 21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Overby, S., 2021. </w:t>
      </w:r>
      <w:r w:rsidRPr="00C67FAF">
        <w:rPr>
          <w:rFonts w:ascii="Arial" w:hAnsi="Arial" w:cs="Arial"/>
          <w:i/>
          <w:iCs/>
          <w:shd w:val="clear" w:color="auto" w:fill="FFFFFF"/>
        </w:rPr>
        <w:t>12 Cybersecurity Best Practices to Adopt in 2021 | Mimecast Blog</w:t>
      </w:r>
      <w:r w:rsidRPr="00C67FAF">
        <w:rPr>
          <w:rFonts w:ascii="Arial" w:hAnsi="Arial" w:cs="Arial"/>
          <w:shd w:val="clear" w:color="auto" w:fill="FFFFFF"/>
        </w:rPr>
        <w:t>. [online] Mimecast.com. Available at: &lt;https://www.mimecast.com/blog/12-cybersecurity-best-practices/&gt; [Accessed 3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Oxford dictionary, 2021. </w:t>
      </w:r>
      <w:r w:rsidRPr="00C67FAF">
        <w:rPr>
          <w:rFonts w:ascii="Arial" w:hAnsi="Arial" w:cs="Arial"/>
          <w:i/>
          <w:iCs/>
          <w:shd w:val="clear" w:color="auto" w:fill="FFFFFF"/>
        </w:rPr>
        <w:t>hacking noun - Definition, pictures, pronunciation and usage notes | Oxford Advanced Learner's Dictionary at OxfordLearnersDictionaries.com</w:t>
      </w:r>
      <w:r w:rsidRPr="00C67FAF">
        <w:rPr>
          <w:rFonts w:ascii="Arial" w:hAnsi="Arial" w:cs="Arial"/>
          <w:shd w:val="clear" w:color="auto" w:fill="FFFFFF"/>
        </w:rPr>
        <w:t>. [online] Oxfordlearners</w:t>
      </w:r>
      <w:r>
        <w:rPr>
          <w:rFonts w:ascii="Arial" w:hAnsi="Arial" w:cs="Arial"/>
          <w:shd w:val="clear" w:color="auto" w:fill="FFFFFF"/>
        </w:rPr>
        <w:t xml:space="preserve">dictionaries.com. Available at: </w:t>
      </w:r>
      <w:r w:rsidRPr="00C67FAF">
        <w:rPr>
          <w:rFonts w:ascii="Arial" w:hAnsi="Arial" w:cs="Arial"/>
          <w:shd w:val="clear" w:color="auto" w:fill="FFFFFF"/>
        </w:rPr>
        <w:t>&lt;https://www.oxfordlearnersdictionaries.com/definition/english/hacking&gt; [Accessed 1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Palmer, D., 2018. </w:t>
      </w:r>
      <w:r w:rsidRPr="00C67FAF">
        <w:rPr>
          <w:rFonts w:ascii="Arial" w:hAnsi="Arial" w:cs="Arial"/>
          <w:i/>
          <w:iCs/>
          <w:shd w:val="clear" w:color="auto" w:fill="FFFFFF"/>
        </w:rPr>
        <w:t>What is malware? Everything you need to know about viruses, trojans and malicious software | ZDNet</w:t>
      </w:r>
      <w:r w:rsidRPr="00C67FAF">
        <w:rPr>
          <w:rFonts w:ascii="Arial" w:hAnsi="Arial" w:cs="Arial"/>
          <w:shd w:val="clear" w:color="auto" w:fill="FFFFFF"/>
        </w:rPr>
        <w:t>. [online] ZDNet. Available at: &lt;https://www.zdnet.com/article/what-is-malware-everything-you-need-to-know-about-viruses-trojans-and-malicious-software/&gt; [Accessed 3 November 2021].</w:t>
      </w:r>
    </w:p>
    <w:p w:rsidR="00874EB5" w:rsidRPr="00C67FAF" w:rsidRDefault="00874EB5" w:rsidP="00874EB5">
      <w:pPr>
        <w:spacing w:line="360" w:lineRule="auto"/>
        <w:rPr>
          <w:rFonts w:ascii="Arial" w:hAnsi="Arial" w:cs="Arial"/>
        </w:rPr>
      </w:pPr>
      <w:r w:rsidRPr="00C67FAF">
        <w:rPr>
          <w:rFonts w:ascii="Arial" w:hAnsi="Arial" w:cs="Arial"/>
        </w:rPr>
        <w:t>Quinton, P. and Morris, J., 2008. (PDF) Neighbourhood Policing: The Impact of Piloting and Early National Implementation.. [online] ResearchGate. Available at: &lt;https://www.researchgate.net/publication/237366957_Neighbourhood_Policing_The_Impact_of_Piloting_and_Early_National_Implementation&gt;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Rao M, D., 2014. </w:t>
      </w:r>
      <w:r w:rsidRPr="00C67FAF">
        <w:rPr>
          <w:rFonts w:ascii="Arial" w:hAnsi="Arial" w:cs="Arial"/>
          <w:i/>
          <w:iCs/>
          <w:shd w:val="clear" w:color="auto" w:fill="FFFFFF"/>
        </w:rPr>
        <w:t>ETHICAL, LEGAL AND SOCIAL ISSUES IN E-BUSINESS</w:t>
      </w:r>
      <w:r w:rsidRPr="00C67FAF">
        <w:rPr>
          <w:rFonts w:ascii="Arial" w:hAnsi="Arial" w:cs="Arial"/>
          <w:shd w:val="clear" w:color="auto" w:fill="FFFFFF"/>
        </w:rPr>
        <w:t>. [online] Ijetcse.com. Available at: &lt;https://www.ijetcse.com/admin/uploads/ETHICAL,%20LEGAL%20AND%20SOCIAL%20ISSUES%2</w:t>
      </w:r>
      <w:r>
        <w:rPr>
          <w:rFonts w:ascii="Arial" w:hAnsi="Arial" w:cs="Arial"/>
          <w:shd w:val="clear" w:color="auto" w:fill="FFFFFF"/>
        </w:rPr>
        <w:t xml:space="preserve"> </w:t>
      </w:r>
      <w:r w:rsidRPr="00C67FAF">
        <w:rPr>
          <w:rFonts w:ascii="Arial" w:hAnsi="Arial" w:cs="Arial"/>
          <w:shd w:val="clear" w:color="auto" w:fill="FFFFFF"/>
        </w:rPr>
        <w:t>0IN%20E-BUSINESS_1605849846.pdf&gt; [Accessed 1 November 2021].</w:t>
      </w:r>
    </w:p>
    <w:p w:rsidR="00874EB5" w:rsidRPr="00C67FAF" w:rsidRDefault="00874EB5" w:rsidP="00874EB5">
      <w:pPr>
        <w:spacing w:line="360" w:lineRule="auto"/>
        <w:rPr>
          <w:rFonts w:ascii="Arial" w:hAnsi="Arial" w:cs="Arial"/>
        </w:rPr>
      </w:pPr>
      <w:r w:rsidRPr="00C67FAF">
        <w:rPr>
          <w:rFonts w:ascii="Arial" w:hAnsi="Arial" w:cs="Arial"/>
        </w:rPr>
        <w:t>Sherman, L., Farrington, D., MacKenzie, D. and Welsh, B., 2002. Evidence-Based Crime Prevention. [online] Goodreads.com. Available at: &lt;https://www.goodreads.com/book/show/7911826-evidence-based-crime-prevention&gt; [Accessed 20 November 2021].</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Skogan, W., 2006. Asymmetry in the Impact of Encounters with Police. [online] Taylor &amp; Francis. Available at: &lt;https://www.tandfonline.com/doi/full/10.1080/10439460600662098&gt; [Accessed 20 November 2021].</w:t>
      </w:r>
    </w:p>
    <w:p w:rsidR="00874EB5" w:rsidRPr="00C67FAF" w:rsidRDefault="00874EB5" w:rsidP="00874EB5">
      <w:pPr>
        <w:spacing w:line="360" w:lineRule="auto"/>
        <w:rPr>
          <w:rFonts w:ascii="Arial" w:hAnsi="Arial" w:cs="Arial"/>
        </w:rPr>
      </w:pPr>
      <w:r w:rsidRPr="00C67FAF">
        <w:rPr>
          <w:rFonts w:ascii="Arial" w:hAnsi="Arial" w:cs="Arial"/>
        </w:rPr>
        <w:lastRenderedPageBreak/>
        <w:t>Steele, A., 2012. Community mapping and research into community cohesion tensions : Final report for Swansea Community Cohesion Steering Group. [online] Usir.salford.ac.uk. Available at: &lt;https://usir.salford.ac.uk/35821/1/FINAL%20Report%20-%20Swansea%20Community%20Cohesion%2C%20Apr%202012.pdf&gt; [Accessed 21 November 2021].</w:t>
      </w:r>
    </w:p>
    <w:p w:rsidR="00874EB5" w:rsidRPr="00C67FAF" w:rsidRDefault="00874EB5" w:rsidP="00874EB5">
      <w:pPr>
        <w:spacing w:line="360" w:lineRule="auto"/>
        <w:rPr>
          <w:rFonts w:ascii="Arial" w:hAnsi="Arial" w:cs="Arial"/>
        </w:rPr>
      </w:pPr>
      <w:r w:rsidRPr="00C67FAF">
        <w:rPr>
          <w:rFonts w:ascii="Arial" w:hAnsi="Arial" w:cs="Arial"/>
        </w:rPr>
        <w:t>Symantec. (2019), "Internet Security Threat Report", available at: https://wwwwest.symantec.com/content/dam/symantec/docs/reports/istr-24-2019-en.pdf (accessed 03 March 2020).</w:t>
      </w:r>
    </w:p>
    <w:p w:rsidR="00874EB5" w:rsidRPr="00C67FAF" w:rsidRDefault="00874EB5" w:rsidP="00874EB5">
      <w:pPr>
        <w:spacing w:line="360" w:lineRule="auto"/>
        <w:rPr>
          <w:rFonts w:ascii="Arial" w:hAnsi="Arial" w:cs="Arial"/>
          <w:shd w:val="clear" w:color="auto" w:fill="FFFFFF"/>
        </w:rPr>
      </w:pPr>
      <w:r w:rsidRPr="00C67FAF">
        <w:rPr>
          <w:rFonts w:ascii="Arial" w:hAnsi="Arial" w:cs="Arial"/>
          <w:shd w:val="clear" w:color="auto" w:fill="FFFFFF"/>
        </w:rPr>
        <w:t>Talamantes, J., 2021. </w:t>
      </w:r>
      <w:r w:rsidRPr="00C67FAF">
        <w:rPr>
          <w:rFonts w:ascii="Arial" w:hAnsi="Arial" w:cs="Arial"/>
          <w:i/>
          <w:iCs/>
          <w:shd w:val="clear" w:color="auto" w:fill="FFFFFF"/>
        </w:rPr>
        <w:t>USB Drop Attacks: The Danger of</w:t>
      </w:r>
      <w:r w:rsidRPr="00C67FAF">
        <w:rPr>
          <w:rFonts w:ascii="Arial" w:hAnsi="Arial" w:cs="Arial"/>
          <w:shd w:val="clear" w:color="auto" w:fill="FFFFFF"/>
        </w:rPr>
        <w:t>. [online] Redteamsecure.com. Available at: &lt;https://www.redteamsecure.com/blog/usb-drop-attacks-the-danger-of-lost-and-found-thumb-drives&gt; [Accessed 3 November 2021].</w:t>
      </w:r>
    </w:p>
    <w:p w:rsidR="00874EB5" w:rsidRPr="00C67FAF" w:rsidRDefault="00874EB5" w:rsidP="00874EB5">
      <w:pPr>
        <w:spacing w:line="360" w:lineRule="auto"/>
        <w:rPr>
          <w:rFonts w:ascii="Arial" w:hAnsi="Arial" w:cs="Arial"/>
        </w:rPr>
      </w:pPr>
      <w:r w:rsidRPr="00C67FAF">
        <w:rPr>
          <w:rFonts w:ascii="Arial" w:hAnsi="Arial" w:cs="Arial"/>
        </w:rPr>
        <w:t>Tuffin, R., Morris, J. and Poole, A., 2006. An evaluation of the impact of the National Reassurance Policing Programme. [online] Assets.publishing.service.gov.uk. Available at: &lt;https://assets.publishing.service.gov.uk/government/uploads/system/uploads/attachment_data/file/115825/hors296.pdf&gt; [Accessed 20 November 2021].</w:t>
      </w:r>
    </w:p>
    <w:p w:rsidR="00874EB5" w:rsidRPr="00C67FAF" w:rsidRDefault="00874EB5" w:rsidP="00874EB5">
      <w:pPr>
        <w:spacing w:line="360" w:lineRule="auto"/>
        <w:rPr>
          <w:rFonts w:ascii="Arial" w:hAnsi="Arial" w:cs="Arial"/>
        </w:rPr>
      </w:pPr>
      <w:r w:rsidRPr="00C67FAF">
        <w:rPr>
          <w:rFonts w:ascii="Arial" w:hAnsi="Arial" w:cs="Arial"/>
        </w:rPr>
        <w:t>Wilson, J. and Kelling, G., 1982. BROKEN WINDOWS. [online] Illinois-online.org. Available at: &lt;http://illinois-online.org/krassa/ps410/Readings/Wilson%20and%20Kelling%20Broken%20Windows.pdf&gt; [Accessed 21 November 2021].</w:t>
      </w:r>
    </w:p>
    <w:p w:rsidR="00874EB5" w:rsidRPr="00C67FAF" w:rsidRDefault="00874EB5" w:rsidP="00874EB5">
      <w:pPr>
        <w:spacing w:line="360" w:lineRule="auto"/>
        <w:rPr>
          <w:rFonts w:ascii="Arial" w:hAnsi="Arial" w:cs="Arial"/>
        </w:rPr>
      </w:pPr>
      <w:r w:rsidRPr="00C67FAF">
        <w:rPr>
          <w:rFonts w:ascii="Arial" w:hAnsi="Arial" w:cs="Arial"/>
        </w:rPr>
        <w:t>Wilson, J. and Kelling, G., 1982. BROKEN WINDOWS. [online] Illinois-online.org. Available at: &lt;http://illinois-online.org/krassa/ps410/Readings/Wilson%20and%20Kelling%20Broken%20Windows.pdf&gt; [Accessed 21 November 2021].</w:t>
      </w:r>
    </w:p>
    <w:p w:rsidR="00874EB5" w:rsidRPr="00EB4931" w:rsidRDefault="00874EB5" w:rsidP="00874EB5">
      <w:pPr>
        <w:spacing w:line="360" w:lineRule="auto"/>
        <w:rPr>
          <w:rFonts w:ascii="Arial" w:hAnsi="Arial" w:cs="Arial"/>
          <w:b/>
          <w:color w:val="000000"/>
          <w:shd w:val="clear" w:color="auto" w:fill="FFFFFF"/>
        </w:rPr>
      </w:pPr>
      <w:r w:rsidRPr="00C67FAF">
        <w:rPr>
          <w:rFonts w:ascii="Arial" w:hAnsi="Arial" w:cs="Arial"/>
          <w:shd w:val="clear" w:color="auto" w:fill="FFFFFF"/>
        </w:rPr>
        <w:t>Zolkos, G., 2021. </w:t>
      </w:r>
      <w:r w:rsidRPr="00C67FAF">
        <w:rPr>
          <w:rFonts w:ascii="Arial" w:hAnsi="Arial" w:cs="Arial"/>
          <w:i/>
          <w:iCs/>
          <w:shd w:val="clear" w:color="auto" w:fill="FFFFFF"/>
        </w:rPr>
        <w:t>Your business’s cybersecurity needs both advanced threat prevention and advanced threat detection — here’s why</w:t>
      </w:r>
      <w:r w:rsidRPr="00C67FAF">
        <w:rPr>
          <w:rFonts w:ascii="Arial" w:hAnsi="Arial" w:cs="Arial"/>
          <w:shd w:val="clear" w:color="auto" w:fill="FFFFFF"/>
        </w:rPr>
        <w:t>. [online] Bizjournals.com. Available at: &lt;https://www.bizjournals.com/bizjournals/how-to/technology/2021/02/your-business-cybersecurity-needs-both-advanced.html&gt; [Accessed 21 November 2021].</w:t>
      </w:r>
      <w:bookmarkStart w:id="0" w:name="_GoBack"/>
      <w:bookmarkEnd w:id="0"/>
    </w:p>
    <w:sectPr w:rsidR="00874EB5" w:rsidRPr="00EB4931" w:rsidSect="00B63E9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3E99" w:rsidRDefault="00B63E99" w:rsidP="00B63E99">
      <w:pPr>
        <w:spacing w:after="0" w:line="240" w:lineRule="auto"/>
      </w:pPr>
      <w:r>
        <w:separator/>
      </w:r>
    </w:p>
  </w:endnote>
  <w:endnote w:type="continuationSeparator" w:id="0">
    <w:p w:rsidR="00B63E99" w:rsidRDefault="00B63E99" w:rsidP="00B6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217E" w:rsidRDefault="00500B87" w:rsidP="00500B87">
    <w:pPr>
      <w:pStyle w:val="Footer"/>
      <w:rPr>
        <w:color w:val="000000"/>
        <w:sz w:val="17"/>
      </w:rPr>
    </w:pPr>
    <w:bookmarkStart w:id="3" w:name="TITUS1FooterEvenPages"/>
    <w:r>
      <w:rPr>
        <w:color w:val="000000"/>
        <w:sz w:val="17"/>
      </w:rPr>
      <w:t> </w:t>
    </w:r>
  </w:p>
  <w:bookmarkEnd w:id="3"/>
  <w:p w:rsidR="0041217E" w:rsidRDefault="0041217E" w:rsidP="0041217E">
    <w:pPr>
      <w:pStyle w:val="Footer"/>
    </w:pPr>
  </w:p>
  <w:p w:rsidR="00B63E99" w:rsidRDefault="00B63E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E99" w:rsidRDefault="00500B87" w:rsidP="00500B87">
    <w:pPr>
      <w:pStyle w:val="Footer"/>
      <w:rPr>
        <w:color w:val="000000"/>
        <w:sz w:val="17"/>
      </w:rPr>
    </w:pPr>
    <w:bookmarkStart w:id="4" w:name="TITUS1FooterPrimary"/>
    <w:r>
      <w:rPr>
        <w:color w:val="000000"/>
        <w:sz w:val="17"/>
      </w:rPr>
      <w:t> </w:t>
    </w:r>
  </w:p>
  <w:bookmarkEnd w:id="4"/>
  <w:p w:rsidR="00B63E99" w:rsidRDefault="00B63E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E99" w:rsidRDefault="00500B87" w:rsidP="00500B87">
    <w:pPr>
      <w:pStyle w:val="Footer"/>
      <w:rPr>
        <w:color w:val="000000"/>
        <w:sz w:val="17"/>
      </w:rPr>
    </w:pPr>
    <w:bookmarkStart w:id="6" w:name="TITUS1FooterFirstPage"/>
    <w:r>
      <w:rPr>
        <w:color w:val="000000"/>
        <w:sz w:val="17"/>
      </w:rPr>
      <w:t> </w:t>
    </w:r>
  </w:p>
  <w:bookmarkEnd w:id="6"/>
  <w:p w:rsidR="00B63E99" w:rsidRDefault="00B63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3E99" w:rsidRDefault="00B63E99" w:rsidP="00B63E99">
      <w:pPr>
        <w:spacing w:after="0" w:line="240" w:lineRule="auto"/>
      </w:pPr>
      <w:r>
        <w:separator/>
      </w:r>
    </w:p>
  </w:footnote>
  <w:footnote w:type="continuationSeparator" w:id="0">
    <w:p w:rsidR="00B63E99" w:rsidRDefault="00B63E99" w:rsidP="00B6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217E" w:rsidRDefault="00500B87" w:rsidP="00500B87">
    <w:pPr>
      <w:pStyle w:val="Header"/>
      <w:rPr>
        <w:color w:val="000000"/>
        <w:sz w:val="17"/>
      </w:rPr>
    </w:pPr>
    <w:bookmarkStart w:id="1" w:name="TITUS1HeaderEvenPages"/>
    <w:r>
      <w:rPr>
        <w:color w:val="000000"/>
        <w:sz w:val="17"/>
      </w:rPr>
      <w:t> </w:t>
    </w:r>
  </w:p>
  <w:bookmarkEnd w:id="1"/>
  <w:p w:rsidR="0041217E" w:rsidRDefault="0041217E" w:rsidP="0041217E">
    <w:pPr>
      <w:pStyle w:val="Header"/>
    </w:pPr>
  </w:p>
  <w:p w:rsidR="00B63E99" w:rsidRDefault="00B63E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E99" w:rsidRDefault="00500B87" w:rsidP="00500B87">
    <w:pPr>
      <w:pStyle w:val="Header"/>
      <w:rPr>
        <w:color w:val="000000"/>
        <w:sz w:val="17"/>
      </w:rPr>
    </w:pPr>
    <w:bookmarkStart w:id="2" w:name="TITUS1HeaderPrimary"/>
    <w:r>
      <w:rPr>
        <w:color w:val="000000"/>
        <w:sz w:val="17"/>
      </w:rPr>
      <w:t> </w:t>
    </w:r>
  </w:p>
  <w:bookmarkEnd w:id="2"/>
  <w:p w:rsidR="00B63E99" w:rsidRDefault="00B63E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63E99" w:rsidRDefault="00500B87" w:rsidP="00500B87">
    <w:pPr>
      <w:pStyle w:val="Header"/>
      <w:rPr>
        <w:color w:val="000000"/>
        <w:sz w:val="17"/>
      </w:rPr>
    </w:pPr>
    <w:bookmarkStart w:id="5" w:name="TITUS1HeaderFirstPage"/>
    <w:r>
      <w:rPr>
        <w:color w:val="000000"/>
        <w:sz w:val="17"/>
      </w:rPr>
      <w:t> </w:t>
    </w:r>
  </w:p>
  <w:bookmarkEnd w:id="5"/>
  <w:p w:rsidR="00B63E99" w:rsidRDefault="00B63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A6B1A"/>
    <w:multiLevelType w:val="hybridMultilevel"/>
    <w:tmpl w:val="2520BB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62CB4"/>
    <w:multiLevelType w:val="hybridMultilevel"/>
    <w:tmpl w:val="05FCD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A53DF"/>
    <w:multiLevelType w:val="multilevel"/>
    <w:tmpl w:val="D86C4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9B7"/>
    <w:rsid w:val="000633C6"/>
    <w:rsid w:val="002E27CC"/>
    <w:rsid w:val="003C2826"/>
    <w:rsid w:val="0041217E"/>
    <w:rsid w:val="00500B87"/>
    <w:rsid w:val="006238D3"/>
    <w:rsid w:val="00817640"/>
    <w:rsid w:val="00874EB5"/>
    <w:rsid w:val="008842B3"/>
    <w:rsid w:val="00A854AD"/>
    <w:rsid w:val="00B63E99"/>
    <w:rsid w:val="00C17207"/>
    <w:rsid w:val="00DB09B7"/>
    <w:rsid w:val="00DC4648"/>
    <w:rsid w:val="00EC2138"/>
    <w:rsid w:val="00F13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EDD4AE"/>
  <w15:chartTrackingRefBased/>
  <w15:docId w15:val="{540ED96F-BCB1-4901-ADF3-5F6283554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09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9B7"/>
    <w:pPr>
      <w:ind w:left="720"/>
      <w:contextualSpacing/>
    </w:pPr>
  </w:style>
  <w:style w:type="character" w:customStyle="1" w:styleId="taxonomy-tooltip-element">
    <w:name w:val="taxonomy-tooltip-element"/>
    <w:basedOn w:val="DefaultParagraphFont"/>
    <w:rsid w:val="002E27CC"/>
  </w:style>
  <w:style w:type="paragraph" w:customStyle="1" w:styleId="dcr-s23rjr">
    <w:name w:val="dcr-s23rjr"/>
    <w:basedOn w:val="Normal"/>
    <w:rsid w:val="002E27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E27C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6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E99"/>
  </w:style>
  <w:style w:type="paragraph" w:styleId="Footer">
    <w:name w:val="footer"/>
    <w:basedOn w:val="Normal"/>
    <w:link w:val="FooterChar"/>
    <w:uiPriority w:val="99"/>
    <w:unhideWhenUsed/>
    <w:rsid w:val="00B6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6024</Words>
  <Characters>34338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Miller,Alannah swp6611</dc:creator>
  <cp:keywords/>
  <dc:description/>
  <cp:lastModifiedBy>Miller,Alannah swp6611</cp:lastModifiedBy>
  <cp:revision>4</cp:revision>
  <dcterms:created xsi:type="dcterms:W3CDTF">2021-11-21T19:07:00Z</dcterms:created>
  <dcterms:modified xsi:type="dcterms:W3CDTF">2021-11-21T21:20:00Z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9328e594-9cd5-4511-85d6-ed56dc8d761f</vt:lpwstr>
  </property>
  <property fmtid="{D5CDD505-2E9C-101B-9397-08002B2CF9AE}" pid="3" name="Classification">
    <vt:lpwstr>OFFICIAL</vt:lpwstr>
  </property>
  <property fmtid="{D5CDD505-2E9C-101B-9397-08002B2CF9AE}" pid="4" name="Visibility">
    <vt:lpwstr>NOT VISIBLE</vt:lpwstr>
  </property>
</Properties>
</file>