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BD2347" w14:textId="6F7ED635" w:rsidR="006E7F64" w:rsidRDefault="006E7F64" w:rsidP="1119FE51">
      <w:pPr>
        <w:pStyle w:val="Heading1"/>
        <w:spacing w:before="0" w:after="0"/>
        <w:ind w:right="720"/>
        <w:jc w:val="center"/>
        <w:rPr>
          <w:rFonts w:ascii="Cambria" w:eastAsia="Cambria" w:hAnsi="Cambria" w:cs="Cambria"/>
          <w:b/>
          <w:bCs/>
          <w:sz w:val="20"/>
          <w:szCs w:val="20"/>
        </w:rPr>
      </w:pPr>
    </w:p>
    <w:p w14:paraId="7EA2E9CA" w14:textId="77777777" w:rsidR="006E7F64" w:rsidRPr="006E7F64" w:rsidRDefault="006E7F64" w:rsidP="006E7F64">
      <w:pPr>
        <w:jc w:val="both"/>
        <w:rPr>
          <w:rFonts w:ascii="Arial" w:eastAsia="Cambria" w:hAnsi="Arial" w:cs="Arial"/>
          <w:b/>
          <w:bCs/>
          <w:sz w:val="22"/>
          <w:szCs w:val="22"/>
        </w:rPr>
      </w:pPr>
      <w:r w:rsidRPr="006E7F64">
        <w:rPr>
          <w:rFonts w:ascii="Arial" w:eastAsia="Cambria" w:hAnsi="Arial" w:cs="Arial"/>
          <w:b/>
          <w:bCs/>
          <w:sz w:val="22"/>
          <w:szCs w:val="22"/>
        </w:rPr>
        <w:t>Targets:</w:t>
      </w:r>
    </w:p>
    <w:tbl>
      <w:tblPr>
        <w:tblStyle w:val="TableGrid"/>
        <w:tblW w:w="0" w:type="auto"/>
        <w:tblLook w:val="04A0" w:firstRow="1" w:lastRow="0" w:firstColumn="1" w:lastColumn="0" w:noHBand="0" w:noVBand="1"/>
      </w:tblPr>
      <w:tblGrid>
        <w:gridCol w:w="4788"/>
        <w:gridCol w:w="4788"/>
      </w:tblGrid>
      <w:tr w:rsidR="006E7F64" w:rsidRPr="006E7F64" w14:paraId="1CC1F111" w14:textId="77777777" w:rsidTr="005B246F">
        <w:tc>
          <w:tcPr>
            <w:tcW w:w="4788" w:type="dxa"/>
          </w:tcPr>
          <w:p w14:paraId="596FCEE8" w14:textId="77777777" w:rsidR="006E7F64" w:rsidRDefault="006E7F64" w:rsidP="006E7F64">
            <w:pPr>
              <w:pStyle w:val="paragraph"/>
              <w:spacing w:before="0" w:beforeAutospacing="0" w:after="0" w:afterAutospacing="0"/>
              <w:textAlignment w:val="baseline"/>
              <w:rPr>
                <w:rFonts w:ascii="Helvetica" w:hAnsi="Helvetica"/>
                <w:sz w:val="21"/>
                <w:szCs w:val="21"/>
              </w:rPr>
            </w:pPr>
            <w:r>
              <w:rPr>
                <w:rStyle w:val="normaltextrun"/>
                <w:rFonts w:ascii="Helvetica" w:eastAsiaTheme="majorEastAsia" w:hAnsi="Helvetica"/>
                <w:color w:val="283041"/>
                <w:sz w:val="21"/>
                <w:szCs w:val="21"/>
                <w:lang w:val="en-US"/>
              </w:rPr>
              <w:t>Aim to maintain an academic tone throughout your writing and avoid making unsubstantiated claims</w:t>
            </w:r>
            <w:r>
              <w:rPr>
                <w:rStyle w:val="eop"/>
                <w:rFonts w:ascii="Helvetica" w:eastAsiaTheme="majorEastAsia" w:hAnsi="Helvetica"/>
                <w:color w:val="283041"/>
                <w:sz w:val="21"/>
                <w:szCs w:val="21"/>
              </w:rPr>
              <w:t> </w:t>
            </w:r>
          </w:p>
          <w:p w14:paraId="4AEFEF9B" w14:textId="77777777" w:rsidR="006E7F64" w:rsidRPr="006E7F64" w:rsidRDefault="006E7F64" w:rsidP="005B246F">
            <w:pPr>
              <w:jc w:val="both"/>
              <w:rPr>
                <w:rFonts w:ascii="Arial" w:eastAsia="Cambria" w:hAnsi="Arial" w:cs="Arial"/>
                <w:b/>
                <w:bCs/>
                <w:color w:val="0F4761" w:themeColor="accent1" w:themeShade="BF"/>
                <w:sz w:val="22"/>
                <w:szCs w:val="22"/>
              </w:rPr>
            </w:pPr>
          </w:p>
        </w:tc>
        <w:tc>
          <w:tcPr>
            <w:tcW w:w="4788" w:type="dxa"/>
          </w:tcPr>
          <w:p w14:paraId="1F4DF5C3" w14:textId="6F18E3BC" w:rsidR="006E7F64" w:rsidRDefault="006E7F64" w:rsidP="00485235">
            <w:pPr>
              <w:pStyle w:val="paragraph"/>
              <w:numPr>
                <w:ilvl w:val="0"/>
                <w:numId w:val="2"/>
              </w:numPr>
              <w:spacing w:before="0" w:beforeAutospacing="0" w:after="0" w:afterAutospacing="0"/>
              <w:ind w:left="360" w:firstLine="0"/>
              <w:textAlignment w:val="baseline"/>
              <w:rPr>
                <w:rFonts w:ascii="Helvetica" w:hAnsi="Helvetica"/>
                <w:sz w:val="21"/>
                <w:szCs w:val="21"/>
              </w:rPr>
            </w:pPr>
            <w:r>
              <w:rPr>
                <w:rStyle w:val="normaltextrun"/>
                <w:rFonts w:ascii="Helvetica" w:eastAsiaTheme="majorEastAsia" w:hAnsi="Helvetica"/>
                <w:color w:val="283041"/>
                <w:sz w:val="21"/>
                <w:szCs w:val="21"/>
                <w:lang w:val="en-US"/>
              </w:rPr>
              <w:t xml:space="preserve">Used a thesaurus to use implement more academically toned words, as well as support from peers to alter my wording to make it sound more professional and </w:t>
            </w:r>
            <w:r>
              <w:rPr>
                <w:rStyle w:val="normaltextrun"/>
                <w:rFonts w:ascii="Helvetica" w:eastAsiaTheme="majorEastAsia" w:hAnsi="Helvetica"/>
                <w:color w:val="283041"/>
                <w:sz w:val="21"/>
                <w:szCs w:val="21"/>
                <w:lang w:val="en-US"/>
              </w:rPr>
              <w:t>academic</w:t>
            </w:r>
            <w:r>
              <w:rPr>
                <w:rStyle w:val="eop"/>
                <w:rFonts w:ascii="Helvetica" w:eastAsiaTheme="majorEastAsia" w:hAnsi="Helvetica"/>
                <w:color w:val="283041"/>
                <w:sz w:val="21"/>
                <w:szCs w:val="21"/>
              </w:rPr>
              <w:t> </w:t>
            </w:r>
          </w:p>
          <w:p w14:paraId="71C7E5A5" w14:textId="77777777" w:rsidR="006E7F64" w:rsidRPr="006E7F64" w:rsidRDefault="006E7F64" w:rsidP="005B246F">
            <w:pPr>
              <w:jc w:val="both"/>
              <w:rPr>
                <w:rFonts w:ascii="Arial" w:eastAsia="Cambria" w:hAnsi="Arial" w:cs="Arial"/>
                <w:b/>
                <w:bCs/>
                <w:color w:val="0F4761" w:themeColor="accent1" w:themeShade="BF"/>
                <w:sz w:val="22"/>
                <w:szCs w:val="22"/>
              </w:rPr>
            </w:pPr>
          </w:p>
        </w:tc>
      </w:tr>
      <w:tr w:rsidR="006E7F64" w:rsidRPr="006E7F64" w14:paraId="52444F1F" w14:textId="77777777" w:rsidTr="005B246F">
        <w:tc>
          <w:tcPr>
            <w:tcW w:w="4788" w:type="dxa"/>
          </w:tcPr>
          <w:p w14:paraId="24698B83" w14:textId="77777777" w:rsidR="006E7F64" w:rsidRDefault="006E7F64" w:rsidP="006E7F64">
            <w:pPr>
              <w:pStyle w:val="paragraph"/>
              <w:spacing w:before="0" w:beforeAutospacing="0" w:after="0" w:afterAutospacing="0"/>
              <w:textAlignment w:val="baseline"/>
              <w:rPr>
                <w:rFonts w:ascii="Helvetica" w:hAnsi="Helvetica"/>
                <w:sz w:val="21"/>
                <w:szCs w:val="21"/>
              </w:rPr>
            </w:pPr>
            <w:r>
              <w:rPr>
                <w:rStyle w:val="normaltextrun"/>
                <w:rFonts w:ascii="Helvetica" w:eastAsiaTheme="majorEastAsia" w:hAnsi="Helvetica"/>
                <w:color w:val="283041"/>
                <w:sz w:val="21"/>
                <w:szCs w:val="21"/>
                <w:lang w:val="en-US"/>
              </w:rPr>
              <w:t xml:space="preserve">Proof read you work for greater clarity of expression and avoidance of repetitive points - </w:t>
            </w:r>
            <w:proofErr w:type="spellStart"/>
            <w:r>
              <w:rPr>
                <w:rStyle w:val="normaltextrun"/>
                <w:rFonts w:ascii="Helvetica" w:eastAsiaTheme="majorEastAsia" w:hAnsi="Helvetica"/>
                <w:color w:val="283041"/>
                <w:sz w:val="21"/>
                <w:szCs w:val="21"/>
                <w:lang w:val="en-US"/>
              </w:rPr>
              <w:t>its</w:t>
            </w:r>
            <w:proofErr w:type="spellEnd"/>
            <w:r>
              <w:rPr>
                <w:rStyle w:val="normaltextrun"/>
                <w:rFonts w:ascii="Helvetica" w:eastAsiaTheme="majorEastAsia" w:hAnsi="Helvetica"/>
                <w:color w:val="283041"/>
                <w:sz w:val="21"/>
                <w:szCs w:val="21"/>
                <w:lang w:val="en-US"/>
              </w:rPr>
              <w:t xml:space="preserve"> important to build and move forward with an argument</w:t>
            </w:r>
            <w:r>
              <w:rPr>
                <w:rStyle w:val="eop"/>
                <w:rFonts w:ascii="Helvetica" w:eastAsiaTheme="majorEastAsia" w:hAnsi="Helvetica"/>
                <w:color w:val="283041"/>
                <w:sz w:val="21"/>
                <w:szCs w:val="21"/>
              </w:rPr>
              <w:t> </w:t>
            </w:r>
          </w:p>
          <w:p w14:paraId="5749D20C" w14:textId="77777777" w:rsidR="006E7F64" w:rsidRPr="006E7F64" w:rsidRDefault="006E7F64" w:rsidP="005B246F">
            <w:pPr>
              <w:jc w:val="both"/>
              <w:rPr>
                <w:rFonts w:ascii="Arial" w:eastAsia="Cambria" w:hAnsi="Arial" w:cs="Arial"/>
                <w:b/>
                <w:bCs/>
                <w:color w:val="0F4761" w:themeColor="accent1" w:themeShade="BF"/>
                <w:sz w:val="22"/>
                <w:szCs w:val="22"/>
              </w:rPr>
            </w:pPr>
          </w:p>
        </w:tc>
        <w:tc>
          <w:tcPr>
            <w:tcW w:w="4788" w:type="dxa"/>
          </w:tcPr>
          <w:p w14:paraId="514AD8AF" w14:textId="48FE9C70" w:rsidR="006E7F64" w:rsidRDefault="006E7F64" w:rsidP="00485235">
            <w:pPr>
              <w:pStyle w:val="paragraph"/>
              <w:numPr>
                <w:ilvl w:val="0"/>
                <w:numId w:val="3"/>
              </w:numPr>
              <w:spacing w:before="0" w:beforeAutospacing="0" w:after="0" w:afterAutospacing="0"/>
              <w:ind w:left="360" w:firstLine="0"/>
              <w:textAlignment w:val="baseline"/>
              <w:rPr>
                <w:rFonts w:ascii="Helvetica" w:hAnsi="Helvetica"/>
                <w:sz w:val="21"/>
                <w:szCs w:val="21"/>
              </w:rPr>
            </w:pPr>
            <w:r>
              <w:rPr>
                <w:rStyle w:val="normaltextrun"/>
                <w:rFonts w:ascii="Helvetica" w:eastAsiaTheme="majorEastAsia" w:hAnsi="Helvetica"/>
                <w:color w:val="283041"/>
                <w:sz w:val="21"/>
                <w:szCs w:val="21"/>
                <w:lang w:val="en-US"/>
              </w:rPr>
              <w:t>Proofread and altered by myself</w:t>
            </w:r>
            <w:r>
              <w:rPr>
                <w:rStyle w:val="normaltextrun"/>
                <w:rFonts w:ascii="Helvetica" w:eastAsiaTheme="majorEastAsia" w:hAnsi="Helvetica"/>
                <w:color w:val="283041"/>
                <w:sz w:val="21"/>
                <w:szCs w:val="21"/>
                <w:lang w:val="en-US"/>
              </w:rPr>
              <w:t xml:space="preserve">. Then </w:t>
            </w:r>
            <w:r>
              <w:rPr>
                <w:rStyle w:val="normaltextrun"/>
                <w:rFonts w:ascii="Helvetica" w:eastAsiaTheme="majorEastAsia" w:hAnsi="Helvetica"/>
                <w:color w:val="283041"/>
                <w:sz w:val="21"/>
                <w:szCs w:val="21"/>
                <w:lang w:val="en-US"/>
              </w:rPr>
              <w:t>proofread by peers and a parent</w:t>
            </w:r>
            <w:r>
              <w:rPr>
                <w:rStyle w:val="eop"/>
                <w:rFonts w:ascii="Helvetica" w:eastAsiaTheme="majorEastAsia" w:hAnsi="Helvetica"/>
                <w:color w:val="283041"/>
                <w:sz w:val="21"/>
                <w:szCs w:val="21"/>
              </w:rPr>
              <w:t> </w:t>
            </w:r>
            <w:r>
              <w:rPr>
                <w:rStyle w:val="eop"/>
                <w:rFonts w:ascii="Helvetica" w:eastAsiaTheme="majorEastAsia" w:hAnsi="Helvetica"/>
                <w:color w:val="283041"/>
                <w:sz w:val="21"/>
                <w:szCs w:val="21"/>
              </w:rPr>
              <w:t>prior to final submission</w:t>
            </w:r>
          </w:p>
          <w:p w14:paraId="460BEB07" w14:textId="77777777" w:rsidR="006E7F64" w:rsidRPr="006E7F64" w:rsidRDefault="006E7F64" w:rsidP="005B246F">
            <w:pPr>
              <w:jc w:val="both"/>
              <w:rPr>
                <w:rFonts w:ascii="Arial" w:eastAsia="Cambria" w:hAnsi="Arial" w:cs="Arial"/>
                <w:b/>
                <w:bCs/>
                <w:color w:val="0F4761" w:themeColor="accent1" w:themeShade="BF"/>
                <w:sz w:val="22"/>
                <w:szCs w:val="22"/>
              </w:rPr>
            </w:pPr>
          </w:p>
        </w:tc>
      </w:tr>
      <w:tr w:rsidR="006E7F64" w:rsidRPr="006E7F64" w14:paraId="3C3DE0E0" w14:textId="77777777" w:rsidTr="005B246F">
        <w:tc>
          <w:tcPr>
            <w:tcW w:w="4788" w:type="dxa"/>
          </w:tcPr>
          <w:p w14:paraId="68BE0073" w14:textId="77777777" w:rsidR="006E7F64" w:rsidRDefault="006E7F64" w:rsidP="006E7F64">
            <w:pPr>
              <w:pStyle w:val="paragraph"/>
              <w:spacing w:before="0" w:beforeAutospacing="0" w:after="0" w:afterAutospacing="0"/>
              <w:textAlignment w:val="baseline"/>
              <w:rPr>
                <w:rFonts w:ascii="Helvetica" w:hAnsi="Helvetica"/>
                <w:sz w:val="21"/>
                <w:szCs w:val="21"/>
              </w:rPr>
            </w:pPr>
            <w:r>
              <w:rPr>
                <w:rStyle w:val="normaltextrun"/>
                <w:rFonts w:ascii="Helvetica" w:eastAsiaTheme="majorEastAsia" w:hAnsi="Helvetica"/>
                <w:color w:val="283041"/>
                <w:sz w:val="21"/>
                <w:szCs w:val="21"/>
                <w:lang w:val="en-US"/>
              </w:rPr>
              <w:t>To develop your critical thinking, consider alternative viewpoints</w:t>
            </w:r>
            <w:r>
              <w:rPr>
                <w:rStyle w:val="eop"/>
                <w:rFonts w:ascii="Helvetica" w:eastAsiaTheme="majorEastAsia" w:hAnsi="Helvetica"/>
                <w:color w:val="283041"/>
                <w:sz w:val="21"/>
                <w:szCs w:val="21"/>
              </w:rPr>
              <w:t> </w:t>
            </w:r>
          </w:p>
          <w:p w14:paraId="219C4177" w14:textId="77777777" w:rsidR="006E7F64" w:rsidRPr="006E7F64" w:rsidRDefault="006E7F64" w:rsidP="005B246F">
            <w:pPr>
              <w:jc w:val="both"/>
              <w:rPr>
                <w:rFonts w:ascii="Arial" w:eastAsia="Cambria" w:hAnsi="Arial" w:cs="Arial"/>
                <w:b/>
                <w:bCs/>
                <w:color w:val="0F4761" w:themeColor="accent1" w:themeShade="BF"/>
                <w:sz w:val="22"/>
                <w:szCs w:val="22"/>
              </w:rPr>
            </w:pPr>
          </w:p>
        </w:tc>
        <w:tc>
          <w:tcPr>
            <w:tcW w:w="4788" w:type="dxa"/>
          </w:tcPr>
          <w:p w14:paraId="49574065" w14:textId="77777777" w:rsidR="006E7F64" w:rsidRDefault="006E7F64" w:rsidP="00485235">
            <w:pPr>
              <w:pStyle w:val="paragraph"/>
              <w:numPr>
                <w:ilvl w:val="0"/>
                <w:numId w:val="4"/>
              </w:numPr>
              <w:spacing w:before="0" w:beforeAutospacing="0" w:after="0" w:afterAutospacing="0"/>
              <w:ind w:left="360" w:firstLine="0"/>
              <w:textAlignment w:val="baseline"/>
              <w:rPr>
                <w:rFonts w:ascii="Helvetica" w:hAnsi="Helvetica"/>
                <w:sz w:val="21"/>
                <w:szCs w:val="21"/>
              </w:rPr>
            </w:pPr>
            <w:r>
              <w:rPr>
                <w:rStyle w:val="normaltextrun"/>
                <w:rFonts w:ascii="Helvetica" w:eastAsiaTheme="majorEastAsia" w:hAnsi="Helvetica"/>
                <w:color w:val="283041"/>
                <w:sz w:val="21"/>
                <w:szCs w:val="21"/>
                <w:lang w:val="en-US"/>
              </w:rPr>
              <w:t>For an argument/point made, an opposing argument/point followed showing criticality and alternate arguments</w:t>
            </w:r>
            <w:r>
              <w:rPr>
                <w:rStyle w:val="eop"/>
                <w:rFonts w:ascii="Helvetica" w:eastAsiaTheme="majorEastAsia" w:hAnsi="Helvetica"/>
                <w:color w:val="283041"/>
                <w:sz w:val="21"/>
                <w:szCs w:val="21"/>
              </w:rPr>
              <w:t> </w:t>
            </w:r>
          </w:p>
          <w:p w14:paraId="0288269C" w14:textId="77777777" w:rsidR="006E7F64" w:rsidRPr="006E7F64" w:rsidRDefault="006E7F64" w:rsidP="005B246F">
            <w:pPr>
              <w:jc w:val="both"/>
              <w:rPr>
                <w:rFonts w:ascii="Arial" w:eastAsia="Cambria" w:hAnsi="Arial" w:cs="Arial"/>
                <w:b/>
                <w:bCs/>
                <w:color w:val="0F4761" w:themeColor="accent1" w:themeShade="BF"/>
                <w:sz w:val="22"/>
                <w:szCs w:val="22"/>
              </w:rPr>
            </w:pPr>
          </w:p>
        </w:tc>
      </w:tr>
    </w:tbl>
    <w:p w14:paraId="2A0403D3" w14:textId="28AC8CD1" w:rsidR="006E7F64" w:rsidRDefault="006E7F64" w:rsidP="006E7F64">
      <w:pPr>
        <w:jc w:val="both"/>
        <w:rPr>
          <w:rFonts w:ascii="Cambria" w:eastAsia="Cambria" w:hAnsi="Cambria" w:cs="Cambria"/>
          <w:b/>
          <w:bCs/>
          <w:color w:val="0F4761" w:themeColor="accent1" w:themeShade="BF"/>
          <w:sz w:val="20"/>
          <w:szCs w:val="20"/>
        </w:rPr>
      </w:pPr>
      <w:r w:rsidRPr="006E7F64">
        <w:rPr>
          <w:rFonts w:ascii="Arial" w:eastAsia="Cambria" w:hAnsi="Arial" w:cs="Arial"/>
          <w:b/>
          <w:bCs/>
          <w:sz w:val="22"/>
          <w:szCs w:val="22"/>
        </w:rPr>
        <w:br w:type="page"/>
      </w:r>
      <w:r>
        <w:rPr>
          <w:rFonts w:ascii="Cambria" w:eastAsia="Cambria" w:hAnsi="Cambria" w:cs="Cambria"/>
          <w:b/>
          <w:bCs/>
          <w:color w:val="0F4761" w:themeColor="accent1" w:themeShade="BF"/>
          <w:sz w:val="20"/>
          <w:szCs w:val="20"/>
        </w:rPr>
        <w:lastRenderedPageBreak/>
        <w:t xml:space="preserve"> </w:t>
      </w:r>
    </w:p>
    <w:p w14:paraId="655B0294" w14:textId="77777777" w:rsidR="007A6113" w:rsidRDefault="007A6113" w:rsidP="1119FE51">
      <w:pPr>
        <w:pStyle w:val="Heading1"/>
        <w:spacing w:before="0" w:after="0"/>
        <w:ind w:right="720"/>
        <w:jc w:val="center"/>
        <w:rPr>
          <w:rFonts w:ascii="Cambria" w:eastAsia="Cambria" w:hAnsi="Cambria" w:cs="Cambria"/>
          <w:b/>
          <w:bCs/>
          <w:sz w:val="20"/>
          <w:szCs w:val="20"/>
        </w:rPr>
      </w:pPr>
    </w:p>
    <w:p w14:paraId="11E80C39" w14:textId="737E2626" w:rsidR="007A6113" w:rsidRDefault="007A6113" w:rsidP="1119FE51">
      <w:pPr>
        <w:pStyle w:val="Heading1"/>
        <w:spacing w:before="0" w:after="0"/>
        <w:ind w:right="720"/>
        <w:jc w:val="center"/>
        <w:rPr>
          <w:rFonts w:ascii="Cambria" w:eastAsia="Cambria" w:hAnsi="Cambria" w:cs="Cambria"/>
          <w:b/>
          <w:bCs/>
          <w:sz w:val="20"/>
          <w:szCs w:val="20"/>
        </w:rPr>
      </w:pPr>
    </w:p>
    <w:p w14:paraId="41960FF1" w14:textId="24C65732" w:rsidR="007A6113" w:rsidRDefault="007A6113" w:rsidP="1119FE51">
      <w:pPr>
        <w:pStyle w:val="Heading1"/>
        <w:spacing w:before="0" w:after="0"/>
        <w:ind w:right="720"/>
        <w:jc w:val="center"/>
        <w:rPr>
          <w:rFonts w:ascii="Cambria" w:eastAsia="Cambria" w:hAnsi="Cambria" w:cs="Cambria"/>
          <w:b/>
          <w:bCs/>
          <w:sz w:val="20"/>
          <w:szCs w:val="20"/>
        </w:rPr>
      </w:pPr>
    </w:p>
    <w:p w14:paraId="19A239B6" w14:textId="7E4E0D42" w:rsidR="007A6113" w:rsidRDefault="007A6113" w:rsidP="1119FE51">
      <w:pPr>
        <w:pStyle w:val="Heading1"/>
        <w:spacing w:before="0" w:after="0"/>
        <w:ind w:right="720"/>
        <w:jc w:val="center"/>
        <w:rPr>
          <w:rFonts w:ascii="Cambria" w:eastAsia="Cambria" w:hAnsi="Cambria" w:cs="Cambria"/>
          <w:b/>
          <w:bCs/>
          <w:sz w:val="20"/>
          <w:szCs w:val="20"/>
        </w:rPr>
      </w:pPr>
    </w:p>
    <w:p w14:paraId="0734D478" w14:textId="2AF28093" w:rsidR="007A6113" w:rsidRDefault="007A6113" w:rsidP="1119FE51">
      <w:pPr>
        <w:pStyle w:val="Heading1"/>
        <w:spacing w:before="0" w:after="0"/>
        <w:ind w:right="720"/>
        <w:jc w:val="center"/>
        <w:rPr>
          <w:rFonts w:ascii="Cambria" w:eastAsia="Cambria" w:hAnsi="Cambria" w:cs="Cambria"/>
          <w:b/>
          <w:bCs/>
          <w:sz w:val="20"/>
          <w:szCs w:val="20"/>
        </w:rPr>
      </w:pPr>
    </w:p>
    <w:p w14:paraId="4996BF51" w14:textId="44C4379D" w:rsidR="007A6113" w:rsidRDefault="007A6113" w:rsidP="1119FE51">
      <w:pPr>
        <w:pStyle w:val="Heading1"/>
        <w:spacing w:before="0" w:after="0"/>
        <w:ind w:right="720"/>
        <w:jc w:val="center"/>
        <w:rPr>
          <w:rFonts w:ascii="Cambria" w:eastAsia="Cambria" w:hAnsi="Cambria" w:cs="Cambria"/>
          <w:b/>
          <w:bCs/>
          <w:sz w:val="20"/>
          <w:szCs w:val="20"/>
        </w:rPr>
      </w:pPr>
    </w:p>
    <w:p w14:paraId="1A486488" w14:textId="64780AC6" w:rsidR="007A6113" w:rsidRDefault="007A6113" w:rsidP="1119FE51">
      <w:pPr>
        <w:pStyle w:val="Heading1"/>
        <w:spacing w:before="0" w:after="0"/>
        <w:ind w:right="720"/>
        <w:jc w:val="center"/>
        <w:rPr>
          <w:rFonts w:ascii="Cambria" w:eastAsia="Cambria" w:hAnsi="Cambria" w:cs="Cambria"/>
          <w:b/>
          <w:bCs/>
          <w:sz w:val="20"/>
          <w:szCs w:val="20"/>
        </w:rPr>
      </w:pPr>
    </w:p>
    <w:p w14:paraId="27A66135" w14:textId="5BC80581" w:rsidR="007A6113" w:rsidRDefault="007A6113" w:rsidP="1119FE51">
      <w:pPr>
        <w:pStyle w:val="Heading1"/>
        <w:spacing w:before="0" w:after="0"/>
        <w:ind w:right="720"/>
        <w:jc w:val="center"/>
        <w:rPr>
          <w:rFonts w:ascii="Cambria" w:eastAsia="Cambria" w:hAnsi="Cambria" w:cs="Cambria"/>
          <w:b/>
          <w:bCs/>
          <w:sz w:val="20"/>
          <w:szCs w:val="20"/>
        </w:rPr>
      </w:pPr>
    </w:p>
    <w:p w14:paraId="7A760058" w14:textId="7916069A" w:rsidR="007A6113" w:rsidRDefault="007A6113" w:rsidP="1119FE51">
      <w:pPr>
        <w:pStyle w:val="Heading1"/>
        <w:spacing w:before="0" w:after="0"/>
        <w:ind w:right="720"/>
        <w:jc w:val="center"/>
        <w:rPr>
          <w:rFonts w:ascii="Cambria" w:eastAsia="Cambria" w:hAnsi="Cambria" w:cs="Cambria"/>
          <w:b/>
          <w:bCs/>
          <w:sz w:val="20"/>
          <w:szCs w:val="20"/>
        </w:rPr>
      </w:pPr>
    </w:p>
    <w:p w14:paraId="3DD4B69C" w14:textId="530C23BB" w:rsidR="007A6113" w:rsidRDefault="007A6113" w:rsidP="1119FE51">
      <w:pPr>
        <w:pStyle w:val="Heading1"/>
        <w:spacing w:before="0" w:after="0"/>
        <w:ind w:right="720"/>
        <w:jc w:val="center"/>
        <w:rPr>
          <w:rFonts w:ascii="Cambria" w:eastAsia="Cambria" w:hAnsi="Cambria" w:cs="Cambria"/>
          <w:b/>
          <w:bCs/>
          <w:sz w:val="20"/>
          <w:szCs w:val="20"/>
        </w:rPr>
      </w:pPr>
    </w:p>
    <w:p w14:paraId="01C55D0A" w14:textId="0BA20BC9" w:rsidR="007A6113" w:rsidRDefault="007A6113" w:rsidP="1119FE51">
      <w:pPr>
        <w:pStyle w:val="Heading1"/>
        <w:spacing w:before="0" w:after="0"/>
        <w:ind w:right="720"/>
        <w:jc w:val="center"/>
        <w:rPr>
          <w:rFonts w:ascii="Cambria" w:eastAsia="Cambria" w:hAnsi="Cambria" w:cs="Cambria"/>
          <w:b/>
          <w:bCs/>
          <w:sz w:val="20"/>
          <w:szCs w:val="20"/>
        </w:rPr>
      </w:pPr>
    </w:p>
    <w:p w14:paraId="5450AE7F" w14:textId="4DF52182" w:rsidR="007A6113" w:rsidRDefault="007A6113" w:rsidP="1119FE51">
      <w:pPr>
        <w:pStyle w:val="Heading1"/>
        <w:spacing w:before="0" w:after="0"/>
        <w:ind w:right="720"/>
        <w:jc w:val="center"/>
        <w:rPr>
          <w:rFonts w:ascii="Cambria" w:eastAsia="Cambria" w:hAnsi="Cambria" w:cs="Cambria"/>
          <w:b/>
          <w:bCs/>
          <w:sz w:val="20"/>
          <w:szCs w:val="20"/>
        </w:rPr>
      </w:pPr>
    </w:p>
    <w:p w14:paraId="496026DF" w14:textId="331CA003" w:rsidR="007A6113" w:rsidRDefault="007A6113" w:rsidP="1119FE51">
      <w:pPr>
        <w:pStyle w:val="Heading1"/>
        <w:spacing w:before="0" w:after="0"/>
        <w:ind w:right="720"/>
        <w:jc w:val="center"/>
        <w:rPr>
          <w:rFonts w:ascii="Cambria" w:eastAsia="Cambria" w:hAnsi="Cambria" w:cs="Cambria"/>
          <w:b/>
          <w:bCs/>
          <w:sz w:val="20"/>
          <w:szCs w:val="20"/>
        </w:rPr>
      </w:pPr>
    </w:p>
    <w:p w14:paraId="64784320" w14:textId="3A1F05A2" w:rsidR="007A6113" w:rsidRDefault="007A6113" w:rsidP="1119FE51">
      <w:pPr>
        <w:pStyle w:val="Heading1"/>
        <w:spacing w:before="0" w:after="0"/>
        <w:ind w:right="720"/>
        <w:jc w:val="center"/>
        <w:rPr>
          <w:rFonts w:ascii="Cambria" w:eastAsia="Cambria" w:hAnsi="Cambria" w:cs="Cambria"/>
          <w:b/>
          <w:bCs/>
          <w:sz w:val="20"/>
          <w:szCs w:val="20"/>
        </w:rPr>
      </w:pPr>
    </w:p>
    <w:p w14:paraId="66F7E4B3" w14:textId="4A64373D" w:rsidR="007A6113" w:rsidRDefault="007A6113" w:rsidP="1119FE51">
      <w:pPr>
        <w:pStyle w:val="Heading1"/>
        <w:spacing w:before="0" w:after="0"/>
        <w:ind w:right="720"/>
        <w:jc w:val="center"/>
        <w:rPr>
          <w:rFonts w:ascii="Cambria" w:eastAsia="Cambria" w:hAnsi="Cambria" w:cs="Cambria"/>
          <w:b/>
          <w:bCs/>
          <w:sz w:val="20"/>
          <w:szCs w:val="20"/>
        </w:rPr>
      </w:pPr>
    </w:p>
    <w:p w14:paraId="070B49D0" w14:textId="5CAF023D" w:rsidR="007A6113" w:rsidRDefault="007A6113" w:rsidP="1119FE51">
      <w:pPr>
        <w:pStyle w:val="Heading1"/>
        <w:spacing w:before="0" w:after="0"/>
        <w:ind w:right="720"/>
        <w:jc w:val="center"/>
        <w:rPr>
          <w:rFonts w:ascii="Cambria" w:eastAsia="Cambria" w:hAnsi="Cambria" w:cs="Cambria"/>
          <w:b/>
          <w:bCs/>
          <w:sz w:val="20"/>
          <w:szCs w:val="20"/>
        </w:rPr>
      </w:pPr>
    </w:p>
    <w:p w14:paraId="68374311" w14:textId="184E0489" w:rsidR="007A6113" w:rsidRDefault="007A6113" w:rsidP="1119FE51">
      <w:pPr>
        <w:pStyle w:val="Heading1"/>
        <w:spacing w:before="0" w:after="0"/>
        <w:ind w:right="720"/>
        <w:jc w:val="center"/>
        <w:rPr>
          <w:rFonts w:ascii="Cambria" w:eastAsia="Cambria" w:hAnsi="Cambria" w:cs="Cambria"/>
          <w:b/>
          <w:bCs/>
          <w:sz w:val="20"/>
          <w:szCs w:val="20"/>
        </w:rPr>
      </w:pPr>
    </w:p>
    <w:p w14:paraId="5A8F946B" w14:textId="56C5AE1C" w:rsidR="007A6113" w:rsidRDefault="007A6113" w:rsidP="1119FE51">
      <w:pPr>
        <w:pStyle w:val="Heading1"/>
        <w:spacing w:before="0" w:after="0"/>
        <w:ind w:right="720"/>
        <w:jc w:val="center"/>
        <w:rPr>
          <w:rFonts w:ascii="Cambria" w:eastAsia="Cambria" w:hAnsi="Cambria" w:cs="Cambria"/>
          <w:b/>
          <w:bCs/>
          <w:sz w:val="20"/>
          <w:szCs w:val="20"/>
        </w:rPr>
      </w:pPr>
    </w:p>
    <w:p w14:paraId="4F41F453" w14:textId="2E0EAEBF" w:rsidR="007A6113" w:rsidRDefault="007A6113" w:rsidP="1119FE51">
      <w:pPr>
        <w:pStyle w:val="Heading1"/>
        <w:spacing w:before="0" w:after="0"/>
        <w:ind w:right="720"/>
        <w:jc w:val="center"/>
        <w:rPr>
          <w:rFonts w:ascii="Cambria" w:eastAsia="Cambria" w:hAnsi="Cambria" w:cs="Cambria"/>
          <w:b/>
          <w:bCs/>
          <w:color w:val="auto"/>
          <w:sz w:val="20"/>
          <w:szCs w:val="20"/>
        </w:rPr>
      </w:pPr>
    </w:p>
    <w:p w14:paraId="1FE476D4" w14:textId="6D7FC363" w:rsidR="007A6113" w:rsidRDefault="7AFA5B4E" w:rsidP="006E7F64">
      <w:pPr>
        <w:pStyle w:val="Heading1"/>
        <w:spacing w:before="0" w:after="0"/>
        <w:ind w:right="720" w:firstLine="720"/>
        <w:jc w:val="center"/>
        <w:rPr>
          <w:rFonts w:asciiTheme="minorHAnsi" w:eastAsiaTheme="minorEastAsia" w:hAnsiTheme="minorHAnsi" w:cstheme="minorBidi"/>
          <w:b/>
          <w:bCs/>
          <w:color w:val="auto"/>
          <w:sz w:val="24"/>
          <w:szCs w:val="24"/>
          <w:u w:val="single"/>
        </w:rPr>
      </w:pPr>
      <w:r w:rsidRPr="1119FE51">
        <w:rPr>
          <w:rFonts w:asciiTheme="minorHAnsi" w:eastAsiaTheme="minorEastAsia" w:hAnsiTheme="minorHAnsi" w:cstheme="minorBidi"/>
          <w:b/>
          <w:bCs/>
          <w:color w:val="auto"/>
          <w:sz w:val="24"/>
          <w:szCs w:val="24"/>
          <w:u w:val="single"/>
        </w:rPr>
        <w:t>How does classroom layout effect learning?</w:t>
      </w:r>
    </w:p>
    <w:p w14:paraId="4EF7960C" w14:textId="751BEB0D" w:rsidR="007A6113" w:rsidRDefault="7AFA5B4E" w:rsidP="006E7F64">
      <w:pPr>
        <w:jc w:val="center"/>
        <w:rPr>
          <w:u w:val="single"/>
        </w:rPr>
      </w:pPr>
      <w:r w:rsidRPr="1119FE51">
        <w:rPr>
          <w:u w:val="single"/>
        </w:rPr>
        <w:t>Word count: 4,</w:t>
      </w:r>
      <w:r w:rsidR="5765CA57" w:rsidRPr="1119FE51">
        <w:rPr>
          <w:u w:val="single"/>
        </w:rPr>
        <w:t>779</w:t>
      </w:r>
    </w:p>
    <w:p w14:paraId="06E8CFAF" w14:textId="23023ECD" w:rsidR="007A6113" w:rsidRDefault="00181AAF" w:rsidP="1119FE51">
      <w:pPr>
        <w:jc w:val="both"/>
        <w:rPr>
          <w:b/>
          <w:bCs/>
          <w:color w:val="000000" w:themeColor="text1"/>
          <w:u w:val="single"/>
        </w:rPr>
      </w:pPr>
      <w:r>
        <w:rPr>
          <w:b/>
          <w:bCs/>
          <w:color w:val="000000" w:themeColor="text1"/>
          <w:u w:val="single"/>
        </w:rPr>
        <w:t>Student Number</w:t>
      </w:r>
      <w:r w:rsidRPr="00181AAF">
        <w:rPr>
          <w:bCs/>
          <w:color w:val="000000" w:themeColor="text1"/>
        </w:rPr>
        <w:t>: 2306243</w:t>
      </w:r>
    </w:p>
    <w:p w14:paraId="451A2367" w14:textId="55FE9A07" w:rsidR="007A6113" w:rsidRDefault="007A6113" w:rsidP="1119FE51">
      <w:pPr>
        <w:jc w:val="both"/>
        <w:rPr>
          <w:rFonts w:ascii="Aptos Display" w:eastAsia="Aptos Display" w:hAnsi="Aptos Display" w:cs="Aptos Display"/>
          <w:color w:val="000000" w:themeColor="text1"/>
        </w:rPr>
      </w:pPr>
    </w:p>
    <w:p w14:paraId="25BA8B7C" w14:textId="4E5BC9BD" w:rsidR="007A6113" w:rsidRDefault="007A6113" w:rsidP="1119FE51">
      <w:pPr>
        <w:jc w:val="both"/>
        <w:rPr>
          <w:rFonts w:ascii="Aptos Display" w:eastAsia="Aptos Display" w:hAnsi="Aptos Display" w:cs="Aptos Display"/>
          <w:color w:val="000000" w:themeColor="text1"/>
        </w:rPr>
      </w:pPr>
    </w:p>
    <w:p w14:paraId="02C829ED" w14:textId="4EAC3F0D" w:rsidR="007A6113" w:rsidRDefault="007A6113" w:rsidP="1119FE51">
      <w:pPr>
        <w:jc w:val="both"/>
        <w:rPr>
          <w:rFonts w:ascii="Aptos Display" w:eastAsia="Aptos Display" w:hAnsi="Aptos Display" w:cs="Aptos Display"/>
          <w:color w:val="000000" w:themeColor="text1"/>
        </w:rPr>
      </w:pPr>
    </w:p>
    <w:p w14:paraId="2CABC71E" w14:textId="1DA2806D" w:rsidR="007A6113" w:rsidRDefault="007A6113" w:rsidP="1119FE51">
      <w:pPr>
        <w:jc w:val="both"/>
        <w:rPr>
          <w:rFonts w:ascii="Aptos Display" w:eastAsia="Aptos Display" w:hAnsi="Aptos Display" w:cs="Aptos Display"/>
          <w:color w:val="000000" w:themeColor="text1"/>
        </w:rPr>
      </w:pPr>
      <w:bookmarkStart w:id="0" w:name="_GoBack"/>
      <w:bookmarkEnd w:id="0"/>
    </w:p>
    <w:p w14:paraId="312FA658" w14:textId="1996441E" w:rsidR="007A6113" w:rsidRDefault="007A6113" w:rsidP="1119FE51">
      <w:pPr>
        <w:jc w:val="both"/>
        <w:rPr>
          <w:rFonts w:ascii="Aptos Display" w:eastAsia="Aptos Display" w:hAnsi="Aptos Display" w:cs="Aptos Display"/>
          <w:color w:val="000000" w:themeColor="text1"/>
        </w:rPr>
      </w:pPr>
    </w:p>
    <w:p w14:paraId="54CBE12A" w14:textId="4A85F4E9" w:rsidR="007A6113" w:rsidRDefault="007A6113" w:rsidP="1119FE51">
      <w:pPr>
        <w:jc w:val="both"/>
        <w:rPr>
          <w:rFonts w:ascii="Aptos Display" w:eastAsia="Aptos Display" w:hAnsi="Aptos Display" w:cs="Aptos Display"/>
          <w:color w:val="000000" w:themeColor="text1"/>
        </w:rPr>
      </w:pPr>
    </w:p>
    <w:p w14:paraId="38833BCF" w14:textId="6064297E" w:rsidR="007A6113" w:rsidRDefault="007A6113" w:rsidP="1119FE51">
      <w:pPr>
        <w:jc w:val="both"/>
        <w:rPr>
          <w:rFonts w:ascii="Aptos Display" w:eastAsia="Aptos Display" w:hAnsi="Aptos Display" w:cs="Aptos Display"/>
          <w:color w:val="000000" w:themeColor="text1"/>
        </w:rPr>
      </w:pPr>
    </w:p>
    <w:p w14:paraId="53FA02EC" w14:textId="1ADA9E9B" w:rsidR="007A6113" w:rsidRDefault="007A6113" w:rsidP="1119FE51">
      <w:pPr>
        <w:jc w:val="both"/>
        <w:rPr>
          <w:rFonts w:ascii="Aptos Display" w:eastAsia="Aptos Display" w:hAnsi="Aptos Display" w:cs="Aptos Display"/>
          <w:color w:val="000000" w:themeColor="text1"/>
        </w:rPr>
      </w:pPr>
    </w:p>
    <w:p w14:paraId="57626631" w14:textId="0981CBE5" w:rsidR="007A6113" w:rsidRDefault="007A6113" w:rsidP="1119FE51">
      <w:pPr>
        <w:jc w:val="both"/>
        <w:rPr>
          <w:rFonts w:ascii="Aptos Display" w:eastAsia="Aptos Display" w:hAnsi="Aptos Display" w:cs="Aptos Display"/>
          <w:color w:val="000000" w:themeColor="text1"/>
        </w:rPr>
      </w:pPr>
    </w:p>
    <w:p w14:paraId="724B42C2" w14:textId="696E2EBA" w:rsidR="007A6113" w:rsidRDefault="007A6113" w:rsidP="1119FE51">
      <w:pPr>
        <w:jc w:val="both"/>
        <w:rPr>
          <w:rFonts w:ascii="Aptos Display" w:eastAsia="Aptos Display" w:hAnsi="Aptos Display" w:cs="Aptos Display"/>
          <w:color w:val="000000" w:themeColor="text1"/>
        </w:rPr>
      </w:pPr>
    </w:p>
    <w:p w14:paraId="1D66FA89" w14:textId="0C684988" w:rsidR="007A6113" w:rsidRDefault="007A6113" w:rsidP="1119FE51">
      <w:pPr>
        <w:jc w:val="both"/>
        <w:rPr>
          <w:rFonts w:ascii="Aptos Display" w:eastAsia="Aptos Display" w:hAnsi="Aptos Display" w:cs="Aptos Display"/>
          <w:color w:val="000000" w:themeColor="text1"/>
        </w:rPr>
      </w:pPr>
    </w:p>
    <w:p w14:paraId="2DCE8FA0" w14:textId="5AFB7958" w:rsidR="007A6113" w:rsidRDefault="007A6113" w:rsidP="1119FE51">
      <w:pPr>
        <w:jc w:val="both"/>
        <w:rPr>
          <w:rFonts w:ascii="Aptos Display" w:eastAsia="Aptos Display" w:hAnsi="Aptos Display" w:cs="Aptos Display"/>
          <w:color w:val="000000" w:themeColor="text1"/>
        </w:rPr>
      </w:pPr>
    </w:p>
    <w:p w14:paraId="272A0559" w14:textId="1B467DB5" w:rsidR="007A6113" w:rsidRDefault="007A6113" w:rsidP="1119FE51">
      <w:pPr>
        <w:jc w:val="both"/>
        <w:rPr>
          <w:rFonts w:ascii="Aptos Display" w:eastAsia="Aptos Display" w:hAnsi="Aptos Display" w:cs="Aptos Display"/>
          <w:color w:val="000000" w:themeColor="text1"/>
        </w:rPr>
      </w:pPr>
    </w:p>
    <w:p w14:paraId="7BBD53A8" w14:textId="59A14CDF" w:rsidR="007A6113" w:rsidRPr="00801718" w:rsidRDefault="7A96CA20" w:rsidP="00801718">
      <w:pPr>
        <w:spacing w:line="360" w:lineRule="auto"/>
        <w:jc w:val="both"/>
        <w:rPr>
          <w:rFonts w:ascii="Arial" w:eastAsia="Arial" w:hAnsi="Arial" w:cs="Arial"/>
          <w:sz w:val="22"/>
          <w:szCs w:val="22"/>
        </w:rPr>
      </w:pPr>
      <w:r w:rsidRPr="00801718">
        <w:rPr>
          <w:rFonts w:ascii="Arial" w:eastAsia="Arial" w:hAnsi="Arial" w:cs="Arial"/>
          <w:sz w:val="22"/>
          <w:szCs w:val="22"/>
        </w:rPr>
        <w:lastRenderedPageBreak/>
        <w:t>This research project aims to understand children's perceptions of mixed ability grouping in the classroom. This will be done through gaining insight into how they feel about support levels from peers during learning, as the social learning theories proposes that children learn from those around them (</w:t>
      </w:r>
      <w:proofErr w:type="spellStart"/>
      <w:r w:rsidRPr="00801718">
        <w:rPr>
          <w:rFonts w:ascii="Arial" w:eastAsia="Arial" w:hAnsi="Arial" w:cs="Arial"/>
          <w:sz w:val="22"/>
          <w:szCs w:val="22"/>
        </w:rPr>
        <w:t>Mcleod</w:t>
      </w:r>
      <w:proofErr w:type="spellEnd"/>
      <w:r w:rsidRPr="00801718">
        <w:rPr>
          <w:rFonts w:ascii="Arial" w:eastAsia="Arial" w:hAnsi="Arial" w:cs="Arial"/>
          <w:sz w:val="22"/>
          <w:szCs w:val="22"/>
        </w:rPr>
        <w:t xml:space="preserve">, 2024; </w:t>
      </w:r>
      <w:proofErr w:type="spellStart"/>
      <w:r w:rsidRPr="00801718">
        <w:rPr>
          <w:rFonts w:ascii="Arial" w:eastAsia="Arial" w:hAnsi="Arial" w:cs="Arial"/>
          <w:sz w:val="22"/>
          <w:szCs w:val="22"/>
        </w:rPr>
        <w:t>Gelman</w:t>
      </w:r>
      <w:proofErr w:type="spellEnd"/>
      <w:r w:rsidRPr="00801718">
        <w:rPr>
          <w:rFonts w:ascii="Arial" w:eastAsia="Arial" w:hAnsi="Arial" w:cs="Arial"/>
          <w:sz w:val="22"/>
          <w:szCs w:val="22"/>
        </w:rPr>
        <w:t xml:space="preserve">, 2010). This topic is of significant interest due to varying practices in educational settings, where some institutions </w:t>
      </w:r>
      <w:proofErr w:type="spellStart"/>
      <w:r w:rsidRPr="00801718">
        <w:rPr>
          <w:rFonts w:ascii="Arial" w:eastAsia="Arial" w:hAnsi="Arial" w:cs="Arial"/>
          <w:sz w:val="22"/>
          <w:szCs w:val="22"/>
        </w:rPr>
        <w:t>organise</w:t>
      </w:r>
      <w:proofErr w:type="spellEnd"/>
      <w:r w:rsidRPr="00801718">
        <w:rPr>
          <w:rFonts w:ascii="Arial" w:eastAsia="Arial" w:hAnsi="Arial" w:cs="Arial"/>
          <w:sz w:val="22"/>
          <w:szCs w:val="22"/>
        </w:rPr>
        <w:t xml:space="preserve"> children based on ability while others do so randomly, as </w:t>
      </w:r>
      <w:r w:rsidR="4DD257E7" w:rsidRPr="00801718">
        <w:rPr>
          <w:rFonts w:ascii="Arial" w:eastAsia="Arial" w:hAnsi="Arial" w:cs="Arial"/>
          <w:sz w:val="22"/>
          <w:szCs w:val="22"/>
        </w:rPr>
        <w:t>a</w:t>
      </w:r>
      <w:r w:rsidRPr="00801718">
        <w:rPr>
          <w:rFonts w:ascii="Arial" w:eastAsia="Arial" w:hAnsi="Arial" w:cs="Arial"/>
          <w:sz w:val="22"/>
          <w:szCs w:val="22"/>
        </w:rPr>
        <w:t>bility grouping (within class and setting) is most common (</w:t>
      </w:r>
      <w:proofErr w:type="spellStart"/>
      <w:r w:rsidRPr="00801718">
        <w:rPr>
          <w:rFonts w:ascii="Arial" w:eastAsia="Arial" w:hAnsi="Arial" w:cs="Arial"/>
          <w:sz w:val="22"/>
          <w:szCs w:val="22"/>
        </w:rPr>
        <w:t>Hallam</w:t>
      </w:r>
      <w:proofErr w:type="spellEnd"/>
      <w:r w:rsidRPr="00801718">
        <w:rPr>
          <w:rFonts w:ascii="Arial" w:eastAsia="Arial" w:hAnsi="Arial" w:cs="Arial"/>
          <w:sz w:val="22"/>
          <w:szCs w:val="22"/>
        </w:rPr>
        <w:t xml:space="preserve"> et al., 2010) . Ability grouping has been found to create a fixed mindset for children, where children who are in the “low” group, will begin feeling that they precisely that, which can have detrimental effects to well-being and achievement (Dewitt, 2016). Therefore, as this setting in which research will take place groups children mixed, it is of interest to this case study to delve into. Also, there appears to be limited research exploring children's perspectives on this matter, therefore, the reason for interviewing children firsthand is to gain a deeper understanding of mixed ability grouping effects. The school where the research will take place is in an urban area. The classroom in which the research will take place consists of a range of abilities, from low, middle, to high. One child in the classroom has medical needs and receives one-to-one support, another child has attention deficit hyperactivity disorder (ADHD) and another child has Autism and ADHD. Overall, there are thirty children within the classroom, whom are between the ages of six and seven. In relation to the aim of this research, the research question at hand ‘How does classroom layout effect learners’ learning?</w:t>
      </w:r>
      <w:proofErr w:type="gramStart"/>
      <w:r w:rsidRPr="00801718">
        <w:rPr>
          <w:rFonts w:ascii="Arial" w:eastAsia="Arial" w:hAnsi="Arial" w:cs="Arial"/>
          <w:sz w:val="22"/>
          <w:szCs w:val="22"/>
        </w:rPr>
        <w:t>’.</w:t>
      </w:r>
      <w:proofErr w:type="gramEnd"/>
      <w:r w:rsidRPr="00801718">
        <w:rPr>
          <w:rFonts w:ascii="Arial" w:eastAsia="Arial" w:hAnsi="Arial" w:cs="Arial"/>
          <w:sz w:val="22"/>
          <w:szCs w:val="22"/>
        </w:rPr>
        <w:t xml:space="preserve"> With the aim of answering the research question, a focus group of five children will be interviewed, using open and closed-ended questions, to gain deeper insight into children's views on learning in a mixed ability setting. </w:t>
      </w:r>
    </w:p>
    <w:p w14:paraId="193C1739" w14:textId="2633B560" w:rsidR="007A6113" w:rsidRPr="00801718" w:rsidRDefault="7A96CA20" w:rsidP="00801718">
      <w:pPr>
        <w:spacing w:line="360" w:lineRule="auto"/>
        <w:jc w:val="both"/>
        <w:rPr>
          <w:rFonts w:ascii="Arial" w:eastAsia="Arial" w:hAnsi="Arial" w:cs="Arial"/>
          <w:sz w:val="22"/>
          <w:szCs w:val="22"/>
          <w:u w:val="single"/>
        </w:rPr>
      </w:pPr>
      <w:r w:rsidRPr="00801718">
        <w:rPr>
          <w:rFonts w:ascii="Arial" w:eastAsia="Arial" w:hAnsi="Arial" w:cs="Arial"/>
          <w:sz w:val="22"/>
          <w:szCs w:val="22"/>
          <w:u w:val="single"/>
        </w:rPr>
        <w:t>Literature review</w:t>
      </w:r>
    </w:p>
    <w:p w14:paraId="5111A7EB" w14:textId="58160407" w:rsidR="007A6113" w:rsidRPr="00801718" w:rsidRDefault="7A96CA20" w:rsidP="00801718">
      <w:pPr>
        <w:spacing w:line="360" w:lineRule="auto"/>
        <w:jc w:val="both"/>
        <w:rPr>
          <w:rFonts w:ascii="Arial" w:eastAsia="Arial" w:hAnsi="Arial" w:cs="Arial"/>
          <w:sz w:val="22"/>
          <w:szCs w:val="22"/>
        </w:rPr>
      </w:pPr>
      <w:r w:rsidRPr="00801718">
        <w:rPr>
          <w:rFonts w:ascii="Arial" w:eastAsia="Arial" w:hAnsi="Arial" w:cs="Arial"/>
          <w:sz w:val="22"/>
          <w:szCs w:val="22"/>
        </w:rPr>
        <w:t>UNICEF explains that “inclusive education allows students of all backgrounds to learn and grow side by side, to the benefit of all” (UNCRC, 1990), although The United Nations Educational, Scientific and Cultural Organization (UNESCO) propose</w:t>
      </w:r>
      <w:r w:rsidR="15DFBF0B" w:rsidRPr="00801718">
        <w:rPr>
          <w:rFonts w:ascii="Arial" w:eastAsia="Arial" w:hAnsi="Arial" w:cs="Arial"/>
          <w:sz w:val="22"/>
          <w:szCs w:val="22"/>
        </w:rPr>
        <w:t>s</w:t>
      </w:r>
      <w:r w:rsidRPr="00801718">
        <w:rPr>
          <w:rFonts w:ascii="Arial" w:eastAsia="Arial" w:hAnsi="Arial" w:cs="Arial"/>
          <w:sz w:val="22"/>
          <w:szCs w:val="22"/>
        </w:rPr>
        <w:t xml:space="preserve"> that attaining high-quality equitable education for all learners throughout education is a noted challenge, but an important one to tackle, as if children don't receive the opportunity to reach their full potential in education, it can cause detrimental effects to academic outcomes, development, and risk of falling into poverty (Canton, 2021). Researchers propose that learning occurs throughout one's lifetime, and this happens largely through social context such as parents/</w:t>
      </w:r>
      <w:proofErr w:type="spellStart"/>
      <w:r w:rsidRPr="00801718">
        <w:rPr>
          <w:rFonts w:ascii="Arial" w:eastAsia="Arial" w:hAnsi="Arial" w:cs="Arial"/>
          <w:sz w:val="22"/>
          <w:szCs w:val="22"/>
        </w:rPr>
        <w:t>carers</w:t>
      </w:r>
      <w:proofErr w:type="spellEnd"/>
      <w:r w:rsidRPr="00801718">
        <w:rPr>
          <w:rFonts w:ascii="Arial" w:eastAsia="Arial" w:hAnsi="Arial" w:cs="Arial"/>
          <w:sz w:val="22"/>
          <w:szCs w:val="22"/>
        </w:rPr>
        <w:t>, teachers, and peers (</w:t>
      </w:r>
      <w:proofErr w:type="spellStart"/>
      <w:r w:rsidRPr="00801718">
        <w:rPr>
          <w:rFonts w:ascii="Arial" w:eastAsia="Arial" w:hAnsi="Arial" w:cs="Arial"/>
          <w:sz w:val="22"/>
          <w:szCs w:val="22"/>
        </w:rPr>
        <w:t>Felice</w:t>
      </w:r>
      <w:proofErr w:type="spellEnd"/>
      <w:r w:rsidRPr="00801718">
        <w:rPr>
          <w:rFonts w:ascii="Arial" w:eastAsia="Arial" w:hAnsi="Arial" w:cs="Arial"/>
          <w:sz w:val="22"/>
          <w:szCs w:val="22"/>
        </w:rPr>
        <w:t xml:space="preserve"> et al., 2022), therefore all </w:t>
      </w:r>
      <w:r w:rsidR="4E6F6BD1" w:rsidRPr="00801718">
        <w:rPr>
          <w:rFonts w:ascii="Arial" w:eastAsia="Arial" w:hAnsi="Arial" w:cs="Arial"/>
          <w:sz w:val="22"/>
          <w:szCs w:val="22"/>
        </w:rPr>
        <w:t xml:space="preserve">people </w:t>
      </w:r>
      <w:r w:rsidRPr="00801718">
        <w:rPr>
          <w:rFonts w:ascii="Arial" w:eastAsia="Arial" w:hAnsi="Arial" w:cs="Arial"/>
          <w:sz w:val="22"/>
          <w:szCs w:val="22"/>
        </w:rPr>
        <w:t xml:space="preserve">surrounding individuals are important in relation to academic development, which supports </w:t>
      </w:r>
      <w:proofErr w:type="spellStart"/>
      <w:r w:rsidRPr="00801718">
        <w:rPr>
          <w:rFonts w:ascii="Arial" w:eastAsia="Arial" w:hAnsi="Arial" w:cs="Arial"/>
          <w:sz w:val="22"/>
          <w:szCs w:val="22"/>
        </w:rPr>
        <w:t>Bronfenbrenner’s</w:t>
      </w:r>
      <w:proofErr w:type="spellEnd"/>
      <w:r w:rsidRPr="00801718">
        <w:rPr>
          <w:rFonts w:ascii="Arial" w:eastAsia="Arial" w:hAnsi="Arial" w:cs="Arial"/>
          <w:sz w:val="22"/>
          <w:szCs w:val="22"/>
        </w:rPr>
        <w:t xml:space="preserve"> ecological systems theory, that explains those </w:t>
      </w:r>
      <w:r w:rsidRPr="00801718">
        <w:rPr>
          <w:rFonts w:ascii="Arial" w:eastAsia="Arial" w:hAnsi="Arial" w:cs="Arial"/>
          <w:sz w:val="22"/>
          <w:szCs w:val="22"/>
        </w:rPr>
        <w:lastRenderedPageBreak/>
        <w:t>in a child's immediate environment (microsystem) influence a child’s development (Crawford, 2020). Such research and theory also hold significance in relation to the constructivist learning theory that proposes that learners are active participants in their learning progress</w:t>
      </w:r>
      <w:r w:rsidR="63135CCA" w:rsidRPr="00801718">
        <w:rPr>
          <w:rFonts w:ascii="Arial" w:eastAsia="Arial" w:hAnsi="Arial" w:cs="Arial"/>
          <w:sz w:val="22"/>
          <w:szCs w:val="22"/>
        </w:rPr>
        <w:t>ion</w:t>
      </w:r>
      <w:r w:rsidRPr="00801718">
        <w:rPr>
          <w:rFonts w:ascii="Arial" w:eastAsia="Arial" w:hAnsi="Arial" w:cs="Arial"/>
          <w:sz w:val="22"/>
          <w:szCs w:val="22"/>
        </w:rPr>
        <w:t xml:space="preserve">, and that the knowledge they acquire is based upon experiences (Kurt, 2021). Whereas others explain that when children learn with and alongside their peers in the class, </w:t>
      </w:r>
      <w:r w:rsidR="0CF0542C" w:rsidRPr="00801718">
        <w:rPr>
          <w:rFonts w:ascii="Arial" w:eastAsia="Arial" w:hAnsi="Arial" w:cs="Arial"/>
          <w:sz w:val="22"/>
          <w:szCs w:val="22"/>
        </w:rPr>
        <w:t xml:space="preserve">whilst </w:t>
      </w:r>
      <w:r w:rsidRPr="00801718">
        <w:rPr>
          <w:rFonts w:ascii="Arial" w:eastAsia="Arial" w:hAnsi="Arial" w:cs="Arial"/>
          <w:sz w:val="22"/>
          <w:szCs w:val="22"/>
        </w:rPr>
        <w:t>encoura</w:t>
      </w:r>
      <w:r w:rsidR="69C77537" w:rsidRPr="00801718">
        <w:rPr>
          <w:rFonts w:ascii="Arial" w:eastAsia="Arial" w:hAnsi="Arial" w:cs="Arial"/>
          <w:sz w:val="22"/>
          <w:szCs w:val="22"/>
        </w:rPr>
        <w:t>ging</w:t>
      </w:r>
      <w:r w:rsidRPr="00801718">
        <w:rPr>
          <w:rFonts w:ascii="Arial" w:eastAsia="Arial" w:hAnsi="Arial" w:cs="Arial"/>
          <w:sz w:val="22"/>
          <w:szCs w:val="22"/>
        </w:rPr>
        <w:t xml:space="preserve"> and support</w:t>
      </w:r>
      <w:r w:rsidR="7793C487" w:rsidRPr="00801718">
        <w:rPr>
          <w:rFonts w:ascii="Arial" w:eastAsia="Arial" w:hAnsi="Arial" w:cs="Arial"/>
          <w:sz w:val="22"/>
          <w:szCs w:val="22"/>
        </w:rPr>
        <w:t xml:space="preserve">ing </w:t>
      </w:r>
      <w:r w:rsidRPr="00801718">
        <w:rPr>
          <w:rFonts w:ascii="Arial" w:eastAsia="Arial" w:hAnsi="Arial" w:cs="Arial"/>
          <w:sz w:val="22"/>
          <w:szCs w:val="22"/>
        </w:rPr>
        <w:t xml:space="preserve">development in areas such as cooperation skills, and development of morally considered social </w:t>
      </w:r>
      <w:proofErr w:type="spellStart"/>
      <w:r w:rsidRPr="00801718">
        <w:rPr>
          <w:rFonts w:ascii="Arial" w:eastAsia="Arial" w:hAnsi="Arial" w:cs="Arial"/>
          <w:sz w:val="22"/>
          <w:szCs w:val="22"/>
        </w:rPr>
        <w:t>behaviours</w:t>
      </w:r>
      <w:proofErr w:type="spellEnd"/>
      <w:r w:rsidRPr="00801718">
        <w:rPr>
          <w:rFonts w:ascii="Arial" w:eastAsia="Arial" w:hAnsi="Arial" w:cs="Arial"/>
          <w:sz w:val="22"/>
          <w:szCs w:val="22"/>
        </w:rPr>
        <w:t xml:space="preserve"> (</w:t>
      </w:r>
      <w:proofErr w:type="spellStart"/>
      <w:r w:rsidRPr="00801718">
        <w:rPr>
          <w:rFonts w:ascii="Arial" w:eastAsia="Arial" w:hAnsi="Arial" w:cs="Arial"/>
          <w:sz w:val="22"/>
          <w:szCs w:val="22"/>
        </w:rPr>
        <w:t>Gillies</w:t>
      </w:r>
      <w:proofErr w:type="spellEnd"/>
      <w:r w:rsidRPr="00801718">
        <w:rPr>
          <w:rFonts w:ascii="Arial" w:eastAsia="Arial" w:hAnsi="Arial" w:cs="Arial"/>
          <w:sz w:val="22"/>
          <w:szCs w:val="22"/>
        </w:rPr>
        <w:t>, 2004). Placing both the environment and peers together, creates a community, therefore</w:t>
      </w:r>
      <w:r w:rsidR="00D0721E" w:rsidRPr="00801718">
        <w:rPr>
          <w:rFonts w:ascii="Arial" w:eastAsia="Arial" w:hAnsi="Arial" w:cs="Arial"/>
          <w:sz w:val="22"/>
          <w:szCs w:val="22"/>
        </w:rPr>
        <w:t>, relating</w:t>
      </w:r>
      <w:r w:rsidRPr="00801718">
        <w:rPr>
          <w:rFonts w:ascii="Arial" w:eastAsia="Arial" w:hAnsi="Arial" w:cs="Arial"/>
          <w:sz w:val="22"/>
          <w:szCs w:val="22"/>
        </w:rPr>
        <w:t xml:space="preserve"> to </w:t>
      </w:r>
      <w:proofErr w:type="spellStart"/>
      <w:r w:rsidRPr="00801718">
        <w:rPr>
          <w:rFonts w:ascii="Arial" w:eastAsia="Arial" w:hAnsi="Arial" w:cs="Arial"/>
          <w:sz w:val="22"/>
          <w:szCs w:val="22"/>
        </w:rPr>
        <w:t>Vygotsky’s</w:t>
      </w:r>
      <w:proofErr w:type="spellEnd"/>
      <w:r w:rsidRPr="00801718">
        <w:rPr>
          <w:rFonts w:ascii="Arial" w:eastAsia="Arial" w:hAnsi="Arial" w:cs="Arial"/>
          <w:sz w:val="22"/>
          <w:szCs w:val="22"/>
        </w:rPr>
        <w:t xml:space="preserve"> Theory of Cognitive Development which explains that a more knowledgeable other (MKO) whether it be a teacher, parent, coach, or a peer, are central to children acquiring new skills, and furthering their academic progress, in their zone of proximal development (ZPD) (the gap between what a child can do independently and what they can achieve with guidance) (McLeod, 2024).</w:t>
      </w:r>
    </w:p>
    <w:p w14:paraId="4520A945" w14:textId="5E4AF4CF" w:rsidR="007A6113" w:rsidRPr="00801718" w:rsidRDefault="7A96CA20" w:rsidP="00801718">
      <w:pPr>
        <w:spacing w:line="360" w:lineRule="auto"/>
        <w:jc w:val="both"/>
        <w:rPr>
          <w:rFonts w:ascii="Arial" w:eastAsia="Arial" w:hAnsi="Arial" w:cs="Arial"/>
          <w:sz w:val="22"/>
          <w:szCs w:val="22"/>
        </w:rPr>
      </w:pPr>
      <w:r w:rsidRPr="00801718">
        <w:rPr>
          <w:rFonts w:ascii="Arial" w:eastAsia="Arial" w:hAnsi="Arial" w:cs="Arial"/>
          <w:sz w:val="22"/>
          <w:szCs w:val="22"/>
        </w:rPr>
        <w:t>Though research suggests that children learn from interaction with one another, there is a divide in findings on whether children learn best from those on similar academic levels as them, or from those of different levels. These differences have caused a divide across opinions on if children should be grouped at mixed ability (heterogeneous) or grouped with those at similar ability (homogeneous) (</w:t>
      </w:r>
      <w:proofErr w:type="spellStart"/>
      <w:r w:rsidRPr="00801718">
        <w:rPr>
          <w:rFonts w:ascii="Arial" w:eastAsia="Arial" w:hAnsi="Arial" w:cs="Arial"/>
          <w:sz w:val="22"/>
          <w:szCs w:val="22"/>
        </w:rPr>
        <w:t>Mugabi</w:t>
      </w:r>
      <w:proofErr w:type="spellEnd"/>
      <w:r w:rsidRPr="00801718">
        <w:rPr>
          <w:rFonts w:ascii="Arial" w:eastAsia="Arial" w:hAnsi="Arial" w:cs="Arial"/>
          <w:sz w:val="22"/>
          <w:szCs w:val="22"/>
        </w:rPr>
        <w:t>, 2019). A study conducted by Byers</w:t>
      </w:r>
      <w:r w:rsidRPr="00801718">
        <w:rPr>
          <w:rFonts w:ascii="Arial" w:eastAsia="Arial" w:hAnsi="Arial" w:cs="Arial"/>
          <w:i/>
          <w:iCs/>
          <w:sz w:val="22"/>
          <w:szCs w:val="22"/>
        </w:rPr>
        <w:t xml:space="preserve"> et al</w:t>
      </w:r>
      <w:r w:rsidRPr="00801718">
        <w:rPr>
          <w:rFonts w:ascii="Arial" w:eastAsia="Arial" w:hAnsi="Arial" w:cs="Arial"/>
          <w:sz w:val="22"/>
          <w:szCs w:val="22"/>
        </w:rPr>
        <w:t xml:space="preserve">. (2004) discovered that children perceived homogenous classes to be beneficial towards their academic progress, but detrimental to their social needs and development. Overall, in this study the children appeared to value having similar peers in homogenous classes for support in academic progression, and the social diversity of being in heterogeneous classes.  Although, a government press release based on </w:t>
      </w:r>
      <w:proofErr w:type="spellStart"/>
      <w:r w:rsidRPr="00801718">
        <w:rPr>
          <w:rFonts w:ascii="Arial" w:eastAsia="Arial" w:hAnsi="Arial" w:cs="Arial"/>
          <w:sz w:val="22"/>
          <w:szCs w:val="22"/>
        </w:rPr>
        <w:t>Ofsted</w:t>
      </w:r>
      <w:proofErr w:type="spellEnd"/>
      <w:r w:rsidRPr="00801718">
        <w:rPr>
          <w:rFonts w:ascii="Arial" w:eastAsia="Arial" w:hAnsi="Arial" w:cs="Arial"/>
          <w:sz w:val="22"/>
          <w:szCs w:val="22"/>
        </w:rPr>
        <w:t xml:space="preserve"> results (</w:t>
      </w:r>
      <w:proofErr w:type="spellStart"/>
      <w:r w:rsidRPr="00801718">
        <w:rPr>
          <w:rFonts w:ascii="Arial" w:eastAsia="Arial" w:hAnsi="Arial" w:cs="Arial"/>
          <w:sz w:val="22"/>
          <w:szCs w:val="22"/>
        </w:rPr>
        <w:t>Ofsted</w:t>
      </w:r>
      <w:proofErr w:type="spellEnd"/>
      <w:r w:rsidRPr="00801718">
        <w:rPr>
          <w:rFonts w:ascii="Arial" w:eastAsia="Arial" w:hAnsi="Arial" w:cs="Arial"/>
          <w:sz w:val="22"/>
          <w:szCs w:val="22"/>
        </w:rPr>
        <w:t xml:space="preserve">, 2013) discovered from lesson observations to secondary schools, that many students were not reaching their full potential. They </w:t>
      </w:r>
      <w:r w:rsidR="7D1BC4F3" w:rsidRPr="00801718">
        <w:rPr>
          <w:rFonts w:ascii="Arial" w:eastAsia="Arial" w:hAnsi="Arial" w:cs="Arial"/>
          <w:sz w:val="22"/>
          <w:szCs w:val="22"/>
        </w:rPr>
        <w:t>explaine</w:t>
      </w:r>
      <w:r w:rsidRPr="00801718">
        <w:rPr>
          <w:rFonts w:ascii="Arial" w:eastAsia="Arial" w:hAnsi="Arial" w:cs="Arial"/>
          <w:sz w:val="22"/>
          <w:szCs w:val="22"/>
        </w:rPr>
        <w:t xml:space="preserve">d that students were performing lower than they were capable of, as the work was challenged at a middle level, and not extended to the most able, therefore there was no challenge for the more able and talented (MAT) children, more challenge based around those of lower ability (LA). Though these </w:t>
      </w:r>
      <w:r w:rsidR="5CA7552A" w:rsidRPr="00801718">
        <w:rPr>
          <w:rFonts w:ascii="Arial" w:eastAsia="Arial" w:hAnsi="Arial" w:cs="Arial"/>
          <w:sz w:val="22"/>
          <w:szCs w:val="22"/>
        </w:rPr>
        <w:t xml:space="preserve">findings </w:t>
      </w:r>
      <w:r w:rsidRPr="00801718">
        <w:rPr>
          <w:rFonts w:ascii="Arial" w:eastAsia="Arial" w:hAnsi="Arial" w:cs="Arial"/>
          <w:sz w:val="22"/>
          <w:szCs w:val="22"/>
        </w:rPr>
        <w:t xml:space="preserve">are based on secondary school results, it still holds relevance in primary education, as when children aren’t </w:t>
      </w:r>
      <w:r w:rsidR="1B32E41D" w:rsidRPr="00801718">
        <w:rPr>
          <w:rFonts w:ascii="Arial" w:eastAsia="Arial" w:hAnsi="Arial" w:cs="Arial"/>
          <w:sz w:val="22"/>
          <w:szCs w:val="22"/>
        </w:rPr>
        <w:t xml:space="preserve">encouraged </w:t>
      </w:r>
      <w:r w:rsidRPr="00801718">
        <w:rPr>
          <w:rFonts w:ascii="Arial" w:eastAsia="Arial" w:hAnsi="Arial" w:cs="Arial"/>
          <w:sz w:val="22"/>
          <w:szCs w:val="22"/>
        </w:rPr>
        <w:t xml:space="preserve">across </w:t>
      </w:r>
      <w:r w:rsidR="1EC2BDCD" w:rsidRPr="00801718">
        <w:rPr>
          <w:rFonts w:ascii="Arial" w:eastAsia="Arial" w:hAnsi="Arial" w:cs="Arial"/>
          <w:sz w:val="22"/>
          <w:szCs w:val="22"/>
        </w:rPr>
        <w:t>all</w:t>
      </w:r>
      <w:r w:rsidR="15F815FF" w:rsidRPr="00801718">
        <w:rPr>
          <w:rFonts w:ascii="Arial" w:eastAsia="Arial" w:hAnsi="Arial" w:cs="Arial"/>
          <w:sz w:val="22"/>
          <w:szCs w:val="22"/>
        </w:rPr>
        <w:t xml:space="preserve"> </w:t>
      </w:r>
      <w:r w:rsidRPr="00801718">
        <w:rPr>
          <w:rFonts w:ascii="Arial" w:eastAsia="Arial" w:hAnsi="Arial" w:cs="Arial"/>
          <w:sz w:val="22"/>
          <w:szCs w:val="22"/>
        </w:rPr>
        <w:t>their education</w:t>
      </w:r>
      <w:r w:rsidR="5AAE8132" w:rsidRPr="00801718">
        <w:rPr>
          <w:rFonts w:ascii="Arial" w:eastAsia="Arial" w:hAnsi="Arial" w:cs="Arial"/>
          <w:sz w:val="22"/>
          <w:szCs w:val="22"/>
        </w:rPr>
        <w:t xml:space="preserve"> </w:t>
      </w:r>
      <w:r w:rsidR="2FF3DE23" w:rsidRPr="00801718">
        <w:rPr>
          <w:rFonts w:ascii="Arial" w:eastAsia="Arial" w:hAnsi="Arial" w:cs="Arial"/>
          <w:sz w:val="22"/>
          <w:szCs w:val="22"/>
        </w:rPr>
        <w:t>journey</w:t>
      </w:r>
      <w:r w:rsidRPr="00801718">
        <w:rPr>
          <w:rFonts w:ascii="Arial" w:eastAsia="Arial" w:hAnsi="Arial" w:cs="Arial"/>
          <w:sz w:val="22"/>
          <w:szCs w:val="22"/>
        </w:rPr>
        <w:t xml:space="preserve">, this can cause precipitate adverse consequences such as diminished self-esteem, motivation, and academic achievement. In relation to ability grouping, Marsh </w:t>
      </w:r>
      <w:r w:rsidRPr="00801718">
        <w:rPr>
          <w:rFonts w:ascii="Arial" w:eastAsia="Arial" w:hAnsi="Arial" w:cs="Arial"/>
          <w:i/>
          <w:iCs/>
          <w:sz w:val="22"/>
          <w:szCs w:val="22"/>
        </w:rPr>
        <w:t>et al</w:t>
      </w:r>
      <w:r w:rsidRPr="00801718">
        <w:rPr>
          <w:rFonts w:ascii="Arial" w:eastAsia="Arial" w:hAnsi="Arial" w:cs="Arial"/>
          <w:sz w:val="22"/>
          <w:szCs w:val="22"/>
        </w:rPr>
        <w:t xml:space="preserve">. (2018) discovered over a six year period, that children who were labeled as the ‘low ability group’ in education, have been found to hold lower self-concept, and those in ‘high ability group’ who hold higher self-concept, as children </w:t>
      </w:r>
      <w:proofErr w:type="spellStart"/>
      <w:r w:rsidRPr="00801718">
        <w:rPr>
          <w:rFonts w:ascii="Arial" w:eastAsia="Arial" w:hAnsi="Arial" w:cs="Arial"/>
          <w:sz w:val="22"/>
          <w:szCs w:val="22"/>
        </w:rPr>
        <w:t>labelled</w:t>
      </w:r>
      <w:proofErr w:type="spellEnd"/>
      <w:r w:rsidRPr="00801718">
        <w:rPr>
          <w:rFonts w:ascii="Arial" w:eastAsia="Arial" w:hAnsi="Arial" w:cs="Arial"/>
          <w:sz w:val="22"/>
          <w:szCs w:val="22"/>
        </w:rPr>
        <w:t xml:space="preserve"> as the lower groups, tended to </w:t>
      </w:r>
      <w:proofErr w:type="spellStart"/>
      <w:r w:rsidRPr="00801718">
        <w:rPr>
          <w:rFonts w:ascii="Arial" w:eastAsia="Arial" w:hAnsi="Arial" w:cs="Arial"/>
          <w:sz w:val="22"/>
          <w:szCs w:val="22"/>
        </w:rPr>
        <w:t>internalised</w:t>
      </w:r>
      <w:proofErr w:type="spellEnd"/>
      <w:r w:rsidRPr="00801718">
        <w:rPr>
          <w:rFonts w:ascii="Arial" w:eastAsia="Arial" w:hAnsi="Arial" w:cs="Arial"/>
          <w:sz w:val="22"/>
          <w:szCs w:val="22"/>
        </w:rPr>
        <w:t xml:space="preserve"> the belief that they are not as capable as their higher achieving peers. Although Marsh et al. (2018) research was conducted mainly from the first five </w:t>
      </w:r>
      <w:r w:rsidRPr="00801718">
        <w:rPr>
          <w:rFonts w:ascii="Arial" w:eastAsia="Arial" w:hAnsi="Arial" w:cs="Arial"/>
          <w:sz w:val="22"/>
          <w:szCs w:val="22"/>
        </w:rPr>
        <w:lastRenderedPageBreak/>
        <w:t xml:space="preserve">years of comprehensive school, this research is still important to consider as the effects of ability grouping may be prevalent across age ranges, such as in primary school children, which may cause a detrimental start academic and well-being development. For example, in some settings, teachers </w:t>
      </w:r>
      <w:proofErr w:type="spellStart"/>
      <w:r w:rsidRPr="00801718">
        <w:rPr>
          <w:rFonts w:ascii="Arial" w:eastAsia="Arial" w:hAnsi="Arial" w:cs="Arial"/>
          <w:sz w:val="22"/>
          <w:szCs w:val="22"/>
        </w:rPr>
        <w:t>organise</w:t>
      </w:r>
      <w:proofErr w:type="spellEnd"/>
      <w:r w:rsidRPr="00801718">
        <w:rPr>
          <w:rFonts w:ascii="Arial" w:eastAsia="Arial" w:hAnsi="Arial" w:cs="Arial"/>
          <w:sz w:val="22"/>
          <w:szCs w:val="22"/>
        </w:rPr>
        <w:t xml:space="preserve"> groups based on ability within the class setting, for example different abilities placed on different tables to cater for different needs (</w:t>
      </w:r>
      <w:proofErr w:type="spellStart"/>
      <w:r w:rsidRPr="00801718">
        <w:rPr>
          <w:rFonts w:ascii="Arial" w:eastAsia="Arial" w:hAnsi="Arial" w:cs="Arial"/>
          <w:sz w:val="22"/>
          <w:szCs w:val="22"/>
        </w:rPr>
        <w:t>Hallam</w:t>
      </w:r>
      <w:proofErr w:type="spellEnd"/>
      <w:r w:rsidRPr="00801718">
        <w:rPr>
          <w:rFonts w:ascii="Arial" w:eastAsia="Arial" w:hAnsi="Arial" w:cs="Arial"/>
          <w:sz w:val="22"/>
          <w:szCs w:val="22"/>
        </w:rPr>
        <w:t xml:space="preserve"> and Parson, 2013), which may cause the low-self concepts that Marsh et al. (2018).</w:t>
      </w:r>
    </w:p>
    <w:p w14:paraId="4C3A7192" w14:textId="222369A1" w:rsidR="007A6113" w:rsidRPr="00801718" w:rsidRDefault="7A96CA20" w:rsidP="00801718">
      <w:pPr>
        <w:spacing w:line="360" w:lineRule="auto"/>
        <w:jc w:val="both"/>
        <w:rPr>
          <w:rFonts w:ascii="Arial" w:eastAsia="Arial" w:hAnsi="Arial" w:cs="Arial"/>
          <w:sz w:val="22"/>
          <w:szCs w:val="22"/>
        </w:rPr>
      </w:pPr>
      <w:r w:rsidRPr="00801718">
        <w:rPr>
          <w:rFonts w:ascii="Arial" w:eastAsia="Arial" w:hAnsi="Arial" w:cs="Arial"/>
          <w:sz w:val="22"/>
          <w:szCs w:val="22"/>
        </w:rPr>
        <w:t xml:space="preserve">A distinctive feature of primary schools is that one each teacher holds responsibility for the delivery of the whole curriculum (Ridley, 1982), which in recent years, primary schools in Wales have been provided with increased autonomy in determining methodologies and approaches to curriculum delivery, whilst aligning with provided government guidance (Welsh Government, 2023). In my years of classroom experience, primary school classrooms have been traditionally, grouped by academic levels, whereas my more recent experience in the classroom practiced different, wherein pupils are assembled in heterogeneous, mixed ability groupings, exhibiting weekly variations where at the start of every week, these groups are altered at random. </w:t>
      </w:r>
    </w:p>
    <w:p w14:paraId="23EB4F54" w14:textId="269443AB" w:rsidR="007A6113" w:rsidRPr="00801718" w:rsidRDefault="7A96CA20" w:rsidP="00801718">
      <w:pPr>
        <w:spacing w:line="360" w:lineRule="auto"/>
        <w:jc w:val="both"/>
        <w:rPr>
          <w:rFonts w:ascii="Arial" w:eastAsia="Arial" w:hAnsi="Arial" w:cs="Arial"/>
          <w:sz w:val="22"/>
          <w:szCs w:val="22"/>
        </w:rPr>
      </w:pPr>
      <w:r w:rsidRPr="00801718">
        <w:rPr>
          <w:rFonts w:ascii="Arial" w:eastAsia="Arial" w:hAnsi="Arial" w:cs="Arial"/>
          <w:sz w:val="22"/>
          <w:szCs w:val="22"/>
        </w:rPr>
        <w:t xml:space="preserve">Drawn from research, theories, and practice, this topic of mixed versus ability grouping has sparked an interest for my professional development and understanding, therefore has l impelled me towards a dedicated research endeavor, where I will seek to investigate the dynamics of a mixed-ability classroom by employing a qualitative approach through semi-structured interviews with a focused group  of students, aiming to gain insight to how children feel about classroom </w:t>
      </w:r>
      <w:proofErr w:type="spellStart"/>
      <w:r w:rsidRPr="00801718">
        <w:rPr>
          <w:rFonts w:ascii="Arial" w:eastAsia="Arial" w:hAnsi="Arial" w:cs="Arial"/>
          <w:sz w:val="22"/>
          <w:szCs w:val="22"/>
        </w:rPr>
        <w:t>organisation</w:t>
      </w:r>
      <w:proofErr w:type="spellEnd"/>
      <w:r w:rsidRPr="00801718">
        <w:rPr>
          <w:rFonts w:ascii="Arial" w:eastAsia="Arial" w:hAnsi="Arial" w:cs="Arial"/>
          <w:sz w:val="22"/>
          <w:szCs w:val="22"/>
        </w:rPr>
        <w:t>, and how they perceive it to be support/unsupportive towards their overall academic development.</w:t>
      </w:r>
    </w:p>
    <w:p w14:paraId="0A731384" w14:textId="350EDB21" w:rsidR="007A6113" w:rsidRPr="00801718" w:rsidRDefault="7A96CA20" w:rsidP="00801718">
      <w:pPr>
        <w:spacing w:line="360" w:lineRule="auto"/>
        <w:jc w:val="both"/>
        <w:rPr>
          <w:rFonts w:ascii="Arial" w:eastAsia="Arial" w:hAnsi="Arial" w:cs="Arial"/>
          <w:sz w:val="22"/>
          <w:szCs w:val="22"/>
          <w:u w:val="single"/>
        </w:rPr>
      </w:pPr>
      <w:r w:rsidRPr="00801718">
        <w:rPr>
          <w:rFonts w:ascii="Arial" w:eastAsia="Arial" w:hAnsi="Arial" w:cs="Arial"/>
          <w:sz w:val="22"/>
          <w:szCs w:val="22"/>
          <w:u w:val="single"/>
        </w:rPr>
        <w:t>Case Study</w:t>
      </w:r>
    </w:p>
    <w:p w14:paraId="4074D84A" w14:textId="2F40066F" w:rsidR="007A6113" w:rsidRPr="00801718" w:rsidRDefault="7A96CA20" w:rsidP="00801718">
      <w:pPr>
        <w:spacing w:line="360" w:lineRule="auto"/>
        <w:jc w:val="both"/>
        <w:rPr>
          <w:rFonts w:ascii="Arial" w:eastAsia="Arial" w:hAnsi="Arial" w:cs="Arial"/>
          <w:sz w:val="22"/>
          <w:szCs w:val="22"/>
        </w:rPr>
      </w:pPr>
      <w:r w:rsidRPr="00801718">
        <w:rPr>
          <w:rFonts w:ascii="Arial" w:eastAsia="Arial" w:hAnsi="Arial" w:cs="Arial"/>
          <w:sz w:val="22"/>
          <w:szCs w:val="22"/>
        </w:rPr>
        <w:t>A case study stands out as one of the prevailing methodologies in social research (</w:t>
      </w:r>
      <w:proofErr w:type="spellStart"/>
      <w:r w:rsidRPr="00801718">
        <w:rPr>
          <w:rFonts w:ascii="Arial" w:eastAsia="Arial" w:hAnsi="Arial" w:cs="Arial"/>
          <w:sz w:val="22"/>
          <w:szCs w:val="22"/>
        </w:rPr>
        <w:t>Priya</w:t>
      </w:r>
      <w:proofErr w:type="spellEnd"/>
      <w:r w:rsidRPr="00801718">
        <w:rPr>
          <w:rFonts w:ascii="Arial" w:eastAsia="Arial" w:hAnsi="Arial" w:cs="Arial"/>
          <w:sz w:val="22"/>
          <w:szCs w:val="22"/>
        </w:rPr>
        <w:t>, 2021). It is an empirical investigation that looks closely at a given phenomenon, in a real-life context. Yin (2009) claims that case studies are not merely data collection methods, but more so a research strategy aimed at studying distinct entity within society. Yin (2009) also explains that case studies aim to explore and/or identify research questions, in a comprehensible way. Although, a challenge may arise within a case study involving children, as there may be a perceived power difference between adults and children (</w:t>
      </w:r>
      <w:proofErr w:type="spellStart"/>
      <w:r w:rsidRPr="00801718">
        <w:rPr>
          <w:rFonts w:ascii="Arial" w:eastAsia="Arial" w:hAnsi="Arial" w:cs="Arial"/>
          <w:sz w:val="22"/>
          <w:szCs w:val="22"/>
        </w:rPr>
        <w:t>Ponizovsky</w:t>
      </w:r>
      <w:proofErr w:type="spellEnd"/>
      <w:r w:rsidRPr="00801718">
        <w:rPr>
          <w:rFonts w:ascii="Arial" w:eastAsia="Arial" w:hAnsi="Arial" w:cs="Arial"/>
          <w:sz w:val="22"/>
          <w:szCs w:val="22"/>
        </w:rPr>
        <w:t xml:space="preserve">, 2019), which may drive children to become more reserved during the interview process, hence the importance of keeping preconceptions from interfering. Therefore, the shift from research “on” children, to research “with” children has created an impact, where the power can be deemed as handed </w:t>
      </w:r>
      <w:r w:rsidRPr="00801718">
        <w:rPr>
          <w:rFonts w:ascii="Arial" w:eastAsia="Arial" w:hAnsi="Arial" w:cs="Arial"/>
          <w:sz w:val="22"/>
          <w:szCs w:val="22"/>
        </w:rPr>
        <w:lastRenderedPageBreak/>
        <w:t>over to the children, where they hold power in their interaction with the researcher, and research (</w:t>
      </w:r>
      <w:proofErr w:type="spellStart"/>
      <w:r w:rsidRPr="00801718">
        <w:rPr>
          <w:rFonts w:ascii="Arial" w:eastAsia="Arial" w:hAnsi="Arial" w:cs="Arial"/>
          <w:sz w:val="22"/>
          <w:szCs w:val="22"/>
        </w:rPr>
        <w:t>Jørgensen</w:t>
      </w:r>
      <w:proofErr w:type="spellEnd"/>
      <w:r w:rsidRPr="00801718">
        <w:rPr>
          <w:rFonts w:ascii="Arial" w:eastAsia="Arial" w:hAnsi="Arial" w:cs="Arial"/>
          <w:sz w:val="22"/>
          <w:szCs w:val="22"/>
        </w:rPr>
        <w:t xml:space="preserve">, 2021). </w:t>
      </w:r>
    </w:p>
    <w:p w14:paraId="3408C4B7" w14:textId="51BD4BE4" w:rsidR="007A6113" w:rsidRPr="00801718" w:rsidRDefault="7A96CA20" w:rsidP="00801718">
      <w:pPr>
        <w:spacing w:line="360" w:lineRule="auto"/>
        <w:jc w:val="both"/>
        <w:rPr>
          <w:rFonts w:ascii="Arial" w:eastAsia="Arial" w:hAnsi="Arial" w:cs="Arial"/>
          <w:sz w:val="22"/>
          <w:szCs w:val="22"/>
        </w:rPr>
      </w:pPr>
      <w:r w:rsidRPr="00801718">
        <w:rPr>
          <w:rFonts w:ascii="Arial" w:eastAsia="Arial" w:hAnsi="Arial" w:cs="Arial"/>
          <w:sz w:val="22"/>
          <w:szCs w:val="22"/>
        </w:rPr>
        <w:t xml:space="preserve">Literature explains that interviews and open-ended questioning strengthens researchers' ability to discover rich and interesting feedback from children, which may not yet be explored. Clark (2010) suggested that the challenge is evident in selecting appropriate questions and expressions for children to be provided with the opportunity to share their ideas, </w:t>
      </w:r>
      <w:proofErr w:type="spellStart"/>
      <w:r w:rsidRPr="00801718">
        <w:rPr>
          <w:rFonts w:ascii="Arial" w:eastAsia="Arial" w:hAnsi="Arial" w:cs="Arial"/>
          <w:sz w:val="22"/>
          <w:szCs w:val="22"/>
        </w:rPr>
        <w:t>Dunphy</w:t>
      </w:r>
      <w:proofErr w:type="spellEnd"/>
      <w:r w:rsidRPr="00801718">
        <w:rPr>
          <w:rFonts w:ascii="Arial" w:eastAsia="Arial" w:hAnsi="Arial" w:cs="Arial"/>
          <w:sz w:val="22"/>
          <w:szCs w:val="22"/>
        </w:rPr>
        <w:t xml:space="preserve"> and Farrell (2011) places importance on listening to learner's ideas, as well as noticing body language, in oppose to solely listening to what they communicate. </w:t>
      </w:r>
      <w:proofErr w:type="spellStart"/>
      <w:r w:rsidRPr="00801718">
        <w:rPr>
          <w:rFonts w:ascii="Arial" w:eastAsia="Arial" w:hAnsi="Arial" w:cs="Arial"/>
          <w:sz w:val="22"/>
          <w:szCs w:val="22"/>
        </w:rPr>
        <w:t>Dunphy</w:t>
      </w:r>
      <w:proofErr w:type="spellEnd"/>
      <w:r w:rsidRPr="00801718">
        <w:rPr>
          <w:rFonts w:ascii="Arial" w:eastAsia="Arial" w:hAnsi="Arial" w:cs="Arial"/>
          <w:sz w:val="22"/>
          <w:szCs w:val="22"/>
        </w:rPr>
        <w:t xml:space="preserve"> and Farrell (2011) discussion relates to Parker (1984) who explains that case studies allow for researchers to delve into the perspectives of children, when they are listened to, and their rights are respected throughout.</w:t>
      </w:r>
    </w:p>
    <w:p w14:paraId="02517B08" w14:textId="6891505A" w:rsidR="007A6113" w:rsidRPr="00801718" w:rsidRDefault="7A96CA20" w:rsidP="00801718">
      <w:pPr>
        <w:spacing w:line="360" w:lineRule="auto"/>
        <w:jc w:val="both"/>
        <w:rPr>
          <w:rFonts w:ascii="Arial" w:eastAsia="Arial" w:hAnsi="Arial" w:cs="Arial"/>
          <w:sz w:val="22"/>
          <w:szCs w:val="22"/>
        </w:rPr>
      </w:pPr>
      <w:r w:rsidRPr="00801718">
        <w:rPr>
          <w:rFonts w:ascii="Arial" w:eastAsia="Arial" w:hAnsi="Arial" w:cs="Arial"/>
          <w:sz w:val="22"/>
          <w:szCs w:val="22"/>
        </w:rPr>
        <w:t xml:space="preserve">Regarding the strengths of using case studies when conducting research with children, benefits are prevalent and arrays. An identified benefit can be that case studies allow for new hypotheses and variables to be identified through a combination of deduction and induction, expanded explanations on historical contexts, and attain high levels of validity (Bennett, 2004). Opposing to strengths of case studies, there are clear limitations. Yin (2009) explains that during case studies, the chance of unaccounted factors arising and causing research to be </w:t>
      </w:r>
      <w:r w:rsidR="00D0721E" w:rsidRPr="00801718">
        <w:rPr>
          <w:rFonts w:ascii="Arial" w:eastAsia="Arial" w:hAnsi="Arial" w:cs="Arial"/>
          <w:sz w:val="22"/>
          <w:szCs w:val="22"/>
        </w:rPr>
        <w:t>interrupted</w:t>
      </w:r>
      <w:r w:rsidRPr="00801718">
        <w:rPr>
          <w:rFonts w:ascii="Arial" w:eastAsia="Arial" w:hAnsi="Arial" w:cs="Arial"/>
          <w:sz w:val="22"/>
          <w:szCs w:val="22"/>
        </w:rPr>
        <w:t xml:space="preserve"> can cause detrimental effects in relation to the results. This then falls into the limitations of external validity, which causes issues regarding whether the research findings will not be </w:t>
      </w:r>
      <w:proofErr w:type="spellStart"/>
      <w:r w:rsidRPr="00801718">
        <w:rPr>
          <w:rFonts w:ascii="Arial" w:eastAsia="Arial" w:hAnsi="Arial" w:cs="Arial"/>
          <w:sz w:val="22"/>
          <w:szCs w:val="22"/>
        </w:rPr>
        <w:t>generalised</w:t>
      </w:r>
      <w:proofErr w:type="spellEnd"/>
      <w:r w:rsidRPr="00801718">
        <w:rPr>
          <w:rFonts w:ascii="Arial" w:eastAsia="Arial" w:hAnsi="Arial" w:cs="Arial"/>
          <w:sz w:val="22"/>
          <w:szCs w:val="22"/>
        </w:rPr>
        <w:t xml:space="preserve">, causing it to in ineligible to be transferred or carried over to future research. </w:t>
      </w:r>
    </w:p>
    <w:p w14:paraId="58CD3785" w14:textId="183E7CA8" w:rsidR="007A6113" w:rsidRPr="00801718" w:rsidRDefault="7A96CA20" w:rsidP="00801718">
      <w:pPr>
        <w:spacing w:line="360" w:lineRule="auto"/>
        <w:jc w:val="both"/>
        <w:rPr>
          <w:rFonts w:ascii="Arial" w:eastAsia="Arial" w:hAnsi="Arial" w:cs="Arial"/>
          <w:sz w:val="22"/>
          <w:szCs w:val="22"/>
        </w:rPr>
      </w:pPr>
      <w:r w:rsidRPr="00801718">
        <w:rPr>
          <w:rFonts w:ascii="Arial" w:eastAsia="Arial" w:hAnsi="Arial" w:cs="Arial"/>
          <w:sz w:val="22"/>
          <w:szCs w:val="22"/>
        </w:rPr>
        <w:t>Within this investigation's scope, a group of five children, aged six and seven, will be interviewed using open and closed-ended questions, intending to uncover their perspectives on mixed ability grouping. As random selection could lead to a lack of diversity, and not capture relevant feedback to the research project, the participants will be selected and diverse, ranging from different gender, ethnicity and ability to ensure a representative sample. By selecting participants, this will enable valuable insights into the phenomenon, with the possibility of a diverse range of research outcomes.  Although, prior to the case study, as it involves minor who cannot provide full consent for self, in line with the National Health Service [hereafter NHS] (2024), consent will be requested from guardians, and assent from participants will be gained prior to interviews taking place (</w:t>
      </w:r>
      <w:proofErr w:type="spellStart"/>
      <w:r w:rsidRPr="00801718">
        <w:rPr>
          <w:rFonts w:ascii="Arial" w:eastAsia="Arial" w:hAnsi="Arial" w:cs="Arial"/>
          <w:sz w:val="22"/>
          <w:szCs w:val="22"/>
        </w:rPr>
        <w:t>Sheyab</w:t>
      </w:r>
      <w:proofErr w:type="spellEnd"/>
      <w:r w:rsidRPr="00801718">
        <w:rPr>
          <w:rFonts w:ascii="Arial" w:eastAsia="Arial" w:hAnsi="Arial" w:cs="Arial"/>
          <w:sz w:val="22"/>
          <w:szCs w:val="22"/>
        </w:rPr>
        <w:t xml:space="preserve">, 2019), along with all involved being made aware of the right to withdraw </w:t>
      </w:r>
    </w:p>
    <w:p w14:paraId="505AD1F0" w14:textId="62B25FFE" w:rsidR="007A6113" w:rsidRPr="00801718" w:rsidRDefault="7A96CA20" w:rsidP="00801718">
      <w:pPr>
        <w:spacing w:line="360" w:lineRule="auto"/>
        <w:jc w:val="both"/>
        <w:rPr>
          <w:rFonts w:ascii="Arial" w:eastAsia="Arial" w:hAnsi="Arial" w:cs="Arial"/>
          <w:sz w:val="22"/>
          <w:szCs w:val="22"/>
        </w:rPr>
      </w:pPr>
      <w:r w:rsidRPr="00801718">
        <w:rPr>
          <w:rFonts w:ascii="Arial" w:eastAsia="Arial" w:hAnsi="Arial" w:cs="Arial"/>
          <w:sz w:val="22"/>
          <w:szCs w:val="22"/>
        </w:rPr>
        <w:lastRenderedPageBreak/>
        <w:t>Overall, this case study will delve into a given phenomenon, in a real-life context, to discover the perspectives of children, provided consent and assent is received, in line with NHS (2024). The case study will follow multiple guidelines from research, ranging from maintain validity, excluding preconceptions and creating a positive and open environment to exclude the child-adult power difference. Throughout, ethical guidelines will be followed, provided by the British Educational Research Association (BERA).</w:t>
      </w:r>
    </w:p>
    <w:p w14:paraId="425656C9" w14:textId="6AF73F8E" w:rsidR="007A6113" w:rsidRPr="00801718" w:rsidRDefault="042B200D" w:rsidP="00801718">
      <w:pPr>
        <w:spacing w:line="360" w:lineRule="auto"/>
        <w:jc w:val="both"/>
        <w:rPr>
          <w:rFonts w:ascii="Arial" w:eastAsia="Arial" w:hAnsi="Arial" w:cs="Arial"/>
          <w:sz w:val="22"/>
          <w:szCs w:val="22"/>
          <w:u w:val="single"/>
        </w:rPr>
      </w:pPr>
      <w:r w:rsidRPr="00801718">
        <w:rPr>
          <w:rFonts w:ascii="Arial" w:eastAsia="Arial" w:hAnsi="Arial" w:cs="Arial"/>
          <w:sz w:val="22"/>
          <w:szCs w:val="22"/>
          <w:u w:val="single"/>
        </w:rPr>
        <w:t>Research Methods</w:t>
      </w:r>
    </w:p>
    <w:p w14:paraId="38AA2302" w14:textId="374C21D1" w:rsidR="007A6113" w:rsidRPr="00801718" w:rsidRDefault="73151C5A" w:rsidP="00801718">
      <w:pPr>
        <w:spacing w:line="360" w:lineRule="auto"/>
        <w:jc w:val="both"/>
        <w:rPr>
          <w:rFonts w:ascii="Arial" w:eastAsia="Arial" w:hAnsi="Arial" w:cs="Arial"/>
          <w:sz w:val="22"/>
          <w:szCs w:val="22"/>
        </w:rPr>
      </w:pPr>
      <w:r w:rsidRPr="00801718">
        <w:rPr>
          <w:rFonts w:ascii="Arial" w:eastAsia="Arial" w:hAnsi="Arial" w:cs="Arial"/>
          <w:sz w:val="22"/>
          <w:szCs w:val="22"/>
        </w:rPr>
        <w:t xml:space="preserve">Qualitative research involves collecting and </w:t>
      </w:r>
      <w:proofErr w:type="spellStart"/>
      <w:r w:rsidRPr="00801718">
        <w:rPr>
          <w:rFonts w:ascii="Arial" w:eastAsia="Arial" w:hAnsi="Arial" w:cs="Arial"/>
          <w:sz w:val="22"/>
          <w:szCs w:val="22"/>
        </w:rPr>
        <w:t>analysing</w:t>
      </w:r>
      <w:proofErr w:type="spellEnd"/>
      <w:r w:rsidRPr="00801718">
        <w:rPr>
          <w:rFonts w:ascii="Arial" w:eastAsia="Arial" w:hAnsi="Arial" w:cs="Arial"/>
          <w:sz w:val="22"/>
          <w:szCs w:val="22"/>
        </w:rPr>
        <w:t xml:space="preserve"> non-numerical data, to gain in-depth insight on a range of concepts, opinions, or experiences, around a chosen research area (</w:t>
      </w:r>
      <w:proofErr w:type="spellStart"/>
      <w:r w:rsidRPr="00801718">
        <w:rPr>
          <w:rFonts w:ascii="Arial" w:eastAsia="Arial" w:hAnsi="Arial" w:cs="Arial"/>
          <w:sz w:val="22"/>
          <w:szCs w:val="22"/>
        </w:rPr>
        <w:t>Bhandari</w:t>
      </w:r>
      <w:proofErr w:type="spellEnd"/>
      <w:r w:rsidRPr="00801718">
        <w:rPr>
          <w:rFonts w:ascii="Arial" w:eastAsia="Arial" w:hAnsi="Arial" w:cs="Arial"/>
          <w:sz w:val="22"/>
          <w:szCs w:val="22"/>
        </w:rPr>
        <w:t>, 2023). Mandy techniques are used to collect data for a qualitative study, such as observing participants (actively or passively), semi-</w:t>
      </w:r>
      <w:r w:rsidR="00D0721E" w:rsidRPr="00801718">
        <w:rPr>
          <w:rFonts w:ascii="Arial" w:eastAsia="Arial" w:hAnsi="Arial" w:cs="Arial"/>
          <w:sz w:val="22"/>
          <w:szCs w:val="22"/>
        </w:rPr>
        <w:t>structured</w:t>
      </w:r>
      <w:r w:rsidRPr="00801718">
        <w:rPr>
          <w:rFonts w:ascii="Arial" w:eastAsia="Arial" w:hAnsi="Arial" w:cs="Arial"/>
          <w:sz w:val="22"/>
          <w:szCs w:val="22"/>
        </w:rPr>
        <w:t xml:space="preserve"> interviews, and </w:t>
      </w:r>
      <w:proofErr w:type="spellStart"/>
      <w:r w:rsidRPr="00801718">
        <w:rPr>
          <w:rFonts w:ascii="Arial" w:eastAsia="Arial" w:hAnsi="Arial" w:cs="Arial"/>
          <w:sz w:val="22"/>
          <w:szCs w:val="22"/>
        </w:rPr>
        <w:t>organised</w:t>
      </w:r>
      <w:proofErr w:type="spellEnd"/>
      <w:r w:rsidRPr="00801718">
        <w:rPr>
          <w:rFonts w:ascii="Arial" w:eastAsia="Arial" w:hAnsi="Arial" w:cs="Arial"/>
          <w:sz w:val="22"/>
          <w:szCs w:val="22"/>
        </w:rPr>
        <w:t xml:space="preserve"> focus groups. </w:t>
      </w:r>
      <w:bookmarkStart w:id="1" w:name="_Int_YqhVWBkC"/>
      <w:r w:rsidRPr="00801718">
        <w:rPr>
          <w:rFonts w:ascii="Arial" w:eastAsia="Arial" w:hAnsi="Arial" w:cs="Arial"/>
          <w:sz w:val="22"/>
          <w:szCs w:val="22"/>
        </w:rPr>
        <w:t xml:space="preserve">Following </w:t>
      </w:r>
      <w:r w:rsidR="558E1273" w:rsidRPr="00801718">
        <w:rPr>
          <w:rFonts w:ascii="Arial" w:eastAsia="Arial" w:hAnsi="Arial" w:cs="Arial"/>
          <w:sz w:val="22"/>
          <w:szCs w:val="22"/>
        </w:rPr>
        <w:t>data collection</w:t>
      </w:r>
      <w:r w:rsidRPr="00801718">
        <w:rPr>
          <w:rFonts w:ascii="Arial" w:eastAsia="Arial" w:hAnsi="Arial" w:cs="Arial"/>
          <w:sz w:val="22"/>
          <w:szCs w:val="22"/>
        </w:rPr>
        <w:t>, a common practice involves transcribing both field notes and audio recordings into textual transcripts.</w:t>
      </w:r>
      <w:bookmarkEnd w:id="1"/>
      <w:r w:rsidRPr="00801718">
        <w:rPr>
          <w:rFonts w:ascii="Arial" w:eastAsia="Arial" w:hAnsi="Arial" w:cs="Arial"/>
          <w:sz w:val="22"/>
          <w:szCs w:val="22"/>
        </w:rPr>
        <w:t xml:space="preserve"> This process ensures that all information is accurately captured and documented. Once transcribed, the research data undergoes comprehensive analysis and coding </w:t>
      </w:r>
      <w:proofErr w:type="spellStart"/>
      <w:r w:rsidRPr="00801718">
        <w:rPr>
          <w:rFonts w:ascii="Arial" w:eastAsia="Arial" w:hAnsi="Arial" w:cs="Arial"/>
          <w:sz w:val="22"/>
          <w:szCs w:val="22"/>
        </w:rPr>
        <w:t>utilising</w:t>
      </w:r>
      <w:proofErr w:type="spellEnd"/>
      <w:r w:rsidRPr="00801718">
        <w:rPr>
          <w:rFonts w:ascii="Arial" w:eastAsia="Arial" w:hAnsi="Arial" w:cs="Arial"/>
          <w:sz w:val="22"/>
          <w:szCs w:val="22"/>
        </w:rPr>
        <w:t xml:space="preserve"> qualitative data management methodologies (</w:t>
      </w:r>
      <w:proofErr w:type="spellStart"/>
      <w:r w:rsidRPr="00801718">
        <w:rPr>
          <w:rFonts w:ascii="Arial" w:eastAsia="Arial" w:hAnsi="Arial" w:cs="Arial"/>
          <w:sz w:val="22"/>
          <w:szCs w:val="22"/>
        </w:rPr>
        <w:t>Busetto</w:t>
      </w:r>
      <w:proofErr w:type="spellEnd"/>
      <w:r w:rsidRPr="00801718">
        <w:rPr>
          <w:rFonts w:ascii="Arial" w:eastAsia="Arial" w:hAnsi="Arial" w:cs="Arial"/>
          <w:sz w:val="22"/>
          <w:szCs w:val="22"/>
        </w:rPr>
        <w:t xml:space="preserve"> et al., 2020). This rigorous analytical phase enables researchers to identify patterns, themes, and insights within the dataset, thereby facilitating the extraction of meaningful conclusions and interpretations from the research findings. Over the course of several years, there has been a noticeable increase in the </w:t>
      </w:r>
      <w:proofErr w:type="spellStart"/>
      <w:r w:rsidR="6992FCA6" w:rsidRPr="00801718">
        <w:rPr>
          <w:rFonts w:ascii="Arial" w:eastAsia="Arial" w:hAnsi="Arial" w:cs="Arial"/>
          <w:sz w:val="22"/>
          <w:szCs w:val="22"/>
        </w:rPr>
        <w:t>utilisation</w:t>
      </w:r>
      <w:proofErr w:type="spellEnd"/>
      <w:r w:rsidRPr="00801718">
        <w:rPr>
          <w:rFonts w:ascii="Arial" w:eastAsia="Arial" w:hAnsi="Arial" w:cs="Arial"/>
          <w:sz w:val="22"/>
          <w:szCs w:val="22"/>
        </w:rPr>
        <w:t xml:space="preserve"> of qualitative data collection methods within research focused on children, encompassing a range of approaches, including both group-oriented methodologies such as focused group interviews, as well as more </w:t>
      </w:r>
      <w:proofErr w:type="spellStart"/>
      <w:r w:rsidRPr="00801718">
        <w:rPr>
          <w:rFonts w:ascii="Arial" w:eastAsia="Arial" w:hAnsi="Arial" w:cs="Arial"/>
          <w:sz w:val="22"/>
          <w:szCs w:val="22"/>
        </w:rPr>
        <w:t>individualised</w:t>
      </w:r>
      <w:proofErr w:type="spellEnd"/>
      <w:r w:rsidRPr="00801718">
        <w:rPr>
          <w:rFonts w:ascii="Arial" w:eastAsia="Arial" w:hAnsi="Arial" w:cs="Arial"/>
          <w:sz w:val="22"/>
          <w:szCs w:val="22"/>
        </w:rPr>
        <w:t xml:space="preserve"> interview techniques, as highlighted by </w:t>
      </w:r>
      <w:proofErr w:type="spellStart"/>
      <w:r w:rsidRPr="00801718">
        <w:rPr>
          <w:rFonts w:ascii="Arial" w:eastAsia="Arial" w:hAnsi="Arial" w:cs="Arial"/>
          <w:sz w:val="22"/>
          <w:szCs w:val="22"/>
        </w:rPr>
        <w:t>Heary</w:t>
      </w:r>
      <w:proofErr w:type="spellEnd"/>
      <w:r w:rsidRPr="00801718">
        <w:rPr>
          <w:rFonts w:ascii="Arial" w:eastAsia="Arial" w:hAnsi="Arial" w:cs="Arial"/>
          <w:sz w:val="22"/>
          <w:szCs w:val="22"/>
        </w:rPr>
        <w:t xml:space="preserve"> and Hennessy (2012). A qualitative approach to research, using interview questions provides benefit to researchers through supporting the development of rich data drawn from encouragement, open-ended questions, and question requests (</w:t>
      </w:r>
      <w:proofErr w:type="spellStart"/>
      <w:r w:rsidRPr="00801718">
        <w:rPr>
          <w:rFonts w:ascii="Arial" w:eastAsia="Arial" w:hAnsi="Arial" w:cs="Arial"/>
          <w:sz w:val="22"/>
          <w:szCs w:val="22"/>
        </w:rPr>
        <w:t>Bergelson</w:t>
      </w:r>
      <w:proofErr w:type="spellEnd"/>
      <w:r w:rsidRPr="00801718">
        <w:rPr>
          <w:rFonts w:ascii="Arial" w:eastAsia="Arial" w:hAnsi="Arial" w:cs="Arial"/>
          <w:sz w:val="22"/>
          <w:szCs w:val="22"/>
        </w:rPr>
        <w:t xml:space="preserve"> et al., 2019). It has been suggested that children may feel overawed and nervous when speaking one-on-one with an adult (</w:t>
      </w:r>
      <w:proofErr w:type="spellStart"/>
      <w:r w:rsidRPr="00801718">
        <w:rPr>
          <w:rFonts w:ascii="Arial" w:eastAsia="Arial" w:hAnsi="Arial" w:cs="Arial"/>
          <w:sz w:val="22"/>
          <w:szCs w:val="22"/>
        </w:rPr>
        <w:t>McCrum</w:t>
      </w:r>
      <w:proofErr w:type="spellEnd"/>
      <w:r w:rsidRPr="00801718">
        <w:rPr>
          <w:rFonts w:ascii="Arial" w:eastAsia="Arial" w:hAnsi="Arial" w:cs="Arial"/>
          <w:sz w:val="22"/>
          <w:szCs w:val="22"/>
        </w:rPr>
        <w:t xml:space="preserve"> and Hughes, 1998, p. 8) and that group discussions can create provide a more positive experience for children as they benefit from the social interaction and collaboration, as well as benefit the researcher as group discussions provide higher sources of information, and a deeper understanding into the research focus (</w:t>
      </w:r>
      <w:proofErr w:type="spellStart"/>
      <w:r w:rsidRPr="00801718">
        <w:rPr>
          <w:rFonts w:ascii="Arial" w:eastAsia="Arial" w:hAnsi="Arial" w:cs="Arial"/>
          <w:sz w:val="22"/>
          <w:szCs w:val="22"/>
        </w:rPr>
        <w:t>Salvin</w:t>
      </w:r>
      <w:proofErr w:type="spellEnd"/>
      <w:r w:rsidRPr="00801718">
        <w:rPr>
          <w:rFonts w:ascii="Arial" w:eastAsia="Arial" w:hAnsi="Arial" w:cs="Arial"/>
          <w:sz w:val="22"/>
          <w:szCs w:val="22"/>
        </w:rPr>
        <w:t xml:space="preserve">, 1996). In qualitative interviews, open/closed ended questions are common. In this research, there will be a range of open and closed questions, though some closed questions may lead to follow-up questions. Open ended questions provide benefits such as gaining a wide range of answers and allow participants to think out loud as noted by Hammer and </w:t>
      </w:r>
      <w:proofErr w:type="spellStart"/>
      <w:r w:rsidRPr="00801718">
        <w:rPr>
          <w:rFonts w:ascii="Arial" w:eastAsia="Arial" w:hAnsi="Arial" w:cs="Arial"/>
          <w:sz w:val="22"/>
          <w:szCs w:val="22"/>
        </w:rPr>
        <w:t>Wildavsky</w:t>
      </w:r>
      <w:proofErr w:type="spellEnd"/>
      <w:r w:rsidRPr="00801718">
        <w:rPr>
          <w:rFonts w:ascii="Arial" w:eastAsia="Arial" w:hAnsi="Arial" w:cs="Arial"/>
          <w:sz w:val="22"/>
          <w:szCs w:val="22"/>
        </w:rPr>
        <w:t xml:space="preserve"> </w:t>
      </w:r>
      <w:r w:rsidRPr="00801718">
        <w:rPr>
          <w:rFonts w:ascii="Arial" w:eastAsia="Arial" w:hAnsi="Arial" w:cs="Arial"/>
          <w:sz w:val="22"/>
          <w:szCs w:val="22"/>
        </w:rPr>
        <w:lastRenderedPageBreak/>
        <w:t>(1993, p. 45), with disadvantages such as the inherent potential for researcher bias, and the challenge of accurately capturing and documenting participants' responses (Hyman and Sierra, 2016). As Robson (2011) advises, the process of creating questions will be carefully monitored, as posing lengthy questions can diminish the interviewee's comprehension of the overall question. Likewise, he advises against using double- or multi-barreled questions, as these types of inquiries can pose challenges for the interviewee in providing accurate responses.</w:t>
      </w:r>
    </w:p>
    <w:p w14:paraId="25EE3DE5" w14:textId="3FED053A" w:rsidR="007A6113" w:rsidRPr="00801718" w:rsidRDefault="73151C5A" w:rsidP="00801718">
      <w:pPr>
        <w:spacing w:line="360" w:lineRule="auto"/>
        <w:jc w:val="both"/>
        <w:rPr>
          <w:rFonts w:ascii="Arial" w:eastAsia="Arial" w:hAnsi="Arial" w:cs="Arial"/>
          <w:sz w:val="22"/>
          <w:szCs w:val="22"/>
        </w:rPr>
      </w:pPr>
      <w:r w:rsidRPr="00801718">
        <w:rPr>
          <w:rFonts w:ascii="Arial" w:eastAsia="Arial" w:hAnsi="Arial" w:cs="Arial"/>
          <w:sz w:val="22"/>
          <w:szCs w:val="22"/>
        </w:rPr>
        <w:t>It is important to note that interviewing children stands as the prevailing methodological approach, primarily due to its efficacy in facilitating a comprehensive comprehension of children's perspectives (</w:t>
      </w:r>
      <w:proofErr w:type="spellStart"/>
      <w:r w:rsidRPr="00801718">
        <w:rPr>
          <w:rFonts w:ascii="Arial" w:eastAsia="Arial" w:hAnsi="Arial" w:cs="Arial"/>
          <w:sz w:val="22"/>
          <w:szCs w:val="22"/>
        </w:rPr>
        <w:t>Moir</w:t>
      </w:r>
      <w:proofErr w:type="spellEnd"/>
      <w:r w:rsidRPr="00801718">
        <w:rPr>
          <w:rFonts w:ascii="Arial" w:eastAsia="Arial" w:hAnsi="Arial" w:cs="Arial"/>
          <w:sz w:val="22"/>
          <w:szCs w:val="22"/>
        </w:rPr>
        <w:t xml:space="preserve"> and </w:t>
      </w:r>
      <w:proofErr w:type="spellStart"/>
      <w:r w:rsidRPr="00801718">
        <w:rPr>
          <w:rFonts w:ascii="Arial" w:eastAsia="Arial" w:hAnsi="Arial" w:cs="Arial"/>
          <w:sz w:val="22"/>
          <w:szCs w:val="22"/>
        </w:rPr>
        <w:t>Kwansa</w:t>
      </w:r>
      <w:proofErr w:type="spellEnd"/>
      <w:r w:rsidRPr="00801718">
        <w:rPr>
          <w:rFonts w:ascii="Arial" w:eastAsia="Arial" w:hAnsi="Arial" w:cs="Arial"/>
          <w:sz w:val="22"/>
          <w:szCs w:val="22"/>
        </w:rPr>
        <w:t xml:space="preserve">, 2000). Moreover, given the heterogeneous nature of the focus group participants in terms of their abilities, the use of a verbal approach is deemed the most suitable choice. This consideration stems from the potential for misinterpretation of questions or challenges related to reading comprehension, thus opting for a verbal approach is the most suitable means of engagement. </w:t>
      </w:r>
    </w:p>
    <w:p w14:paraId="741BEC34" w14:textId="19B67BFA" w:rsidR="007A6113" w:rsidRPr="00801718" w:rsidRDefault="73151C5A" w:rsidP="00801718">
      <w:pPr>
        <w:spacing w:line="360" w:lineRule="auto"/>
        <w:jc w:val="both"/>
        <w:rPr>
          <w:rFonts w:ascii="Arial" w:eastAsia="Arial" w:hAnsi="Arial" w:cs="Arial"/>
          <w:sz w:val="22"/>
          <w:szCs w:val="22"/>
        </w:rPr>
      </w:pPr>
      <w:proofErr w:type="spellStart"/>
      <w:r w:rsidRPr="00801718">
        <w:rPr>
          <w:rFonts w:ascii="Arial" w:eastAsia="Arial" w:hAnsi="Arial" w:cs="Arial"/>
          <w:sz w:val="22"/>
          <w:szCs w:val="22"/>
        </w:rPr>
        <w:t>Utilising</w:t>
      </w:r>
      <w:proofErr w:type="spellEnd"/>
      <w:r w:rsidRPr="00801718">
        <w:rPr>
          <w:rFonts w:ascii="Arial" w:eastAsia="Arial" w:hAnsi="Arial" w:cs="Arial"/>
          <w:sz w:val="22"/>
          <w:szCs w:val="22"/>
        </w:rPr>
        <w:t xml:space="preserve"> a combination of open and closed questioning techniques, as seen in Appendix 2</w:t>
      </w:r>
      <w:r w:rsidR="55DD982F" w:rsidRPr="00801718">
        <w:rPr>
          <w:rFonts w:ascii="Arial" w:eastAsia="Arial" w:hAnsi="Arial" w:cs="Arial"/>
          <w:sz w:val="22"/>
          <w:szCs w:val="22"/>
        </w:rPr>
        <w:t>,</w:t>
      </w:r>
      <w:r w:rsidRPr="00801718">
        <w:rPr>
          <w:rFonts w:ascii="Arial" w:eastAsia="Arial" w:hAnsi="Arial" w:cs="Arial"/>
          <w:sz w:val="22"/>
          <w:szCs w:val="22"/>
        </w:rPr>
        <w:t xml:space="preserve"> throughout the interview process offers an opportunity to explore and comprehend children's perceptions and constructions of meaning regarding their classroom dynamics and structure. This approach enables an investigation into their attitudes towards peer support, experiences within mixed-attainment groupings, and their perspectives on the inclusivity or exclusivity of classroom routines, as outlined in the study by </w:t>
      </w:r>
      <w:proofErr w:type="spellStart"/>
      <w:r w:rsidRPr="00801718">
        <w:rPr>
          <w:rFonts w:ascii="Arial" w:eastAsia="Arial" w:hAnsi="Arial" w:cs="Arial"/>
          <w:sz w:val="22"/>
          <w:szCs w:val="22"/>
        </w:rPr>
        <w:t>Tereshchenko</w:t>
      </w:r>
      <w:proofErr w:type="spellEnd"/>
      <w:r w:rsidRPr="00801718">
        <w:rPr>
          <w:rFonts w:ascii="Arial" w:eastAsia="Arial" w:hAnsi="Arial" w:cs="Arial"/>
          <w:sz w:val="22"/>
          <w:szCs w:val="22"/>
        </w:rPr>
        <w:t xml:space="preserve"> et al., (2019). The decision to conduct interviews with a mixed-ability focused group not only shapes the research approach but also </w:t>
      </w:r>
      <w:proofErr w:type="spellStart"/>
      <w:r w:rsidRPr="00801718">
        <w:rPr>
          <w:rFonts w:ascii="Arial" w:eastAsia="Arial" w:hAnsi="Arial" w:cs="Arial"/>
          <w:sz w:val="22"/>
          <w:szCs w:val="22"/>
        </w:rPr>
        <w:t>emphasises</w:t>
      </w:r>
      <w:proofErr w:type="spellEnd"/>
      <w:r w:rsidRPr="00801718">
        <w:rPr>
          <w:rFonts w:ascii="Arial" w:eastAsia="Arial" w:hAnsi="Arial" w:cs="Arial"/>
          <w:sz w:val="22"/>
          <w:szCs w:val="22"/>
        </w:rPr>
        <w:t xml:space="preserve"> the rationale that such methodology offers participants an inclusive platform to articulate their personal narratives and perspectives, thereby creating a rich and diverse exchange of experiences and opinions, as discussed in the findings of Adler et al., (2019). Also, according to the social constructionism theory knowledge and meaning are perceived as socially constructed phenomena.  Within this framework, interviewing children is a way for researchers to elucidate how social interactions contribute to shaping their experiences and perceptions, as </w:t>
      </w:r>
      <w:proofErr w:type="spellStart"/>
      <w:r w:rsidRPr="00801718">
        <w:rPr>
          <w:rFonts w:ascii="Arial" w:eastAsia="Arial" w:hAnsi="Arial" w:cs="Arial"/>
          <w:sz w:val="22"/>
          <w:szCs w:val="22"/>
        </w:rPr>
        <w:t>Vinney</w:t>
      </w:r>
      <w:proofErr w:type="spellEnd"/>
      <w:r w:rsidRPr="00801718">
        <w:rPr>
          <w:rFonts w:ascii="Arial" w:eastAsia="Arial" w:hAnsi="Arial" w:cs="Arial"/>
          <w:sz w:val="22"/>
          <w:szCs w:val="22"/>
        </w:rPr>
        <w:t xml:space="preserve"> (2019) explains. However, if this theory is present during the interview, it could potentially introduce a challenge during data analysis, as children might echo their peers' responses to maintain conformity, potentially compromising the reliability of the results.</w:t>
      </w:r>
    </w:p>
    <w:p w14:paraId="3C6C9660" w14:textId="7AE113DF" w:rsidR="007A6113" w:rsidRPr="00801718" w:rsidRDefault="73151C5A" w:rsidP="00801718">
      <w:pPr>
        <w:spacing w:line="360" w:lineRule="auto"/>
        <w:jc w:val="both"/>
        <w:rPr>
          <w:rFonts w:ascii="Arial" w:eastAsia="Arial" w:hAnsi="Arial" w:cs="Arial"/>
          <w:sz w:val="22"/>
          <w:szCs w:val="22"/>
        </w:rPr>
      </w:pPr>
      <w:r w:rsidRPr="00801718">
        <w:rPr>
          <w:rFonts w:ascii="Arial" w:eastAsia="Arial" w:hAnsi="Arial" w:cs="Arial"/>
          <w:sz w:val="22"/>
          <w:szCs w:val="22"/>
        </w:rPr>
        <w:t xml:space="preserve">Given that the focus group comprises </w:t>
      </w:r>
      <w:bookmarkStart w:id="2" w:name="_Int_383dUTzx"/>
      <w:bookmarkStart w:id="3" w:name="_Int_qvvvlLBz"/>
      <w:r w:rsidRPr="00801718">
        <w:rPr>
          <w:rFonts w:ascii="Arial" w:eastAsia="Arial" w:hAnsi="Arial" w:cs="Arial"/>
          <w:sz w:val="22"/>
          <w:szCs w:val="22"/>
        </w:rPr>
        <w:t xml:space="preserve">young </w:t>
      </w:r>
      <w:bookmarkEnd w:id="2"/>
      <w:r w:rsidRPr="00801718">
        <w:rPr>
          <w:rFonts w:ascii="Arial" w:eastAsia="Arial" w:hAnsi="Arial" w:cs="Arial"/>
          <w:sz w:val="22"/>
          <w:szCs w:val="22"/>
        </w:rPr>
        <w:t>chil</w:t>
      </w:r>
      <w:bookmarkEnd w:id="3"/>
      <w:r w:rsidRPr="00801718">
        <w:rPr>
          <w:rFonts w:ascii="Arial" w:eastAsia="Arial" w:hAnsi="Arial" w:cs="Arial"/>
          <w:sz w:val="22"/>
          <w:szCs w:val="22"/>
        </w:rPr>
        <w:t xml:space="preserve">dren of mixed abilities, communication and questioning will be impacted, as the interview will be conducted at a basic level, ensuring clarity and simplicity in language to facilitate understanding and efficient responses from all </w:t>
      </w:r>
      <w:r w:rsidRPr="00801718">
        <w:rPr>
          <w:rFonts w:ascii="Arial" w:eastAsia="Arial" w:hAnsi="Arial" w:cs="Arial"/>
          <w:sz w:val="22"/>
          <w:szCs w:val="22"/>
        </w:rPr>
        <w:lastRenderedPageBreak/>
        <w:t xml:space="preserve">participants (Gibson, 2012). To </w:t>
      </w:r>
      <w:proofErr w:type="spellStart"/>
      <w:r w:rsidRPr="00801718">
        <w:rPr>
          <w:rFonts w:ascii="Arial" w:eastAsia="Arial" w:hAnsi="Arial" w:cs="Arial"/>
          <w:sz w:val="22"/>
          <w:szCs w:val="22"/>
        </w:rPr>
        <w:t>minimise</w:t>
      </w:r>
      <w:proofErr w:type="spellEnd"/>
      <w:r w:rsidRPr="00801718">
        <w:rPr>
          <w:rFonts w:ascii="Arial" w:eastAsia="Arial" w:hAnsi="Arial" w:cs="Arial"/>
          <w:sz w:val="22"/>
          <w:szCs w:val="22"/>
        </w:rPr>
        <w:t xml:space="preserve"> pressure on children, and ensure they are comfortable, the interview will be conducted within </w:t>
      </w:r>
      <w:r w:rsidR="3EF8C8B4" w:rsidRPr="00801718">
        <w:rPr>
          <w:rFonts w:ascii="Arial" w:eastAsia="Arial" w:hAnsi="Arial" w:cs="Arial"/>
          <w:sz w:val="22"/>
          <w:szCs w:val="22"/>
        </w:rPr>
        <w:t>a</w:t>
      </w:r>
      <w:r w:rsidRPr="00801718">
        <w:rPr>
          <w:rFonts w:ascii="Arial" w:eastAsia="Arial" w:hAnsi="Arial" w:cs="Arial"/>
          <w:sz w:val="22"/>
          <w:szCs w:val="22"/>
        </w:rPr>
        <w:t xml:space="preserve"> classroom setting, a place with which they are familiar. The interview will be audio recorded, alleviating any concerns regarding the presence of a camera, thus </w:t>
      </w:r>
      <w:proofErr w:type="spellStart"/>
      <w:r w:rsidRPr="00801718">
        <w:rPr>
          <w:rFonts w:ascii="Arial" w:eastAsia="Arial" w:hAnsi="Arial" w:cs="Arial"/>
          <w:sz w:val="22"/>
          <w:szCs w:val="22"/>
        </w:rPr>
        <w:t>minimising</w:t>
      </w:r>
      <w:proofErr w:type="spellEnd"/>
      <w:r w:rsidRPr="00801718">
        <w:rPr>
          <w:rFonts w:ascii="Arial" w:eastAsia="Arial" w:hAnsi="Arial" w:cs="Arial"/>
          <w:sz w:val="22"/>
          <w:szCs w:val="22"/>
        </w:rPr>
        <w:t xml:space="preserve"> potential pressure or self-consciousness among participants. Focus group interviews offer notable advantages by fostering an environment conducive to open discussions where participants can freely exchange perceptions, ideas, opinions, and thoughts (</w:t>
      </w:r>
      <w:proofErr w:type="spellStart"/>
      <w:r w:rsidRPr="00801718">
        <w:rPr>
          <w:rFonts w:ascii="Arial" w:eastAsia="Arial" w:hAnsi="Arial" w:cs="Arial"/>
          <w:sz w:val="22"/>
          <w:szCs w:val="22"/>
        </w:rPr>
        <w:t>Onwuegbuzie</w:t>
      </w:r>
      <w:proofErr w:type="spellEnd"/>
      <w:r w:rsidRPr="00801718">
        <w:rPr>
          <w:rFonts w:ascii="Arial" w:eastAsia="Arial" w:hAnsi="Arial" w:cs="Arial"/>
          <w:sz w:val="22"/>
          <w:szCs w:val="22"/>
        </w:rPr>
        <w:t xml:space="preserve"> et al., 2009). Despite the challenges associated with organization and logistical effort, the benefits are conspicuous, manifesting in the enhanced generation of ideas and the attainment of deeper insights into the research question (</w:t>
      </w:r>
      <w:proofErr w:type="spellStart"/>
      <w:r w:rsidRPr="00801718">
        <w:rPr>
          <w:rFonts w:ascii="Arial" w:eastAsia="Arial" w:hAnsi="Arial" w:cs="Arial"/>
          <w:sz w:val="22"/>
          <w:szCs w:val="22"/>
        </w:rPr>
        <w:t>Tausch</w:t>
      </w:r>
      <w:proofErr w:type="spellEnd"/>
      <w:r w:rsidRPr="00801718">
        <w:rPr>
          <w:rFonts w:ascii="Arial" w:eastAsia="Arial" w:hAnsi="Arial" w:cs="Arial"/>
          <w:sz w:val="22"/>
          <w:szCs w:val="22"/>
        </w:rPr>
        <w:t xml:space="preserve"> and </w:t>
      </w:r>
      <w:proofErr w:type="spellStart"/>
      <w:r w:rsidRPr="00801718">
        <w:rPr>
          <w:rFonts w:ascii="Arial" w:eastAsia="Arial" w:hAnsi="Arial" w:cs="Arial"/>
          <w:sz w:val="22"/>
          <w:szCs w:val="22"/>
        </w:rPr>
        <w:t>Menold</w:t>
      </w:r>
      <w:proofErr w:type="spellEnd"/>
      <w:r w:rsidRPr="00801718">
        <w:rPr>
          <w:rFonts w:ascii="Arial" w:eastAsia="Arial" w:hAnsi="Arial" w:cs="Arial"/>
          <w:sz w:val="22"/>
          <w:szCs w:val="22"/>
        </w:rPr>
        <w:t>, 2016).</w:t>
      </w:r>
    </w:p>
    <w:p w14:paraId="57B5F7D9" w14:textId="2A1269D9" w:rsidR="007A6113" w:rsidRPr="00801718" w:rsidRDefault="73151C5A" w:rsidP="00801718">
      <w:pPr>
        <w:spacing w:line="360" w:lineRule="auto"/>
        <w:jc w:val="both"/>
        <w:rPr>
          <w:rFonts w:ascii="Arial" w:eastAsia="Arial" w:hAnsi="Arial" w:cs="Arial"/>
          <w:sz w:val="22"/>
          <w:szCs w:val="22"/>
        </w:rPr>
      </w:pPr>
      <w:r w:rsidRPr="00801718">
        <w:rPr>
          <w:rFonts w:ascii="Arial" w:eastAsia="Arial" w:hAnsi="Arial" w:cs="Arial"/>
          <w:sz w:val="22"/>
          <w:szCs w:val="22"/>
        </w:rPr>
        <w:t xml:space="preserve">As part of the planning involved in the case study process, the interview session has been strategically scheduled to coincide with the school assembly time. This decision has been made with careful consideration to ensure minimal disruption to both allocated learning periods and leisure time, thereby </w:t>
      </w:r>
      <w:proofErr w:type="spellStart"/>
      <w:r w:rsidRPr="00801718">
        <w:rPr>
          <w:rFonts w:ascii="Arial" w:eastAsia="Arial" w:hAnsi="Arial" w:cs="Arial"/>
          <w:sz w:val="22"/>
          <w:szCs w:val="22"/>
        </w:rPr>
        <w:t>maximising</w:t>
      </w:r>
      <w:proofErr w:type="spellEnd"/>
      <w:r w:rsidRPr="00801718">
        <w:rPr>
          <w:rFonts w:ascii="Arial" w:eastAsia="Arial" w:hAnsi="Arial" w:cs="Arial"/>
          <w:sz w:val="22"/>
          <w:szCs w:val="22"/>
        </w:rPr>
        <w:t xml:space="preserve"> the opportunity for children to participate fully without any conflicting obligations. By aligning the interview with this designated time, children will be provided with an environment that encourages their undivided attention and engagement. Moreover, conducting the interview during school assembly time aims to create a relaxed atmosphere conducive to open and candid dialogue, facilitating the exploration of children's perspectives and experiences of mixed ability grouping in greater depth. This thoughtful approach underscores the commitment to methodological rigor and ethical considerations outlined by UNICEF (2019).</w:t>
      </w:r>
    </w:p>
    <w:p w14:paraId="51D5B17D" w14:textId="6D44DB94" w:rsidR="007A6113" w:rsidRPr="00801718" w:rsidRDefault="007A6113" w:rsidP="00801718">
      <w:pPr>
        <w:shd w:val="clear" w:color="auto" w:fill="FFFFFF" w:themeFill="background1"/>
        <w:spacing w:after="0" w:line="360" w:lineRule="auto"/>
        <w:jc w:val="both"/>
        <w:rPr>
          <w:rFonts w:ascii="Arial" w:eastAsia="Arial" w:hAnsi="Arial" w:cs="Arial"/>
          <w:sz w:val="22"/>
          <w:szCs w:val="22"/>
        </w:rPr>
      </w:pPr>
    </w:p>
    <w:p w14:paraId="3659CCCC" w14:textId="64494B77" w:rsidR="007A6113" w:rsidRPr="00801718" w:rsidRDefault="0FC0A12F" w:rsidP="00801718">
      <w:pPr>
        <w:spacing w:line="360" w:lineRule="auto"/>
        <w:jc w:val="both"/>
        <w:rPr>
          <w:rFonts w:ascii="Arial" w:eastAsia="Arial" w:hAnsi="Arial" w:cs="Arial"/>
          <w:sz w:val="22"/>
          <w:szCs w:val="22"/>
          <w:u w:val="single"/>
        </w:rPr>
      </w:pPr>
      <w:r w:rsidRPr="00801718">
        <w:rPr>
          <w:rFonts w:ascii="Arial" w:eastAsia="Arial" w:hAnsi="Arial" w:cs="Arial"/>
          <w:sz w:val="22"/>
          <w:szCs w:val="22"/>
          <w:u w:val="single"/>
        </w:rPr>
        <w:t>Data Presentation and Analysis Methods</w:t>
      </w:r>
    </w:p>
    <w:p w14:paraId="48FB1EF0" w14:textId="68708DD1" w:rsidR="007A6113" w:rsidRPr="00801718" w:rsidRDefault="27503E6E" w:rsidP="00801718">
      <w:pPr>
        <w:spacing w:line="360" w:lineRule="auto"/>
        <w:jc w:val="both"/>
        <w:rPr>
          <w:rFonts w:ascii="Arial" w:eastAsia="Arial" w:hAnsi="Arial" w:cs="Arial"/>
          <w:sz w:val="22"/>
          <w:szCs w:val="22"/>
        </w:rPr>
      </w:pPr>
      <w:r w:rsidRPr="00801718">
        <w:rPr>
          <w:rFonts w:ascii="Arial" w:eastAsia="Arial" w:hAnsi="Arial" w:cs="Arial"/>
          <w:sz w:val="22"/>
          <w:szCs w:val="22"/>
        </w:rPr>
        <w:t xml:space="preserve">As this piece of work is defined as research, it is exploratory driven, where codes are generated from careful reading and understanding of responses, to identify key themes that will support the outline of analysis (Guest, 2019). Therefore, regarding reporting data, the audio recording of the interview will be transcribed onto the secure university drive, including pauses and filler words. Regarding the format, </w:t>
      </w:r>
      <w:bookmarkStart w:id="4" w:name="_Int_jMkd6UsN"/>
      <w:r w:rsidRPr="00801718">
        <w:rPr>
          <w:rFonts w:ascii="Arial" w:eastAsia="Arial" w:hAnsi="Arial" w:cs="Arial"/>
          <w:sz w:val="22"/>
          <w:szCs w:val="22"/>
        </w:rPr>
        <w:t>each individual</w:t>
      </w:r>
      <w:bookmarkEnd w:id="4"/>
      <w:r w:rsidRPr="00801718">
        <w:rPr>
          <w:rFonts w:ascii="Arial" w:eastAsia="Arial" w:hAnsi="Arial" w:cs="Arial"/>
          <w:sz w:val="22"/>
          <w:szCs w:val="22"/>
        </w:rPr>
        <w:t xml:space="preserve"> who communicates as part of the interview will have a separate line, and code name, for the purpose of clarity of who is speaking at a given time. Once the audio is transcribed it will be coded, meaning that relevant responses, phrases, or words, will be identified. Following coding, relevant and significant codes will be placed into key themes, meaning that reoccurring topics, concepts or opinions that emerged will be </w:t>
      </w:r>
      <w:proofErr w:type="spellStart"/>
      <w:r w:rsidRPr="00801718">
        <w:rPr>
          <w:rFonts w:ascii="Arial" w:eastAsia="Arial" w:hAnsi="Arial" w:cs="Arial"/>
          <w:sz w:val="22"/>
          <w:szCs w:val="22"/>
        </w:rPr>
        <w:t>categorised</w:t>
      </w:r>
      <w:proofErr w:type="spellEnd"/>
      <w:r w:rsidRPr="00801718">
        <w:rPr>
          <w:rFonts w:ascii="Arial" w:eastAsia="Arial" w:hAnsi="Arial" w:cs="Arial"/>
          <w:sz w:val="22"/>
          <w:szCs w:val="22"/>
        </w:rPr>
        <w:t xml:space="preserve"> to allow for patterns to be identified.  This approach to reporting qualitative data is defined as thematic analysis, as it allows for close examination and understanding of data </w:t>
      </w:r>
      <w:r w:rsidRPr="00801718">
        <w:rPr>
          <w:rFonts w:ascii="Arial" w:eastAsia="Arial" w:hAnsi="Arial" w:cs="Arial"/>
          <w:sz w:val="22"/>
          <w:szCs w:val="22"/>
        </w:rPr>
        <w:lastRenderedPageBreak/>
        <w:t xml:space="preserve">(Caulfield, 2023). Similarly, Parker (1984) explains that adults can delve into the perspectives of children through conducting interviews.  Despite the temporal context of Parker (1984) statement, its significance is prevalent as interviews remain a never-ending way to gather information. </w:t>
      </w:r>
    </w:p>
    <w:p w14:paraId="2C59904D" w14:textId="4ECB685A" w:rsidR="007A6113" w:rsidRPr="00801718" w:rsidRDefault="27503E6E" w:rsidP="00801718">
      <w:pPr>
        <w:spacing w:line="360" w:lineRule="auto"/>
        <w:jc w:val="both"/>
        <w:rPr>
          <w:rFonts w:ascii="Arial" w:eastAsia="Arial" w:hAnsi="Arial" w:cs="Arial"/>
          <w:sz w:val="22"/>
          <w:szCs w:val="22"/>
        </w:rPr>
      </w:pPr>
      <w:r w:rsidRPr="00801718">
        <w:rPr>
          <w:rFonts w:ascii="Arial" w:eastAsia="Arial" w:hAnsi="Arial" w:cs="Arial"/>
          <w:sz w:val="22"/>
          <w:szCs w:val="22"/>
        </w:rPr>
        <w:t xml:space="preserve">Although as Parker (1984) explains the benefit of conducting thematic analysis, </w:t>
      </w:r>
      <w:proofErr w:type="spellStart"/>
      <w:r w:rsidRPr="00801718">
        <w:rPr>
          <w:rFonts w:ascii="Arial" w:eastAsia="Arial" w:hAnsi="Arial" w:cs="Arial"/>
          <w:sz w:val="22"/>
          <w:szCs w:val="22"/>
        </w:rPr>
        <w:t>Naeem</w:t>
      </w:r>
      <w:proofErr w:type="spellEnd"/>
      <w:r w:rsidRPr="00801718">
        <w:rPr>
          <w:rFonts w:ascii="Arial" w:eastAsia="Arial" w:hAnsi="Arial" w:cs="Arial"/>
          <w:sz w:val="22"/>
          <w:szCs w:val="22"/>
        </w:rPr>
        <w:t xml:space="preserve"> et al., (2023) </w:t>
      </w:r>
      <w:proofErr w:type="spellStart"/>
      <w:r w:rsidRPr="00801718">
        <w:rPr>
          <w:rFonts w:ascii="Arial" w:eastAsia="Arial" w:hAnsi="Arial" w:cs="Arial"/>
          <w:sz w:val="22"/>
          <w:szCs w:val="22"/>
        </w:rPr>
        <w:t>recognise</w:t>
      </w:r>
      <w:proofErr w:type="spellEnd"/>
      <w:r w:rsidRPr="00801718">
        <w:rPr>
          <w:rFonts w:ascii="Arial" w:eastAsia="Arial" w:hAnsi="Arial" w:cs="Arial"/>
          <w:sz w:val="22"/>
          <w:szCs w:val="22"/>
        </w:rPr>
        <w:t xml:space="preserve"> it’s complications. </w:t>
      </w:r>
      <w:proofErr w:type="spellStart"/>
      <w:r w:rsidRPr="00801718">
        <w:rPr>
          <w:rFonts w:ascii="Arial" w:eastAsia="Arial" w:hAnsi="Arial" w:cs="Arial"/>
          <w:sz w:val="22"/>
          <w:szCs w:val="22"/>
        </w:rPr>
        <w:t>Naeem</w:t>
      </w:r>
      <w:proofErr w:type="spellEnd"/>
      <w:r w:rsidRPr="00801718">
        <w:rPr>
          <w:rFonts w:ascii="Arial" w:eastAsia="Arial" w:hAnsi="Arial" w:cs="Arial"/>
          <w:sz w:val="22"/>
          <w:szCs w:val="22"/>
        </w:rPr>
        <w:t xml:space="preserve"> et al., (2023) propose that representing and communicating the final results of the </w:t>
      </w:r>
      <w:proofErr w:type="spellStart"/>
      <w:r w:rsidRPr="00801718">
        <w:rPr>
          <w:rFonts w:ascii="Arial" w:eastAsia="Arial" w:hAnsi="Arial" w:cs="Arial"/>
          <w:sz w:val="22"/>
          <w:szCs w:val="22"/>
        </w:rPr>
        <w:t>anaysis</w:t>
      </w:r>
      <w:proofErr w:type="spellEnd"/>
      <w:r w:rsidRPr="00801718">
        <w:rPr>
          <w:rFonts w:ascii="Arial" w:eastAsia="Arial" w:hAnsi="Arial" w:cs="Arial"/>
          <w:sz w:val="22"/>
          <w:szCs w:val="22"/>
        </w:rPr>
        <w:t xml:space="preserve"> can cause difficulty in capturing the conceptual essence of research, as biased preconceptions may arise and interfere while identifying themes (Morse et al., 2002). Therefore, to avoid facing any preconception interferences, it’s important to </w:t>
      </w:r>
      <w:proofErr w:type="spellStart"/>
      <w:r w:rsidRPr="00801718">
        <w:rPr>
          <w:rFonts w:ascii="Arial" w:eastAsia="Arial" w:hAnsi="Arial" w:cs="Arial"/>
          <w:sz w:val="22"/>
          <w:szCs w:val="22"/>
        </w:rPr>
        <w:t>analyse</w:t>
      </w:r>
      <w:proofErr w:type="spellEnd"/>
      <w:r w:rsidRPr="00801718">
        <w:rPr>
          <w:rFonts w:ascii="Arial" w:eastAsia="Arial" w:hAnsi="Arial" w:cs="Arial"/>
          <w:sz w:val="22"/>
          <w:szCs w:val="22"/>
        </w:rPr>
        <w:t xml:space="preserve"> data in a precise and consistent manner, and ensure recording, coding, and creating themes is conducted in enough detail to provide future audiences with the recognition of credible research in order to be trustworthy (</w:t>
      </w:r>
      <w:proofErr w:type="spellStart"/>
      <w:r w:rsidRPr="00801718">
        <w:rPr>
          <w:rFonts w:ascii="Arial" w:eastAsia="Arial" w:hAnsi="Arial" w:cs="Arial"/>
          <w:sz w:val="22"/>
          <w:szCs w:val="22"/>
        </w:rPr>
        <w:t>Nowell</w:t>
      </w:r>
      <w:proofErr w:type="spellEnd"/>
      <w:r w:rsidRPr="00801718">
        <w:rPr>
          <w:rFonts w:ascii="Arial" w:eastAsia="Arial" w:hAnsi="Arial" w:cs="Arial"/>
          <w:sz w:val="22"/>
          <w:szCs w:val="22"/>
        </w:rPr>
        <w:t xml:space="preserve"> et al., 2017). To ensure this thorough and trustworthy approach to data analysis is consistent throughout, I will follow Guest (2019) and Caulfield (2023) approach to thematic analysis, stated previously.</w:t>
      </w:r>
    </w:p>
    <w:p w14:paraId="60C19E90" w14:textId="13580D56" w:rsidR="007A6113" w:rsidRPr="00801718" w:rsidRDefault="5D3A0C7E" w:rsidP="00801718">
      <w:pPr>
        <w:spacing w:line="360" w:lineRule="auto"/>
        <w:jc w:val="both"/>
        <w:rPr>
          <w:rFonts w:ascii="Arial" w:eastAsia="Arial" w:hAnsi="Arial" w:cs="Arial"/>
          <w:sz w:val="22"/>
          <w:szCs w:val="22"/>
        </w:rPr>
      </w:pPr>
      <w:r w:rsidRPr="00801718">
        <w:rPr>
          <w:rFonts w:ascii="Arial" w:eastAsia="Arial" w:hAnsi="Arial" w:cs="Arial"/>
          <w:sz w:val="22"/>
          <w:szCs w:val="22"/>
        </w:rPr>
        <w:t>To ensure credibility, I will spend enough time and effort delving into the research context, in relation to the study's purpose.</w:t>
      </w:r>
      <w:r w:rsidR="27503E6E" w:rsidRPr="00801718">
        <w:rPr>
          <w:rFonts w:ascii="Arial" w:eastAsia="Arial" w:hAnsi="Arial" w:cs="Arial"/>
          <w:sz w:val="22"/>
          <w:szCs w:val="22"/>
        </w:rPr>
        <w:t xml:space="preserve"> For the research to be eligibly transferred into a different project I will ensure to maintain sufficient detail and description in regard to the research context, methods and participants, which will provide future readers to assess the relevance and importance of data presentation and analysis within research. Regarding dependability, I will explain in depth how the research was conducted, and how the findings hold relevance, which will support the consistency throughout. </w:t>
      </w:r>
      <w:r w:rsidR="00D0721E" w:rsidRPr="00801718">
        <w:rPr>
          <w:rFonts w:ascii="Arial" w:eastAsia="Arial" w:hAnsi="Arial" w:cs="Arial"/>
          <w:sz w:val="22"/>
          <w:szCs w:val="22"/>
        </w:rPr>
        <w:t>Conformability</w:t>
      </w:r>
      <w:r w:rsidR="27503E6E" w:rsidRPr="00801718">
        <w:rPr>
          <w:rFonts w:ascii="Arial" w:eastAsia="Arial" w:hAnsi="Arial" w:cs="Arial"/>
          <w:sz w:val="22"/>
          <w:szCs w:val="22"/>
        </w:rPr>
        <w:t xml:space="preserve"> of data analysis will be prevalent throughout, through seeking feedback to validate interpretations, diminish biases that may arise, and maintain a formal approach (</w:t>
      </w:r>
      <w:proofErr w:type="spellStart"/>
      <w:r w:rsidR="27503E6E" w:rsidRPr="00801718">
        <w:rPr>
          <w:rFonts w:ascii="Arial" w:eastAsia="Arial" w:hAnsi="Arial" w:cs="Arial"/>
          <w:sz w:val="22"/>
          <w:szCs w:val="22"/>
        </w:rPr>
        <w:t>Shenton</w:t>
      </w:r>
      <w:proofErr w:type="spellEnd"/>
      <w:r w:rsidR="27503E6E" w:rsidRPr="00801718">
        <w:rPr>
          <w:rFonts w:ascii="Arial" w:eastAsia="Arial" w:hAnsi="Arial" w:cs="Arial"/>
          <w:sz w:val="22"/>
          <w:szCs w:val="22"/>
        </w:rPr>
        <w:t>, 2004).</w:t>
      </w:r>
    </w:p>
    <w:p w14:paraId="321159F2" w14:textId="589FA82E" w:rsidR="007A6113" w:rsidRPr="00801718" w:rsidRDefault="6BEAC512" w:rsidP="00801718">
      <w:pPr>
        <w:spacing w:line="360" w:lineRule="auto"/>
        <w:jc w:val="both"/>
        <w:rPr>
          <w:rFonts w:ascii="Arial" w:eastAsia="Arial" w:hAnsi="Arial" w:cs="Arial"/>
          <w:sz w:val="22"/>
          <w:szCs w:val="22"/>
          <w:u w:val="single"/>
        </w:rPr>
      </w:pPr>
      <w:r w:rsidRPr="00801718">
        <w:rPr>
          <w:rFonts w:ascii="Arial" w:eastAsia="Arial" w:hAnsi="Arial" w:cs="Arial"/>
          <w:sz w:val="22"/>
          <w:szCs w:val="22"/>
          <w:u w:val="single"/>
        </w:rPr>
        <w:t>Ethical Considerations</w:t>
      </w:r>
    </w:p>
    <w:p w14:paraId="1D96171C" w14:textId="1B38EE95" w:rsidR="007A6113" w:rsidRPr="00801718" w:rsidRDefault="1C18F5E9" w:rsidP="00801718">
      <w:pPr>
        <w:spacing w:line="360" w:lineRule="auto"/>
        <w:jc w:val="both"/>
        <w:rPr>
          <w:rFonts w:ascii="Arial" w:eastAsia="Arial" w:hAnsi="Arial" w:cs="Arial"/>
          <w:sz w:val="22"/>
          <w:szCs w:val="22"/>
        </w:rPr>
      </w:pPr>
      <w:r w:rsidRPr="00801718">
        <w:rPr>
          <w:rFonts w:ascii="Arial" w:eastAsia="Arial" w:hAnsi="Arial" w:cs="Arial"/>
          <w:sz w:val="22"/>
          <w:szCs w:val="22"/>
        </w:rPr>
        <w:t>When conducting this research, ethical considerations will be followed</w:t>
      </w:r>
      <w:r w:rsidR="00422B34" w:rsidRPr="00801718">
        <w:rPr>
          <w:rFonts w:ascii="Arial" w:eastAsia="Arial" w:hAnsi="Arial" w:cs="Arial"/>
          <w:sz w:val="22"/>
          <w:szCs w:val="22"/>
        </w:rPr>
        <w:t xml:space="preserve"> (appendix 3)</w:t>
      </w:r>
      <w:r w:rsidRPr="00801718">
        <w:rPr>
          <w:rFonts w:ascii="Arial" w:eastAsia="Arial" w:hAnsi="Arial" w:cs="Arial"/>
          <w:sz w:val="22"/>
          <w:szCs w:val="22"/>
        </w:rPr>
        <w:t xml:space="preserve">. When conducting research that involves children, I will follow the United Nations Convention on the Rights of the Child (UNCRC) that grants children with the right to privacy, have their wishes known, listened to, and respected, whilst ensuring that the children and their rights are safeguarded (Clark, 2005). Throughout the research project, I will focus on and follow ethical guidelines for educational research, provided by British Educational Research Association (BERA), where ethical decisions are active and ongoing in assessing and reassessing situations </w:t>
      </w:r>
      <w:r w:rsidRPr="00801718">
        <w:rPr>
          <w:rFonts w:ascii="Arial" w:eastAsia="Arial" w:hAnsi="Arial" w:cs="Arial"/>
          <w:sz w:val="22"/>
          <w:szCs w:val="22"/>
        </w:rPr>
        <w:lastRenderedPageBreak/>
        <w:t>and issues as they may arise. I will also adhere to the University of Wales Trinity St David (UWTSD) code of ethics and research standards, and standards of good practice.</w:t>
      </w:r>
    </w:p>
    <w:p w14:paraId="2D7A5F68" w14:textId="0CD92338" w:rsidR="007A6113" w:rsidRPr="00801718" w:rsidRDefault="1C18F5E9" w:rsidP="00801718">
      <w:pPr>
        <w:spacing w:line="360" w:lineRule="auto"/>
        <w:jc w:val="both"/>
        <w:rPr>
          <w:rFonts w:ascii="Arial" w:eastAsia="Arial" w:hAnsi="Arial" w:cs="Arial"/>
          <w:sz w:val="22"/>
          <w:szCs w:val="22"/>
        </w:rPr>
      </w:pPr>
      <w:r w:rsidRPr="00801718">
        <w:rPr>
          <w:rFonts w:ascii="Arial" w:eastAsia="Arial" w:hAnsi="Arial" w:cs="Arial"/>
          <w:sz w:val="22"/>
          <w:szCs w:val="22"/>
        </w:rPr>
        <w:t xml:space="preserve">To </w:t>
      </w:r>
      <w:proofErr w:type="spellStart"/>
      <w:r w:rsidRPr="00801718">
        <w:rPr>
          <w:rFonts w:ascii="Arial" w:eastAsia="Arial" w:hAnsi="Arial" w:cs="Arial"/>
          <w:sz w:val="22"/>
          <w:szCs w:val="22"/>
        </w:rPr>
        <w:t>prioritise</w:t>
      </w:r>
      <w:proofErr w:type="spellEnd"/>
      <w:r w:rsidRPr="00801718">
        <w:rPr>
          <w:rFonts w:ascii="Arial" w:eastAsia="Arial" w:hAnsi="Arial" w:cs="Arial"/>
          <w:sz w:val="22"/>
          <w:szCs w:val="22"/>
        </w:rPr>
        <w:t xml:space="preserve"> anonymity, when creating the transcript of the audio recorded discussion, I will not use any names, and refer to the children by, for example, ‘Child </w:t>
      </w:r>
      <w:r w:rsidR="12E797AB" w:rsidRPr="00801718">
        <w:rPr>
          <w:rFonts w:ascii="Arial" w:eastAsia="Arial" w:hAnsi="Arial" w:cs="Arial"/>
          <w:sz w:val="22"/>
          <w:szCs w:val="22"/>
        </w:rPr>
        <w:t>1</w:t>
      </w:r>
      <w:r w:rsidRPr="00801718">
        <w:rPr>
          <w:rFonts w:ascii="Arial" w:eastAsia="Arial" w:hAnsi="Arial" w:cs="Arial"/>
          <w:sz w:val="22"/>
          <w:szCs w:val="22"/>
        </w:rPr>
        <w:t>’</w:t>
      </w:r>
      <w:r w:rsidR="273DB988" w:rsidRPr="00801718">
        <w:rPr>
          <w:rFonts w:ascii="Arial" w:eastAsia="Arial" w:hAnsi="Arial" w:cs="Arial"/>
          <w:sz w:val="22"/>
          <w:szCs w:val="22"/>
        </w:rPr>
        <w:t xml:space="preserve"> (appendix 1)</w:t>
      </w:r>
      <w:r w:rsidRPr="00801718">
        <w:rPr>
          <w:rFonts w:ascii="Arial" w:eastAsia="Arial" w:hAnsi="Arial" w:cs="Arial"/>
          <w:sz w:val="22"/>
          <w:szCs w:val="22"/>
        </w:rPr>
        <w:t xml:space="preserve">. Following the marking of this research project I will delete the audio recording. Only I will have access to the raw data, and all data will be encrypted and stored in password safe cloud storage on the University Office 365 system which will not be shared. No USB sticks will be used, and data transferred will be password protected, to ensure confidentiality. </w:t>
      </w:r>
    </w:p>
    <w:p w14:paraId="63638A44" w14:textId="611A5F3E" w:rsidR="007A6113" w:rsidRPr="00801718" w:rsidRDefault="1C18F5E9" w:rsidP="00801718">
      <w:pPr>
        <w:spacing w:line="360" w:lineRule="auto"/>
        <w:jc w:val="both"/>
        <w:rPr>
          <w:rFonts w:ascii="Arial" w:eastAsia="Arial" w:hAnsi="Arial" w:cs="Arial"/>
          <w:sz w:val="22"/>
          <w:szCs w:val="22"/>
        </w:rPr>
      </w:pPr>
      <w:r w:rsidRPr="00801718">
        <w:rPr>
          <w:rFonts w:ascii="Arial" w:eastAsia="Arial" w:hAnsi="Arial" w:cs="Arial"/>
          <w:sz w:val="22"/>
          <w:szCs w:val="22"/>
        </w:rPr>
        <w:t xml:space="preserve">Consent procedures will be followed to ensure that all relevant stakeholders, including schools, parents/guardians, and children, are fully informed and have given their consent prior to participation Gaining pupil assent in an educational setting in research is crucial for ethical and effective interaction. Using age-appropriate language, I will explain the research purpose, provide clear and concise information about what will be expected of them, whilst respecting autonomy by providing them with the option to decline participation without consequence and make it clear that they can withdraw at any time. I will foster a safe environment for both the pupil/pupils and I, where visibility is clear. </w:t>
      </w:r>
    </w:p>
    <w:p w14:paraId="6EBC0A58" w14:textId="39380564" w:rsidR="007A6113" w:rsidRPr="00801718" w:rsidRDefault="00D0721E" w:rsidP="00801718">
      <w:pPr>
        <w:spacing w:line="360" w:lineRule="auto"/>
        <w:jc w:val="both"/>
        <w:rPr>
          <w:rFonts w:ascii="Arial" w:eastAsia="Arial" w:hAnsi="Arial" w:cs="Arial"/>
          <w:sz w:val="22"/>
          <w:szCs w:val="22"/>
        </w:rPr>
      </w:pPr>
      <w:r w:rsidRPr="00801718">
        <w:rPr>
          <w:rFonts w:ascii="Arial" w:eastAsia="Arial" w:hAnsi="Arial" w:cs="Arial"/>
          <w:sz w:val="22"/>
          <w:szCs w:val="22"/>
        </w:rPr>
        <w:t>An information sheet and consent form (appendix 2) was</w:t>
      </w:r>
      <w:r w:rsidR="1C18F5E9" w:rsidRPr="00801718">
        <w:rPr>
          <w:rFonts w:ascii="Arial" w:eastAsia="Arial" w:hAnsi="Arial" w:cs="Arial"/>
          <w:sz w:val="22"/>
          <w:szCs w:val="22"/>
        </w:rPr>
        <w:t xml:space="preserve"> provided to the parents/guardians of all children within the class. Information such as project aim, research method, and allocated signature area, were presented on these sheets. Consent forms were signed by a parent/guardian and handed to me over the week, which provided me with pupil assent. Regarding pupil consent, I offered children the chance to participate in an interview during assembly time, so that learning was not disrupted, and this was agreed to by all. Prior to the interview, using age-appropriate language, I expressed that the children could stop participating at any time they requested</w:t>
      </w:r>
      <w:r w:rsidR="1ED1CE68" w:rsidRPr="00801718">
        <w:rPr>
          <w:rFonts w:ascii="Arial" w:eastAsia="Arial" w:hAnsi="Arial" w:cs="Arial"/>
          <w:sz w:val="22"/>
          <w:szCs w:val="22"/>
        </w:rPr>
        <w:t xml:space="preserve"> (appendix 1)</w:t>
      </w:r>
    </w:p>
    <w:p w14:paraId="3FABB0AD" w14:textId="60FE9D13" w:rsidR="007A6113" w:rsidRPr="00801718" w:rsidRDefault="080C3278" w:rsidP="00801718">
      <w:pPr>
        <w:spacing w:line="360" w:lineRule="auto"/>
        <w:jc w:val="both"/>
        <w:rPr>
          <w:rFonts w:ascii="Arial" w:eastAsia="Arial" w:hAnsi="Arial" w:cs="Arial"/>
          <w:sz w:val="22"/>
          <w:szCs w:val="22"/>
          <w:u w:val="single"/>
        </w:rPr>
      </w:pPr>
      <w:r w:rsidRPr="00801718">
        <w:rPr>
          <w:rFonts w:ascii="Arial" w:eastAsia="Arial" w:hAnsi="Arial" w:cs="Arial"/>
          <w:sz w:val="22"/>
          <w:szCs w:val="22"/>
          <w:u w:val="single"/>
        </w:rPr>
        <w:t>Results</w:t>
      </w:r>
    </w:p>
    <w:p w14:paraId="71E26554" w14:textId="5E6E1F58" w:rsidR="007A6113" w:rsidRPr="00801718" w:rsidRDefault="080C3278" w:rsidP="00801718">
      <w:pPr>
        <w:spacing w:line="360" w:lineRule="auto"/>
        <w:jc w:val="both"/>
        <w:rPr>
          <w:rFonts w:ascii="Arial" w:eastAsia="Arial" w:hAnsi="Arial" w:cs="Arial"/>
          <w:sz w:val="22"/>
          <w:szCs w:val="22"/>
        </w:rPr>
      </w:pPr>
      <w:r w:rsidRPr="00801718">
        <w:rPr>
          <w:rFonts w:ascii="Arial" w:eastAsia="Arial" w:hAnsi="Arial" w:cs="Arial"/>
          <w:sz w:val="22"/>
          <w:szCs w:val="22"/>
        </w:rPr>
        <w:t>Data was collected through interviews conducted with a focus group comprising five children representing diverse ability levels, genders, and ethnic backgrounds. In summation, the insights garnered from this focus group interview offer valuable perspectives on the interplay of peer interactions and their impact on the learning experiences of children. As a diverse range of preferences and experiences were discovered, in relation to the classroom these findings are important as understanding these dynamics can inform educators' approaches to fostering positive learning environments that cater to the diverse needs and preferences of students.</w:t>
      </w:r>
    </w:p>
    <w:p w14:paraId="252B891B" w14:textId="65AE2641" w:rsidR="007A6113" w:rsidRPr="00801718" w:rsidRDefault="080C3278" w:rsidP="00801718">
      <w:pPr>
        <w:spacing w:line="360" w:lineRule="auto"/>
        <w:jc w:val="both"/>
        <w:rPr>
          <w:rFonts w:ascii="Arial" w:eastAsia="Arial" w:hAnsi="Arial" w:cs="Arial"/>
          <w:sz w:val="22"/>
          <w:szCs w:val="22"/>
        </w:rPr>
      </w:pPr>
      <w:r w:rsidRPr="00801718">
        <w:rPr>
          <w:rFonts w:ascii="Arial" w:eastAsia="Arial" w:hAnsi="Arial" w:cs="Arial"/>
          <w:sz w:val="22"/>
          <w:szCs w:val="22"/>
        </w:rPr>
        <w:lastRenderedPageBreak/>
        <w:t xml:space="preserve">Within appendix 1, a common theme that arose was that the effects of having a learning partner varies, as some children support learning better than others, which may suggest the effects of mixed ability grouping, and being paired with a child who may be of lower ability in comparison to themselves. Findings here, relate to Byers et al., (2004) who found that children </w:t>
      </w:r>
      <w:proofErr w:type="spellStart"/>
      <w:r w:rsidRPr="00801718">
        <w:rPr>
          <w:rFonts w:ascii="Arial" w:eastAsia="Arial" w:hAnsi="Arial" w:cs="Arial"/>
          <w:sz w:val="22"/>
          <w:szCs w:val="22"/>
        </w:rPr>
        <w:t>favoured</w:t>
      </w:r>
      <w:proofErr w:type="spellEnd"/>
      <w:r w:rsidRPr="00801718">
        <w:rPr>
          <w:rFonts w:ascii="Arial" w:eastAsia="Arial" w:hAnsi="Arial" w:cs="Arial"/>
          <w:sz w:val="22"/>
          <w:szCs w:val="22"/>
        </w:rPr>
        <w:t xml:space="preserve"> homogenous grouping in the classroom in comparison to </w:t>
      </w:r>
      <w:r w:rsidR="00D0721E" w:rsidRPr="00801718">
        <w:rPr>
          <w:rFonts w:ascii="Arial" w:eastAsia="Arial" w:hAnsi="Arial" w:cs="Arial"/>
          <w:sz w:val="22"/>
          <w:szCs w:val="22"/>
        </w:rPr>
        <w:t>heterogeneous</w:t>
      </w:r>
      <w:r w:rsidRPr="00801718">
        <w:rPr>
          <w:rFonts w:ascii="Arial" w:eastAsia="Arial" w:hAnsi="Arial" w:cs="Arial"/>
          <w:sz w:val="22"/>
          <w:szCs w:val="22"/>
        </w:rPr>
        <w:t>, in topic of their academic progress. This study resonates with the findings of Byers et al. (2004), as participants in both investigations favored homogeneous grouping for its perceived benefits to academic progress. However, they also recognized its limitations in promoting social diversity. Conversely, heterogeneous grouping was seen as fostering a diverse range of social groups and skills, although it was perceived as less supportive of academic development. Combining both findings and research, they align with the proposal of the social learning theory, which suggests that children acquire knowledge and behaviors through observation and interaction with their social environment (Evans, 2024).</w:t>
      </w:r>
    </w:p>
    <w:p w14:paraId="480CC1FB" w14:textId="2B0BED1C" w:rsidR="007A6113" w:rsidRPr="00801718" w:rsidRDefault="080C3278" w:rsidP="00801718">
      <w:pPr>
        <w:shd w:val="clear" w:color="auto" w:fill="FFFFFF" w:themeFill="background1"/>
        <w:spacing w:after="0" w:line="360" w:lineRule="auto"/>
        <w:jc w:val="both"/>
        <w:rPr>
          <w:rFonts w:ascii="Arial" w:eastAsia="Arial" w:hAnsi="Arial" w:cs="Arial"/>
          <w:sz w:val="22"/>
          <w:szCs w:val="22"/>
        </w:rPr>
      </w:pPr>
      <w:r w:rsidRPr="00801718">
        <w:rPr>
          <w:rFonts w:ascii="Arial" w:eastAsia="Arial" w:hAnsi="Arial" w:cs="Arial"/>
          <w:sz w:val="22"/>
          <w:szCs w:val="22"/>
        </w:rPr>
        <w:t xml:space="preserve">The themes highlight varying levels of support for learning among children as it became evident as participants </w:t>
      </w:r>
      <w:proofErr w:type="spellStart"/>
      <w:r w:rsidRPr="00801718">
        <w:rPr>
          <w:rFonts w:ascii="Arial" w:eastAsia="Arial" w:hAnsi="Arial" w:cs="Arial"/>
          <w:sz w:val="22"/>
          <w:szCs w:val="22"/>
        </w:rPr>
        <w:t>emphasised</w:t>
      </w:r>
      <w:proofErr w:type="spellEnd"/>
      <w:r w:rsidRPr="00801718">
        <w:rPr>
          <w:rFonts w:ascii="Arial" w:eastAsia="Arial" w:hAnsi="Arial" w:cs="Arial"/>
          <w:sz w:val="22"/>
          <w:szCs w:val="22"/>
        </w:rPr>
        <w:t xml:space="preserve"> the significance of accessing a diverse range of knowledge and assistance from their peers. Though the negative effects of being seated next to a child whom may be of lower ability in comparison to self, instances were reflected upon of where children helped and assisted others in the class, which provides evidence through research that some children have a willingness to their peers with lower abilities, although with potential adverse effects on their own knowledge advancement, stated by Canton, (2021), similarly to Byers et al., (2004). These findings also parallel those of </w:t>
      </w:r>
      <w:proofErr w:type="spellStart"/>
      <w:r w:rsidRPr="00801718">
        <w:rPr>
          <w:rFonts w:ascii="Arial" w:eastAsia="Arial" w:hAnsi="Arial" w:cs="Arial"/>
          <w:sz w:val="22"/>
          <w:szCs w:val="22"/>
        </w:rPr>
        <w:t>Ofsted</w:t>
      </w:r>
      <w:proofErr w:type="spellEnd"/>
      <w:r w:rsidRPr="00801718">
        <w:rPr>
          <w:rFonts w:ascii="Arial" w:eastAsia="Arial" w:hAnsi="Arial" w:cs="Arial"/>
          <w:sz w:val="22"/>
          <w:szCs w:val="22"/>
        </w:rPr>
        <w:t xml:space="preserve"> (2013), which highlighted that children labeled as 'more able and talented' often weren't sufficiently challenged to advance their academic development. This resonates with our study, where children discussed their perspectives on being grouped with peers perceived as 'lower ability,' expressing concerns about their own limited opportunities for advancement and instead focusing on providing support to their peers, potentially hindering their ability to reach their full potential. This also raises concerns regarding the discrepancy in the level of assistance offered by various peers, prompting inquiries into the effectiveness of social learning theory in promoting academic development within this specific context.</w:t>
      </w:r>
    </w:p>
    <w:p w14:paraId="304BF666" w14:textId="1C28A952" w:rsidR="007A6113" w:rsidRPr="00801718" w:rsidRDefault="007A6113" w:rsidP="00801718">
      <w:pPr>
        <w:shd w:val="clear" w:color="auto" w:fill="FFFFFF" w:themeFill="background1"/>
        <w:spacing w:after="0" w:line="360" w:lineRule="auto"/>
        <w:jc w:val="both"/>
        <w:rPr>
          <w:rFonts w:ascii="Arial" w:eastAsia="Arial" w:hAnsi="Arial" w:cs="Arial"/>
          <w:sz w:val="22"/>
          <w:szCs w:val="22"/>
        </w:rPr>
      </w:pPr>
    </w:p>
    <w:p w14:paraId="6BE29F78" w14:textId="47BE3A2B" w:rsidR="007A6113" w:rsidRPr="00801718" w:rsidRDefault="080C3278" w:rsidP="00801718">
      <w:pPr>
        <w:spacing w:line="360" w:lineRule="auto"/>
        <w:jc w:val="both"/>
        <w:rPr>
          <w:rFonts w:ascii="Arial" w:eastAsia="Arial" w:hAnsi="Arial" w:cs="Arial"/>
          <w:sz w:val="22"/>
          <w:szCs w:val="22"/>
        </w:rPr>
      </w:pPr>
      <w:r w:rsidRPr="00801718">
        <w:rPr>
          <w:rFonts w:ascii="Arial" w:eastAsia="Arial" w:hAnsi="Arial" w:cs="Arial"/>
          <w:sz w:val="22"/>
          <w:szCs w:val="22"/>
        </w:rPr>
        <w:t xml:space="preserve">In regard to group work opportunities, children expressed diverse attitudes. It was discovered that some children perceived benefits in both ability and mixed grouping. For instance, they appreciated the ease of collaboration and the opportunities for learning that come with interacting with peers who possess similar expertise (heterogeneous grouping). Similarly, they </w:t>
      </w:r>
      <w:r w:rsidRPr="00801718">
        <w:rPr>
          <w:rFonts w:ascii="Arial" w:eastAsia="Arial" w:hAnsi="Arial" w:cs="Arial"/>
          <w:sz w:val="22"/>
          <w:szCs w:val="22"/>
        </w:rPr>
        <w:lastRenderedPageBreak/>
        <w:t xml:space="preserve">acknowledged the value of being in a group with a diverse range of skills, perceptions, and abilities (homogeneous grouping). However, when considering the practicality of group work within classroom, concerns were raised regarding noise levels and feeling overwhelmed in larger group settings. Despite these challenges, the children </w:t>
      </w:r>
      <w:proofErr w:type="spellStart"/>
      <w:r w:rsidRPr="00801718">
        <w:rPr>
          <w:rFonts w:ascii="Arial" w:eastAsia="Arial" w:hAnsi="Arial" w:cs="Arial"/>
          <w:sz w:val="22"/>
          <w:szCs w:val="22"/>
        </w:rPr>
        <w:t>recognised</w:t>
      </w:r>
      <w:proofErr w:type="spellEnd"/>
      <w:r w:rsidRPr="00801718">
        <w:rPr>
          <w:rFonts w:ascii="Arial" w:eastAsia="Arial" w:hAnsi="Arial" w:cs="Arial"/>
          <w:sz w:val="22"/>
          <w:szCs w:val="22"/>
        </w:rPr>
        <w:t xml:space="preserve"> the benefits of grouping, such as providing opportunities for collaboration and receiving assistance from multiple peers.</w:t>
      </w:r>
    </w:p>
    <w:p w14:paraId="7D92BA2B" w14:textId="427C152F" w:rsidR="007A6113" w:rsidRPr="00801718" w:rsidRDefault="080C3278" w:rsidP="00801718">
      <w:pPr>
        <w:spacing w:line="360" w:lineRule="auto"/>
        <w:jc w:val="both"/>
        <w:rPr>
          <w:rFonts w:ascii="Arial" w:eastAsia="Arial" w:hAnsi="Arial" w:cs="Arial"/>
          <w:sz w:val="22"/>
          <w:szCs w:val="22"/>
        </w:rPr>
      </w:pPr>
      <w:r w:rsidRPr="00801718">
        <w:rPr>
          <w:rFonts w:ascii="Arial" w:eastAsia="Arial" w:hAnsi="Arial" w:cs="Arial"/>
          <w:sz w:val="22"/>
          <w:szCs w:val="22"/>
        </w:rPr>
        <w:t>Overall, by listening to and acting upon students' preferences, challenges, and needs, educators can create a more responsive and inclusive learning environment that fosters student engagement, motivation, and academic success. By aligning these efforts with the principles of autonomy outlined in the Welsh Government guidelines, educators can ensure that curriculum development reflects the unique needs and aspirations of students in Wales (Welsh Government, 2023).</w:t>
      </w:r>
    </w:p>
    <w:p w14:paraId="67423435" w14:textId="47EB822B" w:rsidR="007A6113" w:rsidRPr="00801718" w:rsidRDefault="303AAA54" w:rsidP="00801718">
      <w:pPr>
        <w:spacing w:line="360" w:lineRule="auto"/>
        <w:jc w:val="both"/>
        <w:rPr>
          <w:rFonts w:ascii="Arial" w:eastAsia="Arial" w:hAnsi="Arial" w:cs="Arial"/>
          <w:sz w:val="22"/>
          <w:szCs w:val="22"/>
          <w:u w:val="single"/>
        </w:rPr>
      </w:pPr>
      <w:r w:rsidRPr="00801718">
        <w:rPr>
          <w:rFonts w:ascii="Arial" w:eastAsia="Arial" w:hAnsi="Arial" w:cs="Arial"/>
          <w:sz w:val="22"/>
          <w:szCs w:val="22"/>
          <w:u w:val="single"/>
        </w:rPr>
        <w:t xml:space="preserve">Conclusion and </w:t>
      </w:r>
      <w:r w:rsidR="00D0721E" w:rsidRPr="00801718">
        <w:rPr>
          <w:rFonts w:ascii="Arial" w:eastAsia="Arial" w:hAnsi="Arial" w:cs="Arial"/>
          <w:sz w:val="22"/>
          <w:szCs w:val="22"/>
          <w:u w:val="single"/>
        </w:rPr>
        <w:t>Recommendations</w:t>
      </w:r>
    </w:p>
    <w:p w14:paraId="71DBCB7C" w14:textId="1C375F10" w:rsidR="007A6113" w:rsidRPr="00801718" w:rsidRDefault="303AAA54" w:rsidP="00801718">
      <w:pPr>
        <w:spacing w:line="360" w:lineRule="auto"/>
        <w:jc w:val="both"/>
        <w:rPr>
          <w:rFonts w:ascii="Arial" w:eastAsia="Arial" w:hAnsi="Arial" w:cs="Arial"/>
          <w:sz w:val="22"/>
          <w:szCs w:val="22"/>
        </w:rPr>
      </w:pPr>
      <w:r w:rsidRPr="00801718">
        <w:rPr>
          <w:rFonts w:ascii="Arial" w:eastAsia="Arial" w:hAnsi="Arial" w:cs="Arial"/>
          <w:sz w:val="22"/>
          <w:szCs w:val="22"/>
        </w:rPr>
        <w:t xml:space="preserve">The data method collection (recording and reporting teaching standard), through interview, was tailored well to the age and abilities of the children, although, in future practice, it may be more beneficial to </w:t>
      </w:r>
      <w:proofErr w:type="spellStart"/>
      <w:r w:rsidR="00801718">
        <w:rPr>
          <w:rFonts w:ascii="Arial" w:eastAsia="Arial" w:hAnsi="Arial" w:cs="Arial"/>
          <w:sz w:val="22"/>
          <w:szCs w:val="22"/>
        </w:rPr>
        <w:t>summaris</w:t>
      </w:r>
      <w:r w:rsidR="00801718" w:rsidRPr="00801718">
        <w:rPr>
          <w:rFonts w:ascii="Arial" w:eastAsia="Arial" w:hAnsi="Arial" w:cs="Arial"/>
          <w:sz w:val="22"/>
          <w:szCs w:val="22"/>
        </w:rPr>
        <w:t>e</w:t>
      </w:r>
      <w:proofErr w:type="spellEnd"/>
      <w:r w:rsidRPr="00801718">
        <w:rPr>
          <w:rFonts w:ascii="Arial" w:eastAsia="Arial" w:hAnsi="Arial" w:cs="Arial"/>
          <w:sz w:val="22"/>
          <w:szCs w:val="22"/>
        </w:rPr>
        <w:t xml:space="preserve"> the questions into a smaller amount, </w:t>
      </w:r>
      <w:r w:rsidR="094E48FB" w:rsidRPr="00801718">
        <w:rPr>
          <w:rFonts w:ascii="Arial" w:eastAsia="Arial" w:hAnsi="Arial" w:cs="Arial"/>
          <w:sz w:val="22"/>
          <w:szCs w:val="22"/>
        </w:rPr>
        <w:t>as the interview process exceeded the anticipated duration, it became evident that more time was required than initially planned.</w:t>
      </w:r>
      <w:r w:rsidRPr="00801718">
        <w:rPr>
          <w:rFonts w:ascii="Arial" w:eastAsia="Arial" w:hAnsi="Arial" w:cs="Arial"/>
          <w:sz w:val="22"/>
          <w:szCs w:val="22"/>
        </w:rPr>
        <w:t xml:space="preserve"> Interview training was not necessary within this context, as the children were familiar with me, therefore there was no issue regarding expression or comfort. Although, interview training may be a benefit to have, if faced with the context again, for self-responsibility and skill development. The use of open and closed-ended questioning around perspectives and </w:t>
      </w:r>
      <w:r w:rsidR="3AF3B635" w:rsidRPr="00801718">
        <w:rPr>
          <w:rFonts w:ascii="Arial" w:eastAsia="Arial" w:hAnsi="Arial" w:cs="Arial"/>
          <w:sz w:val="22"/>
          <w:szCs w:val="22"/>
        </w:rPr>
        <w:t>feelings</w:t>
      </w:r>
      <w:r w:rsidRPr="00801718">
        <w:rPr>
          <w:rFonts w:ascii="Arial" w:eastAsia="Arial" w:hAnsi="Arial" w:cs="Arial"/>
          <w:sz w:val="22"/>
          <w:szCs w:val="22"/>
        </w:rPr>
        <w:t xml:space="preserve"> was a success in allowing children to </w:t>
      </w:r>
      <w:r w:rsidR="17760501" w:rsidRPr="00801718">
        <w:rPr>
          <w:rFonts w:ascii="Arial" w:eastAsia="Arial" w:hAnsi="Arial" w:cs="Arial"/>
          <w:sz w:val="22"/>
          <w:szCs w:val="22"/>
        </w:rPr>
        <w:t>express themselves</w:t>
      </w:r>
      <w:r w:rsidRPr="00801718">
        <w:rPr>
          <w:rFonts w:ascii="Arial" w:eastAsia="Arial" w:hAnsi="Arial" w:cs="Arial"/>
          <w:sz w:val="22"/>
          <w:szCs w:val="22"/>
        </w:rPr>
        <w:t xml:space="preserve"> freely, with no lead to specific responses. Moving forward, children may have benefited from more closed questions, for quick</w:t>
      </w:r>
      <w:r w:rsidR="6A12F283" w:rsidRPr="00801718">
        <w:rPr>
          <w:rFonts w:ascii="Arial" w:eastAsia="Arial" w:hAnsi="Arial" w:cs="Arial"/>
          <w:sz w:val="22"/>
          <w:szCs w:val="22"/>
        </w:rPr>
        <w:t>er</w:t>
      </w:r>
      <w:r w:rsidRPr="00801718">
        <w:rPr>
          <w:rFonts w:ascii="Arial" w:eastAsia="Arial" w:hAnsi="Arial" w:cs="Arial"/>
          <w:sz w:val="22"/>
          <w:szCs w:val="22"/>
        </w:rPr>
        <w:t xml:space="preserve"> responses and more ease in data analysis. While this study primarily focused on gaining children's perspectives within the educational context, the depth of insight could have been enhanced through the inclusion of staff perspectives. Engaging staff members in discussions regarding their viewpoints on instructional practices and their perceived influence on learning outcomes could have provided a more comprehensive understanding. The heterogeneity within the focus group of children, was </w:t>
      </w:r>
      <w:proofErr w:type="spellStart"/>
      <w:r w:rsidR="00D0721E" w:rsidRPr="00801718">
        <w:rPr>
          <w:rFonts w:ascii="Arial" w:eastAsia="Arial" w:hAnsi="Arial" w:cs="Arial"/>
          <w:sz w:val="22"/>
          <w:szCs w:val="22"/>
        </w:rPr>
        <w:t>characterised</w:t>
      </w:r>
      <w:proofErr w:type="spellEnd"/>
      <w:r w:rsidRPr="00801718">
        <w:rPr>
          <w:rFonts w:ascii="Arial" w:eastAsia="Arial" w:hAnsi="Arial" w:cs="Arial"/>
          <w:sz w:val="22"/>
          <w:szCs w:val="22"/>
        </w:rPr>
        <w:t xml:space="preserve"> by a diversity of cognitive abilities, facilitated a broad range of perspectives towards the phenomenon. While this composition rich opinions and insights, it is acknowledged that altering the sample size and adopting smaller questioning techniques could have potentially yielded more in-depth reflections, particularly across varying levels of cognitive abilities.</w:t>
      </w:r>
    </w:p>
    <w:p w14:paraId="2194196C" w14:textId="5FA2CEEC" w:rsidR="007A6113" w:rsidRPr="00801718" w:rsidRDefault="303AAA54" w:rsidP="00801718">
      <w:pPr>
        <w:spacing w:line="360" w:lineRule="auto"/>
        <w:jc w:val="both"/>
        <w:rPr>
          <w:rFonts w:ascii="Arial" w:eastAsia="Arial" w:hAnsi="Arial" w:cs="Arial"/>
          <w:sz w:val="22"/>
          <w:szCs w:val="22"/>
        </w:rPr>
      </w:pPr>
      <w:r w:rsidRPr="00801718">
        <w:rPr>
          <w:rFonts w:ascii="Arial" w:eastAsia="Arial" w:hAnsi="Arial" w:cs="Arial"/>
          <w:sz w:val="22"/>
          <w:szCs w:val="22"/>
        </w:rPr>
        <w:lastRenderedPageBreak/>
        <w:t xml:space="preserve">In light of this research, it has placed emphasis on the fact that not all children perceive and think the same way about how their learning is supported, in relation to teacher practice (grouping choices) and diverse peer support. It is therefore of great importance to listen to learners (professional standard) and consider ways in which they believe that their learning can be best supported, which is now doable in the autonomy that has risen in the new curriculum in Wales (Welsh Government, 2023). </w:t>
      </w:r>
    </w:p>
    <w:p w14:paraId="7228EC60" w14:textId="7130619A" w:rsidR="007A6113" w:rsidRPr="00801718" w:rsidRDefault="303AAA54" w:rsidP="00801718">
      <w:pPr>
        <w:spacing w:line="360" w:lineRule="auto"/>
        <w:jc w:val="both"/>
        <w:rPr>
          <w:rFonts w:ascii="Arial" w:eastAsia="Arial" w:hAnsi="Arial" w:cs="Arial"/>
          <w:sz w:val="22"/>
          <w:szCs w:val="22"/>
        </w:rPr>
      </w:pPr>
      <w:r w:rsidRPr="00801718">
        <w:rPr>
          <w:rFonts w:ascii="Arial" w:eastAsia="Arial" w:hAnsi="Arial" w:cs="Arial"/>
          <w:sz w:val="22"/>
          <w:szCs w:val="22"/>
        </w:rPr>
        <w:t xml:space="preserve">Overall, this research has found sufficient evidence in relation to </w:t>
      </w:r>
      <w:r w:rsidR="27A374B9" w:rsidRPr="00801718">
        <w:rPr>
          <w:rFonts w:ascii="Arial" w:eastAsia="Arial" w:hAnsi="Arial" w:cs="Arial"/>
          <w:sz w:val="22"/>
          <w:szCs w:val="22"/>
        </w:rPr>
        <w:t>children's</w:t>
      </w:r>
      <w:r w:rsidRPr="00801718">
        <w:rPr>
          <w:rFonts w:ascii="Arial" w:eastAsia="Arial" w:hAnsi="Arial" w:cs="Arial"/>
          <w:sz w:val="22"/>
          <w:szCs w:val="22"/>
        </w:rPr>
        <w:t xml:space="preserve"> views on how they believe their learning to be impacted by their peers and their environment. </w:t>
      </w:r>
      <w:r w:rsidR="208CD991" w:rsidRPr="00801718">
        <w:rPr>
          <w:rFonts w:ascii="Arial" w:eastAsia="Arial" w:hAnsi="Arial" w:cs="Arial"/>
          <w:sz w:val="22"/>
          <w:szCs w:val="22"/>
        </w:rPr>
        <w:t>Moving forward, these findings may support the setting in which research took place, in how they can create an environment that supports all children's needs and abilities.</w:t>
      </w:r>
      <w:r w:rsidRPr="00801718">
        <w:rPr>
          <w:rFonts w:ascii="Arial" w:eastAsia="Arial" w:hAnsi="Arial" w:cs="Arial"/>
          <w:sz w:val="22"/>
          <w:szCs w:val="22"/>
        </w:rPr>
        <w:t xml:space="preserve"> Specifically, it offers overall valuable insights into the mechanisms by which educational settings can be tailored to accommodate the diverse needs and capabilities of all children.</w:t>
      </w:r>
    </w:p>
    <w:p w14:paraId="1B37C14B" w14:textId="0007E781" w:rsidR="007A6113" w:rsidRPr="00801718" w:rsidRDefault="7A96CA20" w:rsidP="00801718">
      <w:pPr>
        <w:spacing w:line="360" w:lineRule="auto"/>
        <w:jc w:val="both"/>
        <w:rPr>
          <w:rFonts w:ascii="Arial" w:eastAsia="Aptos" w:hAnsi="Arial" w:cs="Arial"/>
          <w:color w:val="000000" w:themeColor="text1"/>
          <w:sz w:val="22"/>
          <w:szCs w:val="22"/>
          <w:u w:val="single"/>
        </w:rPr>
      </w:pPr>
      <w:r w:rsidRPr="00801718">
        <w:rPr>
          <w:rFonts w:ascii="Arial" w:eastAsia="Aptos" w:hAnsi="Arial" w:cs="Arial"/>
          <w:color w:val="000000" w:themeColor="text1"/>
          <w:sz w:val="22"/>
          <w:szCs w:val="22"/>
          <w:u w:val="single"/>
        </w:rPr>
        <w:t xml:space="preserve">References </w:t>
      </w:r>
    </w:p>
    <w:p w14:paraId="0E4A43FA" w14:textId="77777777" w:rsidR="00D0721E" w:rsidRPr="00801718" w:rsidRDefault="00D0721E" w:rsidP="00485235">
      <w:pPr>
        <w:pStyle w:val="ListParagraph"/>
        <w:numPr>
          <w:ilvl w:val="0"/>
          <w:numId w:val="1"/>
        </w:numPr>
        <w:spacing w:line="360" w:lineRule="auto"/>
        <w:jc w:val="both"/>
        <w:rPr>
          <w:rFonts w:ascii="Arial" w:eastAsia="Arial" w:hAnsi="Arial" w:cs="Arial"/>
          <w:color w:val="000000" w:themeColor="text1"/>
          <w:sz w:val="22"/>
          <w:szCs w:val="22"/>
        </w:rPr>
      </w:pPr>
      <w:r w:rsidRPr="00801718">
        <w:rPr>
          <w:rFonts w:ascii="Arial" w:eastAsia="Arial" w:hAnsi="Arial" w:cs="Arial"/>
          <w:color w:val="000000" w:themeColor="text1"/>
          <w:sz w:val="22"/>
          <w:szCs w:val="22"/>
        </w:rPr>
        <w:t xml:space="preserve">Adams-Byers, J., </w:t>
      </w:r>
      <w:proofErr w:type="spellStart"/>
      <w:r w:rsidRPr="00801718">
        <w:rPr>
          <w:rFonts w:ascii="Arial" w:eastAsia="Arial" w:hAnsi="Arial" w:cs="Arial"/>
          <w:color w:val="000000" w:themeColor="text1"/>
          <w:sz w:val="22"/>
          <w:szCs w:val="22"/>
        </w:rPr>
        <w:t>Whitsell</w:t>
      </w:r>
      <w:proofErr w:type="spellEnd"/>
      <w:r w:rsidRPr="00801718">
        <w:rPr>
          <w:rFonts w:ascii="Arial" w:eastAsia="Arial" w:hAnsi="Arial" w:cs="Arial"/>
          <w:color w:val="000000" w:themeColor="text1"/>
          <w:sz w:val="22"/>
          <w:szCs w:val="22"/>
        </w:rPr>
        <w:t xml:space="preserve">, S. S., &amp; Moon, S. M. (2004). ‘Gifted Students’ Perceptions of the Academic and Social/Emotional Effects of Homogeneous and Heterogeneous Grouping’, </w:t>
      </w:r>
      <w:r w:rsidRPr="00801718">
        <w:rPr>
          <w:rFonts w:ascii="Arial" w:eastAsia="Arial" w:hAnsi="Arial" w:cs="Arial"/>
          <w:i/>
          <w:iCs/>
          <w:color w:val="000000" w:themeColor="text1"/>
          <w:sz w:val="22"/>
          <w:szCs w:val="22"/>
        </w:rPr>
        <w:t>Gifted Child Quarterly</w:t>
      </w:r>
      <w:r w:rsidRPr="00801718">
        <w:rPr>
          <w:rFonts w:ascii="Arial" w:eastAsia="Arial" w:hAnsi="Arial" w:cs="Arial"/>
          <w:color w:val="000000" w:themeColor="text1"/>
          <w:sz w:val="22"/>
          <w:szCs w:val="22"/>
        </w:rPr>
        <w:t xml:space="preserve">, 48(1), pp. 7-20. Available at:  </w:t>
      </w:r>
      <w:hyperlink r:id="rId9">
        <w:r w:rsidRPr="00801718">
          <w:rPr>
            <w:rStyle w:val="Hyperlink"/>
            <w:rFonts w:ascii="Arial" w:eastAsia="Arial" w:hAnsi="Arial" w:cs="Arial"/>
            <w:sz w:val="22"/>
            <w:szCs w:val="22"/>
          </w:rPr>
          <w:t>https://doi.org/10.1177/001698620404800102</w:t>
        </w:r>
      </w:hyperlink>
      <w:r w:rsidRPr="00801718">
        <w:rPr>
          <w:rFonts w:ascii="Arial" w:eastAsia="Arial" w:hAnsi="Arial" w:cs="Arial"/>
          <w:color w:val="000000" w:themeColor="text1"/>
          <w:sz w:val="22"/>
          <w:szCs w:val="22"/>
        </w:rPr>
        <w:t xml:space="preserve">    </w:t>
      </w:r>
    </w:p>
    <w:p w14:paraId="521E7D06" w14:textId="77777777" w:rsidR="00D0721E" w:rsidRPr="00801718" w:rsidRDefault="00D0721E" w:rsidP="00485235">
      <w:pPr>
        <w:pStyle w:val="ListParagraph"/>
        <w:numPr>
          <w:ilvl w:val="0"/>
          <w:numId w:val="1"/>
        </w:numPr>
        <w:spacing w:line="360" w:lineRule="auto"/>
        <w:jc w:val="both"/>
        <w:rPr>
          <w:rFonts w:ascii="Arial" w:eastAsia="Arial" w:hAnsi="Arial" w:cs="Arial"/>
          <w:color w:val="000000" w:themeColor="text1"/>
          <w:sz w:val="22"/>
          <w:szCs w:val="22"/>
        </w:rPr>
      </w:pPr>
      <w:r w:rsidRPr="00801718">
        <w:rPr>
          <w:rFonts w:ascii="Arial" w:eastAsia="Arial" w:hAnsi="Arial" w:cs="Arial"/>
          <w:color w:val="000000" w:themeColor="text1"/>
          <w:sz w:val="22"/>
          <w:szCs w:val="22"/>
        </w:rPr>
        <w:t xml:space="preserve">Adler, K., </w:t>
      </w:r>
      <w:proofErr w:type="spellStart"/>
      <w:r w:rsidRPr="00801718">
        <w:rPr>
          <w:rFonts w:ascii="Arial" w:eastAsia="Arial" w:hAnsi="Arial" w:cs="Arial"/>
          <w:color w:val="000000" w:themeColor="text1"/>
          <w:sz w:val="22"/>
          <w:szCs w:val="22"/>
        </w:rPr>
        <w:t>Salanterä</w:t>
      </w:r>
      <w:proofErr w:type="spellEnd"/>
      <w:r w:rsidRPr="00801718">
        <w:rPr>
          <w:rFonts w:ascii="Arial" w:eastAsia="Arial" w:hAnsi="Arial" w:cs="Arial"/>
          <w:color w:val="000000" w:themeColor="text1"/>
          <w:sz w:val="22"/>
          <w:szCs w:val="22"/>
        </w:rPr>
        <w:t xml:space="preserve">, S., &amp; </w:t>
      </w:r>
      <w:proofErr w:type="spellStart"/>
      <w:r w:rsidRPr="00801718">
        <w:rPr>
          <w:rFonts w:ascii="Arial" w:eastAsia="Arial" w:hAnsi="Arial" w:cs="Arial"/>
          <w:color w:val="000000" w:themeColor="text1"/>
          <w:sz w:val="22"/>
          <w:szCs w:val="22"/>
        </w:rPr>
        <w:t>Zumstein-Shaha</w:t>
      </w:r>
      <w:proofErr w:type="spellEnd"/>
      <w:r w:rsidRPr="00801718">
        <w:rPr>
          <w:rFonts w:ascii="Arial" w:eastAsia="Arial" w:hAnsi="Arial" w:cs="Arial"/>
          <w:color w:val="000000" w:themeColor="text1"/>
          <w:sz w:val="22"/>
          <w:szCs w:val="22"/>
        </w:rPr>
        <w:t>, M. (2019) ‘Focus Group Interviews in Child, Youth, and Parent Research: An Integrative Literature Review’,</w:t>
      </w:r>
      <w:r w:rsidRPr="00801718">
        <w:rPr>
          <w:rFonts w:ascii="Arial" w:eastAsia="Arial" w:hAnsi="Arial" w:cs="Arial"/>
          <w:i/>
          <w:iCs/>
          <w:color w:val="000000" w:themeColor="text1"/>
          <w:sz w:val="22"/>
          <w:szCs w:val="22"/>
        </w:rPr>
        <w:t xml:space="preserve"> International Journal of Qualitative Methods</w:t>
      </w:r>
      <w:r w:rsidRPr="00801718">
        <w:rPr>
          <w:rFonts w:ascii="Arial" w:eastAsia="Arial" w:hAnsi="Arial" w:cs="Arial"/>
          <w:color w:val="000000" w:themeColor="text1"/>
          <w:sz w:val="22"/>
          <w:szCs w:val="22"/>
        </w:rPr>
        <w:t xml:space="preserve">, 18. Available at: </w:t>
      </w:r>
      <w:hyperlink r:id="rId10">
        <w:r w:rsidRPr="00801718">
          <w:rPr>
            <w:rStyle w:val="Hyperlink"/>
            <w:rFonts w:ascii="Arial" w:eastAsia="Arial" w:hAnsi="Arial" w:cs="Arial"/>
            <w:sz w:val="22"/>
            <w:szCs w:val="22"/>
          </w:rPr>
          <w:t>https://doi.org/10.1177/1609406919887274</w:t>
        </w:r>
      </w:hyperlink>
      <w:r w:rsidRPr="00801718">
        <w:rPr>
          <w:rFonts w:ascii="Arial" w:eastAsia="Arial" w:hAnsi="Arial" w:cs="Arial"/>
          <w:color w:val="000000" w:themeColor="text1"/>
          <w:sz w:val="22"/>
          <w:szCs w:val="22"/>
        </w:rPr>
        <w:t xml:space="preserve"> </w:t>
      </w:r>
    </w:p>
    <w:p w14:paraId="76AF39A6" w14:textId="77777777" w:rsidR="00D0721E" w:rsidRPr="00801718" w:rsidRDefault="00D0721E" w:rsidP="00485235">
      <w:pPr>
        <w:pStyle w:val="ListParagraph"/>
        <w:numPr>
          <w:ilvl w:val="0"/>
          <w:numId w:val="1"/>
        </w:numPr>
        <w:spacing w:line="360" w:lineRule="auto"/>
        <w:jc w:val="both"/>
        <w:rPr>
          <w:rFonts w:ascii="Arial" w:eastAsia="Arial" w:hAnsi="Arial" w:cs="Arial"/>
          <w:color w:val="333333"/>
          <w:sz w:val="22"/>
          <w:szCs w:val="22"/>
        </w:rPr>
      </w:pPr>
      <w:r w:rsidRPr="00801718">
        <w:rPr>
          <w:rFonts w:ascii="Arial" w:eastAsia="Arial" w:hAnsi="Arial" w:cs="Arial"/>
          <w:color w:val="333333"/>
          <w:sz w:val="22"/>
          <w:szCs w:val="22"/>
        </w:rPr>
        <w:t>Al-</w:t>
      </w:r>
      <w:proofErr w:type="spellStart"/>
      <w:r w:rsidRPr="00801718">
        <w:rPr>
          <w:rFonts w:ascii="Arial" w:eastAsia="Arial" w:hAnsi="Arial" w:cs="Arial"/>
          <w:color w:val="333333"/>
          <w:sz w:val="22"/>
          <w:szCs w:val="22"/>
        </w:rPr>
        <w:t>Sheyab</w:t>
      </w:r>
      <w:proofErr w:type="spellEnd"/>
      <w:r w:rsidRPr="00801718">
        <w:rPr>
          <w:rFonts w:ascii="Arial" w:eastAsia="Arial" w:hAnsi="Arial" w:cs="Arial"/>
          <w:color w:val="333333"/>
          <w:sz w:val="22"/>
          <w:szCs w:val="22"/>
        </w:rPr>
        <w:t xml:space="preserve">, N. A., </w:t>
      </w:r>
      <w:proofErr w:type="spellStart"/>
      <w:r w:rsidRPr="00801718">
        <w:rPr>
          <w:rFonts w:ascii="Arial" w:eastAsia="Arial" w:hAnsi="Arial" w:cs="Arial"/>
          <w:color w:val="333333"/>
          <w:sz w:val="22"/>
          <w:szCs w:val="22"/>
        </w:rPr>
        <w:t>Alomari</w:t>
      </w:r>
      <w:proofErr w:type="spellEnd"/>
      <w:r w:rsidRPr="00801718">
        <w:rPr>
          <w:rFonts w:ascii="Arial" w:eastAsia="Arial" w:hAnsi="Arial" w:cs="Arial"/>
          <w:color w:val="333333"/>
          <w:sz w:val="22"/>
          <w:szCs w:val="22"/>
        </w:rPr>
        <w:t xml:space="preserve">, M A., </w:t>
      </w:r>
      <w:proofErr w:type="spellStart"/>
      <w:r w:rsidRPr="00801718">
        <w:rPr>
          <w:rFonts w:ascii="Arial" w:eastAsia="Arial" w:hAnsi="Arial" w:cs="Arial"/>
          <w:color w:val="333333"/>
          <w:sz w:val="22"/>
          <w:szCs w:val="22"/>
        </w:rPr>
        <w:t>Khabour</w:t>
      </w:r>
      <w:proofErr w:type="spellEnd"/>
      <w:r w:rsidRPr="00801718">
        <w:rPr>
          <w:rFonts w:ascii="Arial" w:eastAsia="Arial" w:hAnsi="Arial" w:cs="Arial"/>
          <w:color w:val="333333"/>
          <w:sz w:val="22"/>
          <w:szCs w:val="22"/>
        </w:rPr>
        <w:t xml:space="preserve">, O F., </w:t>
      </w:r>
      <w:proofErr w:type="spellStart"/>
      <w:r w:rsidRPr="00801718">
        <w:rPr>
          <w:rFonts w:ascii="Arial" w:eastAsia="Arial" w:hAnsi="Arial" w:cs="Arial"/>
          <w:color w:val="333333"/>
          <w:sz w:val="22"/>
          <w:szCs w:val="22"/>
        </w:rPr>
        <w:t>Shattnawi</w:t>
      </w:r>
      <w:proofErr w:type="spellEnd"/>
      <w:r w:rsidRPr="00801718">
        <w:rPr>
          <w:rFonts w:ascii="Arial" w:eastAsia="Arial" w:hAnsi="Arial" w:cs="Arial"/>
          <w:color w:val="333333"/>
          <w:sz w:val="22"/>
          <w:szCs w:val="22"/>
        </w:rPr>
        <w:t xml:space="preserve">, K </w:t>
      </w:r>
      <w:proofErr w:type="spellStart"/>
      <w:r w:rsidRPr="00801718">
        <w:rPr>
          <w:rFonts w:ascii="Arial" w:eastAsia="Arial" w:hAnsi="Arial" w:cs="Arial"/>
          <w:color w:val="333333"/>
          <w:sz w:val="22"/>
          <w:szCs w:val="22"/>
        </w:rPr>
        <w:t>K</w:t>
      </w:r>
      <w:proofErr w:type="spellEnd"/>
      <w:r w:rsidRPr="00801718">
        <w:rPr>
          <w:rFonts w:ascii="Arial" w:eastAsia="Arial" w:hAnsi="Arial" w:cs="Arial"/>
          <w:color w:val="333333"/>
          <w:sz w:val="22"/>
          <w:szCs w:val="22"/>
        </w:rPr>
        <w:t xml:space="preserve">., and </w:t>
      </w:r>
      <w:proofErr w:type="spellStart"/>
      <w:r w:rsidRPr="00801718">
        <w:rPr>
          <w:rFonts w:ascii="Arial" w:eastAsia="Arial" w:hAnsi="Arial" w:cs="Arial"/>
          <w:color w:val="333333"/>
          <w:sz w:val="22"/>
          <w:szCs w:val="22"/>
        </w:rPr>
        <w:t>Alzoubi</w:t>
      </w:r>
      <w:proofErr w:type="spellEnd"/>
      <w:r w:rsidRPr="00801718">
        <w:rPr>
          <w:rFonts w:ascii="Arial" w:eastAsia="Arial" w:hAnsi="Arial" w:cs="Arial"/>
          <w:color w:val="333333"/>
          <w:sz w:val="22"/>
          <w:szCs w:val="22"/>
        </w:rPr>
        <w:t xml:space="preserve">, K M. (2019) ‘Assent and consent in pediatric and adolescent research: school children’s perspectives’, </w:t>
      </w:r>
      <w:r w:rsidRPr="00801718">
        <w:rPr>
          <w:rFonts w:ascii="Arial" w:eastAsia="Arial" w:hAnsi="Arial" w:cs="Arial"/>
          <w:i/>
          <w:iCs/>
          <w:color w:val="333333"/>
          <w:sz w:val="22"/>
          <w:szCs w:val="22"/>
        </w:rPr>
        <w:t>Adolescent Health, Medicine and Therapeutics</w:t>
      </w:r>
      <w:r w:rsidRPr="00801718">
        <w:rPr>
          <w:rFonts w:ascii="Arial" w:eastAsia="Arial" w:hAnsi="Arial" w:cs="Arial"/>
          <w:color w:val="333333"/>
          <w:sz w:val="22"/>
          <w:szCs w:val="22"/>
        </w:rPr>
        <w:t xml:space="preserve">, 10, pp. 7–14. Available at: 10.2147/AHMT.S185553 </w:t>
      </w:r>
    </w:p>
    <w:p w14:paraId="3B4399C7" w14:textId="77777777" w:rsidR="00D0721E" w:rsidRPr="00801718" w:rsidRDefault="00D0721E" w:rsidP="00485235">
      <w:pPr>
        <w:pStyle w:val="ListParagraph"/>
        <w:numPr>
          <w:ilvl w:val="0"/>
          <w:numId w:val="1"/>
        </w:numPr>
        <w:spacing w:line="360" w:lineRule="auto"/>
        <w:jc w:val="both"/>
        <w:rPr>
          <w:rFonts w:ascii="Arial" w:eastAsia="Arial" w:hAnsi="Arial" w:cs="Arial"/>
          <w:color w:val="000000" w:themeColor="text1"/>
          <w:sz w:val="22"/>
          <w:szCs w:val="22"/>
        </w:rPr>
      </w:pPr>
      <w:r w:rsidRPr="00801718">
        <w:rPr>
          <w:rFonts w:ascii="Arial" w:eastAsia="Arial" w:hAnsi="Arial" w:cs="Arial"/>
          <w:color w:val="000000" w:themeColor="text1"/>
          <w:sz w:val="22"/>
          <w:szCs w:val="22"/>
        </w:rPr>
        <w:t>Bennett, A. (2004) Case study methods: Design, use, and comparative advantages.</w:t>
      </w:r>
      <w:r w:rsidRPr="00801718">
        <w:rPr>
          <w:rFonts w:ascii="Arial" w:eastAsia="Arial" w:hAnsi="Arial" w:cs="Arial"/>
          <w:i/>
          <w:iCs/>
          <w:color w:val="000000" w:themeColor="text1"/>
          <w:sz w:val="22"/>
          <w:szCs w:val="22"/>
        </w:rPr>
        <w:t xml:space="preserve"> Models, numbers, and cases: Methods for studying international relations</w:t>
      </w:r>
      <w:r w:rsidRPr="00801718">
        <w:rPr>
          <w:rFonts w:ascii="Arial" w:eastAsia="Arial" w:hAnsi="Arial" w:cs="Arial"/>
          <w:color w:val="000000" w:themeColor="text1"/>
          <w:sz w:val="22"/>
          <w:szCs w:val="22"/>
        </w:rPr>
        <w:t xml:space="preserve">, 2(1), pp.19-55. Available at: </w:t>
      </w:r>
      <w:hyperlink r:id="rId11" w:anchor="v=onepage&amp;q=strengths%20and%20limitations%20of%20case%20studies&amp;f=false">
        <w:r w:rsidRPr="00801718">
          <w:rPr>
            <w:rStyle w:val="Hyperlink"/>
            <w:rFonts w:ascii="Arial" w:eastAsia="Arial" w:hAnsi="Arial" w:cs="Arial"/>
            <w:sz w:val="22"/>
            <w:szCs w:val="22"/>
          </w:rPr>
          <w:t>Models, Numbers, and Cases: Methods for Studying International Relations - Google Books</w:t>
        </w:r>
      </w:hyperlink>
    </w:p>
    <w:p w14:paraId="2B6F4687" w14:textId="77777777" w:rsidR="00D0721E" w:rsidRPr="00801718" w:rsidRDefault="00D0721E" w:rsidP="00485235">
      <w:pPr>
        <w:pStyle w:val="ListParagraph"/>
        <w:numPr>
          <w:ilvl w:val="0"/>
          <w:numId w:val="1"/>
        </w:numPr>
        <w:spacing w:line="360" w:lineRule="auto"/>
        <w:jc w:val="both"/>
        <w:rPr>
          <w:rFonts w:ascii="Arial" w:eastAsia="Arial" w:hAnsi="Arial" w:cs="Arial"/>
          <w:color w:val="000000" w:themeColor="text1"/>
          <w:sz w:val="22"/>
          <w:szCs w:val="22"/>
        </w:rPr>
      </w:pPr>
      <w:proofErr w:type="spellStart"/>
      <w:r w:rsidRPr="00801718">
        <w:rPr>
          <w:rFonts w:ascii="Arial" w:eastAsia="Arial" w:hAnsi="Arial" w:cs="Arial"/>
          <w:color w:val="000000" w:themeColor="text1"/>
          <w:sz w:val="22"/>
          <w:szCs w:val="22"/>
        </w:rPr>
        <w:t>Bhandari</w:t>
      </w:r>
      <w:proofErr w:type="spellEnd"/>
      <w:r w:rsidRPr="00801718">
        <w:rPr>
          <w:rFonts w:ascii="Arial" w:eastAsia="Arial" w:hAnsi="Arial" w:cs="Arial"/>
          <w:color w:val="000000" w:themeColor="text1"/>
          <w:sz w:val="22"/>
          <w:szCs w:val="22"/>
        </w:rPr>
        <w:t xml:space="preserve">, P. (2023) </w:t>
      </w:r>
      <w:r w:rsidRPr="00801718">
        <w:rPr>
          <w:rFonts w:ascii="Arial" w:eastAsia="Arial" w:hAnsi="Arial" w:cs="Arial"/>
          <w:i/>
          <w:iCs/>
          <w:color w:val="000000" w:themeColor="text1"/>
          <w:sz w:val="22"/>
          <w:szCs w:val="22"/>
        </w:rPr>
        <w:t>What Is Qualitative Research? | Methods &amp; Examples</w:t>
      </w:r>
      <w:r w:rsidRPr="00801718">
        <w:rPr>
          <w:rFonts w:ascii="Arial" w:eastAsia="Arial" w:hAnsi="Arial" w:cs="Arial"/>
          <w:color w:val="000000" w:themeColor="text1"/>
          <w:sz w:val="22"/>
          <w:szCs w:val="22"/>
        </w:rPr>
        <w:t xml:space="preserve">. Available at: </w:t>
      </w:r>
      <w:hyperlink r:id="rId12">
        <w:r w:rsidRPr="00801718">
          <w:rPr>
            <w:rStyle w:val="Hyperlink"/>
            <w:rFonts w:ascii="Arial" w:eastAsia="Arial" w:hAnsi="Arial" w:cs="Arial"/>
            <w:sz w:val="22"/>
            <w:szCs w:val="22"/>
          </w:rPr>
          <w:t>What Is Qualitative Research? | Methods &amp; Examples (scribbr.com)</w:t>
        </w:r>
      </w:hyperlink>
      <w:r w:rsidRPr="00801718">
        <w:rPr>
          <w:rFonts w:ascii="Arial" w:eastAsia="Arial" w:hAnsi="Arial" w:cs="Arial"/>
          <w:color w:val="000000" w:themeColor="text1"/>
          <w:sz w:val="22"/>
          <w:szCs w:val="22"/>
        </w:rPr>
        <w:t xml:space="preserve"> (Accessed: 25 March 2024)</w:t>
      </w:r>
    </w:p>
    <w:p w14:paraId="66F17DB6" w14:textId="77777777" w:rsidR="00D0721E" w:rsidRPr="00801718" w:rsidRDefault="00D0721E" w:rsidP="00485235">
      <w:pPr>
        <w:pStyle w:val="ListParagraph"/>
        <w:numPr>
          <w:ilvl w:val="0"/>
          <w:numId w:val="1"/>
        </w:numPr>
        <w:spacing w:line="360" w:lineRule="auto"/>
        <w:jc w:val="both"/>
        <w:rPr>
          <w:rFonts w:ascii="Arial" w:eastAsia="Arial" w:hAnsi="Arial" w:cs="Arial"/>
          <w:color w:val="000000" w:themeColor="text1"/>
          <w:sz w:val="22"/>
          <w:szCs w:val="22"/>
        </w:rPr>
      </w:pPr>
      <w:r w:rsidRPr="00801718">
        <w:rPr>
          <w:rFonts w:ascii="Arial" w:eastAsia="Arial" w:hAnsi="Arial" w:cs="Arial"/>
          <w:color w:val="000000" w:themeColor="text1"/>
          <w:sz w:val="22"/>
          <w:szCs w:val="22"/>
        </w:rPr>
        <w:lastRenderedPageBreak/>
        <w:t xml:space="preserve">British Educational Research Association [BERA] (2018) </w:t>
      </w:r>
      <w:r w:rsidRPr="00801718">
        <w:rPr>
          <w:rFonts w:ascii="Arial" w:eastAsia="Arial" w:hAnsi="Arial" w:cs="Arial"/>
          <w:i/>
          <w:iCs/>
          <w:color w:val="000000" w:themeColor="text1"/>
          <w:sz w:val="22"/>
          <w:szCs w:val="22"/>
        </w:rPr>
        <w:t>Ethical Guidelines for Educational Research</w:t>
      </w:r>
      <w:r w:rsidRPr="00801718">
        <w:rPr>
          <w:rFonts w:ascii="Arial" w:eastAsia="Arial" w:hAnsi="Arial" w:cs="Arial"/>
          <w:color w:val="000000" w:themeColor="text1"/>
          <w:sz w:val="22"/>
          <w:szCs w:val="22"/>
        </w:rPr>
        <w:t xml:space="preserve">, fourth edition, London. </w:t>
      </w:r>
      <w:hyperlink r:id="rId13">
        <w:r w:rsidRPr="00801718">
          <w:rPr>
            <w:rStyle w:val="Hyperlink"/>
            <w:rFonts w:ascii="Arial" w:eastAsia="Arial" w:hAnsi="Arial" w:cs="Arial"/>
            <w:sz w:val="22"/>
            <w:szCs w:val="22"/>
          </w:rPr>
          <w:t>https://www.bera.ac.uk/researchers-resources/publications/ethical-guidelines-for-educational-research-2018</w:t>
        </w:r>
      </w:hyperlink>
    </w:p>
    <w:p w14:paraId="597092B2" w14:textId="77777777" w:rsidR="00D0721E" w:rsidRPr="00801718" w:rsidRDefault="00D0721E" w:rsidP="00485235">
      <w:pPr>
        <w:pStyle w:val="ListParagraph"/>
        <w:numPr>
          <w:ilvl w:val="0"/>
          <w:numId w:val="1"/>
        </w:numPr>
        <w:spacing w:line="360" w:lineRule="auto"/>
        <w:jc w:val="both"/>
        <w:rPr>
          <w:rFonts w:ascii="Arial" w:eastAsia="Arial" w:hAnsi="Arial" w:cs="Arial"/>
          <w:color w:val="212121"/>
          <w:sz w:val="22"/>
          <w:szCs w:val="22"/>
        </w:rPr>
      </w:pPr>
      <w:proofErr w:type="spellStart"/>
      <w:r w:rsidRPr="00801718">
        <w:rPr>
          <w:rFonts w:ascii="Arial" w:eastAsia="Arial" w:hAnsi="Arial" w:cs="Arial"/>
          <w:color w:val="212121"/>
          <w:sz w:val="22"/>
          <w:szCs w:val="22"/>
        </w:rPr>
        <w:t>Busetto</w:t>
      </w:r>
      <w:proofErr w:type="spellEnd"/>
      <w:r w:rsidRPr="00801718">
        <w:rPr>
          <w:rFonts w:ascii="Arial" w:eastAsia="Arial" w:hAnsi="Arial" w:cs="Arial"/>
          <w:color w:val="212121"/>
          <w:sz w:val="22"/>
          <w:szCs w:val="22"/>
        </w:rPr>
        <w:t xml:space="preserve">, L., Wick, W., and </w:t>
      </w:r>
      <w:proofErr w:type="spellStart"/>
      <w:r w:rsidRPr="00801718">
        <w:rPr>
          <w:rFonts w:ascii="Arial" w:eastAsia="Arial" w:hAnsi="Arial" w:cs="Arial"/>
          <w:color w:val="212121"/>
          <w:sz w:val="22"/>
          <w:szCs w:val="22"/>
        </w:rPr>
        <w:t>Gumbinger</w:t>
      </w:r>
      <w:proofErr w:type="spellEnd"/>
      <w:r w:rsidRPr="00801718">
        <w:rPr>
          <w:rFonts w:ascii="Arial" w:eastAsia="Arial" w:hAnsi="Arial" w:cs="Arial"/>
          <w:color w:val="212121"/>
          <w:sz w:val="22"/>
          <w:szCs w:val="22"/>
        </w:rPr>
        <w:t xml:space="preserve"> C. (2020) ‘How to use and assess qualitative research methods’, </w:t>
      </w:r>
      <w:r w:rsidRPr="00801718">
        <w:rPr>
          <w:rFonts w:ascii="Arial" w:eastAsia="Arial" w:hAnsi="Arial" w:cs="Arial"/>
          <w:i/>
          <w:iCs/>
          <w:color w:val="212121"/>
          <w:sz w:val="22"/>
          <w:szCs w:val="22"/>
        </w:rPr>
        <w:t>Neurological Research Practice</w:t>
      </w:r>
      <w:r w:rsidRPr="00801718">
        <w:rPr>
          <w:rFonts w:ascii="Arial" w:eastAsia="Arial" w:hAnsi="Arial" w:cs="Arial"/>
          <w:color w:val="212121"/>
          <w:sz w:val="22"/>
          <w:szCs w:val="22"/>
        </w:rPr>
        <w:t xml:space="preserve">, 2(14). Available at: </w:t>
      </w:r>
      <w:hyperlink r:id="rId14">
        <w:r w:rsidRPr="00801718">
          <w:rPr>
            <w:rStyle w:val="Hyperlink"/>
            <w:rFonts w:ascii="Arial" w:eastAsia="Arial" w:hAnsi="Arial" w:cs="Arial"/>
            <w:sz w:val="22"/>
            <w:szCs w:val="22"/>
          </w:rPr>
          <w:t>https://doi.org/10.1186%2Fs42466-020-00059-z</w:t>
        </w:r>
      </w:hyperlink>
      <w:r w:rsidRPr="00801718">
        <w:rPr>
          <w:rFonts w:ascii="Arial" w:eastAsia="Arial" w:hAnsi="Arial" w:cs="Arial"/>
          <w:color w:val="212121"/>
          <w:sz w:val="22"/>
          <w:szCs w:val="22"/>
        </w:rPr>
        <w:t xml:space="preserve"> </w:t>
      </w:r>
    </w:p>
    <w:p w14:paraId="4EB89FDD" w14:textId="77777777" w:rsidR="00D0721E" w:rsidRPr="00801718" w:rsidRDefault="00D0721E" w:rsidP="00485235">
      <w:pPr>
        <w:pStyle w:val="ListParagraph"/>
        <w:numPr>
          <w:ilvl w:val="0"/>
          <w:numId w:val="1"/>
        </w:numPr>
        <w:spacing w:line="360" w:lineRule="auto"/>
        <w:jc w:val="both"/>
        <w:rPr>
          <w:rFonts w:ascii="Arial" w:eastAsia="Arial" w:hAnsi="Arial" w:cs="Arial"/>
          <w:color w:val="000000" w:themeColor="text1"/>
          <w:sz w:val="22"/>
          <w:szCs w:val="22"/>
        </w:rPr>
      </w:pPr>
      <w:r w:rsidRPr="00801718">
        <w:rPr>
          <w:rFonts w:ascii="Arial" w:eastAsia="Arial" w:hAnsi="Arial" w:cs="Arial"/>
          <w:color w:val="000000" w:themeColor="text1"/>
          <w:sz w:val="22"/>
          <w:szCs w:val="22"/>
        </w:rPr>
        <w:t xml:space="preserve">Canton, H. (2021). ‘United Nations Educational, Scientific and Cultural Organization—UNESCO’, </w:t>
      </w:r>
      <w:proofErr w:type="gramStart"/>
      <w:r w:rsidRPr="00801718">
        <w:rPr>
          <w:rFonts w:ascii="Arial" w:eastAsia="Arial" w:hAnsi="Arial" w:cs="Arial"/>
          <w:i/>
          <w:iCs/>
          <w:color w:val="000000" w:themeColor="text1"/>
          <w:sz w:val="22"/>
          <w:szCs w:val="22"/>
        </w:rPr>
        <w:t>The</w:t>
      </w:r>
      <w:proofErr w:type="gramEnd"/>
      <w:r w:rsidRPr="00801718">
        <w:rPr>
          <w:rFonts w:ascii="Arial" w:eastAsia="Arial" w:hAnsi="Arial" w:cs="Arial"/>
          <w:i/>
          <w:iCs/>
          <w:color w:val="000000" w:themeColor="text1"/>
          <w:sz w:val="22"/>
          <w:szCs w:val="22"/>
        </w:rPr>
        <w:t xml:space="preserve"> Europa Directory of International Organizations</w:t>
      </w:r>
      <w:r w:rsidRPr="00801718">
        <w:rPr>
          <w:rFonts w:ascii="Arial" w:eastAsia="Arial" w:hAnsi="Arial" w:cs="Arial"/>
          <w:color w:val="000000" w:themeColor="text1"/>
          <w:sz w:val="22"/>
          <w:szCs w:val="22"/>
        </w:rPr>
        <w:t xml:space="preserve">, pp. 359-365. </w:t>
      </w:r>
      <w:proofErr w:type="spellStart"/>
      <w:r w:rsidRPr="00801718">
        <w:rPr>
          <w:rFonts w:ascii="Arial" w:eastAsia="Arial" w:hAnsi="Arial" w:cs="Arial"/>
          <w:color w:val="000000" w:themeColor="text1"/>
          <w:sz w:val="22"/>
          <w:szCs w:val="22"/>
        </w:rPr>
        <w:t>Routledge</w:t>
      </w:r>
      <w:proofErr w:type="spellEnd"/>
      <w:r w:rsidRPr="00801718">
        <w:rPr>
          <w:rFonts w:ascii="Arial" w:eastAsia="Arial" w:hAnsi="Arial" w:cs="Arial"/>
          <w:color w:val="000000" w:themeColor="text1"/>
          <w:sz w:val="22"/>
          <w:szCs w:val="22"/>
        </w:rPr>
        <w:t xml:space="preserve">.  </w:t>
      </w:r>
    </w:p>
    <w:p w14:paraId="1BD9BC07" w14:textId="77777777" w:rsidR="00D0721E" w:rsidRPr="00801718" w:rsidRDefault="00D0721E" w:rsidP="00485235">
      <w:pPr>
        <w:pStyle w:val="ListParagraph"/>
        <w:numPr>
          <w:ilvl w:val="0"/>
          <w:numId w:val="1"/>
        </w:numPr>
        <w:spacing w:line="360" w:lineRule="auto"/>
        <w:jc w:val="both"/>
        <w:rPr>
          <w:rFonts w:ascii="Arial" w:eastAsia="Arial" w:hAnsi="Arial" w:cs="Arial"/>
          <w:color w:val="000000" w:themeColor="text1"/>
          <w:sz w:val="22"/>
          <w:szCs w:val="22"/>
        </w:rPr>
      </w:pPr>
      <w:r w:rsidRPr="00801718">
        <w:rPr>
          <w:rFonts w:ascii="Arial" w:eastAsia="Arial" w:hAnsi="Arial" w:cs="Arial"/>
          <w:color w:val="000000" w:themeColor="text1"/>
          <w:sz w:val="22"/>
          <w:szCs w:val="22"/>
        </w:rPr>
        <w:t xml:space="preserve">Caulfield, J. (2023) How to Do Thematic Analysis | Step-by-Step Guide &amp; Examples. Available at: </w:t>
      </w:r>
      <w:hyperlink r:id="rId15">
        <w:r w:rsidRPr="00801718">
          <w:rPr>
            <w:rStyle w:val="Hyperlink"/>
            <w:rFonts w:ascii="Arial" w:eastAsia="Arial" w:hAnsi="Arial" w:cs="Arial"/>
            <w:sz w:val="22"/>
            <w:szCs w:val="22"/>
          </w:rPr>
          <w:t>How to Do Thematic Analysis | Step-by-Step Guide &amp; Examples (scribbr.com)</w:t>
        </w:r>
      </w:hyperlink>
      <w:r w:rsidRPr="00801718">
        <w:rPr>
          <w:rFonts w:ascii="Arial" w:eastAsia="Arial" w:hAnsi="Arial" w:cs="Arial"/>
          <w:color w:val="000000" w:themeColor="text1"/>
          <w:sz w:val="22"/>
          <w:szCs w:val="22"/>
        </w:rPr>
        <w:t xml:space="preserve"> (Accessed: 24 April 2024)</w:t>
      </w:r>
    </w:p>
    <w:p w14:paraId="0B0F0AC0" w14:textId="77777777" w:rsidR="00D0721E" w:rsidRPr="00801718" w:rsidRDefault="00D0721E" w:rsidP="00485235">
      <w:pPr>
        <w:pStyle w:val="ListParagraph"/>
        <w:numPr>
          <w:ilvl w:val="0"/>
          <w:numId w:val="1"/>
        </w:numPr>
        <w:spacing w:line="360" w:lineRule="auto"/>
        <w:jc w:val="both"/>
        <w:rPr>
          <w:rFonts w:ascii="Arial" w:eastAsia="Arial" w:hAnsi="Arial" w:cs="Arial"/>
          <w:color w:val="343332"/>
          <w:sz w:val="22"/>
          <w:szCs w:val="22"/>
        </w:rPr>
      </w:pPr>
      <w:r w:rsidRPr="00801718">
        <w:rPr>
          <w:rFonts w:ascii="Arial" w:eastAsia="Arial" w:hAnsi="Arial" w:cs="Arial"/>
          <w:color w:val="212226"/>
          <w:sz w:val="22"/>
          <w:szCs w:val="22"/>
        </w:rPr>
        <w:t>Clark, A. (2005) ‘</w:t>
      </w:r>
      <w:r w:rsidRPr="00801718">
        <w:rPr>
          <w:rFonts w:ascii="Arial" w:eastAsia="Arial" w:hAnsi="Arial" w:cs="Arial"/>
          <w:color w:val="000000" w:themeColor="text1"/>
          <w:sz w:val="22"/>
          <w:szCs w:val="22"/>
        </w:rPr>
        <w:t>Doing Research with Children and Young People</w:t>
      </w:r>
      <w:r w:rsidRPr="00801718">
        <w:rPr>
          <w:rFonts w:ascii="Arial" w:eastAsia="Arial" w:hAnsi="Arial" w:cs="Arial"/>
          <w:i/>
          <w:iCs/>
          <w:color w:val="000000" w:themeColor="text1"/>
          <w:sz w:val="22"/>
          <w:szCs w:val="22"/>
        </w:rPr>
        <w:t xml:space="preserve">’ </w:t>
      </w:r>
      <w:r w:rsidRPr="00801718">
        <w:rPr>
          <w:rFonts w:ascii="Arial" w:eastAsia="Arial" w:hAnsi="Arial" w:cs="Arial"/>
          <w:i/>
          <w:iCs/>
          <w:color w:val="343332"/>
          <w:sz w:val="22"/>
          <w:szCs w:val="22"/>
        </w:rPr>
        <w:t>Children, Youth and Environments</w:t>
      </w:r>
      <w:r w:rsidRPr="00801718">
        <w:rPr>
          <w:rFonts w:ascii="Arial" w:eastAsia="Arial" w:hAnsi="Arial" w:cs="Arial"/>
          <w:color w:val="343332"/>
          <w:sz w:val="22"/>
          <w:szCs w:val="22"/>
        </w:rPr>
        <w:t xml:space="preserve">, 15(1), pp. 368-371. Available at: </w:t>
      </w:r>
      <w:hyperlink r:id="rId16">
        <w:r w:rsidRPr="00801718">
          <w:rPr>
            <w:rStyle w:val="Hyperlink"/>
            <w:rFonts w:ascii="Arial" w:eastAsia="Arial" w:hAnsi="Arial" w:cs="Arial"/>
            <w:sz w:val="22"/>
            <w:szCs w:val="22"/>
          </w:rPr>
          <w:t>https://www.jstor.org/stable/10.7721/chilyoutenvi.15.1.0368</w:t>
        </w:r>
      </w:hyperlink>
      <w:r w:rsidRPr="00801718">
        <w:rPr>
          <w:rFonts w:ascii="Arial" w:eastAsia="Arial" w:hAnsi="Arial" w:cs="Arial"/>
          <w:color w:val="343332"/>
          <w:sz w:val="22"/>
          <w:szCs w:val="22"/>
        </w:rPr>
        <w:t xml:space="preserve"> </w:t>
      </w:r>
    </w:p>
    <w:p w14:paraId="5B1C0FAF" w14:textId="77777777" w:rsidR="00D0721E" w:rsidRPr="00801718" w:rsidRDefault="00D0721E" w:rsidP="00485235">
      <w:pPr>
        <w:pStyle w:val="ListParagraph"/>
        <w:numPr>
          <w:ilvl w:val="0"/>
          <w:numId w:val="1"/>
        </w:numPr>
        <w:spacing w:line="360" w:lineRule="auto"/>
        <w:jc w:val="both"/>
        <w:rPr>
          <w:rFonts w:ascii="Arial" w:eastAsia="Arial" w:hAnsi="Arial" w:cs="Arial"/>
          <w:color w:val="000000" w:themeColor="text1"/>
          <w:sz w:val="22"/>
          <w:szCs w:val="22"/>
        </w:rPr>
      </w:pPr>
      <w:r w:rsidRPr="00801718">
        <w:rPr>
          <w:rFonts w:ascii="Arial" w:eastAsia="Arial" w:hAnsi="Arial" w:cs="Arial"/>
          <w:color w:val="000000" w:themeColor="text1"/>
          <w:sz w:val="22"/>
          <w:szCs w:val="22"/>
        </w:rPr>
        <w:t xml:space="preserve">Clark, A. (2010). </w:t>
      </w:r>
      <w:r w:rsidRPr="00801718">
        <w:rPr>
          <w:rFonts w:ascii="Arial" w:eastAsia="Arial" w:hAnsi="Arial" w:cs="Arial"/>
          <w:i/>
          <w:iCs/>
          <w:color w:val="000000" w:themeColor="text1"/>
          <w:sz w:val="22"/>
          <w:szCs w:val="22"/>
        </w:rPr>
        <w:t>Transforming children’s spaces</w:t>
      </w:r>
      <w:r w:rsidRPr="00801718">
        <w:rPr>
          <w:rFonts w:ascii="Arial" w:eastAsia="Arial" w:hAnsi="Arial" w:cs="Arial"/>
          <w:color w:val="000000" w:themeColor="text1"/>
          <w:sz w:val="22"/>
          <w:szCs w:val="22"/>
        </w:rPr>
        <w:t xml:space="preserve">. London, England: </w:t>
      </w:r>
      <w:proofErr w:type="spellStart"/>
      <w:r w:rsidRPr="00801718">
        <w:rPr>
          <w:rFonts w:ascii="Arial" w:eastAsia="Arial" w:hAnsi="Arial" w:cs="Arial"/>
          <w:color w:val="000000" w:themeColor="text1"/>
          <w:sz w:val="22"/>
          <w:szCs w:val="22"/>
        </w:rPr>
        <w:t>Routledge</w:t>
      </w:r>
      <w:proofErr w:type="spellEnd"/>
      <w:r w:rsidRPr="00801718">
        <w:rPr>
          <w:rFonts w:ascii="Arial" w:eastAsia="Arial" w:hAnsi="Arial" w:cs="Arial"/>
          <w:color w:val="000000" w:themeColor="text1"/>
          <w:sz w:val="22"/>
          <w:szCs w:val="22"/>
        </w:rPr>
        <w:t>.</w:t>
      </w:r>
    </w:p>
    <w:p w14:paraId="5E92A5A8" w14:textId="77777777" w:rsidR="00D0721E" w:rsidRPr="00801718" w:rsidRDefault="00D0721E" w:rsidP="00485235">
      <w:pPr>
        <w:pStyle w:val="ListParagraph"/>
        <w:numPr>
          <w:ilvl w:val="0"/>
          <w:numId w:val="1"/>
        </w:numPr>
        <w:spacing w:line="360" w:lineRule="auto"/>
        <w:jc w:val="both"/>
        <w:rPr>
          <w:rFonts w:ascii="Arial" w:eastAsia="Arial" w:hAnsi="Arial" w:cs="Arial"/>
          <w:color w:val="000000" w:themeColor="text1"/>
          <w:sz w:val="22"/>
          <w:szCs w:val="22"/>
        </w:rPr>
      </w:pPr>
      <w:hyperlink r:id="rId17">
        <w:r w:rsidRPr="00801718">
          <w:rPr>
            <w:rStyle w:val="Hyperlink"/>
            <w:rFonts w:ascii="Arial" w:eastAsia="Arial" w:hAnsi="Arial" w:cs="Arial"/>
            <w:sz w:val="22"/>
            <w:szCs w:val="22"/>
          </w:rPr>
          <w:t>Convention on the Rights of the Child text | UNICEF</w:t>
        </w:r>
      </w:hyperlink>
    </w:p>
    <w:p w14:paraId="3AEA0C40" w14:textId="77777777" w:rsidR="00D0721E" w:rsidRPr="00801718" w:rsidRDefault="00D0721E" w:rsidP="00485235">
      <w:pPr>
        <w:pStyle w:val="ListParagraph"/>
        <w:numPr>
          <w:ilvl w:val="0"/>
          <w:numId w:val="1"/>
        </w:numPr>
        <w:spacing w:line="360" w:lineRule="auto"/>
        <w:jc w:val="both"/>
        <w:rPr>
          <w:rFonts w:ascii="Arial" w:eastAsia="Arial" w:hAnsi="Arial" w:cs="Arial"/>
          <w:color w:val="000000" w:themeColor="text1"/>
          <w:sz w:val="22"/>
          <w:szCs w:val="22"/>
        </w:rPr>
      </w:pPr>
      <w:r w:rsidRPr="00801718">
        <w:rPr>
          <w:rFonts w:ascii="Arial" w:eastAsia="Arial" w:hAnsi="Arial" w:cs="Arial"/>
          <w:color w:val="000000" w:themeColor="text1"/>
          <w:sz w:val="22"/>
          <w:szCs w:val="22"/>
        </w:rPr>
        <w:t xml:space="preserve">Crawford, M. (2020) ‘Ecological Systems Theory: Exploring the Development of the Theoretical Framework as Conceived by </w:t>
      </w:r>
      <w:proofErr w:type="spellStart"/>
      <w:r w:rsidRPr="00801718">
        <w:rPr>
          <w:rFonts w:ascii="Arial" w:eastAsia="Arial" w:hAnsi="Arial" w:cs="Arial"/>
          <w:color w:val="000000" w:themeColor="text1"/>
          <w:sz w:val="22"/>
          <w:szCs w:val="22"/>
        </w:rPr>
        <w:t>Bronfenbrenner</w:t>
      </w:r>
      <w:proofErr w:type="spellEnd"/>
      <w:r w:rsidRPr="00801718">
        <w:rPr>
          <w:rFonts w:ascii="Arial" w:eastAsia="Arial" w:hAnsi="Arial" w:cs="Arial"/>
          <w:color w:val="000000" w:themeColor="text1"/>
          <w:sz w:val="22"/>
          <w:szCs w:val="22"/>
        </w:rPr>
        <w:t xml:space="preserve">’, </w:t>
      </w:r>
      <w:r w:rsidRPr="00801718">
        <w:rPr>
          <w:rFonts w:ascii="Arial" w:eastAsia="Arial" w:hAnsi="Arial" w:cs="Arial"/>
          <w:i/>
          <w:iCs/>
          <w:color w:val="000000" w:themeColor="text1"/>
          <w:sz w:val="22"/>
          <w:szCs w:val="22"/>
        </w:rPr>
        <w:t>Journal of Public Health Issues and Practices</w:t>
      </w:r>
      <w:r w:rsidRPr="00801718">
        <w:rPr>
          <w:rFonts w:ascii="Arial" w:eastAsia="Arial" w:hAnsi="Arial" w:cs="Arial"/>
          <w:color w:val="000000" w:themeColor="text1"/>
          <w:sz w:val="22"/>
          <w:szCs w:val="22"/>
        </w:rPr>
        <w:t xml:space="preserve">, 4(2), pp. 1-3. Available at: </w:t>
      </w:r>
      <w:hyperlink r:id="rId18">
        <w:r w:rsidRPr="00801718">
          <w:rPr>
            <w:rStyle w:val="Hyperlink"/>
            <w:rFonts w:ascii="Arial" w:eastAsia="Arial" w:hAnsi="Arial" w:cs="Arial"/>
            <w:sz w:val="22"/>
            <w:szCs w:val="22"/>
          </w:rPr>
          <w:t>https://doi.org/10.33790/jphip1100170</w:t>
        </w:r>
      </w:hyperlink>
      <w:r w:rsidRPr="00801718">
        <w:rPr>
          <w:rFonts w:ascii="Arial" w:eastAsia="Arial" w:hAnsi="Arial" w:cs="Arial"/>
          <w:color w:val="000000" w:themeColor="text1"/>
          <w:sz w:val="22"/>
          <w:szCs w:val="22"/>
        </w:rPr>
        <w:t xml:space="preserve"> </w:t>
      </w:r>
    </w:p>
    <w:p w14:paraId="3FE4D482" w14:textId="77777777" w:rsidR="00D0721E" w:rsidRPr="00801718" w:rsidRDefault="00D0721E" w:rsidP="00485235">
      <w:pPr>
        <w:pStyle w:val="ListParagraph"/>
        <w:numPr>
          <w:ilvl w:val="0"/>
          <w:numId w:val="1"/>
        </w:numPr>
        <w:spacing w:line="360" w:lineRule="auto"/>
        <w:jc w:val="both"/>
        <w:rPr>
          <w:rFonts w:ascii="Arial" w:eastAsia="Arial" w:hAnsi="Arial" w:cs="Arial"/>
          <w:color w:val="000000" w:themeColor="text1"/>
          <w:sz w:val="22"/>
          <w:szCs w:val="22"/>
        </w:rPr>
      </w:pPr>
      <w:r w:rsidRPr="00801718">
        <w:rPr>
          <w:rFonts w:ascii="Arial" w:eastAsia="Arial" w:hAnsi="Arial" w:cs="Arial"/>
          <w:color w:val="000000" w:themeColor="text1"/>
          <w:sz w:val="22"/>
          <w:szCs w:val="22"/>
        </w:rPr>
        <w:t xml:space="preserve">Dewitt, P. (2016) </w:t>
      </w:r>
      <w:r w:rsidRPr="00801718">
        <w:rPr>
          <w:rFonts w:ascii="Arial" w:eastAsia="Arial" w:hAnsi="Arial" w:cs="Arial"/>
          <w:i/>
          <w:iCs/>
          <w:color w:val="000000" w:themeColor="text1"/>
          <w:sz w:val="22"/>
          <w:szCs w:val="22"/>
        </w:rPr>
        <w:t>Ability Grouping or Mixed Grouping: A Point of Contention?</w:t>
      </w:r>
      <w:r w:rsidRPr="00801718">
        <w:rPr>
          <w:rFonts w:ascii="Arial" w:eastAsia="Arial" w:hAnsi="Arial" w:cs="Arial"/>
          <w:color w:val="000000" w:themeColor="text1"/>
          <w:sz w:val="22"/>
          <w:szCs w:val="22"/>
        </w:rPr>
        <w:t xml:space="preserve"> Available at: </w:t>
      </w:r>
      <w:hyperlink r:id="rId19">
        <w:r w:rsidRPr="00801718">
          <w:rPr>
            <w:rStyle w:val="Hyperlink"/>
            <w:rFonts w:ascii="Arial" w:eastAsia="Arial" w:hAnsi="Arial" w:cs="Arial"/>
            <w:sz w:val="22"/>
            <w:szCs w:val="22"/>
          </w:rPr>
          <w:t>Ability Grouping or Mixed Grouping: A Point of Contention? (Opinion) (edweek.org)</w:t>
        </w:r>
      </w:hyperlink>
    </w:p>
    <w:p w14:paraId="48B95039" w14:textId="77777777" w:rsidR="00D0721E" w:rsidRPr="00801718" w:rsidRDefault="00D0721E" w:rsidP="00485235">
      <w:pPr>
        <w:pStyle w:val="ListParagraph"/>
        <w:numPr>
          <w:ilvl w:val="0"/>
          <w:numId w:val="1"/>
        </w:numPr>
        <w:spacing w:line="360" w:lineRule="auto"/>
        <w:jc w:val="both"/>
        <w:rPr>
          <w:rFonts w:ascii="Arial" w:eastAsia="Arial" w:hAnsi="Arial" w:cs="Arial"/>
          <w:color w:val="000000" w:themeColor="text1"/>
          <w:sz w:val="22"/>
          <w:szCs w:val="22"/>
        </w:rPr>
      </w:pPr>
      <w:proofErr w:type="spellStart"/>
      <w:r w:rsidRPr="00801718">
        <w:rPr>
          <w:rFonts w:ascii="Arial" w:eastAsia="Arial" w:hAnsi="Arial" w:cs="Arial"/>
          <w:color w:val="000000" w:themeColor="text1"/>
          <w:sz w:val="22"/>
          <w:szCs w:val="22"/>
        </w:rPr>
        <w:t>Dunphy</w:t>
      </w:r>
      <w:proofErr w:type="spellEnd"/>
      <w:r w:rsidRPr="00801718">
        <w:rPr>
          <w:rFonts w:ascii="Arial" w:eastAsia="Arial" w:hAnsi="Arial" w:cs="Arial"/>
          <w:color w:val="000000" w:themeColor="text1"/>
          <w:sz w:val="22"/>
          <w:szCs w:val="22"/>
        </w:rPr>
        <w:t xml:space="preserve">, L., &amp; Farrell, T. (2011) ‘Indoor play provision in the class room’, </w:t>
      </w:r>
      <w:proofErr w:type="gramStart"/>
      <w:r w:rsidRPr="00801718">
        <w:rPr>
          <w:rFonts w:ascii="Arial" w:eastAsia="Arial" w:hAnsi="Arial" w:cs="Arial"/>
          <w:i/>
          <w:iCs/>
          <w:color w:val="000000" w:themeColor="text1"/>
          <w:sz w:val="22"/>
          <w:szCs w:val="22"/>
        </w:rPr>
        <w:t>Researching</w:t>
      </w:r>
      <w:proofErr w:type="gramEnd"/>
      <w:r w:rsidRPr="00801718">
        <w:rPr>
          <w:rFonts w:ascii="Arial" w:eastAsia="Arial" w:hAnsi="Arial" w:cs="Arial"/>
          <w:i/>
          <w:iCs/>
          <w:color w:val="000000" w:themeColor="text1"/>
          <w:sz w:val="22"/>
          <w:szCs w:val="22"/>
        </w:rPr>
        <w:t xml:space="preserve"> young children’s perspectives: Debating the ethics and dilemmas of educational research with children, </w:t>
      </w:r>
      <w:r w:rsidRPr="00801718">
        <w:rPr>
          <w:rFonts w:ascii="Arial" w:eastAsia="Arial" w:hAnsi="Arial" w:cs="Arial"/>
          <w:color w:val="000000" w:themeColor="text1"/>
          <w:sz w:val="22"/>
          <w:szCs w:val="22"/>
        </w:rPr>
        <w:t xml:space="preserve">pp. 128–142. London, England: </w:t>
      </w:r>
      <w:proofErr w:type="spellStart"/>
      <w:r w:rsidRPr="00801718">
        <w:rPr>
          <w:rFonts w:ascii="Arial" w:eastAsia="Arial" w:hAnsi="Arial" w:cs="Arial"/>
          <w:color w:val="000000" w:themeColor="text1"/>
          <w:sz w:val="22"/>
          <w:szCs w:val="22"/>
        </w:rPr>
        <w:t>Routledge</w:t>
      </w:r>
      <w:proofErr w:type="spellEnd"/>
      <w:r w:rsidRPr="00801718">
        <w:rPr>
          <w:rFonts w:ascii="Arial" w:eastAsia="Arial" w:hAnsi="Arial" w:cs="Arial"/>
          <w:color w:val="000000" w:themeColor="text1"/>
          <w:sz w:val="22"/>
          <w:szCs w:val="22"/>
        </w:rPr>
        <w:t>.</w:t>
      </w:r>
    </w:p>
    <w:p w14:paraId="0847821D" w14:textId="77777777" w:rsidR="00D0721E" w:rsidRPr="00801718" w:rsidRDefault="00D0721E" w:rsidP="00485235">
      <w:pPr>
        <w:pStyle w:val="ListParagraph"/>
        <w:numPr>
          <w:ilvl w:val="0"/>
          <w:numId w:val="1"/>
        </w:numPr>
        <w:spacing w:line="360" w:lineRule="auto"/>
        <w:jc w:val="both"/>
        <w:rPr>
          <w:rFonts w:ascii="Arial" w:eastAsia="Arial" w:hAnsi="Arial" w:cs="Arial"/>
          <w:sz w:val="22"/>
          <w:szCs w:val="22"/>
        </w:rPr>
      </w:pPr>
      <w:r w:rsidRPr="00801718">
        <w:rPr>
          <w:rFonts w:ascii="Arial" w:eastAsia="Arial" w:hAnsi="Arial" w:cs="Arial"/>
          <w:color w:val="000000" w:themeColor="text1"/>
          <w:sz w:val="22"/>
          <w:szCs w:val="22"/>
        </w:rPr>
        <w:t>Evans, O. (2024)</w:t>
      </w:r>
      <w:r w:rsidRPr="00801718">
        <w:rPr>
          <w:rFonts w:ascii="Arial" w:eastAsia="Arial" w:hAnsi="Arial" w:cs="Arial"/>
          <w:i/>
          <w:iCs/>
          <w:color w:val="000000" w:themeColor="text1"/>
          <w:sz w:val="22"/>
          <w:szCs w:val="22"/>
        </w:rPr>
        <w:t xml:space="preserve"> Albert Bandura’s Social Learning Theory</w:t>
      </w:r>
      <w:r w:rsidRPr="00801718">
        <w:rPr>
          <w:rFonts w:ascii="Arial" w:eastAsia="Arial" w:hAnsi="Arial" w:cs="Arial"/>
          <w:color w:val="000000" w:themeColor="text1"/>
          <w:sz w:val="22"/>
          <w:szCs w:val="22"/>
        </w:rPr>
        <w:t xml:space="preserve">. Available at: </w:t>
      </w:r>
      <w:hyperlink r:id="rId20">
        <w:r w:rsidRPr="00801718">
          <w:rPr>
            <w:rStyle w:val="Hyperlink"/>
            <w:rFonts w:ascii="Arial" w:eastAsia="Arial" w:hAnsi="Arial" w:cs="Arial"/>
            <w:sz w:val="22"/>
            <w:szCs w:val="22"/>
          </w:rPr>
          <w:t>Albert Bandura's Social Learning Theory In Psychology (simplypsychology.org)</w:t>
        </w:r>
      </w:hyperlink>
      <w:r w:rsidRPr="00801718">
        <w:rPr>
          <w:rFonts w:ascii="Arial" w:eastAsia="Arial" w:hAnsi="Arial" w:cs="Arial"/>
          <w:color w:val="000000" w:themeColor="text1"/>
          <w:sz w:val="22"/>
          <w:szCs w:val="22"/>
        </w:rPr>
        <w:t xml:space="preserve"> (Accessed: 27 April 2024)</w:t>
      </w:r>
    </w:p>
    <w:p w14:paraId="3A573920" w14:textId="77777777" w:rsidR="00D0721E" w:rsidRPr="00801718" w:rsidRDefault="00D0721E" w:rsidP="00485235">
      <w:pPr>
        <w:pStyle w:val="ListParagraph"/>
        <w:numPr>
          <w:ilvl w:val="0"/>
          <w:numId w:val="1"/>
        </w:numPr>
        <w:spacing w:line="360" w:lineRule="auto"/>
        <w:jc w:val="both"/>
        <w:rPr>
          <w:rFonts w:ascii="Arial" w:eastAsia="Arial" w:hAnsi="Arial" w:cs="Arial"/>
          <w:color w:val="333132"/>
          <w:sz w:val="22"/>
          <w:szCs w:val="22"/>
        </w:rPr>
      </w:pPr>
      <w:proofErr w:type="spellStart"/>
      <w:r w:rsidRPr="00801718">
        <w:rPr>
          <w:rFonts w:ascii="Arial" w:eastAsia="Arial" w:hAnsi="Arial" w:cs="Arial"/>
          <w:color w:val="000000" w:themeColor="text1"/>
          <w:sz w:val="22"/>
          <w:szCs w:val="22"/>
        </w:rPr>
        <w:t>Felice</w:t>
      </w:r>
      <w:proofErr w:type="spellEnd"/>
      <w:r w:rsidRPr="00801718">
        <w:rPr>
          <w:rFonts w:ascii="Arial" w:eastAsia="Arial" w:hAnsi="Arial" w:cs="Arial"/>
          <w:color w:val="000000" w:themeColor="text1"/>
          <w:sz w:val="22"/>
          <w:szCs w:val="22"/>
        </w:rPr>
        <w:t xml:space="preserve">, S D., Hamilton, A F, </w:t>
      </w:r>
      <w:proofErr w:type="spellStart"/>
      <w:r w:rsidRPr="00801718">
        <w:rPr>
          <w:rFonts w:ascii="Arial" w:eastAsia="Arial" w:hAnsi="Arial" w:cs="Arial"/>
          <w:color w:val="000000" w:themeColor="text1"/>
          <w:sz w:val="22"/>
          <w:szCs w:val="22"/>
        </w:rPr>
        <w:t>Ponari</w:t>
      </w:r>
      <w:proofErr w:type="spellEnd"/>
      <w:r w:rsidRPr="00801718">
        <w:rPr>
          <w:rFonts w:ascii="Arial" w:eastAsia="Arial" w:hAnsi="Arial" w:cs="Arial"/>
          <w:color w:val="000000" w:themeColor="text1"/>
          <w:sz w:val="22"/>
          <w:szCs w:val="22"/>
        </w:rPr>
        <w:t xml:space="preserve">, M., and </w:t>
      </w:r>
      <w:proofErr w:type="spellStart"/>
      <w:r w:rsidRPr="00801718">
        <w:rPr>
          <w:rFonts w:ascii="Arial" w:eastAsia="Arial" w:hAnsi="Arial" w:cs="Arial"/>
          <w:color w:val="000000" w:themeColor="text1"/>
          <w:sz w:val="22"/>
          <w:szCs w:val="22"/>
        </w:rPr>
        <w:t>Vigliocco</w:t>
      </w:r>
      <w:proofErr w:type="spellEnd"/>
      <w:r w:rsidRPr="00801718">
        <w:rPr>
          <w:rFonts w:ascii="Arial" w:eastAsia="Arial" w:hAnsi="Arial" w:cs="Arial"/>
          <w:color w:val="000000" w:themeColor="text1"/>
          <w:sz w:val="22"/>
          <w:szCs w:val="22"/>
        </w:rPr>
        <w:t xml:space="preserve">, G. (2022) ‘Learning from others is good, with others is better: the role of social interaction inhuman acquisition of new knowledge’, </w:t>
      </w:r>
      <w:r w:rsidRPr="00801718">
        <w:rPr>
          <w:rFonts w:ascii="Arial" w:eastAsia="Arial" w:hAnsi="Arial" w:cs="Arial"/>
          <w:i/>
          <w:iCs/>
          <w:color w:val="000000" w:themeColor="text1"/>
          <w:sz w:val="22"/>
          <w:szCs w:val="22"/>
        </w:rPr>
        <w:t>The Royal Society Publishing</w:t>
      </w:r>
      <w:r w:rsidRPr="00801718">
        <w:rPr>
          <w:rFonts w:ascii="Arial" w:eastAsia="Arial" w:hAnsi="Arial" w:cs="Arial"/>
          <w:color w:val="000000" w:themeColor="text1"/>
          <w:sz w:val="22"/>
          <w:szCs w:val="22"/>
        </w:rPr>
        <w:t xml:space="preserve">, 378(1870), pp. 1. Available at: </w:t>
      </w:r>
      <w:hyperlink r:id="rId21">
        <w:r w:rsidRPr="00801718">
          <w:rPr>
            <w:rStyle w:val="Hyperlink"/>
            <w:rFonts w:ascii="Arial" w:eastAsia="Arial" w:hAnsi="Arial" w:cs="Arial"/>
            <w:sz w:val="22"/>
            <w:szCs w:val="22"/>
          </w:rPr>
          <w:t>https://doi.org/10.1098/rstb.2021.0357</w:t>
        </w:r>
      </w:hyperlink>
      <w:r w:rsidRPr="00801718">
        <w:rPr>
          <w:rFonts w:ascii="Arial" w:eastAsia="Arial" w:hAnsi="Arial" w:cs="Arial"/>
          <w:color w:val="333132"/>
          <w:sz w:val="22"/>
          <w:szCs w:val="22"/>
        </w:rPr>
        <w:t xml:space="preserve"> </w:t>
      </w:r>
    </w:p>
    <w:p w14:paraId="3F374902" w14:textId="77777777" w:rsidR="00D0721E" w:rsidRPr="00801718" w:rsidRDefault="00D0721E" w:rsidP="00485235">
      <w:pPr>
        <w:pStyle w:val="ListParagraph"/>
        <w:numPr>
          <w:ilvl w:val="0"/>
          <w:numId w:val="1"/>
        </w:numPr>
        <w:spacing w:line="360" w:lineRule="auto"/>
        <w:jc w:val="both"/>
        <w:rPr>
          <w:rFonts w:ascii="Arial" w:eastAsia="Arial" w:hAnsi="Arial" w:cs="Arial"/>
          <w:color w:val="000000" w:themeColor="text1"/>
          <w:sz w:val="22"/>
          <w:szCs w:val="22"/>
        </w:rPr>
      </w:pPr>
      <w:r w:rsidRPr="00801718">
        <w:rPr>
          <w:rFonts w:ascii="Arial" w:eastAsia="Arial" w:hAnsi="Arial" w:cs="Arial"/>
          <w:color w:val="000000" w:themeColor="text1"/>
          <w:sz w:val="22"/>
          <w:szCs w:val="22"/>
        </w:rPr>
        <w:t xml:space="preserve">Gibson, J. (2012) ‘Interviews and Focus Groups With Children: Methods That Match Children's Developing Competencies’, </w:t>
      </w:r>
      <w:r w:rsidRPr="00801718">
        <w:rPr>
          <w:rFonts w:ascii="Arial" w:eastAsia="Arial" w:hAnsi="Arial" w:cs="Arial"/>
          <w:i/>
          <w:iCs/>
          <w:color w:val="000000" w:themeColor="text1"/>
          <w:sz w:val="22"/>
          <w:szCs w:val="22"/>
        </w:rPr>
        <w:t>Journal of Family Theory and Review</w:t>
      </w:r>
      <w:r w:rsidRPr="00801718">
        <w:rPr>
          <w:rFonts w:ascii="Arial" w:eastAsia="Arial" w:hAnsi="Arial" w:cs="Arial"/>
          <w:color w:val="000000" w:themeColor="text1"/>
          <w:sz w:val="22"/>
          <w:szCs w:val="22"/>
        </w:rPr>
        <w:t xml:space="preserve">, 4(2), pp. 148-159. Available at: </w:t>
      </w:r>
      <w:hyperlink r:id="rId22">
        <w:r w:rsidRPr="00801718">
          <w:rPr>
            <w:rStyle w:val="Hyperlink"/>
            <w:rFonts w:ascii="Arial" w:eastAsia="Arial" w:hAnsi="Arial" w:cs="Arial"/>
            <w:sz w:val="22"/>
            <w:szCs w:val="22"/>
          </w:rPr>
          <w:t>https://doi.org/10.1111/j.1756-2589.2012.00119.x</w:t>
        </w:r>
      </w:hyperlink>
      <w:r w:rsidRPr="00801718">
        <w:rPr>
          <w:rFonts w:ascii="Arial" w:eastAsia="Arial" w:hAnsi="Arial" w:cs="Arial"/>
          <w:color w:val="000000" w:themeColor="text1"/>
          <w:sz w:val="22"/>
          <w:szCs w:val="22"/>
        </w:rPr>
        <w:t xml:space="preserve">  </w:t>
      </w:r>
    </w:p>
    <w:p w14:paraId="46F89709" w14:textId="77777777" w:rsidR="00D0721E" w:rsidRPr="00801718" w:rsidRDefault="00D0721E" w:rsidP="00485235">
      <w:pPr>
        <w:pStyle w:val="ListParagraph"/>
        <w:numPr>
          <w:ilvl w:val="0"/>
          <w:numId w:val="1"/>
        </w:numPr>
        <w:spacing w:line="360" w:lineRule="auto"/>
        <w:jc w:val="both"/>
        <w:rPr>
          <w:rFonts w:ascii="Arial" w:eastAsia="Arial" w:hAnsi="Arial" w:cs="Arial"/>
          <w:color w:val="000000" w:themeColor="text1"/>
          <w:sz w:val="22"/>
          <w:szCs w:val="22"/>
        </w:rPr>
      </w:pPr>
      <w:proofErr w:type="spellStart"/>
      <w:r w:rsidRPr="00801718">
        <w:rPr>
          <w:rFonts w:ascii="Arial" w:eastAsia="Arial" w:hAnsi="Arial" w:cs="Arial"/>
          <w:color w:val="000000" w:themeColor="text1"/>
          <w:sz w:val="22"/>
          <w:szCs w:val="22"/>
        </w:rPr>
        <w:lastRenderedPageBreak/>
        <w:t>Gillies</w:t>
      </w:r>
      <w:proofErr w:type="spellEnd"/>
      <w:r w:rsidRPr="00801718">
        <w:rPr>
          <w:rFonts w:ascii="Arial" w:eastAsia="Arial" w:hAnsi="Arial" w:cs="Arial"/>
          <w:color w:val="000000" w:themeColor="text1"/>
          <w:sz w:val="22"/>
          <w:szCs w:val="22"/>
        </w:rPr>
        <w:t xml:space="preserve">, R M. (2004) ‘The effects of communication training on teachers’ and students’ verbal </w:t>
      </w:r>
      <w:proofErr w:type="spellStart"/>
      <w:r w:rsidRPr="00801718">
        <w:rPr>
          <w:rFonts w:ascii="Arial" w:eastAsia="Arial" w:hAnsi="Arial" w:cs="Arial"/>
          <w:color w:val="000000" w:themeColor="text1"/>
          <w:sz w:val="22"/>
          <w:szCs w:val="22"/>
        </w:rPr>
        <w:t>behaviours</w:t>
      </w:r>
      <w:proofErr w:type="spellEnd"/>
      <w:r w:rsidRPr="00801718">
        <w:rPr>
          <w:rFonts w:ascii="Arial" w:eastAsia="Arial" w:hAnsi="Arial" w:cs="Arial"/>
          <w:color w:val="000000" w:themeColor="text1"/>
          <w:sz w:val="22"/>
          <w:szCs w:val="22"/>
        </w:rPr>
        <w:t xml:space="preserve"> during cooperative learning’, </w:t>
      </w:r>
      <w:r w:rsidRPr="00801718">
        <w:rPr>
          <w:rFonts w:ascii="Arial" w:eastAsia="Arial" w:hAnsi="Arial" w:cs="Arial"/>
          <w:i/>
          <w:iCs/>
          <w:color w:val="000000" w:themeColor="text1"/>
          <w:sz w:val="22"/>
          <w:szCs w:val="22"/>
        </w:rPr>
        <w:t>International Journal of Educational Research</w:t>
      </w:r>
      <w:r w:rsidRPr="00801718">
        <w:rPr>
          <w:rFonts w:ascii="Arial" w:eastAsia="Arial" w:hAnsi="Arial" w:cs="Arial"/>
          <w:color w:val="000000" w:themeColor="text1"/>
          <w:sz w:val="22"/>
          <w:szCs w:val="22"/>
        </w:rPr>
        <w:t xml:space="preserve">, 41(3), pp. 257-279. Available at: </w:t>
      </w:r>
      <w:hyperlink r:id="rId23">
        <w:r w:rsidRPr="00801718">
          <w:rPr>
            <w:rStyle w:val="Hyperlink"/>
            <w:rFonts w:ascii="Arial" w:eastAsia="Arial" w:hAnsi="Arial" w:cs="Arial"/>
            <w:sz w:val="22"/>
            <w:szCs w:val="22"/>
          </w:rPr>
          <w:t>https://doi.org/10.1016/j.ijer.2005.07.004</w:t>
        </w:r>
      </w:hyperlink>
      <w:r w:rsidRPr="00801718">
        <w:rPr>
          <w:rFonts w:ascii="Arial" w:eastAsia="Arial" w:hAnsi="Arial" w:cs="Arial"/>
          <w:color w:val="000000" w:themeColor="text1"/>
          <w:sz w:val="22"/>
          <w:szCs w:val="22"/>
        </w:rPr>
        <w:t xml:space="preserve">    </w:t>
      </w:r>
    </w:p>
    <w:p w14:paraId="49C70EC8" w14:textId="77777777" w:rsidR="00D0721E" w:rsidRPr="00801718" w:rsidRDefault="00D0721E" w:rsidP="00485235">
      <w:pPr>
        <w:pStyle w:val="ListParagraph"/>
        <w:numPr>
          <w:ilvl w:val="0"/>
          <w:numId w:val="1"/>
        </w:numPr>
        <w:spacing w:line="360" w:lineRule="auto"/>
        <w:jc w:val="both"/>
        <w:rPr>
          <w:rFonts w:ascii="Arial" w:eastAsia="Arial" w:hAnsi="Arial" w:cs="Arial"/>
          <w:color w:val="000000" w:themeColor="text1"/>
          <w:sz w:val="22"/>
          <w:szCs w:val="22"/>
        </w:rPr>
      </w:pPr>
      <w:r w:rsidRPr="00801718">
        <w:rPr>
          <w:rFonts w:ascii="Arial" w:eastAsia="Arial" w:hAnsi="Arial" w:cs="Arial"/>
          <w:color w:val="000000" w:themeColor="text1"/>
          <w:sz w:val="22"/>
          <w:szCs w:val="22"/>
        </w:rPr>
        <w:t xml:space="preserve">Guest, G., </w:t>
      </w:r>
      <w:proofErr w:type="spellStart"/>
      <w:r w:rsidRPr="00801718">
        <w:rPr>
          <w:rFonts w:ascii="Arial" w:eastAsia="Arial" w:hAnsi="Arial" w:cs="Arial"/>
          <w:color w:val="000000" w:themeColor="text1"/>
          <w:sz w:val="22"/>
          <w:szCs w:val="22"/>
        </w:rPr>
        <w:t>MacQueen</w:t>
      </w:r>
      <w:proofErr w:type="spellEnd"/>
      <w:r w:rsidRPr="00801718">
        <w:rPr>
          <w:rFonts w:ascii="Arial" w:eastAsia="Arial" w:hAnsi="Arial" w:cs="Arial"/>
          <w:color w:val="000000" w:themeColor="text1"/>
          <w:sz w:val="22"/>
          <w:szCs w:val="22"/>
        </w:rPr>
        <w:t xml:space="preserve">, K.M. and </w:t>
      </w:r>
      <w:proofErr w:type="spellStart"/>
      <w:r w:rsidRPr="00801718">
        <w:rPr>
          <w:rFonts w:ascii="Arial" w:eastAsia="Arial" w:hAnsi="Arial" w:cs="Arial"/>
          <w:color w:val="000000" w:themeColor="text1"/>
          <w:sz w:val="22"/>
          <w:szCs w:val="22"/>
        </w:rPr>
        <w:t>Namey</w:t>
      </w:r>
      <w:proofErr w:type="spellEnd"/>
      <w:r w:rsidRPr="00801718">
        <w:rPr>
          <w:rFonts w:ascii="Arial" w:eastAsia="Arial" w:hAnsi="Arial" w:cs="Arial"/>
          <w:color w:val="000000" w:themeColor="text1"/>
          <w:sz w:val="22"/>
          <w:szCs w:val="22"/>
        </w:rPr>
        <w:t xml:space="preserve">, E.E. (2012) ‘Introduction to applied thematic analysis’, </w:t>
      </w:r>
      <w:r w:rsidRPr="00801718">
        <w:rPr>
          <w:rFonts w:ascii="Arial" w:eastAsia="Arial" w:hAnsi="Arial" w:cs="Arial"/>
          <w:i/>
          <w:iCs/>
          <w:color w:val="000000" w:themeColor="text1"/>
          <w:sz w:val="22"/>
          <w:szCs w:val="22"/>
        </w:rPr>
        <w:t>Applied thematic analysis</w:t>
      </w:r>
      <w:r w:rsidRPr="00801718">
        <w:rPr>
          <w:rFonts w:ascii="Arial" w:eastAsia="Arial" w:hAnsi="Arial" w:cs="Arial"/>
          <w:color w:val="000000" w:themeColor="text1"/>
          <w:sz w:val="22"/>
          <w:szCs w:val="22"/>
        </w:rPr>
        <w:t xml:space="preserve">, 3(20), pp.1-21. Available at: </w:t>
      </w:r>
      <w:hyperlink r:id="rId24">
        <w:r w:rsidRPr="00801718">
          <w:rPr>
            <w:rStyle w:val="Hyperlink"/>
            <w:rFonts w:ascii="Arial" w:eastAsia="Arial" w:hAnsi="Arial" w:cs="Arial"/>
            <w:sz w:val="22"/>
            <w:szCs w:val="22"/>
          </w:rPr>
          <w:t>Guest_2012_AppliedThematicAnlaysis_Ch1.pdf (kmctlw.edu.np)</w:t>
        </w:r>
      </w:hyperlink>
    </w:p>
    <w:p w14:paraId="748EF8AD" w14:textId="77777777" w:rsidR="00D0721E" w:rsidRPr="00801718" w:rsidRDefault="00D0721E" w:rsidP="00485235">
      <w:pPr>
        <w:pStyle w:val="ListParagraph"/>
        <w:numPr>
          <w:ilvl w:val="0"/>
          <w:numId w:val="1"/>
        </w:numPr>
        <w:spacing w:line="360" w:lineRule="auto"/>
        <w:jc w:val="both"/>
        <w:rPr>
          <w:rFonts w:ascii="Arial" w:eastAsia="Arial" w:hAnsi="Arial" w:cs="Arial"/>
          <w:color w:val="000000" w:themeColor="text1"/>
          <w:sz w:val="22"/>
          <w:szCs w:val="22"/>
        </w:rPr>
      </w:pPr>
      <w:proofErr w:type="spellStart"/>
      <w:r w:rsidRPr="00801718">
        <w:rPr>
          <w:rFonts w:ascii="Arial" w:eastAsia="Arial" w:hAnsi="Arial" w:cs="Arial"/>
          <w:color w:val="000000" w:themeColor="text1"/>
          <w:sz w:val="22"/>
          <w:szCs w:val="22"/>
        </w:rPr>
        <w:t>Hallam</w:t>
      </w:r>
      <w:proofErr w:type="spellEnd"/>
      <w:r w:rsidRPr="00801718">
        <w:rPr>
          <w:rFonts w:ascii="Arial" w:eastAsia="Arial" w:hAnsi="Arial" w:cs="Arial"/>
          <w:color w:val="000000" w:themeColor="text1"/>
          <w:sz w:val="22"/>
          <w:szCs w:val="22"/>
        </w:rPr>
        <w:t xml:space="preserve">, S., and Parsons, S. (2013) ‘The incidence and make up of ability grouped sets in the UK primary school’, </w:t>
      </w:r>
      <w:r w:rsidRPr="00801718">
        <w:rPr>
          <w:rFonts w:ascii="Arial" w:eastAsia="Arial" w:hAnsi="Arial" w:cs="Arial"/>
          <w:i/>
          <w:iCs/>
          <w:color w:val="000000" w:themeColor="text1"/>
          <w:sz w:val="22"/>
          <w:szCs w:val="22"/>
        </w:rPr>
        <w:t>Research Papers in Education</w:t>
      </w:r>
      <w:r w:rsidRPr="00801718">
        <w:rPr>
          <w:rFonts w:ascii="Arial" w:eastAsia="Arial" w:hAnsi="Arial" w:cs="Arial"/>
          <w:color w:val="000000" w:themeColor="text1"/>
          <w:sz w:val="22"/>
          <w:szCs w:val="22"/>
        </w:rPr>
        <w:t xml:space="preserve">, 28(4), pp. 393-420. Available at: 10.1080/02671522.2012.729079 </w:t>
      </w:r>
    </w:p>
    <w:p w14:paraId="2BE705E0" w14:textId="77777777" w:rsidR="00D0721E" w:rsidRPr="00801718" w:rsidRDefault="00D0721E" w:rsidP="00485235">
      <w:pPr>
        <w:pStyle w:val="ListParagraph"/>
        <w:numPr>
          <w:ilvl w:val="0"/>
          <w:numId w:val="1"/>
        </w:numPr>
        <w:spacing w:line="360" w:lineRule="auto"/>
        <w:jc w:val="both"/>
        <w:rPr>
          <w:rFonts w:ascii="Arial" w:eastAsia="Arial" w:hAnsi="Arial" w:cs="Arial"/>
          <w:color w:val="000000" w:themeColor="text1"/>
          <w:sz w:val="22"/>
          <w:szCs w:val="22"/>
        </w:rPr>
      </w:pPr>
      <w:proofErr w:type="spellStart"/>
      <w:r w:rsidRPr="00801718">
        <w:rPr>
          <w:rFonts w:ascii="Arial" w:eastAsia="Arial" w:hAnsi="Arial" w:cs="Arial"/>
          <w:color w:val="000000" w:themeColor="text1"/>
          <w:sz w:val="22"/>
          <w:szCs w:val="22"/>
        </w:rPr>
        <w:t>Hallam</w:t>
      </w:r>
      <w:proofErr w:type="spellEnd"/>
      <w:r w:rsidRPr="00801718">
        <w:rPr>
          <w:rFonts w:ascii="Arial" w:eastAsia="Arial" w:hAnsi="Arial" w:cs="Arial"/>
          <w:color w:val="000000" w:themeColor="text1"/>
          <w:sz w:val="22"/>
          <w:szCs w:val="22"/>
        </w:rPr>
        <w:t xml:space="preserve">, S., </w:t>
      </w:r>
      <w:proofErr w:type="spellStart"/>
      <w:r w:rsidRPr="00801718">
        <w:rPr>
          <w:rFonts w:ascii="Arial" w:eastAsia="Arial" w:hAnsi="Arial" w:cs="Arial"/>
          <w:color w:val="000000" w:themeColor="text1"/>
          <w:sz w:val="22"/>
          <w:szCs w:val="22"/>
        </w:rPr>
        <w:t>Ireson</w:t>
      </w:r>
      <w:proofErr w:type="spellEnd"/>
      <w:r w:rsidRPr="00801718">
        <w:rPr>
          <w:rFonts w:ascii="Arial" w:eastAsia="Arial" w:hAnsi="Arial" w:cs="Arial"/>
          <w:color w:val="000000" w:themeColor="text1"/>
          <w:sz w:val="22"/>
          <w:szCs w:val="22"/>
        </w:rPr>
        <w:t xml:space="preserve">, J., Lister, V., </w:t>
      </w:r>
      <w:proofErr w:type="spellStart"/>
      <w:r w:rsidRPr="00801718">
        <w:rPr>
          <w:rFonts w:ascii="Arial" w:eastAsia="Arial" w:hAnsi="Arial" w:cs="Arial"/>
          <w:color w:val="000000" w:themeColor="text1"/>
          <w:sz w:val="22"/>
          <w:szCs w:val="22"/>
        </w:rPr>
        <w:t>Chaudhury</w:t>
      </w:r>
      <w:proofErr w:type="spellEnd"/>
      <w:r w:rsidRPr="00801718">
        <w:rPr>
          <w:rFonts w:ascii="Arial" w:eastAsia="Arial" w:hAnsi="Arial" w:cs="Arial"/>
          <w:color w:val="000000" w:themeColor="text1"/>
          <w:sz w:val="22"/>
          <w:szCs w:val="22"/>
        </w:rPr>
        <w:t>, A., and Davies, J. (2010) ‘Ability Grouping Practices in the Primary School: A survey’,</w:t>
      </w:r>
      <w:r w:rsidRPr="00801718">
        <w:rPr>
          <w:rFonts w:ascii="Arial" w:eastAsia="Arial" w:hAnsi="Arial" w:cs="Arial"/>
          <w:i/>
          <w:iCs/>
          <w:color w:val="000000" w:themeColor="text1"/>
          <w:sz w:val="22"/>
          <w:szCs w:val="22"/>
        </w:rPr>
        <w:t xml:space="preserve"> Educational Studies</w:t>
      </w:r>
      <w:r w:rsidRPr="00801718">
        <w:rPr>
          <w:rFonts w:ascii="Arial" w:eastAsia="Arial" w:hAnsi="Arial" w:cs="Arial"/>
          <w:color w:val="000000" w:themeColor="text1"/>
          <w:sz w:val="22"/>
          <w:szCs w:val="22"/>
        </w:rPr>
        <w:t xml:space="preserve">, 29(1), pp. 69-83. Available at: </w:t>
      </w:r>
      <w:hyperlink r:id="rId25">
        <w:r w:rsidRPr="00801718">
          <w:rPr>
            <w:rStyle w:val="Hyperlink"/>
            <w:rFonts w:ascii="Arial" w:eastAsia="Arial" w:hAnsi="Arial" w:cs="Arial"/>
            <w:sz w:val="22"/>
            <w:szCs w:val="22"/>
          </w:rPr>
          <w:t>https://doi.org/10.1080/03055690303268</w:t>
        </w:r>
      </w:hyperlink>
      <w:r w:rsidRPr="00801718">
        <w:rPr>
          <w:rFonts w:ascii="Arial" w:eastAsia="Arial" w:hAnsi="Arial" w:cs="Arial"/>
          <w:color w:val="000000" w:themeColor="text1"/>
          <w:sz w:val="22"/>
          <w:szCs w:val="22"/>
        </w:rPr>
        <w:t xml:space="preserve"> </w:t>
      </w:r>
    </w:p>
    <w:p w14:paraId="58D9341F" w14:textId="77777777" w:rsidR="00D0721E" w:rsidRPr="00801718" w:rsidRDefault="00D0721E" w:rsidP="00485235">
      <w:pPr>
        <w:pStyle w:val="ListParagraph"/>
        <w:numPr>
          <w:ilvl w:val="0"/>
          <w:numId w:val="1"/>
        </w:numPr>
        <w:spacing w:line="360" w:lineRule="auto"/>
        <w:jc w:val="both"/>
        <w:rPr>
          <w:rFonts w:ascii="Arial" w:eastAsia="Arial" w:hAnsi="Arial" w:cs="Arial"/>
          <w:color w:val="000000" w:themeColor="text1"/>
          <w:sz w:val="22"/>
          <w:szCs w:val="22"/>
        </w:rPr>
      </w:pPr>
      <w:proofErr w:type="gramStart"/>
      <w:r w:rsidRPr="00801718">
        <w:rPr>
          <w:rFonts w:ascii="Arial" w:eastAsia="Arial" w:hAnsi="Arial" w:cs="Arial"/>
          <w:color w:val="000000" w:themeColor="text1"/>
          <w:sz w:val="22"/>
          <w:szCs w:val="22"/>
        </w:rPr>
        <w:t>Hammer,</w:t>
      </w:r>
      <w:proofErr w:type="gramEnd"/>
      <w:r w:rsidRPr="00801718">
        <w:rPr>
          <w:rFonts w:ascii="Arial" w:eastAsia="Arial" w:hAnsi="Arial" w:cs="Arial"/>
          <w:color w:val="000000" w:themeColor="text1"/>
          <w:sz w:val="22"/>
          <w:szCs w:val="22"/>
        </w:rPr>
        <w:t xml:space="preserve"> D and </w:t>
      </w:r>
      <w:proofErr w:type="spellStart"/>
      <w:r w:rsidRPr="00801718">
        <w:rPr>
          <w:rFonts w:ascii="Arial" w:eastAsia="Arial" w:hAnsi="Arial" w:cs="Arial"/>
          <w:color w:val="000000" w:themeColor="text1"/>
          <w:sz w:val="22"/>
          <w:szCs w:val="22"/>
        </w:rPr>
        <w:t>Wildavsky</w:t>
      </w:r>
      <w:proofErr w:type="spellEnd"/>
      <w:r w:rsidRPr="00801718">
        <w:rPr>
          <w:rFonts w:ascii="Arial" w:eastAsia="Arial" w:hAnsi="Arial" w:cs="Arial"/>
          <w:color w:val="000000" w:themeColor="text1"/>
          <w:sz w:val="22"/>
          <w:szCs w:val="22"/>
        </w:rPr>
        <w:t xml:space="preserve">, A (1993) </w:t>
      </w:r>
      <w:proofErr w:type="spellStart"/>
      <w:r w:rsidRPr="00801718">
        <w:rPr>
          <w:rFonts w:ascii="Arial" w:eastAsia="Arial" w:hAnsi="Arial" w:cs="Arial"/>
          <w:i/>
          <w:iCs/>
          <w:color w:val="000000" w:themeColor="text1"/>
          <w:sz w:val="22"/>
          <w:szCs w:val="22"/>
        </w:rPr>
        <w:t>Craftways</w:t>
      </w:r>
      <w:proofErr w:type="spellEnd"/>
      <w:r w:rsidRPr="00801718">
        <w:rPr>
          <w:rFonts w:ascii="Arial" w:eastAsia="Arial" w:hAnsi="Arial" w:cs="Arial"/>
          <w:color w:val="000000" w:themeColor="text1"/>
          <w:sz w:val="22"/>
          <w:szCs w:val="22"/>
        </w:rPr>
        <w:t xml:space="preserve">. New York: </w:t>
      </w:r>
      <w:proofErr w:type="spellStart"/>
      <w:r w:rsidRPr="00801718">
        <w:rPr>
          <w:rFonts w:ascii="Arial" w:eastAsia="Arial" w:hAnsi="Arial" w:cs="Arial"/>
          <w:color w:val="000000" w:themeColor="text1"/>
          <w:sz w:val="22"/>
          <w:szCs w:val="22"/>
        </w:rPr>
        <w:t>Routledge</w:t>
      </w:r>
      <w:proofErr w:type="spellEnd"/>
    </w:p>
    <w:p w14:paraId="1FB1699F" w14:textId="77777777" w:rsidR="00D0721E" w:rsidRPr="00801718" w:rsidRDefault="00D0721E" w:rsidP="00485235">
      <w:pPr>
        <w:pStyle w:val="ListParagraph"/>
        <w:numPr>
          <w:ilvl w:val="0"/>
          <w:numId w:val="1"/>
        </w:numPr>
        <w:spacing w:line="360" w:lineRule="auto"/>
        <w:jc w:val="both"/>
        <w:rPr>
          <w:rFonts w:ascii="Arial" w:eastAsia="Arial" w:hAnsi="Arial" w:cs="Arial"/>
          <w:color w:val="000000" w:themeColor="text1"/>
          <w:sz w:val="22"/>
          <w:szCs w:val="22"/>
        </w:rPr>
      </w:pPr>
      <w:proofErr w:type="spellStart"/>
      <w:r w:rsidRPr="00801718">
        <w:rPr>
          <w:rFonts w:ascii="Arial" w:eastAsia="Arial" w:hAnsi="Arial" w:cs="Arial"/>
          <w:color w:val="000000" w:themeColor="text1"/>
          <w:sz w:val="22"/>
          <w:szCs w:val="22"/>
        </w:rPr>
        <w:t>Heary</w:t>
      </w:r>
      <w:proofErr w:type="spellEnd"/>
      <w:r w:rsidRPr="00801718">
        <w:rPr>
          <w:rFonts w:ascii="Arial" w:eastAsia="Arial" w:hAnsi="Arial" w:cs="Arial"/>
          <w:color w:val="000000" w:themeColor="text1"/>
          <w:sz w:val="22"/>
          <w:szCs w:val="22"/>
        </w:rPr>
        <w:t xml:space="preserve">, C and Hennessy, E. (2012) ‘Focus Groups </w:t>
      </w:r>
      <w:proofErr w:type="gramStart"/>
      <w:r w:rsidRPr="00801718">
        <w:rPr>
          <w:rFonts w:ascii="Arial" w:eastAsia="Arial" w:hAnsi="Arial" w:cs="Arial"/>
          <w:color w:val="000000" w:themeColor="text1"/>
          <w:sz w:val="22"/>
          <w:szCs w:val="22"/>
        </w:rPr>
        <w:t>Versus</w:t>
      </w:r>
      <w:proofErr w:type="gramEnd"/>
      <w:r w:rsidRPr="00801718">
        <w:rPr>
          <w:rFonts w:ascii="Arial" w:eastAsia="Arial" w:hAnsi="Arial" w:cs="Arial"/>
          <w:color w:val="000000" w:themeColor="text1"/>
          <w:sz w:val="22"/>
          <w:szCs w:val="22"/>
        </w:rPr>
        <w:t xml:space="preserve"> Individual Interviews with Children: A Comparison of Data’, </w:t>
      </w:r>
      <w:r w:rsidRPr="00801718">
        <w:rPr>
          <w:rFonts w:ascii="Arial" w:eastAsia="Arial" w:hAnsi="Arial" w:cs="Arial"/>
          <w:i/>
          <w:iCs/>
          <w:color w:val="000000" w:themeColor="text1"/>
          <w:sz w:val="22"/>
          <w:szCs w:val="22"/>
        </w:rPr>
        <w:t xml:space="preserve">The Irish Journal of Psychology, </w:t>
      </w:r>
      <w:r w:rsidRPr="00801718">
        <w:rPr>
          <w:rFonts w:ascii="Arial" w:eastAsia="Arial" w:hAnsi="Arial" w:cs="Arial"/>
          <w:color w:val="000000" w:themeColor="text1"/>
          <w:sz w:val="22"/>
          <w:szCs w:val="22"/>
        </w:rPr>
        <w:t xml:space="preserve">27(1), pp. 58-68. Available at: </w:t>
      </w:r>
      <w:hyperlink r:id="rId26">
        <w:r w:rsidRPr="00801718">
          <w:rPr>
            <w:rStyle w:val="Hyperlink"/>
            <w:rFonts w:ascii="Arial" w:eastAsia="Arial" w:hAnsi="Arial" w:cs="Arial"/>
            <w:sz w:val="22"/>
            <w:szCs w:val="22"/>
          </w:rPr>
          <w:t>http://dx.doi.org/10.1080/03033910.2006.10446228</w:t>
        </w:r>
      </w:hyperlink>
      <w:r w:rsidRPr="00801718">
        <w:rPr>
          <w:rFonts w:ascii="Arial" w:eastAsia="Arial" w:hAnsi="Arial" w:cs="Arial"/>
          <w:color w:val="000000" w:themeColor="text1"/>
          <w:sz w:val="22"/>
          <w:szCs w:val="22"/>
        </w:rPr>
        <w:t xml:space="preserve"> </w:t>
      </w:r>
    </w:p>
    <w:p w14:paraId="742DC2DD" w14:textId="77777777" w:rsidR="00D0721E" w:rsidRPr="00801718" w:rsidRDefault="00D0721E" w:rsidP="00485235">
      <w:pPr>
        <w:pStyle w:val="ListParagraph"/>
        <w:numPr>
          <w:ilvl w:val="0"/>
          <w:numId w:val="1"/>
        </w:numPr>
        <w:spacing w:line="360" w:lineRule="auto"/>
        <w:jc w:val="both"/>
        <w:rPr>
          <w:rFonts w:ascii="Arial" w:eastAsia="Arial" w:hAnsi="Arial" w:cs="Arial"/>
          <w:color w:val="000000" w:themeColor="text1"/>
          <w:sz w:val="22"/>
          <w:szCs w:val="22"/>
        </w:rPr>
      </w:pPr>
      <w:r w:rsidRPr="00801718">
        <w:rPr>
          <w:rFonts w:ascii="Arial" w:eastAsia="Arial" w:hAnsi="Arial" w:cs="Arial"/>
          <w:color w:val="000000" w:themeColor="text1"/>
          <w:sz w:val="22"/>
          <w:szCs w:val="22"/>
        </w:rPr>
        <w:t xml:space="preserve">Hyman, Michael &amp; Sierra, Jeremy. (2016). ‘Open- versus close-ended survey questions’, </w:t>
      </w:r>
      <w:r w:rsidRPr="00801718">
        <w:rPr>
          <w:rFonts w:ascii="Arial" w:eastAsia="Arial" w:hAnsi="Arial" w:cs="Arial"/>
          <w:i/>
          <w:iCs/>
          <w:color w:val="000000" w:themeColor="text1"/>
          <w:sz w:val="22"/>
          <w:szCs w:val="22"/>
        </w:rPr>
        <w:t>NMSU Business Outlook</w:t>
      </w:r>
      <w:r w:rsidRPr="00801718">
        <w:rPr>
          <w:rFonts w:ascii="Arial" w:eastAsia="Arial" w:hAnsi="Arial" w:cs="Arial"/>
          <w:color w:val="000000" w:themeColor="text1"/>
          <w:sz w:val="22"/>
          <w:szCs w:val="22"/>
        </w:rPr>
        <w:t xml:space="preserve">, 14(2), pp. 3-4. Available at: </w:t>
      </w:r>
      <w:hyperlink r:id="rId27">
        <w:r w:rsidRPr="00801718">
          <w:rPr>
            <w:rStyle w:val="Hyperlink"/>
            <w:rFonts w:ascii="Arial" w:eastAsia="Arial" w:hAnsi="Arial" w:cs="Arial"/>
            <w:sz w:val="22"/>
            <w:szCs w:val="22"/>
          </w:rPr>
          <w:t>(PDF) Open- versus close-ended survey questions (researchgate.net)</w:t>
        </w:r>
      </w:hyperlink>
    </w:p>
    <w:p w14:paraId="1A998AC7" w14:textId="77777777" w:rsidR="00D0721E" w:rsidRPr="00801718" w:rsidRDefault="00D0721E" w:rsidP="00485235">
      <w:pPr>
        <w:pStyle w:val="ListParagraph"/>
        <w:numPr>
          <w:ilvl w:val="0"/>
          <w:numId w:val="1"/>
        </w:numPr>
        <w:spacing w:line="360" w:lineRule="auto"/>
        <w:jc w:val="both"/>
        <w:rPr>
          <w:rFonts w:ascii="Arial" w:eastAsia="Arial" w:hAnsi="Arial" w:cs="Arial"/>
          <w:color w:val="000000" w:themeColor="text1"/>
          <w:sz w:val="22"/>
          <w:szCs w:val="22"/>
        </w:rPr>
      </w:pPr>
      <w:proofErr w:type="spellStart"/>
      <w:r w:rsidRPr="00801718">
        <w:rPr>
          <w:rFonts w:ascii="Arial" w:eastAsia="Arial" w:hAnsi="Arial" w:cs="Arial"/>
          <w:color w:val="000000" w:themeColor="text1"/>
          <w:sz w:val="22"/>
          <w:szCs w:val="22"/>
        </w:rPr>
        <w:t>Jørgensen</w:t>
      </w:r>
      <w:proofErr w:type="spellEnd"/>
      <w:r w:rsidRPr="00801718">
        <w:rPr>
          <w:rFonts w:ascii="Arial" w:eastAsia="Arial" w:hAnsi="Arial" w:cs="Arial"/>
          <w:color w:val="000000" w:themeColor="text1"/>
          <w:sz w:val="22"/>
          <w:szCs w:val="22"/>
        </w:rPr>
        <w:t xml:space="preserve"> CR, </w:t>
      </w:r>
      <w:proofErr w:type="spellStart"/>
      <w:r w:rsidRPr="00801718">
        <w:rPr>
          <w:rFonts w:ascii="Arial" w:eastAsia="Arial" w:hAnsi="Arial" w:cs="Arial"/>
          <w:color w:val="000000" w:themeColor="text1"/>
          <w:sz w:val="22"/>
          <w:szCs w:val="22"/>
        </w:rPr>
        <w:t>Wyness</w:t>
      </w:r>
      <w:proofErr w:type="spellEnd"/>
      <w:r w:rsidRPr="00801718">
        <w:rPr>
          <w:rFonts w:ascii="Arial" w:eastAsia="Arial" w:hAnsi="Arial" w:cs="Arial"/>
          <w:color w:val="000000" w:themeColor="text1"/>
          <w:sz w:val="22"/>
          <w:szCs w:val="22"/>
        </w:rPr>
        <w:t xml:space="preserve"> M (2021) </w:t>
      </w:r>
      <w:r w:rsidRPr="00801718">
        <w:rPr>
          <w:rFonts w:ascii="Arial" w:eastAsia="Arial" w:hAnsi="Arial" w:cs="Arial"/>
          <w:i/>
          <w:iCs/>
          <w:color w:val="000000" w:themeColor="text1"/>
          <w:sz w:val="22"/>
          <w:szCs w:val="22"/>
        </w:rPr>
        <w:t>The Power of Children’s Participation and Involvement in Research</w:t>
      </w:r>
      <w:r w:rsidRPr="00801718">
        <w:rPr>
          <w:rFonts w:ascii="Arial" w:eastAsia="Arial" w:hAnsi="Arial" w:cs="Arial"/>
          <w:color w:val="000000" w:themeColor="text1"/>
          <w:sz w:val="22"/>
          <w:szCs w:val="22"/>
        </w:rPr>
        <w:t>. Anthem Press: Cambridge University Press</w:t>
      </w:r>
    </w:p>
    <w:p w14:paraId="0F6DBCC0" w14:textId="77777777" w:rsidR="00D0721E" w:rsidRPr="00801718" w:rsidRDefault="00D0721E" w:rsidP="00485235">
      <w:pPr>
        <w:pStyle w:val="ListParagraph"/>
        <w:numPr>
          <w:ilvl w:val="0"/>
          <w:numId w:val="1"/>
        </w:numPr>
        <w:spacing w:line="360" w:lineRule="auto"/>
        <w:jc w:val="both"/>
        <w:rPr>
          <w:rFonts w:ascii="Arial" w:eastAsia="Arial" w:hAnsi="Arial" w:cs="Arial"/>
          <w:color w:val="000000" w:themeColor="text1"/>
          <w:sz w:val="22"/>
          <w:szCs w:val="22"/>
        </w:rPr>
      </w:pPr>
      <w:r w:rsidRPr="00801718">
        <w:rPr>
          <w:rFonts w:ascii="Arial" w:eastAsia="Arial" w:hAnsi="Arial" w:cs="Arial"/>
          <w:color w:val="333132"/>
          <w:sz w:val="22"/>
          <w:szCs w:val="22"/>
        </w:rPr>
        <w:t xml:space="preserve">Kurt, S. (2021). </w:t>
      </w:r>
      <w:r w:rsidRPr="00801718">
        <w:rPr>
          <w:rFonts w:ascii="Arial" w:eastAsia="Arial" w:hAnsi="Arial" w:cs="Arial"/>
          <w:i/>
          <w:iCs/>
          <w:color w:val="333132"/>
          <w:sz w:val="22"/>
          <w:szCs w:val="22"/>
        </w:rPr>
        <w:t>Constructivist Learning Theory</w:t>
      </w:r>
      <w:r w:rsidRPr="00801718">
        <w:rPr>
          <w:rFonts w:ascii="Arial" w:eastAsia="Arial" w:hAnsi="Arial" w:cs="Arial"/>
          <w:color w:val="333132"/>
          <w:sz w:val="22"/>
          <w:szCs w:val="22"/>
        </w:rPr>
        <w:t xml:space="preserve">. Available at: </w:t>
      </w:r>
      <w:hyperlink r:id="rId28">
        <w:r w:rsidRPr="00801718">
          <w:rPr>
            <w:rStyle w:val="Hyperlink"/>
            <w:rFonts w:ascii="Arial" w:eastAsia="Arial" w:hAnsi="Arial" w:cs="Arial"/>
            <w:sz w:val="22"/>
            <w:szCs w:val="22"/>
          </w:rPr>
          <w:t>Constructivist Learning Theory - Educational Technology</w:t>
        </w:r>
      </w:hyperlink>
      <w:r w:rsidRPr="00801718">
        <w:rPr>
          <w:rFonts w:ascii="Arial" w:eastAsia="Arial" w:hAnsi="Arial" w:cs="Arial"/>
          <w:color w:val="000000" w:themeColor="text1"/>
          <w:sz w:val="22"/>
          <w:szCs w:val="22"/>
        </w:rPr>
        <w:t xml:space="preserve"> (Accessed: 01 March 2024)</w:t>
      </w:r>
    </w:p>
    <w:p w14:paraId="7FEEDE06" w14:textId="77777777" w:rsidR="00D0721E" w:rsidRPr="00801718" w:rsidRDefault="00D0721E" w:rsidP="00485235">
      <w:pPr>
        <w:pStyle w:val="ListParagraph"/>
        <w:numPr>
          <w:ilvl w:val="0"/>
          <w:numId w:val="1"/>
        </w:numPr>
        <w:spacing w:line="360" w:lineRule="auto"/>
        <w:jc w:val="both"/>
        <w:rPr>
          <w:rFonts w:ascii="Arial" w:eastAsia="Arial" w:hAnsi="Arial" w:cs="Arial"/>
          <w:color w:val="000000" w:themeColor="text1"/>
          <w:sz w:val="22"/>
          <w:szCs w:val="22"/>
        </w:rPr>
      </w:pPr>
      <w:r w:rsidRPr="00801718">
        <w:rPr>
          <w:rFonts w:ascii="Arial" w:eastAsia="Arial" w:hAnsi="Arial" w:cs="Arial"/>
          <w:color w:val="000000" w:themeColor="text1"/>
          <w:sz w:val="22"/>
          <w:szCs w:val="22"/>
        </w:rPr>
        <w:t xml:space="preserve">Marsh, H.W., </w:t>
      </w:r>
      <w:proofErr w:type="spellStart"/>
      <w:r w:rsidRPr="00801718">
        <w:rPr>
          <w:rFonts w:ascii="Arial" w:eastAsia="Arial" w:hAnsi="Arial" w:cs="Arial"/>
          <w:color w:val="000000" w:themeColor="text1"/>
          <w:sz w:val="22"/>
          <w:szCs w:val="22"/>
        </w:rPr>
        <w:t>Pekrun</w:t>
      </w:r>
      <w:proofErr w:type="spellEnd"/>
      <w:r w:rsidRPr="00801718">
        <w:rPr>
          <w:rFonts w:ascii="Arial" w:eastAsia="Arial" w:hAnsi="Arial" w:cs="Arial"/>
          <w:color w:val="000000" w:themeColor="text1"/>
          <w:sz w:val="22"/>
          <w:szCs w:val="22"/>
        </w:rPr>
        <w:t xml:space="preserve">, R., Murayama, K., </w:t>
      </w:r>
      <w:proofErr w:type="spellStart"/>
      <w:r w:rsidRPr="00801718">
        <w:rPr>
          <w:rFonts w:ascii="Arial" w:eastAsia="Arial" w:hAnsi="Arial" w:cs="Arial"/>
          <w:color w:val="000000" w:themeColor="text1"/>
          <w:sz w:val="22"/>
          <w:szCs w:val="22"/>
        </w:rPr>
        <w:t>Arens</w:t>
      </w:r>
      <w:proofErr w:type="spellEnd"/>
      <w:r w:rsidRPr="00801718">
        <w:rPr>
          <w:rFonts w:ascii="Arial" w:eastAsia="Arial" w:hAnsi="Arial" w:cs="Arial"/>
          <w:color w:val="000000" w:themeColor="text1"/>
          <w:sz w:val="22"/>
          <w:szCs w:val="22"/>
        </w:rPr>
        <w:t xml:space="preserve">, A.K., Parker, P.D., </w:t>
      </w:r>
      <w:proofErr w:type="spellStart"/>
      <w:r w:rsidRPr="00801718">
        <w:rPr>
          <w:rFonts w:ascii="Arial" w:eastAsia="Arial" w:hAnsi="Arial" w:cs="Arial"/>
          <w:color w:val="000000" w:themeColor="text1"/>
          <w:sz w:val="22"/>
          <w:szCs w:val="22"/>
        </w:rPr>
        <w:t>Guo</w:t>
      </w:r>
      <w:proofErr w:type="spellEnd"/>
      <w:r w:rsidRPr="00801718">
        <w:rPr>
          <w:rFonts w:ascii="Arial" w:eastAsia="Arial" w:hAnsi="Arial" w:cs="Arial"/>
          <w:color w:val="000000" w:themeColor="text1"/>
          <w:sz w:val="22"/>
          <w:szCs w:val="22"/>
        </w:rPr>
        <w:t xml:space="preserve">, J. and </w:t>
      </w:r>
      <w:proofErr w:type="spellStart"/>
      <w:r w:rsidRPr="00801718">
        <w:rPr>
          <w:rFonts w:ascii="Arial" w:eastAsia="Arial" w:hAnsi="Arial" w:cs="Arial"/>
          <w:color w:val="000000" w:themeColor="text1"/>
          <w:sz w:val="22"/>
          <w:szCs w:val="22"/>
        </w:rPr>
        <w:t>Dicke</w:t>
      </w:r>
      <w:proofErr w:type="spellEnd"/>
      <w:r w:rsidRPr="00801718">
        <w:rPr>
          <w:rFonts w:ascii="Arial" w:eastAsia="Arial" w:hAnsi="Arial" w:cs="Arial"/>
          <w:color w:val="000000" w:themeColor="text1"/>
          <w:sz w:val="22"/>
          <w:szCs w:val="22"/>
        </w:rPr>
        <w:t xml:space="preserve">, T., 2018. ‘An integrated model of academic self-concept development: Academic self-concept, grades, test scores, and tracking over 6 years’, </w:t>
      </w:r>
      <w:r w:rsidRPr="00801718">
        <w:rPr>
          <w:rFonts w:ascii="Arial" w:eastAsia="Arial" w:hAnsi="Arial" w:cs="Arial"/>
          <w:i/>
          <w:iCs/>
          <w:color w:val="000000" w:themeColor="text1"/>
          <w:sz w:val="22"/>
          <w:szCs w:val="22"/>
        </w:rPr>
        <w:t>Developmental psychology</w:t>
      </w:r>
      <w:r w:rsidRPr="00801718">
        <w:rPr>
          <w:rFonts w:ascii="Arial" w:eastAsia="Arial" w:hAnsi="Arial" w:cs="Arial"/>
          <w:color w:val="000000" w:themeColor="text1"/>
          <w:sz w:val="22"/>
          <w:szCs w:val="22"/>
        </w:rPr>
        <w:t xml:space="preserve">, 54(2), pp. 263.  </w:t>
      </w:r>
    </w:p>
    <w:p w14:paraId="09C888F0" w14:textId="77777777" w:rsidR="00D0721E" w:rsidRPr="00801718" w:rsidRDefault="00D0721E" w:rsidP="00485235">
      <w:pPr>
        <w:pStyle w:val="ListParagraph"/>
        <w:numPr>
          <w:ilvl w:val="0"/>
          <w:numId w:val="1"/>
        </w:numPr>
        <w:spacing w:line="360" w:lineRule="auto"/>
        <w:jc w:val="both"/>
        <w:rPr>
          <w:rFonts w:ascii="Arial" w:eastAsia="Arial" w:hAnsi="Arial" w:cs="Arial"/>
          <w:color w:val="000000" w:themeColor="text1"/>
          <w:sz w:val="22"/>
          <w:szCs w:val="22"/>
        </w:rPr>
      </w:pPr>
      <w:proofErr w:type="spellStart"/>
      <w:r w:rsidRPr="00801718">
        <w:rPr>
          <w:rFonts w:ascii="Arial" w:eastAsia="Arial" w:hAnsi="Arial" w:cs="Arial"/>
          <w:color w:val="000000" w:themeColor="text1"/>
          <w:sz w:val="22"/>
          <w:szCs w:val="22"/>
        </w:rPr>
        <w:t>McCrum</w:t>
      </w:r>
      <w:proofErr w:type="spellEnd"/>
      <w:r w:rsidRPr="00801718">
        <w:rPr>
          <w:rFonts w:ascii="Arial" w:eastAsia="Arial" w:hAnsi="Arial" w:cs="Arial"/>
          <w:color w:val="000000" w:themeColor="text1"/>
          <w:sz w:val="22"/>
          <w:szCs w:val="22"/>
        </w:rPr>
        <w:t>, S and Hughes L. (1998)</w:t>
      </w:r>
      <w:r w:rsidRPr="00801718">
        <w:rPr>
          <w:rFonts w:ascii="Arial" w:eastAsia="Arial" w:hAnsi="Arial" w:cs="Arial"/>
          <w:i/>
          <w:iCs/>
          <w:color w:val="000000" w:themeColor="text1"/>
          <w:sz w:val="22"/>
          <w:szCs w:val="22"/>
        </w:rPr>
        <w:t xml:space="preserve"> Interviewing Children</w:t>
      </w:r>
      <w:r w:rsidRPr="00801718">
        <w:rPr>
          <w:rFonts w:ascii="Arial" w:eastAsia="Arial" w:hAnsi="Arial" w:cs="Arial"/>
          <w:color w:val="000000" w:themeColor="text1"/>
          <w:sz w:val="22"/>
          <w:szCs w:val="22"/>
        </w:rPr>
        <w:t xml:space="preserve">. London: Save the Children </w:t>
      </w:r>
    </w:p>
    <w:p w14:paraId="6D3A234B" w14:textId="77777777" w:rsidR="00D0721E" w:rsidRPr="00801718" w:rsidRDefault="00D0721E" w:rsidP="00485235">
      <w:pPr>
        <w:pStyle w:val="ListParagraph"/>
        <w:numPr>
          <w:ilvl w:val="0"/>
          <w:numId w:val="1"/>
        </w:numPr>
        <w:spacing w:line="360" w:lineRule="auto"/>
        <w:jc w:val="both"/>
        <w:rPr>
          <w:rFonts w:ascii="Arial" w:eastAsia="Arial" w:hAnsi="Arial" w:cs="Arial"/>
          <w:color w:val="000000" w:themeColor="text1"/>
          <w:sz w:val="22"/>
          <w:szCs w:val="22"/>
        </w:rPr>
      </w:pPr>
      <w:proofErr w:type="spellStart"/>
      <w:r w:rsidRPr="00801718">
        <w:rPr>
          <w:rFonts w:ascii="Arial" w:eastAsia="Arial" w:hAnsi="Arial" w:cs="Arial"/>
          <w:color w:val="000000" w:themeColor="text1"/>
          <w:sz w:val="22"/>
          <w:szCs w:val="22"/>
        </w:rPr>
        <w:t>Mcleod</w:t>
      </w:r>
      <w:proofErr w:type="spellEnd"/>
      <w:r w:rsidRPr="00801718">
        <w:rPr>
          <w:rFonts w:ascii="Arial" w:eastAsia="Arial" w:hAnsi="Arial" w:cs="Arial"/>
          <w:color w:val="000000" w:themeColor="text1"/>
          <w:sz w:val="22"/>
          <w:szCs w:val="22"/>
        </w:rPr>
        <w:t xml:space="preserve">, S. (2024). </w:t>
      </w:r>
      <w:proofErr w:type="spellStart"/>
      <w:r w:rsidRPr="00801718">
        <w:rPr>
          <w:rFonts w:ascii="Arial" w:eastAsia="Arial" w:hAnsi="Arial" w:cs="Arial"/>
          <w:i/>
          <w:iCs/>
          <w:color w:val="000000" w:themeColor="text1"/>
          <w:sz w:val="22"/>
          <w:szCs w:val="22"/>
        </w:rPr>
        <w:t>Vygotsky’s</w:t>
      </w:r>
      <w:proofErr w:type="spellEnd"/>
      <w:r w:rsidRPr="00801718">
        <w:rPr>
          <w:rFonts w:ascii="Arial" w:eastAsia="Arial" w:hAnsi="Arial" w:cs="Arial"/>
          <w:i/>
          <w:iCs/>
          <w:color w:val="000000" w:themeColor="text1"/>
          <w:sz w:val="22"/>
          <w:szCs w:val="22"/>
        </w:rPr>
        <w:t xml:space="preserve"> Theory </w:t>
      </w:r>
      <w:proofErr w:type="gramStart"/>
      <w:r w:rsidRPr="00801718">
        <w:rPr>
          <w:rFonts w:ascii="Arial" w:eastAsia="Arial" w:hAnsi="Arial" w:cs="Arial"/>
          <w:i/>
          <w:iCs/>
          <w:color w:val="000000" w:themeColor="text1"/>
          <w:sz w:val="22"/>
          <w:szCs w:val="22"/>
        </w:rPr>
        <w:t>Of</w:t>
      </w:r>
      <w:proofErr w:type="gramEnd"/>
      <w:r w:rsidRPr="00801718">
        <w:rPr>
          <w:rFonts w:ascii="Arial" w:eastAsia="Arial" w:hAnsi="Arial" w:cs="Arial"/>
          <w:i/>
          <w:iCs/>
          <w:color w:val="000000" w:themeColor="text1"/>
          <w:sz w:val="22"/>
          <w:szCs w:val="22"/>
        </w:rPr>
        <w:t xml:space="preserve"> Cognitive Development</w:t>
      </w:r>
      <w:r w:rsidRPr="00801718">
        <w:rPr>
          <w:rFonts w:ascii="Arial" w:eastAsia="Arial" w:hAnsi="Arial" w:cs="Arial"/>
          <w:color w:val="000000" w:themeColor="text1"/>
          <w:sz w:val="22"/>
          <w:szCs w:val="22"/>
        </w:rPr>
        <w:t xml:space="preserve">. Available at: </w:t>
      </w:r>
      <w:hyperlink r:id="rId29">
        <w:proofErr w:type="spellStart"/>
        <w:r w:rsidRPr="00801718">
          <w:rPr>
            <w:rStyle w:val="Hyperlink"/>
            <w:rFonts w:ascii="Arial" w:eastAsia="Arial" w:hAnsi="Arial" w:cs="Arial"/>
            <w:sz w:val="22"/>
            <w:szCs w:val="22"/>
          </w:rPr>
          <w:t>Vygotsky's</w:t>
        </w:r>
        <w:proofErr w:type="spellEnd"/>
        <w:r w:rsidRPr="00801718">
          <w:rPr>
            <w:rStyle w:val="Hyperlink"/>
            <w:rFonts w:ascii="Arial" w:eastAsia="Arial" w:hAnsi="Arial" w:cs="Arial"/>
            <w:sz w:val="22"/>
            <w:szCs w:val="22"/>
          </w:rPr>
          <w:t xml:space="preserve"> Sociocultural Theory Of Cognitive Development (simplypsychology.org)</w:t>
        </w:r>
      </w:hyperlink>
      <w:r w:rsidRPr="00801718">
        <w:rPr>
          <w:rFonts w:ascii="Arial" w:eastAsia="Arial" w:hAnsi="Arial" w:cs="Arial"/>
          <w:color w:val="000000" w:themeColor="text1"/>
          <w:sz w:val="22"/>
          <w:szCs w:val="22"/>
        </w:rPr>
        <w:t xml:space="preserve"> (Accessed: 02 March 2024)</w:t>
      </w:r>
    </w:p>
    <w:p w14:paraId="6A68F8B8" w14:textId="77777777" w:rsidR="00D0721E" w:rsidRPr="00801718" w:rsidRDefault="00D0721E" w:rsidP="00485235">
      <w:pPr>
        <w:pStyle w:val="ListParagraph"/>
        <w:numPr>
          <w:ilvl w:val="0"/>
          <w:numId w:val="1"/>
        </w:numPr>
        <w:spacing w:line="360" w:lineRule="auto"/>
        <w:jc w:val="both"/>
        <w:rPr>
          <w:rFonts w:ascii="Arial" w:eastAsia="Arial" w:hAnsi="Arial" w:cs="Arial"/>
          <w:color w:val="000000" w:themeColor="text1"/>
          <w:sz w:val="22"/>
          <w:szCs w:val="22"/>
        </w:rPr>
      </w:pPr>
      <w:proofErr w:type="spellStart"/>
      <w:r w:rsidRPr="00801718">
        <w:rPr>
          <w:rFonts w:ascii="Arial" w:eastAsia="Arial" w:hAnsi="Arial" w:cs="Arial"/>
          <w:color w:val="000000" w:themeColor="text1"/>
          <w:sz w:val="22"/>
          <w:szCs w:val="22"/>
        </w:rPr>
        <w:t>Moir</w:t>
      </w:r>
      <w:proofErr w:type="spellEnd"/>
      <w:r w:rsidRPr="00801718">
        <w:rPr>
          <w:rFonts w:ascii="Arial" w:eastAsia="Arial" w:hAnsi="Arial" w:cs="Arial"/>
          <w:color w:val="000000" w:themeColor="text1"/>
          <w:sz w:val="22"/>
          <w:szCs w:val="22"/>
        </w:rPr>
        <w:t xml:space="preserve">, J and </w:t>
      </w:r>
      <w:proofErr w:type="spellStart"/>
      <w:proofErr w:type="gramStart"/>
      <w:r w:rsidRPr="00801718">
        <w:rPr>
          <w:rFonts w:ascii="Arial" w:eastAsia="Arial" w:hAnsi="Arial" w:cs="Arial"/>
          <w:color w:val="000000" w:themeColor="text1"/>
          <w:sz w:val="22"/>
          <w:szCs w:val="22"/>
        </w:rPr>
        <w:t>Kwansa</w:t>
      </w:r>
      <w:proofErr w:type="spellEnd"/>
      <w:r w:rsidRPr="00801718">
        <w:rPr>
          <w:rFonts w:ascii="Arial" w:eastAsia="Arial" w:hAnsi="Arial" w:cs="Arial"/>
          <w:color w:val="000000" w:themeColor="text1"/>
          <w:sz w:val="22"/>
          <w:szCs w:val="22"/>
        </w:rPr>
        <w:t xml:space="preserve"> ,</w:t>
      </w:r>
      <w:proofErr w:type="gramEnd"/>
      <w:r w:rsidRPr="00801718">
        <w:rPr>
          <w:rFonts w:ascii="Arial" w:eastAsia="Arial" w:hAnsi="Arial" w:cs="Arial"/>
          <w:color w:val="000000" w:themeColor="text1"/>
          <w:sz w:val="22"/>
          <w:szCs w:val="22"/>
        </w:rPr>
        <w:t xml:space="preserve"> T. (2000). ‘Interviewing children for the purposes of research in primary care’, </w:t>
      </w:r>
      <w:r w:rsidRPr="00801718">
        <w:rPr>
          <w:rFonts w:ascii="Arial" w:eastAsia="Arial" w:hAnsi="Arial" w:cs="Arial"/>
          <w:i/>
          <w:iCs/>
          <w:color w:val="000000" w:themeColor="text1"/>
          <w:sz w:val="22"/>
          <w:szCs w:val="22"/>
        </w:rPr>
        <w:t>Primary Health Care Research and Development</w:t>
      </w:r>
      <w:r w:rsidRPr="00801718">
        <w:rPr>
          <w:rFonts w:ascii="Arial" w:eastAsia="Arial" w:hAnsi="Arial" w:cs="Arial"/>
          <w:color w:val="000000" w:themeColor="text1"/>
          <w:sz w:val="22"/>
          <w:szCs w:val="22"/>
        </w:rPr>
        <w:t xml:space="preserve">, pp. 113 - 130. Available at: </w:t>
      </w:r>
      <w:hyperlink r:id="rId30">
        <w:r w:rsidRPr="00801718">
          <w:rPr>
            <w:rStyle w:val="Hyperlink"/>
            <w:rFonts w:ascii="Arial" w:eastAsia="Arial" w:hAnsi="Arial" w:cs="Arial"/>
            <w:sz w:val="22"/>
            <w:szCs w:val="22"/>
          </w:rPr>
          <w:t>http://dx.doi.org/10.1191/146342300675316801</w:t>
        </w:r>
      </w:hyperlink>
    </w:p>
    <w:p w14:paraId="581A8A14" w14:textId="77777777" w:rsidR="00D0721E" w:rsidRPr="00801718" w:rsidRDefault="00D0721E" w:rsidP="00485235">
      <w:pPr>
        <w:pStyle w:val="ListParagraph"/>
        <w:numPr>
          <w:ilvl w:val="0"/>
          <w:numId w:val="1"/>
        </w:numPr>
        <w:spacing w:line="360" w:lineRule="auto"/>
        <w:jc w:val="both"/>
        <w:rPr>
          <w:rFonts w:ascii="Arial" w:eastAsia="Arial" w:hAnsi="Arial" w:cs="Arial"/>
          <w:color w:val="333333"/>
          <w:sz w:val="22"/>
          <w:szCs w:val="22"/>
        </w:rPr>
      </w:pPr>
      <w:r w:rsidRPr="00801718">
        <w:rPr>
          <w:rFonts w:ascii="Arial" w:eastAsia="Arial" w:hAnsi="Arial" w:cs="Arial"/>
          <w:color w:val="333333"/>
          <w:sz w:val="22"/>
          <w:szCs w:val="22"/>
        </w:rPr>
        <w:lastRenderedPageBreak/>
        <w:t xml:space="preserve">Morse, J. M., &amp; </w:t>
      </w:r>
      <w:proofErr w:type="spellStart"/>
      <w:r w:rsidRPr="00801718">
        <w:rPr>
          <w:rFonts w:ascii="Arial" w:eastAsia="Arial" w:hAnsi="Arial" w:cs="Arial"/>
          <w:color w:val="333333"/>
          <w:sz w:val="22"/>
          <w:szCs w:val="22"/>
        </w:rPr>
        <w:t>Mitcham</w:t>
      </w:r>
      <w:proofErr w:type="spellEnd"/>
      <w:r w:rsidRPr="00801718">
        <w:rPr>
          <w:rFonts w:ascii="Arial" w:eastAsia="Arial" w:hAnsi="Arial" w:cs="Arial"/>
          <w:color w:val="333333"/>
          <w:sz w:val="22"/>
          <w:szCs w:val="22"/>
        </w:rPr>
        <w:t>, C. (2002). Exploring Qualitatively-Derived Concepts: Inductive—Deductive Pitfalls’,</w:t>
      </w:r>
      <w:r w:rsidRPr="00801718">
        <w:rPr>
          <w:rFonts w:ascii="Arial" w:eastAsia="Arial" w:hAnsi="Arial" w:cs="Arial"/>
          <w:i/>
          <w:iCs/>
          <w:color w:val="333333"/>
          <w:sz w:val="22"/>
          <w:szCs w:val="22"/>
        </w:rPr>
        <w:t xml:space="preserve"> International Journal of Qualitative Methods</w:t>
      </w:r>
      <w:r w:rsidRPr="00801718">
        <w:rPr>
          <w:rFonts w:ascii="Arial" w:eastAsia="Arial" w:hAnsi="Arial" w:cs="Arial"/>
          <w:color w:val="333333"/>
          <w:sz w:val="22"/>
          <w:szCs w:val="22"/>
        </w:rPr>
        <w:t>, 1(4)</w:t>
      </w:r>
      <w:proofErr w:type="gramStart"/>
      <w:r w:rsidRPr="00801718">
        <w:rPr>
          <w:rFonts w:ascii="Arial" w:eastAsia="Arial" w:hAnsi="Arial" w:cs="Arial"/>
          <w:color w:val="333333"/>
          <w:sz w:val="22"/>
          <w:szCs w:val="22"/>
        </w:rPr>
        <w:t>,pp</w:t>
      </w:r>
      <w:proofErr w:type="gramEnd"/>
      <w:r w:rsidRPr="00801718">
        <w:rPr>
          <w:rFonts w:ascii="Arial" w:eastAsia="Arial" w:hAnsi="Arial" w:cs="Arial"/>
          <w:color w:val="333333"/>
          <w:sz w:val="22"/>
          <w:szCs w:val="22"/>
        </w:rPr>
        <w:t xml:space="preserve">.  28-35. </w:t>
      </w:r>
      <w:hyperlink r:id="rId31">
        <w:r w:rsidRPr="00801718">
          <w:rPr>
            <w:rStyle w:val="Hyperlink"/>
            <w:rFonts w:ascii="Arial" w:eastAsia="Arial" w:hAnsi="Arial" w:cs="Arial"/>
            <w:sz w:val="22"/>
            <w:szCs w:val="22"/>
          </w:rPr>
          <w:t>https://doi.org/10.1177/160940690200100404</w:t>
        </w:r>
      </w:hyperlink>
    </w:p>
    <w:p w14:paraId="0D2FF5F0" w14:textId="77777777" w:rsidR="00D0721E" w:rsidRPr="00801718" w:rsidRDefault="00D0721E" w:rsidP="00485235">
      <w:pPr>
        <w:pStyle w:val="ListParagraph"/>
        <w:numPr>
          <w:ilvl w:val="0"/>
          <w:numId w:val="1"/>
        </w:numPr>
        <w:spacing w:line="360" w:lineRule="auto"/>
        <w:jc w:val="both"/>
        <w:rPr>
          <w:rFonts w:ascii="Arial" w:eastAsia="Arial" w:hAnsi="Arial" w:cs="Arial"/>
          <w:color w:val="000000" w:themeColor="text1"/>
          <w:sz w:val="22"/>
          <w:szCs w:val="22"/>
        </w:rPr>
      </w:pPr>
      <w:proofErr w:type="spellStart"/>
      <w:r w:rsidRPr="00801718">
        <w:rPr>
          <w:rFonts w:ascii="Arial" w:eastAsia="Arial" w:hAnsi="Arial" w:cs="Arial"/>
          <w:color w:val="000000" w:themeColor="text1"/>
          <w:sz w:val="22"/>
          <w:szCs w:val="22"/>
        </w:rPr>
        <w:t>Mugabi</w:t>
      </w:r>
      <w:proofErr w:type="spellEnd"/>
      <w:r w:rsidRPr="00801718">
        <w:rPr>
          <w:rFonts w:ascii="Arial" w:eastAsia="Arial" w:hAnsi="Arial" w:cs="Arial"/>
          <w:color w:val="000000" w:themeColor="text1"/>
          <w:sz w:val="22"/>
          <w:szCs w:val="22"/>
        </w:rPr>
        <w:t xml:space="preserve">, T. (2019) </w:t>
      </w:r>
      <w:r w:rsidRPr="00801718">
        <w:rPr>
          <w:rFonts w:ascii="Arial" w:eastAsia="Arial" w:hAnsi="Arial" w:cs="Arial"/>
          <w:i/>
          <w:iCs/>
          <w:color w:val="000000" w:themeColor="text1"/>
          <w:sz w:val="22"/>
          <w:szCs w:val="22"/>
        </w:rPr>
        <w:t>Heterogeneous vs. homogeneous grouping: What’s the best way to group students?</w:t>
      </w:r>
      <w:r w:rsidRPr="00801718">
        <w:rPr>
          <w:rFonts w:ascii="Arial" w:eastAsia="Arial" w:hAnsi="Arial" w:cs="Arial"/>
          <w:color w:val="000000" w:themeColor="text1"/>
          <w:sz w:val="22"/>
          <w:szCs w:val="22"/>
        </w:rPr>
        <w:t xml:space="preserve"> Available at: </w:t>
      </w:r>
      <w:hyperlink r:id="rId32">
        <w:r w:rsidRPr="00801718">
          <w:rPr>
            <w:rStyle w:val="Hyperlink"/>
            <w:rFonts w:ascii="Arial" w:eastAsia="Arial" w:hAnsi="Arial" w:cs="Arial"/>
            <w:sz w:val="22"/>
            <w:szCs w:val="22"/>
          </w:rPr>
          <w:t>Heterogeneous vs. homogeneous grouping: What’s the best way to group students? - Resource hub for schools and districts (classcraft.com)</w:t>
        </w:r>
      </w:hyperlink>
      <w:r w:rsidRPr="00801718">
        <w:rPr>
          <w:rFonts w:ascii="Arial" w:eastAsia="Arial" w:hAnsi="Arial" w:cs="Arial"/>
          <w:color w:val="000000" w:themeColor="text1"/>
          <w:sz w:val="22"/>
          <w:szCs w:val="22"/>
        </w:rPr>
        <w:t xml:space="preserve"> (Accessed: 24 March 2024) </w:t>
      </w:r>
    </w:p>
    <w:p w14:paraId="03FAB568" w14:textId="77777777" w:rsidR="00D0721E" w:rsidRPr="00801718" w:rsidRDefault="00D0721E" w:rsidP="00485235">
      <w:pPr>
        <w:pStyle w:val="ListParagraph"/>
        <w:numPr>
          <w:ilvl w:val="0"/>
          <w:numId w:val="1"/>
        </w:numPr>
        <w:spacing w:line="360" w:lineRule="auto"/>
        <w:jc w:val="both"/>
        <w:rPr>
          <w:rFonts w:ascii="Arial" w:eastAsia="Arial" w:hAnsi="Arial" w:cs="Arial"/>
          <w:color w:val="000000" w:themeColor="text1"/>
          <w:sz w:val="22"/>
          <w:szCs w:val="22"/>
        </w:rPr>
      </w:pPr>
      <w:proofErr w:type="spellStart"/>
      <w:r w:rsidRPr="00801718">
        <w:rPr>
          <w:rFonts w:ascii="Arial" w:eastAsia="Arial" w:hAnsi="Arial" w:cs="Arial"/>
          <w:color w:val="333333"/>
          <w:sz w:val="22"/>
          <w:szCs w:val="22"/>
        </w:rPr>
        <w:t>Naeem</w:t>
      </w:r>
      <w:proofErr w:type="spellEnd"/>
      <w:r w:rsidRPr="00801718">
        <w:rPr>
          <w:rFonts w:ascii="Arial" w:eastAsia="Arial" w:hAnsi="Arial" w:cs="Arial"/>
          <w:color w:val="333333"/>
          <w:sz w:val="22"/>
          <w:szCs w:val="22"/>
        </w:rPr>
        <w:t xml:space="preserve">, M., </w:t>
      </w:r>
      <w:proofErr w:type="spellStart"/>
      <w:r w:rsidRPr="00801718">
        <w:rPr>
          <w:rFonts w:ascii="Arial" w:eastAsia="Arial" w:hAnsi="Arial" w:cs="Arial"/>
          <w:color w:val="333333"/>
          <w:sz w:val="22"/>
          <w:szCs w:val="22"/>
        </w:rPr>
        <w:t>Ozuem</w:t>
      </w:r>
      <w:proofErr w:type="spellEnd"/>
      <w:r w:rsidRPr="00801718">
        <w:rPr>
          <w:rFonts w:ascii="Arial" w:eastAsia="Arial" w:hAnsi="Arial" w:cs="Arial"/>
          <w:color w:val="333333"/>
          <w:sz w:val="22"/>
          <w:szCs w:val="22"/>
        </w:rPr>
        <w:t xml:space="preserve">, W., Howell, K., &amp; Ranfagni, S. (2023) ‘A Step-by-Step Process of Thematic Analysis to Develop a Conceptual Model in Qualitative Research’, </w:t>
      </w:r>
      <w:r w:rsidRPr="00801718">
        <w:rPr>
          <w:rFonts w:ascii="Arial" w:eastAsia="Arial" w:hAnsi="Arial" w:cs="Arial"/>
          <w:i/>
          <w:iCs/>
          <w:color w:val="333333"/>
          <w:sz w:val="22"/>
          <w:szCs w:val="22"/>
        </w:rPr>
        <w:t>International Journal of Qualitative Methods</w:t>
      </w:r>
      <w:r w:rsidRPr="00801718">
        <w:rPr>
          <w:rFonts w:ascii="Arial" w:eastAsia="Arial" w:hAnsi="Arial" w:cs="Arial"/>
          <w:color w:val="333333"/>
          <w:sz w:val="22"/>
          <w:szCs w:val="22"/>
        </w:rPr>
        <w:t xml:space="preserve">, </w:t>
      </w:r>
      <w:r w:rsidRPr="00801718">
        <w:rPr>
          <w:rFonts w:ascii="Arial" w:eastAsia="Arial" w:hAnsi="Arial" w:cs="Arial"/>
          <w:i/>
          <w:iCs/>
          <w:color w:val="333333"/>
          <w:sz w:val="22"/>
          <w:szCs w:val="22"/>
        </w:rPr>
        <w:t>22</w:t>
      </w:r>
      <w:r w:rsidRPr="00801718">
        <w:rPr>
          <w:rFonts w:ascii="Arial" w:eastAsia="Arial" w:hAnsi="Arial" w:cs="Arial"/>
          <w:color w:val="333333"/>
          <w:sz w:val="22"/>
          <w:szCs w:val="22"/>
        </w:rPr>
        <w:t xml:space="preserve">. </w:t>
      </w:r>
      <w:hyperlink r:id="rId33">
        <w:r w:rsidRPr="00801718">
          <w:rPr>
            <w:rStyle w:val="Hyperlink"/>
            <w:rFonts w:ascii="Arial" w:eastAsia="Arial" w:hAnsi="Arial" w:cs="Arial"/>
            <w:sz w:val="22"/>
            <w:szCs w:val="22"/>
          </w:rPr>
          <w:t>https://doi.org/10.1177/16094069231205789</w:t>
        </w:r>
      </w:hyperlink>
    </w:p>
    <w:p w14:paraId="440E199E" w14:textId="77777777" w:rsidR="00D0721E" w:rsidRPr="00801718" w:rsidRDefault="00D0721E" w:rsidP="00485235">
      <w:pPr>
        <w:pStyle w:val="ListParagraph"/>
        <w:numPr>
          <w:ilvl w:val="0"/>
          <w:numId w:val="1"/>
        </w:numPr>
        <w:spacing w:line="360" w:lineRule="auto"/>
        <w:jc w:val="both"/>
        <w:rPr>
          <w:rFonts w:ascii="Arial" w:eastAsia="Arial" w:hAnsi="Arial" w:cs="Arial"/>
          <w:color w:val="000000" w:themeColor="text1"/>
          <w:sz w:val="22"/>
          <w:szCs w:val="22"/>
        </w:rPr>
      </w:pPr>
      <w:r w:rsidRPr="00801718">
        <w:rPr>
          <w:rFonts w:ascii="Arial" w:eastAsia="Arial" w:hAnsi="Arial" w:cs="Arial"/>
          <w:color w:val="000000" w:themeColor="text1"/>
          <w:sz w:val="22"/>
          <w:szCs w:val="22"/>
        </w:rPr>
        <w:t xml:space="preserve">National Health Service [NHS] (2024) </w:t>
      </w:r>
      <w:r w:rsidRPr="00801718">
        <w:rPr>
          <w:rFonts w:ascii="Arial" w:eastAsia="Arial" w:hAnsi="Arial" w:cs="Arial"/>
          <w:i/>
          <w:iCs/>
          <w:color w:val="000000" w:themeColor="text1"/>
          <w:sz w:val="22"/>
          <w:szCs w:val="22"/>
        </w:rPr>
        <w:t>Research involving children</w:t>
      </w:r>
      <w:r w:rsidRPr="00801718">
        <w:rPr>
          <w:rFonts w:ascii="Arial" w:eastAsia="Arial" w:hAnsi="Arial" w:cs="Arial"/>
          <w:color w:val="000000" w:themeColor="text1"/>
          <w:sz w:val="22"/>
          <w:szCs w:val="22"/>
        </w:rPr>
        <w:t xml:space="preserve">. Available at: </w:t>
      </w:r>
      <w:hyperlink r:id="rId34" w:anchor=":~:text=When%20is%20it%20appropriate%20to%20seek%20assent%20from,to%20obtain%20written%20assent%20from%20very%20young%20children.">
        <w:r w:rsidRPr="00801718">
          <w:rPr>
            <w:rStyle w:val="Hyperlink"/>
            <w:rFonts w:ascii="Arial" w:eastAsia="Arial" w:hAnsi="Arial" w:cs="Arial"/>
            <w:sz w:val="22"/>
            <w:szCs w:val="22"/>
          </w:rPr>
          <w:t>Research involving children - Health Research Authority (hra.nhs.uk)</w:t>
        </w:r>
      </w:hyperlink>
    </w:p>
    <w:p w14:paraId="6BF99D22" w14:textId="77777777" w:rsidR="00D0721E" w:rsidRPr="00801718" w:rsidRDefault="00D0721E" w:rsidP="00485235">
      <w:pPr>
        <w:pStyle w:val="ListParagraph"/>
        <w:numPr>
          <w:ilvl w:val="0"/>
          <w:numId w:val="1"/>
        </w:numPr>
        <w:spacing w:line="360" w:lineRule="auto"/>
        <w:jc w:val="both"/>
        <w:rPr>
          <w:rFonts w:ascii="Arial" w:eastAsia="Arial" w:hAnsi="Arial" w:cs="Arial"/>
          <w:color w:val="000000" w:themeColor="text1"/>
          <w:sz w:val="22"/>
          <w:szCs w:val="22"/>
        </w:rPr>
      </w:pPr>
      <w:proofErr w:type="spellStart"/>
      <w:r w:rsidRPr="00801718">
        <w:rPr>
          <w:rFonts w:ascii="Arial" w:eastAsia="Arial" w:hAnsi="Arial" w:cs="Arial"/>
          <w:color w:val="000000" w:themeColor="text1"/>
          <w:sz w:val="22"/>
          <w:szCs w:val="22"/>
        </w:rPr>
        <w:t>Nowell</w:t>
      </w:r>
      <w:proofErr w:type="spellEnd"/>
      <w:r w:rsidRPr="00801718">
        <w:rPr>
          <w:rFonts w:ascii="Arial" w:eastAsia="Arial" w:hAnsi="Arial" w:cs="Arial"/>
          <w:color w:val="000000" w:themeColor="text1"/>
          <w:sz w:val="22"/>
          <w:szCs w:val="22"/>
        </w:rPr>
        <w:t xml:space="preserve">, L. S., Norris, J. M., White, D. E., &amp; </w:t>
      </w:r>
      <w:proofErr w:type="spellStart"/>
      <w:r w:rsidRPr="00801718">
        <w:rPr>
          <w:rFonts w:ascii="Arial" w:eastAsia="Arial" w:hAnsi="Arial" w:cs="Arial"/>
          <w:color w:val="000000" w:themeColor="text1"/>
          <w:sz w:val="22"/>
          <w:szCs w:val="22"/>
        </w:rPr>
        <w:t>Moules</w:t>
      </w:r>
      <w:proofErr w:type="spellEnd"/>
      <w:r w:rsidRPr="00801718">
        <w:rPr>
          <w:rFonts w:ascii="Arial" w:eastAsia="Arial" w:hAnsi="Arial" w:cs="Arial"/>
          <w:color w:val="000000" w:themeColor="text1"/>
          <w:sz w:val="22"/>
          <w:szCs w:val="22"/>
        </w:rPr>
        <w:t xml:space="preserve">, N. J. (2017) ‘Thematic Analysis: Striving to Meet the Trustworthiness Criteria’, </w:t>
      </w:r>
      <w:r w:rsidRPr="00801718">
        <w:rPr>
          <w:rFonts w:ascii="Arial" w:eastAsia="Arial" w:hAnsi="Arial" w:cs="Arial"/>
          <w:i/>
          <w:iCs/>
          <w:color w:val="000000" w:themeColor="text1"/>
          <w:sz w:val="22"/>
          <w:szCs w:val="22"/>
        </w:rPr>
        <w:t>International Journal of Qualitative Methods</w:t>
      </w:r>
      <w:r w:rsidRPr="00801718">
        <w:rPr>
          <w:rFonts w:ascii="Arial" w:eastAsia="Arial" w:hAnsi="Arial" w:cs="Arial"/>
          <w:color w:val="000000" w:themeColor="text1"/>
          <w:sz w:val="22"/>
          <w:szCs w:val="22"/>
        </w:rPr>
        <w:t xml:space="preserve">, 16(1) </w:t>
      </w:r>
      <w:hyperlink r:id="rId35">
        <w:r w:rsidRPr="00801718">
          <w:rPr>
            <w:rStyle w:val="Hyperlink"/>
            <w:rFonts w:ascii="Arial" w:eastAsia="Arial" w:hAnsi="Arial" w:cs="Arial"/>
            <w:sz w:val="22"/>
            <w:szCs w:val="22"/>
          </w:rPr>
          <w:t>https://doi.org/10.1177/1609406917733847</w:t>
        </w:r>
      </w:hyperlink>
      <w:r w:rsidRPr="00801718">
        <w:rPr>
          <w:rFonts w:ascii="Arial" w:eastAsia="Arial" w:hAnsi="Arial" w:cs="Arial"/>
          <w:color w:val="000000" w:themeColor="text1"/>
          <w:sz w:val="22"/>
          <w:szCs w:val="22"/>
        </w:rPr>
        <w:t xml:space="preserve"> </w:t>
      </w:r>
    </w:p>
    <w:p w14:paraId="620E2047" w14:textId="77777777" w:rsidR="00D0721E" w:rsidRPr="00801718" w:rsidRDefault="00D0721E" w:rsidP="00485235">
      <w:pPr>
        <w:pStyle w:val="ListParagraph"/>
        <w:numPr>
          <w:ilvl w:val="0"/>
          <w:numId w:val="1"/>
        </w:numPr>
        <w:spacing w:line="360" w:lineRule="auto"/>
        <w:jc w:val="both"/>
        <w:rPr>
          <w:rFonts w:ascii="Arial" w:eastAsia="Arial" w:hAnsi="Arial" w:cs="Arial"/>
          <w:color w:val="000000" w:themeColor="text1"/>
          <w:sz w:val="22"/>
          <w:szCs w:val="22"/>
        </w:rPr>
      </w:pPr>
      <w:proofErr w:type="spellStart"/>
      <w:r w:rsidRPr="00801718">
        <w:rPr>
          <w:rFonts w:ascii="Arial" w:eastAsia="Arial" w:hAnsi="Arial" w:cs="Arial"/>
          <w:color w:val="000000" w:themeColor="text1"/>
          <w:sz w:val="22"/>
          <w:szCs w:val="22"/>
        </w:rPr>
        <w:t>Oftsed</w:t>
      </w:r>
      <w:proofErr w:type="spellEnd"/>
      <w:r w:rsidRPr="00801718">
        <w:rPr>
          <w:rFonts w:ascii="Arial" w:eastAsia="Arial" w:hAnsi="Arial" w:cs="Arial"/>
          <w:color w:val="000000" w:themeColor="text1"/>
          <w:sz w:val="22"/>
          <w:szCs w:val="22"/>
        </w:rPr>
        <w:t xml:space="preserve"> (2013) </w:t>
      </w:r>
      <w:r w:rsidRPr="00801718">
        <w:rPr>
          <w:rFonts w:ascii="Arial" w:eastAsia="Arial" w:hAnsi="Arial" w:cs="Arial"/>
          <w:i/>
          <w:iCs/>
          <w:color w:val="000000" w:themeColor="text1"/>
          <w:sz w:val="22"/>
          <w:szCs w:val="22"/>
        </w:rPr>
        <w:t>Too many bright children let down in the state system</w:t>
      </w:r>
      <w:r w:rsidRPr="00801718">
        <w:rPr>
          <w:rFonts w:ascii="Arial" w:eastAsia="Arial" w:hAnsi="Arial" w:cs="Arial"/>
          <w:color w:val="000000" w:themeColor="text1"/>
          <w:sz w:val="22"/>
          <w:szCs w:val="22"/>
        </w:rPr>
        <w:t xml:space="preserve">. Available at: </w:t>
      </w:r>
      <w:hyperlink r:id="rId36">
        <w:r w:rsidRPr="00801718">
          <w:rPr>
            <w:rStyle w:val="Hyperlink"/>
            <w:rFonts w:ascii="Arial" w:eastAsia="Arial" w:hAnsi="Arial" w:cs="Arial"/>
            <w:sz w:val="22"/>
            <w:szCs w:val="22"/>
          </w:rPr>
          <w:t>Too many bright children let down in the state system - GOV.UK (www.gov.uk)</w:t>
        </w:r>
      </w:hyperlink>
      <w:r w:rsidRPr="00801718">
        <w:rPr>
          <w:rFonts w:ascii="Arial" w:eastAsia="Arial" w:hAnsi="Arial" w:cs="Arial"/>
          <w:color w:val="000000" w:themeColor="text1"/>
          <w:sz w:val="22"/>
          <w:szCs w:val="22"/>
        </w:rPr>
        <w:t xml:space="preserve"> (Accessed: 24 March 2024)</w:t>
      </w:r>
    </w:p>
    <w:p w14:paraId="52F9389B" w14:textId="77777777" w:rsidR="00D0721E" w:rsidRPr="00801718" w:rsidRDefault="00D0721E" w:rsidP="00485235">
      <w:pPr>
        <w:pStyle w:val="ListParagraph"/>
        <w:numPr>
          <w:ilvl w:val="0"/>
          <w:numId w:val="1"/>
        </w:numPr>
        <w:spacing w:line="360" w:lineRule="auto"/>
        <w:jc w:val="both"/>
        <w:rPr>
          <w:rFonts w:ascii="Arial" w:eastAsia="Arial" w:hAnsi="Arial" w:cs="Arial"/>
          <w:color w:val="000000" w:themeColor="text1"/>
          <w:sz w:val="22"/>
          <w:szCs w:val="22"/>
        </w:rPr>
      </w:pPr>
      <w:proofErr w:type="spellStart"/>
      <w:r w:rsidRPr="00801718">
        <w:rPr>
          <w:rFonts w:ascii="Arial" w:eastAsia="Arial" w:hAnsi="Arial" w:cs="Arial"/>
          <w:color w:val="000000" w:themeColor="text1"/>
          <w:sz w:val="22"/>
          <w:szCs w:val="22"/>
        </w:rPr>
        <w:t>Onwuegbuzie</w:t>
      </w:r>
      <w:proofErr w:type="spellEnd"/>
      <w:r w:rsidRPr="00801718">
        <w:rPr>
          <w:rFonts w:ascii="Arial" w:eastAsia="Arial" w:hAnsi="Arial" w:cs="Arial"/>
          <w:color w:val="000000" w:themeColor="text1"/>
          <w:sz w:val="22"/>
          <w:szCs w:val="22"/>
        </w:rPr>
        <w:t xml:space="preserve">, A. J., Dickinson, W. B., Leech, N. L., &amp; </w:t>
      </w:r>
      <w:proofErr w:type="spellStart"/>
      <w:r w:rsidRPr="00801718">
        <w:rPr>
          <w:rFonts w:ascii="Arial" w:eastAsia="Arial" w:hAnsi="Arial" w:cs="Arial"/>
          <w:color w:val="000000" w:themeColor="text1"/>
          <w:sz w:val="22"/>
          <w:szCs w:val="22"/>
        </w:rPr>
        <w:t>Zoran</w:t>
      </w:r>
      <w:proofErr w:type="spellEnd"/>
      <w:r w:rsidRPr="00801718">
        <w:rPr>
          <w:rFonts w:ascii="Arial" w:eastAsia="Arial" w:hAnsi="Arial" w:cs="Arial"/>
          <w:color w:val="000000" w:themeColor="text1"/>
          <w:sz w:val="22"/>
          <w:szCs w:val="22"/>
        </w:rPr>
        <w:t xml:space="preserve">, A. G. (2009) ‘A Qualitative Framework for Collecting and Analyzing Data in Focus Group Research’, </w:t>
      </w:r>
      <w:r w:rsidRPr="00801718">
        <w:rPr>
          <w:rFonts w:ascii="Arial" w:eastAsia="Arial" w:hAnsi="Arial" w:cs="Arial"/>
          <w:i/>
          <w:iCs/>
          <w:color w:val="000000" w:themeColor="text1"/>
          <w:sz w:val="22"/>
          <w:szCs w:val="22"/>
        </w:rPr>
        <w:t>International Journal of Qualitative Methods</w:t>
      </w:r>
      <w:r w:rsidRPr="00801718">
        <w:rPr>
          <w:rFonts w:ascii="Arial" w:eastAsia="Arial" w:hAnsi="Arial" w:cs="Arial"/>
          <w:color w:val="000000" w:themeColor="text1"/>
          <w:sz w:val="22"/>
          <w:szCs w:val="22"/>
        </w:rPr>
        <w:t xml:space="preserve">, 8(3), pp. 1-21. Available at: </w:t>
      </w:r>
      <w:hyperlink r:id="rId37">
        <w:r w:rsidRPr="00801718">
          <w:rPr>
            <w:rStyle w:val="Hyperlink"/>
            <w:rFonts w:ascii="Arial" w:eastAsia="Arial" w:hAnsi="Arial" w:cs="Arial"/>
            <w:sz w:val="22"/>
            <w:szCs w:val="22"/>
          </w:rPr>
          <w:t>https://doi.org/10.1177/160940690900800301</w:t>
        </w:r>
      </w:hyperlink>
    </w:p>
    <w:p w14:paraId="3DFD72F7" w14:textId="77777777" w:rsidR="00D0721E" w:rsidRPr="00801718" w:rsidRDefault="00D0721E" w:rsidP="00485235">
      <w:pPr>
        <w:pStyle w:val="ListParagraph"/>
        <w:numPr>
          <w:ilvl w:val="0"/>
          <w:numId w:val="1"/>
        </w:numPr>
        <w:spacing w:line="360" w:lineRule="auto"/>
        <w:jc w:val="both"/>
        <w:rPr>
          <w:rFonts w:ascii="Arial" w:eastAsia="Arial" w:hAnsi="Arial" w:cs="Arial"/>
          <w:color w:val="000000" w:themeColor="text1"/>
          <w:sz w:val="22"/>
          <w:szCs w:val="22"/>
        </w:rPr>
      </w:pPr>
      <w:r w:rsidRPr="00801718">
        <w:rPr>
          <w:rFonts w:ascii="Arial" w:eastAsia="Arial" w:hAnsi="Arial" w:cs="Arial"/>
          <w:color w:val="000000" w:themeColor="text1"/>
          <w:sz w:val="22"/>
          <w:szCs w:val="22"/>
        </w:rPr>
        <w:t xml:space="preserve">Parker, C. (1984) ‘Interviewing Children: Problems and Promise’, </w:t>
      </w:r>
      <w:proofErr w:type="gramStart"/>
      <w:r w:rsidRPr="00801718">
        <w:rPr>
          <w:rFonts w:ascii="Arial" w:eastAsia="Arial" w:hAnsi="Arial" w:cs="Arial"/>
          <w:i/>
          <w:iCs/>
          <w:color w:val="000000" w:themeColor="text1"/>
          <w:sz w:val="22"/>
          <w:szCs w:val="22"/>
        </w:rPr>
        <w:t>The</w:t>
      </w:r>
      <w:proofErr w:type="gramEnd"/>
      <w:r w:rsidRPr="00801718">
        <w:rPr>
          <w:rFonts w:ascii="Arial" w:eastAsia="Arial" w:hAnsi="Arial" w:cs="Arial"/>
          <w:i/>
          <w:iCs/>
          <w:color w:val="000000" w:themeColor="text1"/>
          <w:sz w:val="22"/>
          <w:szCs w:val="22"/>
        </w:rPr>
        <w:t xml:space="preserve"> Journal of Negro Education</w:t>
      </w:r>
      <w:r w:rsidRPr="00801718">
        <w:rPr>
          <w:rFonts w:ascii="Arial" w:eastAsia="Arial" w:hAnsi="Arial" w:cs="Arial"/>
          <w:color w:val="000000" w:themeColor="text1"/>
          <w:sz w:val="22"/>
          <w:szCs w:val="22"/>
        </w:rPr>
        <w:t xml:space="preserve">, 53(1), pp. 18-28. Available at: </w:t>
      </w:r>
      <w:hyperlink r:id="rId38">
        <w:r w:rsidRPr="00801718">
          <w:rPr>
            <w:rStyle w:val="Hyperlink"/>
            <w:rFonts w:ascii="Arial" w:eastAsia="Arial" w:hAnsi="Arial" w:cs="Arial"/>
            <w:sz w:val="22"/>
            <w:szCs w:val="22"/>
          </w:rPr>
          <w:t>Interviewing Children: Problems and Promise on JSTOR</w:t>
        </w:r>
      </w:hyperlink>
    </w:p>
    <w:p w14:paraId="3F3053B5" w14:textId="77777777" w:rsidR="00D0721E" w:rsidRPr="00801718" w:rsidRDefault="00D0721E" w:rsidP="00485235">
      <w:pPr>
        <w:pStyle w:val="ListParagraph"/>
        <w:numPr>
          <w:ilvl w:val="0"/>
          <w:numId w:val="1"/>
        </w:numPr>
        <w:spacing w:line="360" w:lineRule="auto"/>
        <w:jc w:val="both"/>
        <w:rPr>
          <w:rFonts w:ascii="Arial" w:eastAsia="Arial" w:hAnsi="Arial" w:cs="Arial"/>
          <w:color w:val="000000" w:themeColor="text1"/>
          <w:sz w:val="22"/>
          <w:szCs w:val="22"/>
        </w:rPr>
      </w:pPr>
      <w:proofErr w:type="spellStart"/>
      <w:r w:rsidRPr="00801718">
        <w:rPr>
          <w:rFonts w:ascii="Arial" w:eastAsia="Arial" w:hAnsi="Arial" w:cs="Arial"/>
          <w:color w:val="000000" w:themeColor="text1"/>
          <w:sz w:val="22"/>
          <w:szCs w:val="22"/>
        </w:rPr>
        <w:t>Ponizovsky-Bergelson</w:t>
      </w:r>
      <w:proofErr w:type="spellEnd"/>
      <w:r w:rsidRPr="00801718">
        <w:rPr>
          <w:rFonts w:ascii="Arial" w:eastAsia="Arial" w:hAnsi="Arial" w:cs="Arial"/>
          <w:color w:val="000000" w:themeColor="text1"/>
          <w:sz w:val="22"/>
          <w:szCs w:val="22"/>
        </w:rPr>
        <w:t xml:space="preserve">, Y., Dayan, Y., </w:t>
      </w:r>
      <w:proofErr w:type="spellStart"/>
      <w:r w:rsidRPr="00801718">
        <w:rPr>
          <w:rFonts w:ascii="Arial" w:eastAsia="Arial" w:hAnsi="Arial" w:cs="Arial"/>
          <w:color w:val="000000" w:themeColor="text1"/>
          <w:sz w:val="22"/>
          <w:szCs w:val="22"/>
        </w:rPr>
        <w:t>Wahle</w:t>
      </w:r>
      <w:proofErr w:type="spellEnd"/>
      <w:r w:rsidRPr="00801718">
        <w:rPr>
          <w:rFonts w:ascii="Arial" w:eastAsia="Arial" w:hAnsi="Arial" w:cs="Arial"/>
          <w:color w:val="000000" w:themeColor="text1"/>
          <w:sz w:val="22"/>
          <w:szCs w:val="22"/>
        </w:rPr>
        <w:t xml:space="preserve">, N., &amp; </w:t>
      </w:r>
      <w:proofErr w:type="spellStart"/>
      <w:r w:rsidRPr="00801718">
        <w:rPr>
          <w:rFonts w:ascii="Arial" w:eastAsia="Arial" w:hAnsi="Arial" w:cs="Arial"/>
          <w:color w:val="000000" w:themeColor="text1"/>
          <w:sz w:val="22"/>
          <w:szCs w:val="22"/>
        </w:rPr>
        <w:t>Roer-Strier</w:t>
      </w:r>
      <w:proofErr w:type="spellEnd"/>
      <w:r w:rsidRPr="00801718">
        <w:rPr>
          <w:rFonts w:ascii="Arial" w:eastAsia="Arial" w:hAnsi="Arial" w:cs="Arial"/>
          <w:color w:val="000000" w:themeColor="text1"/>
          <w:sz w:val="22"/>
          <w:szCs w:val="22"/>
        </w:rPr>
        <w:t xml:space="preserve">, D. (2019) ‘A Qualitative Interview </w:t>
      </w:r>
      <w:proofErr w:type="gramStart"/>
      <w:r w:rsidRPr="00801718">
        <w:rPr>
          <w:rFonts w:ascii="Arial" w:eastAsia="Arial" w:hAnsi="Arial" w:cs="Arial"/>
          <w:color w:val="000000" w:themeColor="text1"/>
          <w:sz w:val="22"/>
          <w:szCs w:val="22"/>
        </w:rPr>
        <w:t>With</w:t>
      </w:r>
      <w:proofErr w:type="gramEnd"/>
      <w:r w:rsidRPr="00801718">
        <w:rPr>
          <w:rFonts w:ascii="Arial" w:eastAsia="Arial" w:hAnsi="Arial" w:cs="Arial"/>
          <w:color w:val="000000" w:themeColor="text1"/>
          <w:sz w:val="22"/>
          <w:szCs w:val="22"/>
        </w:rPr>
        <w:t xml:space="preserve"> Young Children: What Encourages or Inhibits Young Children’s Participation?’ </w:t>
      </w:r>
      <w:r w:rsidRPr="00801718">
        <w:rPr>
          <w:rFonts w:ascii="Arial" w:eastAsia="Arial" w:hAnsi="Arial" w:cs="Arial"/>
          <w:i/>
          <w:iCs/>
          <w:color w:val="000000" w:themeColor="text1"/>
          <w:sz w:val="22"/>
          <w:szCs w:val="22"/>
        </w:rPr>
        <w:t>International Journal of Qualitative Methods</w:t>
      </w:r>
      <w:r w:rsidRPr="00801718">
        <w:rPr>
          <w:rFonts w:ascii="Arial" w:eastAsia="Arial" w:hAnsi="Arial" w:cs="Arial"/>
          <w:color w:val="000000" w:themeColor="text1"/>
          <w:sz w:val="22"/>
          <w:szCs w:val="22"/>
        </w:rPr>
        <w:t xml:space="preserve">, 18. Available at: </w:t>
      </w:r>
      <w:hyperlink r:id="rId39">
        <w:r w:rsidRPr="00801718">
          <w:rPr>
            <w:rStyle w:val="Hyperlink"/>
            <w:rFonts w:ascii="Arial" w:eastAsia="Arial" w:hAnsi="Arial" w:cs="Arial"/>
            <w:sz w:val="22"/>
            <w:szCs w:val="22"/>
          </w:rPr>
          <w:t>https://doi.org/10.1177/1609406919840516</w:t>
        </w:r>
      </w:hyperlink>
      <w:r w:rsidRPr="00801718">
        <w:rPr>
          <w:rFonts w:ascii="Arial" w:eastAsia="Arial" w:hAnsi="Arial" w:cs="Arial"/>
          <w:color w:val="000000" w:themeColor="text1"/>
          <w:sz w:val="22"/>
          <w:szCs w:val="22"/>
        </w:rPr>
        <w:t xml:space="preserve"> </w:t>
      </w:r>
    </w:p>
    <w:p w14:paraId="3C0828C3" w14:textId="77777777" w:rsidR="00D0721E" w:rsidRPr="00801718" w:rsidRDefault="00D0721E" w:rsidP="00485235">
      <w:pPr>
        <w:pStyle w:val="ListParagraph"/>
        <w:numPr>
          <w:ilvl w:val="0"/>
          <w:numId w:val="1"/>
        </w:numPr>
        <w:spacing w:line="360" w:lineRule="auto"/>
        <w:jc w:val="both"/>
        <w:rPr>
          <w:rFonts w:ascii="Arial" w:eastAsia="Arial" w:hAnsi="Arial" w:cs="Arial"/>
          <w:color w:val="000000" w:themeColor="text1"/>
          <w:sz w:val="22"/>
          <w:szCs w:val="22"/>
        </w:rPr>
      </w:pPr>
      <w:proofErr w:type="spellStart"/>
      <w:r w:rsidRPr="00801718">
        <w:rPr>
          <w:rFonts w:ascii="Arial" w:eastAsia="Arial" w:hAnsi="Arial" w:cs="Arial"/>
          <w:color w:val="333333"/>
          <w:sz w:val="22"/>
          <w:szCs w:val="22"/>
        </w:rPr>
        <w:t>Ponizovsky-Bergelson</w:t>
      </w:r>
      <w:proofErr w:type="spellEnd"/>
      <w:r w:rsidRPr="00801718">
        <w:rPr>
          <w:rFonts w:ascii="Arial" w:eastAsia="Arial" w:hAnsi="Arial" w:cs="Arial"/>
          <w:color w:val="333333"/>
          <w:sz w:val="22"/>
          <w:szCs w:val="22"/>
        </w:rPr>
        <w:t xml:space="preserve">, Y., Dayan, Y., </w:t>
      </w:r>
      <w:proofErr w:type="spellStart"/>
      <w:r w:rsidRPr="00801718">
        <w:rPr>
          <w:rFonts w:ascii="Arial" w:eastAsia="Arial" w:hAnsi="Arial" w:cs="Arial"/>
          <w:color w:val="333333"/>
          <w:sz w:val="22"/>
          <w:szCs w:val="22"/>
        </w:rPr>
        <w:t>Wahle</w:t>
      </w:r>
      <w:proofErr w:type="spellEnd"/>
      <w:r w:rsidRPr="00801718">
        <w:rPr>
          <w:rFonts w:ascii="Arial" w:eastAsia="Arial" w:hAnsi="Arial" w:cs="Arial"/>
          <w:color w:val="333333"/>
          <w:sz w:val="22"/>
          <w:szCs w:val="22"/>
        </w:rPr>
        <w:t xml:space="preserve">, N., and </w:t>
      </w:r>
      <w:proofErr w:type="spellStart"/>
      <w:r w:rsidRPr="00801718">
        <w:rPr>
          <w:rFonts w:ascii="Arial" w:eastAsia="Arial" w:hAnsi="Arial" w:cs="Arial"/>
          <w:color w:val="333333"/>
          <w:sz w:val="22"/>
          <w:szCs w:val="22"/>
        </w:rPr>
        <w:t>Roer-Strier</w:t>
      </w:r>
      <w:proofErr w:type="spellEnd"/>
      <w:r w:rsidRPr="00801718">
        <w:rPr>
          <w:rFonts w:ascii="Arial" w:eastAsia="Arial" w:hAnsi="Arial" w:cs="Arial"/>
          <w:color w:val="333333"/>
          <w:sz w:val="22"/>
          <w:szCs w:val="22"/>
        </w:rPr>
        <w:t xml:space="preserve">, D. (2019) ‘A Qualitative Interview </w:t>
      </w:r>
      <w:proofErr w:type="gramStart"/>
      <w:r w:rsidRPr="00801718">
        <w:rPr>
          <w:rFonts w:ascii="Arial" w:eastAsia="Arial" w:hAnsi="Arial" w:cs="Arial"/>
          <w:color w:val="333333"/>
          <w:sz w:val="22"/>
          <w:szCs w:val="22"/>
        </w:rPr>
        <w:t>With</w:t>
      </w:r>
      <w:proofErr w:type="gramEnd"/>
      <w:r w:rsidRPr="00801718">
        <w:rPr>
          <w:rFonts w:ascii="Arial" w:eastAsia="Arial" w:hAnsi="Arial" w:cs="Arial"/>
          <w:color w:val="333333"/>
          <w:sz w:val="22"/>
          <w:szCs w:val="22"/>
        </w:rPr>
        <w:t xml:space="preserve"> Young Children: What Encourages or Inhibits Young Children’s Participation?’ </w:t>
      </w:r>
      <w:r w:rsidRPr="00801718">
        <w:rPr>
          <w:rFonts w:ascii="Arial" w:eastAsia="Arial" w:hAnsi="Arial" w:cs="Arial"/>
          <w:i/>
          <w:iCs/>
          <w:color w:val="333333"/>
          <w:sz w:val="22"/>
          <w:szCs w:val="22"/>
        </w:rPr>
        <w:t>International Journal of Qualitative Methods</w:t>
      </w:r>
      <w:r w:rsidRPr="00801718">
        <w:rPr>
          <w:rFonts w:ascii="Arial" w:eastAsia="Arial" w:hAnsi="Arial" w:cs="Arial"/>
          <w:color w:val="333333"/>
          <w:sz w:val="22"/>
          <w:szCs w:val="22"/>
        </w:rPr>
        <w:t xml:space="preserve">, </w:t>
      </w:r>
      <w:r w:rsidRPr="00801718">
        <w:rPr>
          <w:rFonts w:ascii="Arial" w:eastAsia="Arial" w:hAnsi="Arial" w:cs="Arial"/>
          <w:i/>
          <w:iCs/>
          <w:color w:val="333333"/>
          <w:sz w:val="22"/>
          <w:szCs w:val="22"/>
        </w:rPr>
        <w:t>18</w:t>
      </w:r>
      <w:r w:rsidRPr="00801718">
        <w:rPr>
          <w:rFonts w:ascii="Arial" w:eastAsia="Arial" w:hAnsi="Arial" w:cs="Arial"/>
          <w:color w:val="333333"/>
          <w:sz w:val="22"/>
          <w:szCs w:val="22"/>
        </w:rPr>
        <w:t xml:space="preserve">. Available at: </w:t>
      </w:r>
      <w:hyperlink r:id="rId40">
        <w:r w:rsidRPr="00801718">
          <w:rPr>
            <w:rStyle w:val="Hyperlink"/>
            <w:rFonts w:ascii="Arial" w:eastAsia="Arial" w:hAnsi="Arial" w:cs="Arial"/>
            <w:sz w:val="22"/>
            <w:szCs w:val="22"/>
          </w:rPr>
          <w:t>https://doi.org/10.1177/1609406919840516</w:t>
        </w:r>
      </w:hyperlink>
    </w:p>
    <w:p w14:paraId="20108ACC" w14:textId="77777777" w:rsidR="00D0721E" w:rsidRPr="00801718" w:rsidRDefault="00D0721E" w:rsidP="00485235">
      <w:pPr>
        <w:pStyle w:val="ListParagraph"/>
        <w:numPr>
          <w:ilvl w:val="0"/>
          <w:numId w:val="1"/>
        </w:numPr>
        <w:spacing w:line="360" w:lineRule="auto"/>
        <w:jc w:val="both"/>
        <w:rPr>
          <w:rFonts w:ascii="Arial" w:eastAsia="Arial" w:hAnsi="Arial" w:cs="Arial"/>
          <w:color w:val="000000" w:themeColor="text1"/>
          <w:sz w:val="22"/>
          <w:szCs w:val="22"/>
        </w:rPr>
      </w:pPr>
      <w:proofErr w:type="spellStart"/>
      <w:r w:rsidRPr="00801718">
        <w:rPr>
          <w:rFonts w:ascii="Arial" w:eastAsia="Arial" w:hAnsi="Arial" w:cs="Arial"/>
          <w:color w:val="000000" w:themeColor="text1"/>
          <w:sz w:val="22"/>
          <w:szCs w:val="22"/>
        </w:rPr>
        <w:lastRenderedPageBreak/>
        <w:t>Priya</w:t>
      </w:r>
      <w:proofErr w:type="spellEnd"/>
      <w:r w:rsidRPr="00801718">
        <w:rPr>
          <w:rFonts w:ascii="Arial" w:eastAsia="Arial" w:hAnsi="Arial" w:cs="Arial"/>
          <w:color w:val="000000" w:themeColor="text1"/>
          <w:sz w:val="22"/>
          <w:szCs w:val="22"/>
        </w:rPr>
        <w:t xml:space="preserve">, A. (2021) ‘Case Study Methodology of Qualitative Research: Key Attributes and Navigating the Conundrums in Its Application’, </w:t>
      </w:r>
      <w:r w:rsidRPr="00801718">
        <w:rPr>
          <w:rFonts w:ascii="Arial" w:eastAsia="Arial" w:hAnsi="Arial" w:cs="Arial"/>
          <w:i/>
          <w:iCs/>
          <w:color w:val="000000" w:themeColor="text1"/>
          <w:sz w:val="22"/>
          <w:szCs w:val="22"/>
        </w:rPr>
        <w:t>Sociological Bulletin</w:t>
      </w:r>
      <w:r w:rsidRPr="00801718">
        <w:rPr>
          <w:rFonts w:ascii="Arial" w:eastAsia="Arial" w:hAnsi="Arial" w:cs="Arial"/>
          <w:color w:val="000000" w:themeColor="text1"/>
          <w:sz w:val="22"/>
          <w:szCs w:val="22"/>
        </w:rPr>
        <w:t>, 70(1)</w:t>
      </w:r>
      <w:proofErr w:type="gramStart"/>
      <w:r w:rsidRPr="00801718">
        <w:rPr>
          <w:rFonts w:ascii="Arial" w:eastAsia="Arial" w:hAnsi="Arial" w:cs="Arial"/>
          <w:color w:val="000000" w:themeColor="text1"/>
          <w:sz w:val="22"/>
          <w:szCs w:val="22"/>
        </w:rPr>
        <w:t>,pp</w:t>
      </w:r>
      <w:proofErr w:type="gramEnd"/>
      <w:r w:rsidRPr="00801718">
        <w:rPr>
          <w:rFonts w:ascii="Arial" w:eastAsia="Arial" w:hAnsi="Arial" w:cs="Arial"/>
          <w:color w:val="000000" w:themeColor="text1"/>
          <w:sz w:val="22"/>
          <w:szCs w:val="22"/>
        </w:rPr>
        <w:t xml:space="preserve">.  94-110. Available at: </w:t>
      </w:r>
      <w:hyperlink r:id="rId41">
        <w:r w:rsidRPr="00801718">
          <w:rPr>
            <w:rStyle w:val="Hyperlink"/>
            <w:rFonts w:ascii="Arial" w:eastAsia="Arial" w:hAnsi="Arial" w:cs="Arial"/>
            <w:sz w:val="22"/>
            <w:szCs w:val="22"/>
          </w:rPr>
          <w:t>https://doi.org/10.1177/0038022920970318</w:t>
        </w:r>
      </w:hyperlink>
      <w:r w:rsidRPr="00801718">
        <w:rPr>
          <w:rFonts w:ascii="Arial" w:eastAsia="Arial" w:hAnsi="Arial" w:cs="Arial"/>
          <w:color w:val="000000" w:themeColor="text1"/>
          <w:sz w:val="22"/>
          <w:szCs w:val="22"/>
        </w:rPr>
        <w:t xml:space="preserve"> </w:t>
      </w:r>
    </w:p>
    <w:p w14:paraId="35A9724D" w14:textId="77777777" w:rsidR="00D0721E" w:rsidRPr="00801718" w:rsidRDefault="00D0721E" w:rsidP="00485235">
      <w:pPr>
        <w:pStyle w:val="ListParagraph"/>
        <w:numPr>
          <w:ilvl w:val="0"/>
          <w:numId w:val="1"/>
        </w:numPr>
        <w:spacing w:line="360" w:lineRule="auto"/>
        <w:jc w:val="both"/>
        <w:rPr>
          <w:rFonts w:ascii="Arial" w:eastAsia="Arial" w:hAnsi="Arial" w:cs="Arial"/>
          <w:color w:val="000000" w:themeColor="text1"/>
          <w:sz w:val="22"/>
          <w:szCs w:val="22"/>
        </w:rPr>
      </w:pPr>
      <w:r w:rsidRPr="00801718">
        <w:rPr>
          <w:rFonts w:ascii="Arial" w:eastAsia="Arial" w:hAnsi="Arial" w:cs="Arial"/>
          <w:color w:val="000000" w:themeColor="text1"/>
          <w:sz w:val="22"/>
          <w:szCs w:val="22"/>
        </w:rPr>
        <w:t xml:space="preserve"> Ridley, K. (1982) </w:t>
      </w:r>
      <w:r w:rsidRPr="00801718">
        <w:rPr>
          <w:rFonts w:ascii="Arial" w:eastAsia="Arial" w:hAnsi="Arial" w:cs="Arial"/>
          <w:i/>
          <w:iCs/>
          <w:color w:val="000000" w:themeColor="text1"/>
          <w:sz w:val="22"/>
          <w:szCs w:val="22"/>
        </w:rPr>
        <w:t>Mixed Ability Teaching</w:t>
      </w:r>
      <w:r w:rsidRPr="00801718">
        <w:rPr>
          <w:rFonts w:ascii="Arial" w:eastAsia="Arial" w:hAnsi="Arial" w:cs="Arial"/>
          <w:color w:val="000000" w:themeColor="text1"/>
          <w:sz w:val="22"/>
          <w:szCs w:val="22"/>
        </w:rPr>
        <w:t>. 1</w:t>
      </w:r>
      <w:r w:rsidRPr="00801718">
        <w:rPr>
          <w:rFonts w:ascii="Arial" w:eastAsia="Arial" w:hAnsi="Arial" w:cs="Arial"/>
          <w:color w:val="000000" w:themeColor="text1"/>
          <w:sz w:val="22"/>
          <w:szCs w:val="22"/>
          <w:vertAlign w:val="superscript"/>
        </w:rPr>
        <w:t>st</w:t>
      </w:r>
      <w:r w:rsidRPr="00801718">
        <w:rPr>
          <w:rFonts w:ascii="Arial" w:eastAsia="Arial" w:hAnsi="Arial" w:cs="Arial"/>
          <w:color w:val="000000" w:themeColor="text1"/>
          <w:sz w:val="22"/>
          <w:szCs w:val="22"/>
        </w:rPr>
        <w:t xml:space="preserve"> </w:t>
      </w:r>
      <w:proofErr w:type="spellStart"/>
      <w:r w:rsidRPr="00801718">
        <w:rPr>
          <w:rFonts w:ascii="Arial" w:eastAsia="Arial" w:hAnsi="Arial" w:cs="Arial"/>
          <w:color w:val="000000" w:themeColor="text1"/>
          <w:sz w:val="22"/>
          <w:szCs w:val="22"/>
        </w:rPr>
        <w:t>Edn</w:t>
      </w:r>
      <w:proofErr w:type="spellEnd"/>
      <w:r w:rsidRPr="00801718">
        <w:rPr>
          <w:rFonts w:ascii="Arial" w:eastAsia="Arial" w:hAnsi="Arial" w:cs="Arial"/>
          <w:color w:val="000000" w:themeColor="text1"/>
          <w:sz w:val="22"/>
          <w:szCs w:val="22"/>
        </w:rPr>
        <w:t xml:space="preserve">. </w:t>
      </w:r>
      <w:proofErr w:type="spellStart"/>
      <w:r w:rsidRPr="00801718">
        <w:rPr>
          <w:rFonts w:ascii="Arial" w:eastAsia="Arial" w:hAnsi="Arial" w:cs="Arial"/>
          <w:color w:val="000000" w:themeColor="text1"/>
          <w:sz w:val="22"/>
          <w:szCs w:val="22"/>
        </w:rPr>
        <w:t>Routledge</w:t>
      </w:r>
      <w:proofErr w:type="spellEnd"/>
    </w:p>
    <w:p w14:paraId="4092C4AC" w14:textId="77777777" w:rsidR="00D0721E" w:rsidRPr="00801718" w:rsidRDefault="00D0721E" w:rsidP="00485235">
      <w:pPr>
        <w:pStyle w:val="ListParagraph"/>
        <w:numPr>
          <w:ilvl w:val="0"/>
          <w:numId w:val="1"/>
        </w:numPr>
        <w:spacing w:line="360" w:lineRule="auto"/>
        <w:jc w:val="both"/>
        <w:rPr>
          <w:rFonts w:ascii="Arial" w:eastAsia="Arial" w:hAnsi="Arial" w:cs="Arial"/>
          <w:color w:val="000000" w:themeColor="text1"/>
          <w:sz w:val="22"/>
          <w:szCs w:val="22"/>
        </w:rPr>
      </w:pPr>
      <w:r w:rsidRPr="00801718">
        <w:rPr>
          <w:rFonts w:ascii="Arial" w:eastAsia="Arial" w:hAnsi="Arial" w:cs="Arial"/>
          <w:color w:val="000000" w:themeColor="text1"/>
          <w:sz w:val="22"/>
          <w:szCs w:val="22"/>
        </w:rPr>
        <w:t>Robson, C. (2011) ‘Real world research: a resource for users of social research methods in applied settings’,</w:t>
      </w:r>
      <w:r w:rsidRPr="00801718">
        <w:rPr>
          <w:rFonts w:ascii="Arial" w:eastAsia="Arial" w:hAnsi="Arial" w:cs="Arial"/>
          <w:i/>
          <w:iCs/>
          <w:color w:val="000000" w:themeColor="text1"/>
          <w:sz w:val="22"/>
          <w:szCs w:val="22"/>
        </w:rPr>
        <w:t xml:space="preserve"> Journal of Education for Teaching,</w:t>
      </w:r>
      <w:r w:rsidRPr="00801718">
        <w:rPr>
          <w:rFonts w:ascii="Arial" w:eastAsia="Arial" w:hAnsi="Arial" w:cs="Arial"/>
          <w:color w:val="000000" w:themeColor="text1"/>
          <w:sz w:val="22"/>
          <w:szCs w:val="22"/>
        </w:rPr>
        <w:t xml:space="preserve"> 38(4), pp. 513-515 Available at: </w:t>
      </w:r>
      <w:hyperlink r:id="rId42">
        <w:r w:rsidRPr="00801718">
          <w:rPr>
            <w:rStyle w:val="Hyperlink"/>
            <w:rFonts w:ascii="Arial" w:eastAsia="Arial" w:hAnsi="Arial" w:cs="Arial"/>
            <w:sz w:val="22"/>
            <w:szCs w:val="22"/>
          </w:rPr>
          <w:t>https://doi.org/10.1080/02607476.2012.708121</w:t>
        </w:r>
      </w:hyperlink>
      <w:r w:rsidRPr="00801718">
        <w:rPr>
          <w:rFonts w:ascii="Arial" w:eastAsia="Arial" w:hAnsi="Arial" w:cs="Arial"/>
          <w:color w:val="000000" w:themeColor="text1"/>
          <w:sz w:val="22"/>
          <w:szCs w:val="22"/>
        </w:rPr>
        <w:t xml:space="preserve"> </w:t>
      </w:r>
    </w:p>
    <w:p w14:paraId="598FC603" w14:textId="77777777" w:rsidR="00D0721E" w:rsidRPr="00801718" w:rsidRDefault="00D0721E" w:rsidP="00485235">
      <w:pPr>
        <w:pStyle w:val="ListParagraph"/>
        <w:numPr>
          <w:ilvl w:val="0"/>
          <w:numId w:val="1"/>
        </w:numPr>
        <w:spacing w:line="360" w:lineRule="auto"/>
        <w:jc w:val="both"/>
        <w:rPr>
          <w:rFonts w:ascii="Arial" w:eastAsia="Arial" w:hAnsi="Arial" w:cs="Arial"/>
          <w:color w:val="000000" w:themeColor="text1"/>
          <w:sz w:val="22"/>
          <w:szCs w:val="22"/>
        </w:rPr>
      </w:pPr>
      <w:proofErr w:type="spellStart"/>
      <w:r w:rsidRPr="00801718">
        <w:rPr>
          <w:rFonts w:ascii="Arial" w:eastAsia="Arial" w:hAnsi="Arial" w:cs="Arial"/>
          <w:color w:val="000000" w:themeColor="text1"/>
          <w:sz w:val="22"/>
          <w:szCs w:val="22"/>
        </w:rPr>
        <w:t>Shenton</w:t>
      </w:r>
      <w:proofErr w:type="spellEnd"/>
      <w:r w:rsidRPr="00801718">
        <w:rPr>
          <w:rFonts w:ascii="Arial" w:eastAsia="Arial" w:hAnsi="Arial" w:cs="Arial"/>
          <w:color w:val="000000" w:themeColor="text1"/>
          <w:sz w:val="22"/>
          <w:szCs w:val="22"/>
        </w:rPr>
        <w:t>, A.K. (2004) ‘Strategies for ensuring trustworthiness in qualitative research projects’,</w:t>
      </w:r>
      <w:r w:rsidRPr="00801718">
        <w:rPr>
          <w:rFonts w:ascii="Arial" w:eastAsia="Arial" w:hAnsi="Arial" w:cs="Arial"/>
          <w:i/>
          <w:iCs/>
          <w:color w:val="000000" w:themeColor="text1"/>
          <w:sz w:val="22"/>
          <w:szCs w:val="22"/>
        </w:rPr>
        <w:t xml:space="preserve"> Education for information</w:t>
      </w:r>
      <w:r w:rsidRPr="00801718">
        <w:rPr>
          <w:rFonts w:ascii="Arial" w:eastAsia="Arial" w:hAnsi="Arial" w:cs="Arial"/>
          <w:color w:val="000000" w:themeColor="text1"/>
          <w:sz w:val="22"/>
          <w:szCs w:val="22"/>
        </w:rPr>
        <w:t xml:space="preserve">, 22(2), pp.63-75. Available at: </w:t>
      </w:r>
      <w:hyperlink r:id="rId43">
        <w:r w:rsidRPr="00801718">
          <w:rPr>
            <w:rStyle w:val="Hyperlink"/>
            <w:rFonts w:ascii="Arial" w:eastAsia="Arial" w:hAnsi="Arial" w:cs="Arial"/>
            <w:sz w:val="22"/>
            <w:szCs w:val="22"/>
          </w:rPr>
          <w:t>Strategies for ensuring trustworthiness in qualitative research projects - IOS Press</w:t>
        </w:r>
      </w:hyperlink>
    </w:p>
    <w:p w14:paraId="7BAC3E86" w14:textId="77777777" w:rsidR="00D0721E" w:rsidRPr="00801718" w:rsidRDefault="00D0721E" w:rsidP="00485235">
      <w:pPr>
        <w:pStyle w:val="ListParagraph"/>
        <w:numPr>
          <w:ilvl w:val="0"/>
          <w:numId w:val="1"/>
        </w:numPr>
        <w:spacing w:line="360" w:lineRule="auto"/>
        <w:jc w:val="both"/>
        <w:rPr>
          <w:rFonts w:ascii="Arial" w:eastAsia="Arial" w:hAnsi="Arial" w:cs="Arial"/>
          <w:color w:val="000000" w:themeColor="text1"/>
          <w:sz w:val="22"/>
          <w:szCs w:val="22"/>
        </w:rPr>
      </w:pPr>
      <w:proofErr w:type="spellStart"/>
      <w:r w:rsidRPr="00801718">
        <w:rPr>
          <w:rFonts w:ascii="Arial" w:eastAsia="Arial" w:hAnsi="Arial" w:cs="Arial"/>
          <w:color w:val="000000" w:themeColor="text1"/>
          <w:sz w:val="22"/>
          <w:szCs w:val="22"/>
        </w:rPr>
        <w:t>Slavin</w:t>
      </w:r>
      <w:proofErr w:type="spellEnd"/>
      <w:r w:rsidRPr="00801718">
        <w:rPr>
          <w:rFonts w:ascii="Arial" w:eastAsia="Arial" w:hAnsi="Arial" w:cs="Arial"/>
          <w:color w:val="000000" w:themeColor="text1"/>
          <w:sz w:val="22"/>
          <w:szCs w:val="22"/>
        </w:rPr>
        <w:t xml:space="preserve">, R. E. (1996) ‘Research on cooperative learning and achievement: What we know, what we need to know’, </w:t>
      </w:r>
      <w:r w:rsidRPr="00801718">
        <w:rPr>
          <w:rFonts w:ascii="Arial" w:eastAsia="Arial" w:hAnsi="Arial" w:cs="Arial"/>
          <w:i/>
          <w:iCs/>
          <w:color w:val="000000" w:themeColor="text1"/>
          <w:sz w:val="22"/>
          <w:szCs w:val="22"/>
        </w:rPr>
        <w:t>Contemporary Educational Psychology</w:t>
      </w:r>
      <w:r w:rsidRPr="00801718">
        <w:rPr>
          <w:rFonts w:ascii="Arial" w:eastAsia="Arial" w:hAnsi="Arial" w:cs="Arial"/>
          <w:color w:val="000000" w:themeColor="text1"/>
          <w:sz w:val="22"/>
          <w:szCs w:val="22"/>
        </w:rPr>
        <w:t>, 21(1), pp. 43–69. Available at:</w:t>
      </w:r>
      <w:r w:rsidRPr="00801718">
        <w:rPr>
          <w:rFonts w:ascii="Arial" w:eastAsia="Arial" w:hAnsi="Arial" w:cs="Arial"/>
          <w:color w:val="1C1D1E"/>
          <w:sz w:val="22"/>
          <w:szCs w:val="22"/>
        </w:rPr>
        <w:t xml:space="preserve"> </w:t>
      </w:r>
      <w:hyperlink r:id="rId44">
        <w:r w:rsidRPr="00801718">
          <w:rPr>
            <w:rStyle w:val="Hyperlink"/>
            <w:rFonts w:ascii="Arial" w:eastAsia="Arial" w:hAnsi="Arial" w:cs="Arial"/>
            <w:sz w:val="22"/>
            <w:szCs w:val="22"/>
          </w:rPr>
          <w:t>Cooperative_Learning_-_SLAVIN__Robert-libre.pdf (d1wqtxts1xzle7.cloudfront.net)</w:t>
        </w:r>
      </w:hyperlink>
      <w:r w:rsidRPr="00801718">
        <w:rPr>
          <w:rFonts w:ascii="Arial" w:eastAsia="Arial" w:hAnsi="Arial" w:cs="Arial"/>
          <w:color w:val="000000" w:themeColor="text1"/>
          <w:sz w:val="22"/>
          <w:szCs w:val="22"/>
        </w:rPr>
        <w:t xml:space="preserve"> </w:t>
      </w:r>
    </w:p>
    <w:p w14:paraId="19E787EE" w14:textId="77777777" w:rsidR="00D0721E" w:rsidRPr="00801718" w:rsidRDefault="00D0721E" w:rsidP="00485235">
      <w:pPr>
        <w:pStyle w:val="ListParagraph"/>
        <w:numPr>
          <w:ilvl w:val="0"/>
          <w:numId w:val="1"/>
        </w:numPr>
        <w:spacing w:line="360" w:lineRule="auto"/>
        <w:jc w:val="both"/>
        <w:rPr>
          <w:rFonts w:ascii="Arial" w:eastAsia="Arial" w:hAnsi="Arial" w:cs="Arial"/>
          <w:color w:val="000000" w:themeColor="text1"/>
          <w:sz w:val="22"/>
          <w:szCs w:val="22"/>
        </w:rPr>
      </w:pPr>
      <w:proofErr w:type="spellStart"/>
      <w:r w:rsidRPr="00801718">
        <w:rPr>
          <w:rFonts w:ascii="Arial" w:eastAsia="Arial" w:hAnsi="Arial" w:cs="Arial"/>
          <w:color w:val="000000" w:themeColor="text1"/>
          <w:sz w:val="22"/>
          <w:szCs w:val="22"/>
        </w:rPr>
        <w:t>Tausch</w:t>
      </w:r>
      <w:proofErr w:type="spellEnd"/>
      <w:r w:rsidRPr="00801718">
        <w:rPr>
          <w:rFonts w:ascii="Arial" w:eastAsia="Arial" w:hAnsi="Arial" w:cs="Arial"/>
          <w:color w:val="000000" w:themeColor="text1"/>
          <w:sz w:val="22"/>
          <w:szCs w:val="22"/>
        </w:rPr>
        <w:t xml:space="preserve"> AP, </w:t>
      </w:r>
      <w:proofErr w:type="spellStart"/>
      <w:r w:rsidRPr="00801718">
        <w:rPr>
          <w:rFonts w:ascii="Arial" w:eastAsia="Arial" w:hAnsi="Arial" w:cs="Arial"/>
          <w:color w:val="000000" w:themeColor="text1"/>
          <w:sz w:val="22"/>
          <w:szCs w:val="22"/>
        </w:rPr>
        <w:t>Menold</w:t>
      </w:r>
      <w:proofErr w:type="spellEnd"/>
      <w:r w:rsidRPr="00801718">
        <w:rPr>
          <w:rFonts w:ascii="Arial" w:eastAsia="Arial" w:hAnsi="Arial" w:cs="Arial"/>
          <w:color w:val="000000" w:themeColor="text1"/>
          <w:sz w:val="22"/>
          <w:szCs w:val="22"/>
        </w:rPr>
        <w:t xml:space="preserve"> N. (2016) ‘Methodological Aspects of Focus Groups in Health Research: Results of Qualitative Interviews </w:t>
      </w:r>
      <w:proofErr w:type="gramStart"/>
      <w:r w:rsidRPr="00801718">
        <w:rPr>
          <w:rFonts w:ascii="Arial" w:eastAsia="Arial" w:hAnsi="Arial" w:cs="Arial"/>
          <w:color w:val="000000" w:themeColor="text1"/>
          <w:sz w:val="22"/>
          <w:szCs w:val="22"/>
        </w:rPr>
        <w:t>With</w:t>
      </w:r>
      <w:proofErr w:type="gramEnd"/>
      <w:r w:rsidRPr="00801718">
        <w:rPr>
          <w:rFonts w:ascii="Arial" w:eastAsia="Arial" w:hAnsi="Arial" w:cs="Arial"/>
          <w:color w:val="000000" w:themeColor="text1"/>
          <w:sz w:val="22"/>
          <w:szCs w:val="22"/>
        </w:rPr>
        <w:t xml:space="preserve"> Focus Group Moderators’, </w:t>
      </w:r>
      <w:r w:rsidRPr="00801718">
        <w:rPr>
          <w:rFonts w:ascii="Arial" w:eastAsia="Arial" w:hAnsi="Arial" w:cs="Arial"/>
          <w:i/>
          <w:iCs/>
          <w:color w:val="000000" w:themeColor="text1"/>
          <w:sz w:val="22"/>
          <w:szCs w:val="22"/>
        </w:rPr>
        <w:t>Global Qualitative Nursing Research</w:t>
      </w:r>
      <w:r w:rsidRPr="00801718">
        <w:rPr>
          <w:rFonts w:ascii="Arial" w:eastAsia="Arial" w:hAnsi="Arial" w:cs="Arial"/>
          <w:color w:val="000000" w:themeColor="text1"/>
          <w:sz w:val="22"/>
          <w:szCs w:val="22"/>
        </w:rPr>
        <w:t xml:space="preserve">, 6(3). Available at: </w:t>
      </w:r>
      <w:hyperlink r:id="rId45">
        <w:r w:rsidRPr="00801718">
          <w:rPr>
            <w:rStyle w:val="Hyperlink"/>
            <w:rFonts w:ascii="Arial" w:eastAsia="Arial" w:hAnsi="Arial" w:cs="Arial"/>
            <w:sz w:val="22"/>
            <w:szCs w:val="22"/>
          </w:rPr>
          <w:t>https://doi.org/10.1177/2333393616630466</w:t>
        </w:r>
      </w:hyperlink>
      <w:r w:rsidRPr="00801718">
        <w:rPr>
          <w:rFonts w:ascii="Arial" w:eastAsia="Arial" w:hAnsi="Arial" w:cs="Arial"/>
          <w:color w:val="000000" w:themeColor="text1"/>
          <w:sz w:val="22"/>
          <w:szCs w:val="22"/>
        </w:rPr>
        <w:t xml:space="preserve"> </w:t>
      </w:r>
    </w:p>
    <w:p w14:paraId="625662A4" w14:textId="77777777" w:rsidR="00D0721E" w:rsidRPr="00801718" w:rsidRDefault="00D0721E" w:rsidP="00485235">
      <w:pPr>
        <w:pStyle w:val="ListParagraph"/>
        <w:numPr>
          <w:ilvl w:val="0"/>
          <w:numId w:val="1"/>
        </w:numPr>
        <w:spacing w:line="360" w:lineRule="auto"/>
        <w:jc w:val="both"/>
        <w:rPr>
          <w:rFonts w:ascii="Arial" w:eastAsia="Arial" w:hAnsi="Arial" w:cs="Arial"/>
          <w:color w:val="000000" w:themeColor="text1"/>
          <w:sz w:val="22"/>
          <w:szCs w:val="22"/>
        </w:rPr>
      </w:pPr>
      <w:proofErr w:type="spellStart"/>
      <w:r w:rsidRPr="00801718">
        <w:rPr>
          <w:rFonts w:ascii="Arial" w:eastAsia="Arial" w:hAnsi="Arial" w:cs="Arial"/>
          <w:color w:val="000000" w:themeColor="text1"/>
          <w:sz w:val="22"/>
          <w:szCs w:val="22"/>
        </w:rPr>
        <w:t>Tereshchenko</w:t>
      </w:r>
      <w:proofErr w:type="spellEnd"/>
      <w:r w:rsidRPr="00801718">
        <w:rPr>
          <w:rFonts w:ascii="Arial" w:eastAsia="Arial" w:hAnsi="Arial" w:cs="Arial"/>
          <w:color w:val="000000" w:themeColor="text1"/>
          <w:sz w:val="22"/>
          <w:szCs w:val="22"/>
        </w:rPr>
        <w:t xml:space="preserve">, A., Francis, B., Archer, L., </w:t>
      </w:r>
      <w:proofErr w:type="spellStart"/>
      <w:r w:rsidRPr="00801718">
        <w:rPr>
          <w:rFonts w:ascii="Arial" w:eastAsia="Arial" w:hAnsi="Arial" w:cs="Arial"/>
          <w:color w:val="000000" w:themeColor="text1"/>
          <w:sz w:val="22"/>
          <w:szCs w:val="22"/>
        </w:rPr>
        <w:t>Hodgen</w:t>
      </w:r>
      <w:proofErr w:type="spellEnd"/>
      <w:r w:rsidRPr="00801718">
        <w:rPr>
          <w:rFonts w:ascii="Arial" w:eastAsia="Arial" w:hAnsi="Arial" w:cs="Arial"/>
          <w:color w:val="000000" w:themeColor="text1"/>
          <w:sz w:val="22"/>
          <w:szCs w:val="22"/>
        </w:rPr>
        <w:t xml:space="preserve">, J., </w:t>
      </w:r>
      <w:proofErr w:type="spellStart"/>
      <w:r w:rsidRPr="00801718">
        <w:rPr>
          <w:rFonts w:ascii="Arial" w:eastAsia="Arial" w:hAnsi="Arial" w:cs="Arial"/>
          <w:color w:val="000000" w:themeColor="text1"/>
          <w:sz w:val="22"/>
          <w:szCs w:val="22"/>
        </w:rPr>
        <w:t>Mazenod</w:t>
      </w:r>
      <w:proofErr w:type="spellEnd"/>
      <w:r w:rsidRPr="00801718">
        <w:rPr>
          <w:rFonts w:ascii="Arial" w:eastAsia="Arial" w:hAnsi="Arial" w:cs="Arial"/>
          <w:color w:val="000000" w:themeColor="text1"/>
          <w:sz w:val="22"/>
          <w:szCs w:val="22"/>
        </w:rPr>
        <w:t xml:space="preserve">, A., Taylor, B., Pepper, D and Travers, M C. (2019) ‘Learners’ attitudes to mixed-attainment grouping: examining the views of students of high, middle and low attainment’, </w:t>
      </w:r>
      <w:r w:rsidRPr="00801718">
        <w:rPr>
          <w:rFonts w:ascii="Arial" w:eastAsia="Arial" w:hAnsi="Arial" w:cs="Arial"/>
          <w:i/>
          <w:iCs/>
          <w:color w:val="000000" w:themeColor="text1"/>
          <w:sz w:val="22"/>
          <w:szCs w:val="22"/>
        </w:rPr>
        <w:t>Research Papers in Education</w:t>
      </w:r>
      <w:r w:rsidRPr="00801718">
        <w:rPr>
          <w:rFonts w:ascii="Arial" w:eastAsia="Arial" w:hAnsi="Arial" w:cs="Arial"/>
          <w:color w:val="000000" w:themeColor="text1"/>
          <w:sz w:val="22"/>
          <w:szCs w:val="22"/>
        </w:rPr>
        <w:t xml:space="preserve">, 34(4), pp. 425-444. Available at: </w:t>
      </w:r>
      <w:hyperlink r:id="rId46">
        <w:r w:rsidRPr="00801718">
          <w:rPr>
            <w:rStyle w:val="Hyperlink"/>
            <w:rFonts w:ascii="Arial" w:eastAsia="Arial" w:hAnsi="Arial" w:cs="Arial"/>
            <w:sz w:val="22"/>
            <w:szCs w:val="22"/>
          </w:rPr>
          <w:t>https://doi.org/10.1080/02671522.2018.1452962</w:t>
        </w:r>
      </w:hyperlink>
      <w:r w:rsidRPr="00801718">
        <w:rPr>
          <w:rFonts w:ascii="Arial" w:eastAsia="Arial" w:hAnsi="Arial" w:cs="Arial"/>
          <w:color w:val="000000" w:themeColor="text1"/>
          <w:sz w:val="22"/>
          <w:szCs w:val="22"/>
        </w:rPr>
        <w:t xml:space="preserve"> </w:t>
      </w:r>
    </w:p>
    <w:p w14:paraId="27131BB9" w14:textId="77777777" w:rsidR="00D0721E" w:rsidRPr="00801718" w:rsidRDefault="00D0721E" w:rsidP="00485235">
      <w:pPr>
        <w:pStyle w:val="ListParagraph"/>
        <w:numPr>
          <w:ilvl w:val="0"/>
          <w:numId w:val="1"/>
        </w:numPr>
        <w:spacing w:line="360" w:lineRule="auto"/>
        <w:jc w:val="both"/>
        <w:rPr>
          <w:rFonts w:ascii="Arial" w:eastAsia="Arial" w:hAnsi="Arial" w:cs="Arial"/>
          <w:color w:val="000000" w:themeColor="text1"/>
          <w:sz w:val="22"/>
          <w:szCs w:val="22"/>
        </w:rPr>
      </w:pPr>
      <w:r w:rsidRPr="00801718">
        <w:rPr>
          <w:rFonts w:ascii="Arial" w:eastAsia="Arial" w:hAnsi="Arial" w:cs="Arial"/>
          <w:color w:val="000000" w:themeColor="text1"/>
          <w:sz w:val="22"/>
          <w:szCs w:val="22"/>
        </w:rPr>
        <w:t xml:space="preserve">UNICEF (2019). </w:t>
      </w:r>
      <w:r w:rsidRPr="00801718">
        <w:rPr>
          <w:rFonts w:ascii="Arial" w:eastAsia="Arial" w:hAnsi="Arial" w:cs="Arial"/>
          <w:i/>
          <w:iCs/>
          <w:color w:val="000000" w:themeColor="text1"/>
          <w:sz w:val="22"/>
          <w:szCs w:val="22"/>
        </w:rPr>
        <w:t>UNICEF guidelines for interviewing children.</w:t>
      </w:r>
      <w:r w:rsidRPr="00801718">
        <w:rPr>
          <w:rFonts w:ascii="Arial" w:eastAsia="Arial" w:hAnsi="Arial" w:cs="Arial"/>
          <w:color w:val="000000" w:themeColor="text1"/>
          <w:sz w:val="22"/>
          <w:szCs w:val="22"/>
        </w:rPr>
        <w:t xml:space="preserve"> Available at: </w:t>
      </w:r>
      <w:hyperlink r:id="rId47">
        <w:r w:rsidRPr="00801718">
          <w:rPr>
            <w:rStyle w:val="Hyperlink"/>
            <w:rFonts w:ascii="Arial" w:eastAsia="Arial" w:hAnsi="Arial" w:cs="Arial"/>
            <w:sz w:val="22"/>
            <w:szCs w:val="22"/>
          </w:rPr>
          <w:t>UNICEF guidelines for interviewing children  | Save the Children’s Resource Centre</w:t>
        </w:r>
      </w:hyperlink>
    </w:p>
    <w:p w14:paraId="231B627F" w14:textId="77777777" w:rsidR="00D0721E" w:rsidRPr="00801718" w:rsidRDefault="00D0721E" w:rsidP="00485235">
      <w:pPr>
        <w:pStyle w:val="ListParagraph"/>
        <w:numPr>
          <w:ilvl w:val="0"/>
          <w:numId w:val="1"/>
        </w:numPr>
        <w:spacing w:line="360" w:lineRule="auto"/>
        <w:jc w:val="both"/>
        <w:rPr>
          <w:rFonts w:ascii="Arial" w:eastAsia="Arial" w:hAnsi="Arial" w:cs="Arial"/>
          <w:color w:val="000000" w:themeColor="text1"/>
          <w:sz w:val="22"/>
          <w:szCs w:val="22"/>
        </w:rPr>
      </w:pPr>
      <w:r w:rsidRPr="00801718">
        <w:rPr>
          <w:rFonts w:ascii="Arial" w:eastAsia="Arial" w:hAnsi="Arial" w:cs="Arial"/>
          <w:color w:val="1E1E1E"/>
          <w:sz w:val="22"/>
          <w:szCs w:val="22"/>
        </w:rPr>
        <w:t xml:space="preserve">United Nations Convention on the Rights of the Child: </w:t>
      </w:r>
      <w:hyperlink r:id="rId48">
        <w:r w:rsidRPr="00801718">
          <w:rPr>
            <w:rStyle w:val="Hyperlink"/>
            <w:rFonts w:ascii="Arial" w:eastAsia="Arial" w:hAnsi="Arial" w:cs="Arial"/>
            <w:sz w:val="22"/>
            <w:szCs w:val="22"/>
          </w:rPr>
          <w:t>UN Convention on the Rights of the Child - UNICEF UK</w:t>
        </w:r>
      </w:hyperlink>
    </w:p>
    <w:p w14:paraId="6C9E7741" w14:textId="77777777" w:rsidR="00D0721E" w:rsidRPr="00801718" w:rsidRDefault="00D0721E" w:rsidP="00485235">
      <w:pPr>
        <w:pStyle w:val="ListParagraph"/>
        <w:numPr>
          <w:ilvl w:val="0"/>
          <w:numId w:val="1"/>
        </w:numPr>
        <w:spacing w:line="360" w:lineRule="auto"/>
        <w:jc w:val="both"/>
        <w:rPr>
          <w:rFonts w:ascii="Arial" w:eastAsia="Arial" w:hAnsi="Arial" w:cs="Arial"/>
          <w:color w:val="000000" w:themeColor="text1"/>
          <w:sz w:val="22"/>
          <w:szCs w:val="22"/>
        </w:rPr>
      </w:pPr>
      <w:proofErr w:type="spellStart"/>
      <w:r w:rsidRPr="00801718">
        <w:rPr>
          <w:rFonts w:ascii="Arial" w:eastAsia="Arial" w:hAnsi="Arial" w:cs="Arial"/>
          <w:color w:val="000000" w:themeColor="text1"/>
          <w:sz w:val="22"/>
          <w:szCs w:val="22"/>
        </w:rPr>
        <w:t>Vinney</w:t>
      </w:r>
      <w:proofErr w:type="spellEnd"/>
      <w:r w:rsidRPr="00801718">
        <w:rPr>
          <w:rFonts w:ascii="Arial" w:eastAsia="Arial" w:hAnsi="Arial" w:cs="Arial"/>
          <w:color w:val="000000" w:themeColor="text1"/>
          <w:sz w:val="22"/>
          <w:szCs w:val="22"/>
        </w:rPr>
        <w:t xml:space="preserve">, C. (2019) </w:t>
      </w:r>
      <w:r w:rsidRPr="00801718">
        <w:rPr>
          <w:rFonts w:ascii="Arial" w:eastAsia="Arial" w:hAnsi="Arial" w:cs="Arial"/>
          <w:i/>
          <w:iCs/>
          <w:color w:val="000000" w:themeColor="text1"/>
          <w:sz w:val="22"/>
          <w:szCs w:val="22"/>
        </w:rPr>
        <w:t>Social Constructionism Definition and Examples.</w:t>
      </w:r>
      <w:r w:rsidRPr="00801718">
        <w:rPr>
          <w:rFonts w:ascii="Arial" w:eastAsia="Arial" w:hAnsi="Arial" w:cs="Arial"/>
          <w:color w:val="000000" w:themeColor="text1"/>
          <w:sz w:val="22"/>
          <w:szCs w:val="22"/>
        </w:rPr>
        <w:t xml:space="preserve"> Available at: </w:t>
      </w:r>
      <w:hyperlink r:id="rId49">
        <w:r w:rsidRPr="00801718">
          <w:rPr>
            <w:rStyle w:val="Hyperlink"/>
            <w:rFonts w:ascii="Arial" w:eastAsia="Arial" w:hAnsi="Arial" w:cs="Arial"/>
            <w:sz w:val="22"/>
            <w:szCs w:val="22"/>
          </w:rPr>
          <w:t>Social Constructionism Definition (thoughtco.com)</w:t>
        </w:r>
      </w:hyperlink>
      <w:r w:rsidRPr="00801718">
        <w:rPr>
          <w:rFonts w:ascii="Arial" w:eastAsia="Arial" w:hAnsi="Arial" w:cs="Arial"/>
          <w:color w:val="000000" w:themeColor="text1"/>
          <w:sz w:val="22"/>
          <w:szCs w:val="22"/>
        </w:rPr>
        <w:t xml:space="preserve"> (Accessed: April 11 2024)</w:t>
      </w:r>
    </w:p>
    <w:p w14:paraId="1651DFA4" w14:textId="77777777" w:rsidR="00D0721E" w:rsidRPr="00801718" w:rsidRDefault="00D0721E" w:rsidP="00485235">
      <w:pPr>
        <w:pStyle w:val="ListParagraph"/>
        <w:numPr>
          <w:ilvl w:val="0"/>
          <w:numId w:val="1"/>
        </w:numPr>
        <w:spacing w:line="360" w:lineRule="auto"/>
        <w:jc w:val="both"/>
        <w:rPr>
          <w:rFonts w:ascii="Arial" w:eastAsia="Arial" w:hAnsi="Arial" w:cs="Arial"/>
          <w:color w:val="000000" w:themeColor="text1"/>
          <w:sz w:val="22"/>
          <w:szCs w:val="22"/>
        </w:rPr>
      </w:pPr>
      <w:r w:rsidRPr="00801718">
        <w:rPr>
          <w:rFonts w:ascii="Arial" w:eastAsia="Arial" w:hAnsi="Arial" w:cs="Arial"/>
          <w:color w:val="000000" w:themeColor="text1"/>
          <w:sz w:val="22"/>
          <w:szCs w:val="22"/>
        </w:rPr>
        <w:t xml:space="preserve">Yin R. (2009) </w:t>
      </w:r>
      <w:r w:rsidRPr="00801718">
        <w:rPr>
          <w:rFonts w:ascii="Arial" w:eastAsia="Arial" w:hAnsi="Arial" w:cs="Arial"/>
          <w:i/>
          <w:iCs/>
          <w:color w:val="000000" w:themeColor="text1"/>
          <w:sz w:val="22"/>
          <w:szCs w:val="22"/>
        </w:rPr>
        <w:t xml:space="preserve">Case study research: Design and methods. </w:t>
      </w:r>
      <w:r w:rsidRPr="00801718">
        <w:rPr>
          <w:rFonts w:ascii="Arial" w:eastAsia="Arial" w:hAnsi="Arial" w:cs="Arial"/>
          <w:color w:val="000000" w:themeColor="text1"/>
          <w:sz w:val="22"/>
          <w:szCs w:val="22"/>
        </w:rPr>
        <w:t xml:space="preserve">4th </w:t>
      </w:r>
      <w:proofErr w:type="spellStart"/>
      <w:r w:rsidRPr="00801718">
        <w:rPr>
          <w:rFonts w:ascii="Arial" w:eastAsia="Arial" w:hAnsi="Arial" w:cs="Arial"/>
          <w:color w:val="000000" w:themeColor="text1"/>
          <w:sz w:val="22"/>
          <w:szCs w:val="22"/>
        </w:rPr>
        <w:t>edn</w:t>
      </w:r>
      <w:proofErr w:type="spellEnd"/>
      <w:r w:rsidRPr="00801718">
        <w:rPr>
          <w:rFonts w:ascii="Arial" w:eastAsia="Arial" w:hAnsi="Arial" w:cs="Arial"/>
          <w:color w:val="000000" w:themeColor="text1"/>
          <w:sz w:val="22"/>
          <w:szCs w:val="22"/>
        </w:rPr>
        <w:t>. California: SAGE Publications</w:t>
      </w:r>
    </w:p>
    <w:sectPr w:rsidR="00D0721E" w:rsidRPr="00801718">
      <w:headerReference w:type="default" r:id="rId50"/>
      <w:footerReference w:type="default" r:id="rId5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24916D8" w14:textId="77777777" w:rsidR="00485235" w:rsidRDefault="00485235" w:rsidP="0057063F">
      <w:pPr>
        <w:spacing w:after="0" w:line="240" w:lineRule="auto"/>
      </w:pPr>
      <w:r>
        <w:separator/>
      </w:r>
    </w:p>
  </w:endnote>
  <w:endnote w:type="continuationSeparator" w:id="0">
    <w:p w14:paraId="66A7FDB8" w14:textId="77777777" w:rsidR="00485235" w:rsidRDefault="00485235" w:rsidP="005706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99294541"/>
      <w:docPartObj>
        <w:docPartGallery w:val="Page Numbers (Bottom of Page)"/>
        <w:docPartUnique/>
      </w:docPartObj>
    </w:sdtPr>
    <w:sdtEndPr>
      <w:rPr>
        <w:noProof/>
      </w:rPr>
    </w:sdtEndPr>
    <w:sdtContent>
      <w:p w14:paraId="2FECFAE5" w14:textId="181AE33C" w:rsidR="0057063F" w:rsidRDefault="0057063F">
        <w:pPr>
          <w:pStyle w:val="Footer"/>
          <w:jc w:val="center"/>
        </w:pPr>
        <w:r>
          <w:fldChar w:fldCharType="begin"/>
        </w:r>
        <w:r>
          <w:instrText xml:space="preserve"> PAGE   \* MERGEFORMAT </w:instrText>
        </w:r>
        <w:r>
          <w:fldChar w:fldCharType="separate"/>
        </w:r>
        <w:r w:rsidR="00181AAF">
          <w:rPr>
            <w:noProof/>
          </w:rPr>
          <w:t>2</w:t>
        </w:r>
        <w:r>
          <w:rPr>
            <w:noProof/>
          </w:rPr>
          <w:fldChar w:fldCharType="end"/>
        </w:r>
      </w:p>
    </w:sdtContent>
  </w:sdt>
  <w:p w14:paraId="48DFF1ED" w14:textId="77777777" w:rsidR="0057063F" w:rsidRDefault="0057063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33F4C43" w14:textId="77777777" w:rsidR="00485235" w:rsidRDefault="00485235" w:rsidP="0057063F">
      <w:pPr>
        <w:spacing w:after="0" w:line="240" w:lineRule="auto"/>
      </w:pPr>
      <w:r>
        <w:separator/>
      </w:r>
    </w:p>
  </w:footnote>
  <w:footnote w:type="continuationSeparator" w:id="0">
    <w:p w14:paraId="4B4BFB21" w14:textId="77777777" w:rsidR="00485235" w:rsidRDefault="00485235" w:rsidP="0057063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E8B876" w14:textId="314F9758" w:rsidR="00325AC1" w:rsidRDefault="00325AC1">
    <w:pPr>
      <w:pStyle w:val="Header"/>
    </w:pPr>
    <w:r>
      <w:t>2306243</w:t>
    </w:r>
    <w:r>
      <w:tab/>
    </w:r>
    <w:r>
      <w:tab/>
      <w:t>ECAD 7004</w:t>
    </w:r>
  </w:p>
  <w:p w14:paraId="0BF784D5" w14:textId="77777777" w:rsidR="00325AC1" w:rsidRDefault="00325AC1">
    <w:pPr>
      <w:pStyle w:val="Header"/>
    </w:pPr>
  </w:p>
</w:hdr>
</file>

<file path=word/intelligence2.xml><?xml version="1.0" encoding="utf-8"?>
<int2:intelligence xmlns:int2="http://schemas.microsoft.com/office/intelligence/2020/intelligence">
  <int2:observations>
    <int2:textHash int2:hashCode="aG+z44WpgrTp0l" int2:id="lYfNCUg7">
      <int2:state int2:type="AugLoop_Text_Critique" int2:value="Rejected"/>
    </int2:textHash>
    <int2:textHash int2:hashCode="31YMmaecpD39sM" int2:id="UcTISGrI">
      <int2:state int2:type="AugLoop_Text_Critique" int2:value="Rejected"/>
    </int2:textHash>
    <int2:textHash int2:hashCode="F5meySrj0IR3eS" int2:id="BchHuZeN">
      <int2:state int2:type="AugLoop_Text_Critique" int2:value="Rejected"/>
    </int2:textHash>
    <int2:bookmark int2:bookmarkName="_Int_jMkd6UsN" int2:invalidationBookmarkName="" int2:hashCode="ZdGjZKcdQXLN1H" int2:id="PhUXJfe3">
      <int2:state int2:type="AugLoop_Text_Critique" int2:value="Rejected"/>
    </int2:bookmark>
    <int2:bookmark int2:bookmarkName="_Int_qvvvlLBz" int2:invalidationBookmarkName="" int2:hashCode="lerBmut+plS8pw" int2:id="CVqadofv">
      <int2:state int2:type="AugLoop_Text_Critique" int2:value="Rejected"/>
    </int2:bookmark>
    <int2:bookmark int2:bookmarkName="_Int_383dUTzx" int2:invalidationBookmarkName="" int2:hashCode="3nlXgCuc8qegBj" int2:id="gxnSafh2">
      <int2:state int2:type="AugLoop_Text_Critique" int2:value="Rejected"/>
    </int2:bookmark>
    <int2:bookmark int2:bookmarkName="_Int_YqhVWBkC" int2:invalidationBookmarkName="" int2:hashCode="rPLsmUmd/BHS1R" int2:id="wKeNhDPO">
      <int2:state int2:type="AugLoop_Text_Critique" int2:value="Rejected"/>
    </int2:bookmark>
  </int2:observations>
  <int2:intelligenceSettings/>
</int2:intelligence>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112095"/>
    <w:multiLevelType w:val="multilevel"/>
    <w:tmpl w:val="5AA86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389299CD"/>
    <w:multiLevelType w:val="hybridMultilevel"/>
    <w:tmpl w:val="220C7216"/>
    <w:lvl w:ilvl="0" w:tplc="10EA5F8E">
      <w:start w:val="1"/>
      <w:numFmt w:val="decimal"/>
      <w:lvlText w:val="%1."/>
      <w:lvlJc w:val="left"/>
      <w:pPr>
        <w:ind w:left="720" w:hanging="360"/>
      </w:pPr>
    </w:lvl>
    <w:lvl w:ilvl="1" w:tplc="39A01932">
      <w:start w:val="1"/>
      <w:numFmt w:val="bullet"/>
      <w:lvlText w:val="o"/>
      <w:lvlJc w:val="left"/>
      <w:pPr>
        <w:ind w:left="1440" w:hanging="360"/>
      </w:pPr>
      <w:rPr>
        <w:rFonts w:ascii="Courier New" w:hAnsi="Courier New" w:hint="default"/>
      </w:rPr>
    </w:lvl>
    <w:lvl w:ilvl="2" w:tplc="F0C2F76C">
      <w:start w:val="1"/>
      <w:numFmt w:val="bullet"/>
      <w:lvlText w:val=""/>
      <w:lvlJc w:val="left"/>
      <w:pPr>
        <w:ind w:left="2160" w:hanging="360"/>
      </w:pPr>
      <w:rPr>
        <w:rFonts w:ascii="Wingdings" w:hAnsi="Wingdings" w:hint="default"/>
      </w:rPr>
    </w:lvl>
    <w:lvl w:ilvl="3" w:tplc="A4E6AAD6">
      <w:start w:val="1"/>
      <w:numFmt w:val="bullet"/>
      <w:lvlText w:val=""/>
      <w:lvlJc w:val="left"/>
      <w:pPr>
        <w:ind w:left="2880" w:hanging="360"/>
      </w:pPr>
      <w:rPr>
        <w:rFonts w:ascii="Symbol" w:hAnsi="Symbol" w:hint="default"/>
      </w:rPr>
    </w:lvl>
    <w:lvl w:ilvl="4" w:tplc="5B0C4804">
      <w:start w:val="1"/>
      <w:numFmt w:val="bullet"/>
      <w:lvlText w:val="o"/>
      <w:lvlJc w:val="left"/>
      <w:pPr>
        <w:ind w:left="3600" w:hanging="360"/>
      </w:pPr>
      <w:rPr>
        <w:rFonts w:ascii="Courier New" w:hAnsi="Courier New" w:hint="default"/>
      </w:rPr>
    </w:lvl>
    <w:lvl w:ilvl="5" w:tplc="45705B64">
      <w:start w:val="1"/>
      <w:numFmt w:val="bullet"/>
      <w:lvlText w:val=""/>
      <w:lvlJc w:val="left"/>
      <w:pPr>
        <w:ind w:left="4320" w:hanging="360"/>
      </w:pPr>
      <w:rPr>
        <w:rFonts w:ascii="Wingdings" w:hAnsi="Wingdings" w:hint="default"/>
      </w:rPr>
    </w:lvl>
    <w:lvl w:ilvl="6" w:tplc="81DA1AE2">
      <w:start w:val="1"/>
      <w:numFmt w:val="bullet"/>
      <w:lvlText w:val=""/>
      <w:lvlJc w:val="left"/>
      <w:pPr>
        <w:ind w:left="5040" w:hanging="360"/>
      </w:pPr>
      <w:rPr>
        <w:rFonts w:ascii="Symbol" w:hAnsi="Symbol" w:hint="default"/>
      </w:rPr>
    </w:lvl>
    <w:lvl w:ilvl="7" w:tplc="DA6859CC">
      <w:start w:val="1"/>
      <w:numFmt w:val="bullet"/>
      <w:lvlText w:val="o"/>
      <w:lvlJc w:val="left"/>
      <w:pPr>
        <w:ind w:left="5760" w:hanging="360"/>
      </w:pPr>
      <w:rPr>
        <w:rFonts w:ascii="Courier New" w:hAnsi="Courier New" w:hint="default"/>
      </w:rPr>
    </w:lvl>
    <w:lvl w:ilvl="8" w:tplc="4E826106">
      <w:start w:val="1"/>
      <w:numFmt w:val="bullet"/>
      <w:lvlText w:val=""/>
      <w:lvlJc w:val="left"/>
      <w:pPr>
        <w:ind w:left="6480" w:hanging="360"/>
      </w:pPr>
      <w:rPr>
        <w:rFonts w:ascii="Wingdings" w:hAnsi="Wingdings" w:hint="default"/>
      </w:rPr>
    </w:lvl>
  </w:abstractNum>
  <w:abstractNum w:abstractNumId="2">
    <w:nsid w:val="3C7D43C3"/>
    <w:multiLevelType w:val="multilevel"/>
    <w:tmpl w:val="9F2E1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69FD49F4"/>
    <w:multiLevelType w:val="multilevel"/>
    <w:tmpl w:val="A77AA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3"/>
  </w:num>
  <w:num w:numId="3">
    <w:abstractNumId w:val="2"/>
  </w:num>
  <w:num w:numId="4">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1E6E8A1"/>
    <w:rsid w:val="0010144F"/>
    <w:rsid w:val="001633D0"/>
    <w:rsid w:val="00181AAF"/>
    <w:rsid w:val="001C13EA"/>
    <w:rsid w:val="00237F73"/>
    <w:rsid w:val="002D5036"/>
    <w:rsid w:val="002F6ADC"/>
    <w:rsid w:val="00325AC1"/>
    <w:rsid w:val="003AFBBA"/>
    <w:rsid w:val="00422B34"/>
    <w:rsid w:val="00483465"/>
    <w:rsid w:val="00485235"/>
    <w:rsid w:val="0053052A"/>
    <w:rsid w:val="0057063F"/>
    <w:rsid w:val="006E7F64"/>
    <w:rsid w:val="007A6113"/>
    <w:rsid w:val="007E43D1"/>
    <w:rsid w:val="007F7E85"/>
    <w:rsid w:val="00801718"/>
    <w:rsid w:val="00970BB4"/>
    <w:rsid w:val="00992ADF"/>
    <w:rsid w:val="00A078C4"/>
    <w:rsid w:val="00AD490A"/>
    <w:rsid w:val="00B5204B"/>
    <w:rsid w:val="00D0721E"/>
    <w:rsid w:val="00E6418D"/>
    <w:rsid w:val="00E81F37"/>
    <w:rsid w:val="00F05835"/>
    <w:rsid w:val="00FC4413"/>
    <w:rsid w:val="01BBD7CE"/>
    <w:rsid w:val="01DBB568"/>
    <w:rsid w:val="042B200D"/>
    <w:rsid w:val="0436025E"/>
    <w:rsid w:val="062B43A6"/>
    <w:rsid w:val="065B8017"/>
    <w:rsid w:val="0794DE15"/>
    <w:rsid w:val="080C3278"/>
    <w:rsid w:val="0871AC59"/>
    <w:rsid w:val="08C5454F"/>
    <w:rsid w:val="094E48FB"/>
    <w:rsid w:val="0C911005"/>
    <w:rsid w:val="0CF0542C"/>
    <w:rsid w:val="0D2BF342"/>
    <w:rsid w:val="0F240B4D"/>
    <w:rsid w:val="0FC0A12F"/>
    <w:rsid w:val="0FD80093"/>
    <w:rsid w:val="10DC7A90"/>
    <w:rsid w:val="1119FE51"/>
    <w:rsid w:val="11E6E8A1"/>
    <w:rsid w:val="12E797AB"/>
    <w:rsid w:val="14EFC91A"/>
    <w:rsid w:val="15DFBF0B"/>
    <w:rsid w:val="15F815FF"/>
    <w:rsid w:val="17539747"/>
    <w:rsid w:val="17760501"/>
    <w:rsid w:val="182BE246"/>
    <w:rsid w:val="18311CA2"/>
    <w:rsid w:val="1873F2CD"/>
    <w:rsid w:val="18F70E8C"/>
    <w:rsid w:val="195E7B19"/>
    <w:rsid w:val="1B32E41D"/>
    <w:rsid w:val="1C18F5E9"/>
    <w:rsid w:val="1C9DACDE"/>
    <w:rsid w:val="1CDE13E1"/>
    <w:rsid w:val="1EC2BDCD"/>
    <w:rsid w:val="1ED1CE68"/>
    <w:rsid w:val="208CD991"/>
    <w:rsid w:val="211D6DD9"/>
    <w:rsid w:val="23B6CFF3"/>
    <w:rsid w:val="23CD57CE"/>
    <w:rsid w:val="23FB3E0D"/>
    <w:rsid w:val="24A11F0A"/>
    <w:rsid w:val="270E4542"/>
    <w:rsid w:val="27242F71"/>
    <w:rsid w:val="273DB988"/>
    <w:rsid w:val="27503E6E"/>
    <w:rsid w:val="27A374B9"/>
    <w:rsid w:val="287DDBA5"/>
    <w:rsid w:val="2902D640"/>
    <w:rsid w:val="2904CAF4"/>
    <w:rsid w:val="296C92AF"/>
    <w:rsid w:val="29AFA4A1"/>
    <w:rsid w:val="2AC0ECF1"/>
    <w:rsid w:val="2B0D5F5B"/>
    <w:rsid w:val="2BBBB268"/>
    <w:rsid w:val="2C2B96C8"/>
    <w:rsid w:val="2E1962CD"/>
    <w:rsid w:val="2E4BE85A"/>
    <w:rsid w:val="2E67F831"/>
    <w:rsid w:val="2FF3DE23"/>
    <w:rsid w:val="303AAA54"/>
    <w:rsid w:val="310CD72C"/>
    <w:rsid w:val="32527CDB"/>
    <w:rsid w:val="325EACD4"/>
    <w:rsid w:val="3268A057"/>
    <w:rsid w:val="34B85D5C"/>
    <w:rsid w:val="35960934"/>
    <w:rsid w:val="36695D47"/>
    <w:rsid w:val="370DFE37"/>
    <w:rsid w:val="38372FB1"/>
    <w:rsid w:val="3A83855A"/>
    <w:rsid w:val="3AC24E94"/>
    <w:rsid w:val="3AF3B635"/>
    <w:rsid w:val="3B1A8152"/>
    <w:rsid w:val="3C15C33C"/>
    <w:rsid w:val="3C2B8F6F"/>
    <w:rsid w:val="3C8BC54A"/>
    <w:rsid w:val="3D9B0C4E"/>
    <w:rsid w:val="3EEFDE2F"/>
    <w:rsid w:val="3EF8C8B4"/>
    <w:rsid w:val="4154C729"/>
    <w:rsid w:val="42C29184"/>
    <w:rsid w:val="4379AC0C"/>
    <w:rsid w:val="438713C4"/>
    <w:rsid w:val="43FB1B57"/>
    <w:rsid w:val="447BEB9E"/>
    <w:rsid w:val="458AEE01"/>
    <w:rsid w:val="459392C8"/>
    <w:rsid w:val="4605BA93"/>
    <w:rsid w:val="48406787"/>
    <w:rsid w:val="485959A3"/>
    <w:rsid w:val="4926AA06"/>
    <w:rsid w:val="492C7F76"/>
    <w:rsid w:val="49346AB8"/>
    <w:rsid w:val="49D9C1E5"/>
    <w:rsid w:val="4A5D9F37"/>
    <w:rsid w:val="4AA22F98"/>
    <w:rsid w:val="4BE973F0"/>
    <w:rsid w:val="4D4EDAFD"/>
    <w:rsid w:val="4DACB9BB"/>
    <w:rsid w:val="4DD257E7"/>
    <w:rsid w:val="4DEDF823"/>
    <w:rsid w:val="4E6F6BD1"/>
    <w:rsid w:val="4E834768"/>
    <w:rsid w:val="51666881"/>
    <w:rsid w:val="537F2B1A"/>
    <w:rsid w:val="549A9736"/>
    <w:rsid w:val="551988C8"/>
    <w:rsid w:val="558E1273"/>
    <w:rsid w:val="55DD982F"/>
    <w:rsid w:val="56D9D8F1"/>
    <w:rsid w:val="5765CA57"/>
    <w:rsid w:val="58D4D58C"/>
    <w:rsid w:val="5A3DFECB"/>
    <w:rsid w:val="5A622157"/>
    <w:rsid w:val="5AAE8132"/>
    <w:rsid w:val="5B3B4F5F"/>
    <w:rsid w:val="5B73085D"/>
    <w:rsid w:val="5C7B895E"/>
    <w:rsid w:val="5CA7552A"/>
    <w:rsid w:val="5CB73734"/>
    <w:rsid w:val="5CCF154D"/>
    <w:rsid w:val="5D3A0C7E"/>
    <w:rsid w:val="5DCEDD67"/>
    <w:rsid w:val="5E788FAD"/>
    <w:rsid w:val="5EAA6031"/>
    <w:rsid w:val="5EC8B6BB"/>
    <w:rsid w:val="5FEE57ED"/>
    <w:rsid w:val="600808B7"/>
    <w:rsid w:val="60629C7D"/>
    <w:rsid w:val="610127A1"/>
    <w:rsid w:val="63135CCA"/>
    <w:rsid w:val="6479574E"/>
    <w:rsid w:val="65031BD3"/>
    <w:rsid w:val="6741BAB6"/>
    <w:rsid w:val="694463C1"/>
    <w:rsid w:val="6992FCA6"/>
    <w:rsid w:val="69C2AEB2"/>
    <w:rsid w:val="69C77537"/>
    <w:rsid w:val="6A12F283"/>
    <w:rsid w:val="6A42EDFD"/>
    <w:rsid w:val="6BEAC512"/>
    <w:rsid w:val="6C941EA3"/>
    <w:rsid w:val="6E7BC91A"/>
    <w:rsid w:val="6ED13DC7"/>
    <w:rsid w:val="6F98EBBE"/>
    <w:rsid w:val="6FDBAE61"/>
    <w:rsid w:val="71FC02CD"/>
    <w:rsid w:val="726AADD8"/>
    <w:rsid w:val="73053BA5"/>
    <w:rsid w:val="73151C5A"/>
    <w:rsid w:val="737B0EDF"/>
    <w:rsid w:val="73C58F95"/>
    <w:rsid w:val="759D4B9D"/>
    <w:rsid w:val="764BB5C9"/>
    <w:rsid w:val="7725BED9"/>
    <w:rsid w:val="7793C487"/>
    <w:rsid w:val="78B0B3A1"/>
    <w:rsid w:val="7A2954F0"/>
    <w:rsid w:val="7A96CA20"/>
    <w:rsid w:val="7AFA5B4E"/>
    <w:rsid w:val="7B37F3AC"/>
    <w:rsid w:val="7D1BC4F3"/>
    <w:rsid w:val="7D699299"/>
    <w:rsid w:val="7D9008D4"/>
    <w:rsid w:val="7D9F27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E6E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nhideWhenUsed/>
    <w:rPr>
      <w:color w:val="467886" w:themeColor="hyperlink"/>
      <w:u w:val="single"/>
    </w:rPr>
  </w:style>
  <w:style w:type="paragraph" w:styleId="ListParagraph">
    <w:name w:val="List Paragraph"/>
    <w:basedOn w:val="Normal"/>
    <w:uiPriority w:val="34"/>
    <w:qFormat/>
    <w:pPr>
      <w:ind w:left="720"/>
      <w:contextualSpacing/>
    </w:pPr>
  </w:style>
  <w:style w:type="table" w:styleId="TableGrid">
    <w:name w:val="Table Grid"/>
    <w:basedOn w:val="TableNormal"/>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0583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5835"/>
    <w:rPr>
      <w:rFonts w:ascii="Tahoma" w:hAnsi="Tahoma" w:cs="Tahoma"/>
      <w:sz w:val="16"/>
      <w:szCs w:val="16"/>
    </w:rPr>
  </w:style>
  <w:style w:type="paragraph" w:customStyle="1" w:styleId="paragraph">
    <w:name w:val="paragraph"/>
    <w:basedOn w:val="Normal"/>
    <w:rsid w:val="00237F73"/>
    <w:pPr>
      <w:spacing w:before="100" w:beforeAutospacing="1" w:after="100" w:afterAutospacing="1" w:line="240" w:lineRule="auto"/>
    </w:pPr>
    <w:rPr>
      <w:rFonts w:ascii="Times New Roman" w:eastAsia="Times New Roman" w:hAnsi="Times New Roman" w:cs="Times New Roman"/>
      <w:lang w:val="en-GB" w:eastAsia="en-GB"/>
    </w:rPr>
  </w:style>
  <w:style w:type="character" w:customStyle="1" w:styleId="eop">
    <w:name w:val="eop"/>
    <w:basedOn w:val="DefaultParagraphFont"/>
    <w:rsid w:val="00237F73"/>
  </w:style>
  <w:style w:type="character" w:customStyle="1" w:styleId="normaltextrun">
    <w:name w:val="normaltextrun"/>
    <w:basedOn w:val="DefaultParagraphFont"/>
    <w:rsid w:val="00237F73"/>
  </w:style>
  <w:style w:type="paragraph" w:styleId="BodyText2">
    <w:name w:val="Body Text 2"/>
    <w:basedOn w:val="Normal"/>
    <w:link w:val="BodyText2Char"/>
    <w:uiPriority w:val="99"/>
    <w:rsid w:val="00483465"/>
    <w:pPr>
      <w:spacing w:after="0" w:line="240" w:lineRule="auto"/>
      <w:ind w:left="720" w:hanging="720"/>
    </w:pPr>
    <w:rPr>
      <w:rFonts w:ascii="Times New Roman" w:eastAsia="Times New Roman" w:hAnsi="Times New Roman" w:cs="Times New Roman"/>
      <w:b/>
      <w:bCs/>
      <w:sz w:val="22"/>
      <w:szCs w:val="22"/>
      <w:lang w:val="en-GB" w:eastAsia="en-US"/>
    </w:rPr>
  </w:style>
  <w:style w:type="character" w:customStyle="1" w:styleId="BodyText2Char">
    <w:name w:val="Body Text 2 Char"/>
    <w:basedOn w:val="DefaultParagraphFont"/>
    <w:link w:val="BodyText2"/>
    <w:uiPriority w:val="99"/>
    <w:rsid w:val="00483465"/>
    <w:rPr>
      <w:rFonts w:ascii="Times New Roman" w:eastAsia="Times New Roman" w:hAnsi="Times New Roman" w:cs="Times New Roman"/>
      <w:b/>
      <w:bCs/>
      <w:sz w:val="22"/>
      <w:szCs w:val="22"/>
      <w:lang w:val="en-GB" w:eastAsia="en-US"/>
    </w:rPr>
  </w:style>
  <w:style w:type="paragraph" w:customStyle="1" w:styleId="deannah1">
    <w:name w:val="deannah1"/>
    <w:basedOn w:val="Normal"/>
    <w:uiPriority w:val="99"/>
    <w:rsid w:val="00483465"/>
    <w:pPr>
      <w:keepNext/>
      <w:spacing w:after="240" w:line="240" w:lineRule="auto"/>
    </w:pPr>
    <w:rPr>
      <w:rFonts w:ascii="Times New Roman" w:eastAsia="Times New Roman" w:hAnsi="Times New Roman" w:cs="Times New Roman"/>
      <w:b/>
      <w:bCs/>
      <w:lang w:val="en-GB" w:eastAsia="en-US"/>
    </w:rPr>
  </w:style>
  <w:style w:type="character" w:styleId="FollowedHyperlink">
    <w:name w:val="FollowedHyperlink"/>
    <w:uiPriority w:val="99"/>
    <w:semiHidden/>
    <w:rsid w:val="00483465"/>
    <w:rPr>
      <w:color w:val="800080"/>
      <w:u w:val="single"/>
    </w:rPr>
  </w:style>
  <w:style w:type="paragraph" w:styleId="Header">
    <w:name w:val="header"/>
    <w:basedOn w:val="Normal"/>
    <w:link w:val="HeaderChar"/>
    <w:uiPriority w:val="99"/>
    <w:rsid w:val="00483465"/>
    <w:pPr>
      <w:tabs>
        <w:tab w:val="center" w:pos="4513"/>
        <w:tab w:val="right" w:pos="9026"/>
      </w:tabs>
      <w:spacing w:after="0" w:line="240" w:lineRule="auto"/>
    </w:pPr>
    <w:rPr>
      <w:rFonts w:ascii="Times New Roman" w:eastAsia="Times New Roman" w:hAnsi="Times New Roman" w:cs="Times New Roman"/>
      <w:sz w:val="20"/>
      <w:szCs w:val="20"/>
      <w:lang w:val="en-GB" w:eastAsia="en-US"/>
    </w:rPr>
  </w:style>
  <w:style w:type="character" w:customStyle="1" w:styleId="HeaderChar">
    <w:name w:val="Header Char"/>
    <w:basedOn w:val="DefaultParagraphFont"/>
    <w:link w:val="Header"/>
    <w:uiPriority w:val="99"/>
    <w:rsid w:val="00483465"/>
    <w:rPr>
      <w:rFonts w:ascii="Times New Roman" w:eastAsia="Times New Roman" w:hAnsi="Times New Roman" w:cs="Times New Roman"/>
      <w:sz w:val="20"/>
      <w:szCs w:val="20"/>
      <w:lang w:val="en-GB" w:eastAsia="en-US"/>
    </w:rPr>
  </w:style>
  <w:style w:type="paragraph" w:styleId="Footer">
    <w:name w:val="footer"/>
    <w:basedOn w:val="Normal"/>
    <w:link w:val="FooterChar"/>
    <w:uiPriority w:val="99"/>
    <w:rsid w:val="00483465"/>
    <w:pPr>
      <w:tabs>
        <w:tab w:val="center" w:pos="4513"/>
        <w:tab w:val="right" w:pos="9026"/>
      </w:tabs>
      <w:spacing w:after="0" w:line="240" w:lineRule="auto"/>
    </w:pPr>
    <w:rPr>
      <w:rFonts w:ascii="Times New Roman" w:eastAsia="Times New Roman" w:hAnsi="Times New Roman" w:cs="Times New Roman"/>
      <w:sz w:val="20"/>
      <w:szCs w:val="20"/>
      <w:lang w:val="en-GB" w:eastAsia="en-US"/>
    </w:rPr>
  </w:style>
  <w:style w:type="character" w:customStyle="1" w:styleId="FooterChar">
    <w:name w:val="Footer Char"/>
    <w:basedOn w:val="DefaultParagraphFont"/>
    <w:link w:val="Footer"/>
    <w:uiPriority w:val="99"/>
    <w:rsid w:val="00483465"/>
    <w:rPr>
      <w:rFonts w:ascii="Times New Roman" w:eastAsia="Times New Roman" w:hAnsi="Times New Roman" w:cs="Times New Roman"/>
      <w:sz w:val="20"/>
      <w:szCs w:val="20"/>
      <w:lang w:val="en-GB" w:eastAsia="en-US"/>
    </w:rPr>
  </w:style>
  <w:style w:type="paragraph" w:styleId="NormalWeb">
    <w:name w:val="Normal (Web)"/>
    <w:basedOn w:val="Normal"/>
    <w:uiPriority w:val="99"/>
    <w:rsid w:val="00483465"/>
    <w:pPr>
      <w:spacing w:before="100" w:beforeAutospacing="1" w:after="100" w:afterAutospacing="1" w:line="240" w:lineRule="auto"/>
    </w:pPr>
    <w:rPr>
      <w:rFonts w:ascii="Times New Roman" w:eastAsia="Times New Roman" w:hAnsi="Times New Roman" w:cs="Times New Roman"/>
      <w:lang w:val="en-GB" w:eastAsia="en-GB"/>
    </w:rPr>
  </w:style>
  <w:style w:type="character" w:customStyle="1" w:styleId="Hyperlink1">
    <w:name w:val="Hyperlink1"/>
    <w:uiPriority w:val="99"/>
    <w:rsid w:val="00483465"/>
    <w:rPr>
      <w:color w:val="535353"/>
      <w:u w:val="single"/>
      <w:effect w:val="none"/>
    </w:rPr>
  </w:style>
  <w:style w:type="paragraph" w:customStyle="1" w:styleId="NormalWeb1">
    <w:name w:val="Normal (Web)1"/>
    <w:basedOn w:val="Normal"/>
    <w:uiPriority w:val="99"/>
    <w:rsid w:val="00483465"/>
    <w:pPr>
      <w:spacing w:before="100" w:beforeAutospacing="1" w:after="300" w:line="240" w:lineRule="auto"/>
    </w:pPr>
    <w:rPr>
      <w:rFonts w:ascii="Times New Roman" w:eastAsia="Times New Roman" w:hAnsi="Times New Roman" w:cs="Times New Roman"/>
      <w:lang w:val="en-GB" w:eastAsia="en-GB"/>
    </w:rPr>
  </w:style>
  <w:style w:type="character" w:styleId="PageNumber">
    <w:name w:val="page number"/>
    <w:basedOn w:val="DefaultParagraphFont"/>
    <w:uiPriority w:val="99"/>
    <w:rsid w:val="00483465"/>
  </w:style>
  <w:style w:type="character" w:styleId="CommentReference">
    <w:name w:val="annotation reference"/>
    <w:uiPriority w:val="99"/>
    <w:semiHidden/>
    <w:unhideWhenUsed/>
    <w:rsid w:val="00483465"/>
    <w:rPr>
      <w:sz w:val="16"/>
      <w:szCs w:val="16"/>
    </w:rPr>
  </w:style>
  <w:style w:type="paragraph" w:styleId="CommentText">
    <w:name w:val="annotation text"/>
    <w:basedOn w:val="Normal"/>
    <w:link w:val="CommentTextChar"/>
    <w:uiPriority w:val="99"/>
    <w:semiHidden/>
    <w:unhideWhenUsed/>
    <w:rsid w:val="00483465"/>
    <w:pPr>
      <w:spacing w:after="0" w:line="240" w:lineRule="auto"/>
    </w:pPr>
    <w:rPr>
      <w:rFonts w:ascii="Times New Roman" w:eastAsia="Times New Roman" w:hAnsi="Times New Roman" w:cs="Times New Roman"/>
      <w:sz w:val="20"/>
      <w:szCs w:val="20"/>
      <w:lang w:val="en-GB" w:eastAsia="en-US"/>
    </w:rPr>
  </w:style>
  <w:style w:type="character" w:customStyle="1" w:styleId="CommentTextChar">
    <w:name w:val="Comment Text Char"/>
    <w:basedOn w:val="DefaultParagraphFont"/>
    <w:link w:val="CommentText"/>
    <w:uiPriority w:val="99"/>
    <w:semiHidden/>
    <w:rsid w:val="00483465"/>
    <w:rPr>
      <w:rFonts w:ascii="Times New Roman" w:eastAsia="Times New Roman" w:hAnsi="Times New Roman" w:cs="Times New Roman"/>
      <w:sz w:val="20"/>
      <w:szCs w:val="20"/>
      <w:lang w:val="en-GB" w:eastAsia="en-US"/>
    </w:rPr>
  </w:style>
  <w:style w:type="paragraph" w:styleId="CommentSubject">
    <w:name w:val="annotation subject"/>
    <w:basedOn w:val="CommentText"/>
    <w:next w:val="CommentText"/>
    <w:link w:val="CommentSubjectChar"/>
    <w:uiPriority w:val="99"/>
    <w:semiHidden/>
    <w:unhideWhenUsed/>
    <w:rsid w:val="00483465"/>
    <w:rPr>
      <w:b/>
      <w:bCs/>
    </w:rPr>
  </w:style>
  <w:style w:type="character" w:customStyle="1" w:styleId="CommentSubjectChar">
    <w:name w:val="Comment Subject Char"/>
    <w:basedOn w:val="CommentTextChar"/>
    <w:link w:val="CommentSubject"/>
    <w:uiPriority w:val="99"/>
    <w:semiHidden/>
    <w:rsid w:val="00483465"/>
    <w:rPr>
      <w:rFonts w:ascii="Times New Roman" w:eastAsia="Times New Roman" w:hAnsi="Times New Roman" w:cs="Times New Roman"/>
      <w:b/>
      <w:bCs/>
      <w:sz w:val="20"/>
      <w:szCs w:val="20"/>
      <w:lang w:val="en-GB" w:eastAsia="en-US"/>
    </w:rPr>
  </w:style>
  <w:style w:type="character" w:styleId="Strong">
    <w:name w:val="Strong"/>
    <w:uiPriority w:val="22"/>
    <w:qFormat/>
    <w:rsid w:val="00483465"/>
    <w:rPr>
      <w:b/>
      <w:bCs/>
    </w:rPr>
  </w:style>
  <w:style w:type="character" w:customStyle="1" w:styleId="UnresolvedMention">
    <w:name w:val="Unresolved Mention"/>
    <w:basedOn w:val="DefaultParagraphFont"/>
    <w:uiPriority w:val="99"/>
    <w:semiHidden/>
    <w:unhideWhenUsed/>
    <w:rsid w:val="00483465"/>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nhideWhenUsed/>
    <w:rPr>
      <w:color w:val="467886" w:themeColor="hyperlink"/>
      <w:u w:val="single"/>
    </w:rPr>
  </w:style>
  <w:style w:type="paragraph" w:styleId="ListParagraph">
    <w:name w:val="List Paragraph"/>
    <w:basedOn w:val="Normal"/>
    <w:uiPriority w:val="34"/>
    <w:qFormat/>
    <w:pPr>
      <w:ind w:left="720"/>
      <w:contextualSpacing/>
    </w:pPr>
  </w:style>
  <w:style w:type="table" w:styleId="TableGrid">
    <w:name w:val="Table Grid"/>
    <w:basedOn w:val="TableNormal"/>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0583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5835"/>
    <w:rPr>
      <w:rFonts w:ascii="Tahoma" w:hAnsi="Tahoma" w:cs="Tahoma"/>
      <w:sz w:val="16"/>
      <w:szCs w:val="16"/>
    </w:rPr>
  </w:style>
  <w:style w:type="paragraph" w:customStyle="1" w:styleId="paragraph">
    <w:name w:val="paragraph"/>
    <w:basedOn w:val="Normal"/>
    <w:rsid w:val="00237F73"/>
    <w:pPr>
      <w:spacing w:before="100" w:beforeAutospacing="1" w:after="100" w:afterAutospacing="1" w:line="240" w:lineRule="auto"/>
    </w:pPr>
    <w:rPr>
      <w:rFonts w:ascii="Times New Roman" w:eastAsia="Times New Roman" w:hAnsi="Times New Roman" w:cs="Times New Roman"/>
      <w:lang w:val="en-GB" w:eastAsia="en-GB"/>
    </w:rPr>
  </w:style>
  <w:style w:type="character" w:customStyle="1" w:styleId="eop">
    <w:name w:val="eop"/>
    <w:basedOn w:val="DefaultParagraphFont"/>
    <w:rsid w:val="00237F73"/>
  </w:style>
  <w:style w:type="character" w:customStyle="1" w:styleId="normaltextrun">
    <w:name w:val="normaltextrun"/>
    <w:basedOn w:val="DefaultParagraphFont"/>
    <w:rsid w:val="00237F73"/>
  </w:style>
  <w:style w:type="paragraph" w:styleId="BodyText2">
    <w:name w:val="Body Text 2"/>
    <w:basedOn w:val="Normal"/>
    <w:link w:val="BodyText2Char"/>
    <w:uiPriority w:val="99"/>
    <w:rsid w:val="00483465"/>
    <w:pPr>
      <w:spacing w:after="0" w:line="240" w:lineRule="auto"/>
      <w:ind w:left="720" w:hanging="720"/>
    </w:pPr>
    <w:rPr>
      <w:rFonts w:ascii="Times New Roman" w:eastAsia="Times New Roman" w:hAnsi="Times New Roman" w:cs="Times New Roman"/>
      <w:b/>
      <w:bCs/>
      <w:sz w:val="22"/>
      <w:szCs w:val="22"/>
      <w:lang w:val="en-GB" w:eastAsia="en-US"/>
    </w:rPr>
  </w:style>
  <w:style w:type="character" w:customStyle="1" w:styleId="BodyText2Char">
    <w:name w:val="Body Text 2 Char"/>
    <w:basedOn w:val="DefaultParagraphFont"/>
    <w:link w:val="BodyText2"/>
    <w:uiPriority w:val="99"/>
    <w:rsid w:val="00483465"/>
    <w:rPr>
      <w:rFonts w:ascii="Times New Roman" w:eastAsia="Times New Roman" w:hAnsi="Times New Roman" w:cs="Times New Roman"/>
      <w:b/>
      <w:bCs/>
      <w:sz w:val="22"/>
      <w:szCs w:val="22"/>
      <w:lang w:val="en-GB" w:eastAsia="en-US"/>
    </w:rPr>
  </w:style>
  <w:style w:type="paragraph" w:customStyle="1" w:styleId="deannah1">
    <w:name w:val="deannah1"/>
    <w:basedOn w:val="Normal"/>
    <w:uiPriority w:val="99"/>
    <w:rsid w:val="00483465"/>
    <w:pPr>
      <w:keepNext/>
      <w:spacing w:after="240" w:line="240" w:lineRule="auto"/>
    </w:pPr>
    <w:rPr>
      <w:rFonts w:ascii="Times New Roman" w:eastAsia="Times New Roman" w:hAnsi="Times New Roman" w:cs="Times New Roman"/>
      <w:b/>
      <w:bCs/>
      <w:lang w:val="en-GB" w:eastAsia="en-US"/>
    </w:rPr>
  </w:style>
  <w:style w:type="character" w:styleId="FollowedHyperlink">
    <w:name w:val="FollowedHyperlink"/>
    <w:uiPriority w:val="99"/>
    <w:semiHidden/>
    <w:rsid w:val="00483465"/>
    <w:rPr>
      <w:color w:val="800080"/>
      <w:u w:val="single"/>
    </w:rPr>
  </w:style>
  <w:style w:type="paragraph" w:styleId="Header">
    <w:name w:val="header"/>
    <w:basedOn w:val="Normal"/>
    <w:link w:val="HeaderChar"/>
    <w:uiPriority w:val="99"/>
    <w:rsid w:val="00483465"/>
    <w:pPr>
      <w:tabs>
        <w:tab w:val="center" w:pos="4513"/>
        <w:tab w:val="right" w:pos="9026"/>
      </w:tabs>
      <w:spacing w:after="0" w:line="240" w:lineRule="auto"/>
    </w:pPr>
    <w:rPr>
      <w:rFonts w:ascii="Times New Roman" w:eastAsia="Times New Roman" w:hAnsi="Times New Roman" w:cs="Times New Roman"/>
      <w:sz w:val="20"/>
      <w:szCs w:val="20"/>
      <w:lang w:val="en-GB" w:eastAsia="en-US"/>
    </w:rPr>
  </w:style>
  <w:style w:type="character" w:customStyle="1" w:styleId="HeaderChar">
    <w:name w:val="Header Char"/>
    <w:basedOn w:val="DefaultParagraphFont"/>
    <w:link w:val="Header"/>
    <w:uiPriority w:val="99"/>
    <w:rsid w:val="00483465"/>
    <w:rPr>
      <w:rFonts w:ascii="Times New Roman" w:eastAsia="Times New Roman" w:hAnsi="Times New Roman" w:cs="Times New Roman"/>
      <w:sz w:val="20"/>
      <w:szCs w:val="20"/>
      <w:lang w:val="en-GB" w:eastAsia="en-US"/>
    </w:rPr>
  </w:style>
  <w:style w:type="paragraph" w:styleId="Footer">
    <w:name w:val="footer"/>
    <w:basedOn w:val="Normal"/>
    <w:link w:val="FooterChar"/>
    <w:uiPriority w:val="99"/>
    <w:rsid w:val="00483465"/>
    <w:pPr>
      <w:tabs>
        <w:tab w:val="center" w:pos="4513"/>
        <w:tab w:val="right" w:pos="9026"/>
      </w:tabs>
      <w:spacing w:after="0" w:line="240" w:lineRule="auto"/>
    </w:pPr>
    <w:rPr>
      <w:rFonts w:ascii="Times New Roman" w:eastAsia="Times New Roman" w:hAnsi="Times New Roman" w:cs="Times New Roman"/>
      <w:sz w:val="20"/>
      <w:szCs w:val="20"/>
      <w:lang w:val="en-GB" w:eastAsia="en-US"/>
    </w:rPr>
  </w:style>
  <w:style w:type="character" w:customStyle="1" w:styleId="FooterChar">
    <w:name w:val="Footer Char"/>
    <w:basedOn w:val="DefaultParagraphFont"/>
    <w:link w:val="Footer"/>
    <w:uiPriority w:val="99"/>
    <w:rsid w:val="00483465"/>
    <w:rPr>
      <w:rFonts w:ascii="Times New Roman" w:eastAsia="Times New Roman" w:hAnsi="Times New Roman" w:cs="Times New Roman"/>
      <w:sz w:val="20"/>
      <w:szCs w:val="20"/>
      <w:lang w:val="en-GB" w:eastAsia="en-US"/>
    </w:rPr>
  </w:style>
  <w:style w:type="paragraph" w:styleId="NormalWeb">
    <w:name w:val="Normal (Web)"/>
    <w:basedOn w:val="Normal"/>
    <w:uiPriority w:val="99"/>
    <w:rsid w:val="00483465"/>
    <w:pPr>
      <w:spacing w:before="100" w:beforeAutospacing="1" w:after="100" w:afterAutospacing="1" w:line="240" w:lineRule="auto"/>
    </w:pPr>
    <w:rPr>
      <w:rFonts w:ascii="Times New Roman" w:eastAsia="Times New Roman" w:hAnsi="Times New Roman" w:cs="Times New Roman"/>
      <w:lang w:val="en-GB" w:eastAsia="en-GB"/>
    </w:rPr>
  </w:style>
  <w:style w:type="character" w:customStyle="1" w:styleId="Hyperlink1">
    <w:name w:val="Hyperlink1"/>
    <w:uiPriority w:val="99"/>
    <w:rsid w:val="00483465"/>
    <w:rPr>
      <w:color w:val="535353"/>
      <w:u w:val="single"/>
      <w:effect w:val="none"/>
    </w:rPr>
  </w:style>
  <w:style w:type="paragraph" w:customStyle="1" w:styleId="NormalWeb1">
    <w:name w:val="Normal (Web)1"/>
    <w:basedOn w:val="Normal"/>
    <w:uiPriority w:val="99"/>
    <w:rsid w:val="00483465"/>
    <w:pPr>
      <w:spacing w:before="100" w:beforeAutospacing="1" w:after="300" w:line="240" w:lineRule="auto"/>
    </w:pPr>
    <w:rPr>
      <w:rFonts w:ascii="Times New Roman" w:eastAsia="Times New Roman" w:hAnsi="Times New Roman" w:cs="Times New Roman"/>
      <w:lang w:val="en-GB" w:eastAsia="en-GB"/>
    </w:rPr>
  </w:style>
  <w:style w:type="character" w:styleId="PageNumber">
    <w:name w:val="page number"/>
    <w:basedOn w:val="DefaultParagraphFont"/>
    <w:uiPriority w:val="99"/>
    <w:rsid w:val="00483465"/>
  </w:style>
  <w:style w:type="character" w:styleId="CommentReference">
    <w:name w:val="annotation reference"/>
    <w:uiPriority w:val="99"/>
    <w:semiHidden/>
    <w:unhideWhenUsed/>
    <w:rsid w:val="00483465"/>
    <w:rPr>
      <w:sz w:val="16"/>
      <w:szCs w:val="16"/>
    </w:rPr>
  </w:style>
  <w:style w:type="paragraph" w:styleId="CommentText">
    <w:name w:val="annotation text"/>
    <w:basedOn w:val="Normal"/>
    <w:link w:val="CommentTextChar"/>
    <w:uiPriority w:val="99"/>
    <w:semiHidden/>
    <w:unhideWhenUsed/>
    <w:rsid w:val="00483465"/>
    <w:pPr>
      <w:spacing w:after="0" w:line="240" w:lineRule="auto"/>
    </w:pPr>
    <w:rPr>
      <w:rFonts w:ascii="Times New Roman" w:eastAsia="Times New Roman" w:hAnsi="Times New Roman" w:cs="Times New Roman"/>
      <w:sz w:val="20"/>
      <w:szCs w:val="20"/>
      <w:lang w:val="en-GB" w:eastAsia="en-US"/>
    </w:rPr>
  </w:style>
  <w:style w:type="character" w:customStyle="1" w:styleId="CommentTextChar">
    <w:name w:val="Comment Text Char"/>
    <w:basedOn w:val="DefaultParagraphFont"/>
    <w:link w:val="CommentText"/>
    <w:uiPriority w:val="99"/>
    <w:semiHidden/>
    <w:rsid w:val="00483465"/>
    <w:rPr>
      <w:rFonts w:ascii="Times New Roman" w:eastAsia="Times New Roman" w:hAnsi="Times New Roman" w:cs="Times New Roman"/>
      <w:sz w:val="20"/>
      <w:szCs w:val="20"/>
      <w:lang w:val="en-GB" w:eastAsia="en-US"/>
    </w:rPr>
  </w:style>
  <w:style w:type="paragraph" w:styleId="CommentSubject">
    <w:name w:val="annotation subject"/>
    <w:basedOn w:val="CommentText"/>
    <w:next w:val="CommentText"/>
    <w:link w:val="CommentSubjectChar"/>
    <w:uiPriority w:val="99"/>
    <w:semiHidden/>
    <w:unhideWhenUsed/>
    <w:rsid w:val="00483465"/>
    <w:rPr>
      <w:b/>
      <w:bCs/>
    </w:rPr>
  </w:style>
  <w:style w:type="character" w:customStyle="1" w:styleId="CommentSubjectChar">
    <w:name w:val="Comment Subject Char"/>
    <w:basedOn w:val="CommentTextChar"/>
    <w:link w:val="CommentSubject"/>
    <w:uiPriority w:val="99"/>
    <w:semiHidden/>
    <w:rsid w:val="00483465"/>
    <w:rPr>
      <w:rFonts w:ascii="Times New Roman" w:eastAsia="Times New Roman" w:hAnsi="Times New Roman" w:cs="Times New Roman"/>
      <w:b/>
      <w:bCs/>
      <w:sz w:val="20"/>
      <w:szCs w:val="20"/>
      <w:lang w:val="en-GB" w:eastAsia="en-US"/>
    </w:rPr>
  </w:style>
  <w:style w:type="character" w:styleId="Strong">
    <w:name w:val="Strong"/>
    <w:uiPriority w:val="22"/>
    <w:qFormat/>
    <w:rsid w:val="00483465"/>
    <w:rPr>
      <w:b/>
      <w:bCs/>
    </w:rPr>
  </w:style>
  <w:style w:type="character" w:customStyle="1" w:styleId="UnresolvedMention">
    <w:name w:val="Unresolved Mention"/>
    <w:basedOn w:val="DefaultParagraphFont"/>
    <w:uiPriority w:val="99"/>
    <w:semiHidden/>
    <w:unhideWhenUsed/>
    <w:rsid w:val="004834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0141975">
      <w:bodyDiv w:val="1"/>
      <w:marLeft w:val="0"/>
      <w:marRight w:val="0"/>
      <w:marTop w:val="0"/>
      <w:marBottom w:val="0"/>
      <w:divBdr>
        <w:top w:val="none" w:sz="0" w:space="0" w:color="auto"/>
        <w:left w:val="none" w:sz="0" w:space="0" w:color="auto"/>
        <w:bottom w:val="none" w:sz="0" w:space="0" w:color="auto"/>
        <w:right w:val="none" w:sz="0" w:space="0" w:color="auto"/>
      </w:divBdr>
      <w:divsChild>
        <w:div w:id="1386638311">
          <w:marLeft w:val="0"/>
          <w:marRight w:val="0"/>
          <w:marTop w:val="0"/>
          <w:marBottom w:val="0"/>
          <w:divBdr>
            <w:top w:val="none" w:sz="0" w:space="0" w:color="auto"/>
            <w:left w:val="none" w:sz="0" w:space="0" w:color="auto"/>
            <w:bottom w:val="none" w:sz="0" w:space="0" w:color="auto"/>
            <w:right w:val="none" w:sz="0" w:space="0" w:color="auto"/>
          </w:divBdr>
        </w:div>
        <w:div w:id="467168420">
          <w:marLeft w:val="0"/>
          <w:marRight w:val="0"/>
          <w:marTop w:val="0"/>
          <w:marBottom w:val="0"/>
          <w:divBdr>
            <w:top w:val="none" w:sz="0" w:space="0" w:color="auto"/>
            <w:left w:val="none" w:sz="0" w:space="0" w:color="auto"/>
            <w:bottom w:val="none" w:sz="0" w:space="0" w:color="auto"/>
            <w:right w:val="none" w:sz="0" w:space="0" w:color="auto"/>
          </w:divBdr>
        </w:div>
        <w:div w:id="712314285">
          <w:marLeft w:val="0"/>
          <w:marRight w:val="0"/>
          <w:marTop w:val="0"/>
          <w:marBottom w:val="0"/>
          <w:divBdr>
            <w:top w:val="none" w:sz="0" w:space="0" w:color="auto"/>
            <w:left w:val="none" w:sz="0" w:space="0" w:color="auto"/>
            <w:bottom w:val="none" w:sz="0" w:space="0" w:color="auto"/>
            <w:right w:val="none" w:sz="0" w:space="0" w:color="auto"/>
          </w:divBdr>
          <w:divsChild>
            <w:div w:id="705906857">
              <w:marLeft w:val="-75"/>
              <w:marRight w:val="0"/>
              <w:marTop w:val="30"/>
              <w:marBottom w:val="30"/>
              <w:divBdr>
                <w:top w:val="none" w:sz="0" w:space="0" w:color="auto"/>
                <w:left w:val="none" w:sz="0" w:space="0" w:color="auto"/>
                <w:bottom w:val="none" w:sz="0" w:space="0" w:color="auto"/>
                <w:right w:val="none" w:sz="0" w:space="0" w:color="auto"/>
              </w:divBdr>
              <w:divsChild>
                <w:div w:id="1133064078">
                  <w:marLeft w:val="0"/>
                  <w:marRight w:val="0"/>
                  <w:marTop w:val="0"/>
                  <w:marBottom w:val="0"/>
                  <w:divBdr>
                    <w:top w:val="none" w:sz="0" w:space="0" w:color="auto"/>
                    <w:left w:val="none" w:sz="0" w:space="0" w:color="auto"/>
                    <w:bottom w:val="none" w:sz="0" w:space="0" w:color="auto"/>
                    <w:right w:val="none" w:sz="0" w:space="0" w:color="auto"/>
                  </w:divBdr>
                  <w:divsChild>
                    <w:div w:id="2143231006">
                      <w:marLeft w:val="0"/>
                      <w:marRight w:val="0"/>
                      <w:marTop w:val="0"/>
                      <w:marBottom w:val="0"/>
                      <w:divBdr>
                        <w:top w:val="none" w:sz="0" w:space="0" w:color="auto"/>
                        <w:left w:val="none" w:sz="0" w:space="0" w:color="auto"/>
                        <w:bottom w:val="none" w:sz="0" w:space="0" w:color="auto"/>
                        <w:right w:val="none" w:sz="0" w:space="0" w:color="auto"/>
                      </w:divBdr>
                    </w:div>
                  </w:divsChild>
                </w:div>
                <w:div w:id="2108690783">
                  <w:marLeft w:val="0"/>
                  <w:marRight w:val="0"/>
                  <w:marTop w:val="0"/>
                  <w:marBottom w:val="0"/>
                  <w:divBdr>
                    <w:top w:val="none" w:sz="0" w:space="0" w:color="auto"/>
                    <w:left w:val="none" w:sz="0" w:space="0" w:color="auto"/>
                    <w:bottom w:val="none" w:sz="0" w:space="0" w:color="auto"/>
                    <w:right w:val="none" w:sz="0" w:space="0" w:color="auto"/>
                  </w:divBdr>
                  <w:divsChild>
                    <w:div w:id="58092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4569532">
          <w:marLeft w:val="0"/>
          <w:marRight w:val="0"/>
          <w:marTop w:val="0"/>
          <w:marBottom w:val="0"/>
          <w:divBdr>
            <w:top w:val="none" w:sz="0" w:space="0" w:color="auto"/>
            <w:left w:val="none" w:sz="0" w:space="0" w:color="auto"/>
            <w:bottom w:val="none" w:sz="0" w:space="0" w:color="auto"/>
            <w:right w:val="none" w:sz="0" w:space="0" w:color="auto"/>
          </w:divBdr>
          <w:divsChild>
            <w:div w:id="949629854">
              <w:marLeft w:val="0"/>
              <w:marRight w:val="0"/>
              <w:marTop w:val="0"/>
              <w:marBottom w:val="0"/>
              <w:divBdr>
                <w:top w:val="none" w:sz="0" w:space="0" w:color="auto"/>
                <w:left w:val="none" w:sz="0" w:space="0" w:color="auto"/>
                <w:bottom w:val="none" w:sz="0" w:space="0" w:color="auto"/>
                <w:right w:val="none" w:sz="0" w:space="0" w:color="auto"/>
              </w:divBdr>
            </w:div>
            <w:div w:id="1087963264">
              <w:marLeft w:val="0"/>
              <w:marRight w:val="0"/>
              <w:marTop w:val="0"/>
              <w:marBottom w:val="0"/>
              <w:divBdr>
                <w:top w:val="none" w:sz="0" w:space="0" w:color="auto"/>
                <w:left w:val="none" w:sz="0" w:space="0" w:color="auto"/>
                <w:bottom w:val="none" w:sz="0" w:space="0" w:color="auto"/>
                <w:right w:val="none" w:sz="0" w:space="0" w:color="auto"/>
              </w:divBdr>
            </w:div>
            <w:div w:id="1385835524">
              <w:marLeft w:val="0"/>
              <w:marRight w:val="0"/>
              <w:marTop w:val="0"/>
              <w:marBottom w:val="0"/>
              <w:divBdr>
                <w:top w:val="none" w:sz="0" w:space="0" w:color="auto"/>
                <w:left w:val="none" w:sz="0" w:space="0" w:color="auto"/>
                <w:bottom w:val="none" w:sz="0" w:space="0" w:color="auto"/>
                <w:right w:val="none" w:sz="0" w:space="0" w:color="auto"/>
              </w:divBdr>
            </w:div>
            <w:div w:id="718480070">
              <w:marLeft w:val="0"/>
              <w:marRight w:val="0"/>
              <w:marTop w:val="0"/>
              <w:marBottom w:val="0"/>
              <w:divBdr>
                <w:top w:val="none" w:sz="0" w:space="0" w:color="auto"/>
                <w:left w:val="none" w:sz="0" w:space="0" w:color="auto"/>
                <w:bottom w:val="none" w:sz="0" w:space="0" w:color="auto"/>
                <w:right w:val="none" w:sz="0" w:space="0" w:color="auto"/>
              </w:divBdr>
            </w:div>
            <w:div w:id="593174603">
              <w:marLeft w:val="0"/>
              <w:marRight w:val="0"/>
              <w:marTop w:val="0"/>
              <w:marBottom w:val="0"/>
              <w:divBdr>
                <w:top w:val="none" w:sz="0" w:space="0" w:color="auto"/>
                <w:left w:val="none" w:sz="0" w:space="0" w:color="auto"/>
                <w:bottom w:val="none" w:sz="0" w:space="0" w:color="auto"/>
                <w:right w:val="none" w:sz="0" w:space="0" w:color="auto"/>
              </w:divBdr>
            </w:div>
            <w:div w:id="1738429552">
              <w:marLeft w:val="0"/>
              <w:marRight w:val="0"/>
              <w:marTop w:val="0"/>
              <w:marBottom w:val="0"/>
              <w:divBdr>
                <w:top w:val="none" w:sz="0" w:space="0" w:color="auto"/>
                <w:left w:val="none" w:sz="0" w:space="0" w:color="auto"/>
                <w:bottom w:val="none" w:sz="0" w:space="0" w:color="auto"/>
                <w:right w:val="none" w:sz="0" w:space="0" w:color="auto"/>
              </w:divBdr>
            </w:div>
            <w:div w:id="2144928033">
              <w:marLeft w:val="0"/>
              <w:marRight w:val="0"/>
              <w:marTop w:val="0"/>
              <w:marBottom w:val="0"/>
              <w:divBdr>
                <w:top w:val="none" w:sz="0" w:space="0" w:color="auto"/>
                <w:left w:val="none" w:sz="0" w:space="0" w:color="auto"/>
                <w:bottom w:val="none" w:sz="0" w:space="0" w:color="auto"/>
                <w:right w:val="none" w:sz="0" w:space="0" w:color="auto"/>
              </w:divBdr>
            </w:div>
            <w:div w:id="845638052">
              <w:marLeft w:val="0"/>
              <w:marRight w:val="0"/>
              <w:marTop w:val="0"/>
              <w:marBottom w:val="0"/>
              <w:divBdr>
                <w:top w:val="none" w:sz="0" w:space="0" w:color="auto"/>
                <w:left w:val="none" w:sz="0" w:space="0" w:color="auto"/>
                <w:bottom w:val="none" w:sz="0" w:space="0" w:color="auto"/>
                <w:right w:val="none" w:sz="0" w:space="0" w:color="auto"/>
              </w:divBdr>
            </w:div>
            <w:div w:id="1897816560">
              <w:marLeft w:val="0"/>
              <w:marRight w:val="0"/>
              <w:marTop w:val="0"/>
              <w:marBottom w:val="0"/>
              <w:divBdr>
                <w:top w:val="none" w:sz="0" w:space="0" w:color="auto"/>
                <w:left w:val="none" w:sz="0" w:space="0" w:color="auto"/>
                <w:bottom w:val="none" w:sz="0" w:space="0" w:color="auto"/>
                <w:right w:val="none" w:sz="0" w:space="0" w:color="auto"/>
              </w:divBdr>
            </w:div>
            <w:div w:id="1870022065">
              <w:marLeft w:val="0"/>
              <w:marRight w:val="0"/>
              <w:marTop w:val="0"/>
              <w:marBottom w:val="0"/>
              <w:divBdr>
                <w:top w:val="none" w:sz="0" w:space="0" w:color="auto"/>
                <w:left w:val="none" w:sz="0" w:space="0" w:color="auto"/>
                <w:bottom w:val="none" w:sz="0" w:space="0" w:color="auto"/>
                <w:right w:val="none" w:sz="0" w:space="0" w:color="auto"/>
              </w:divBdr>
            </w:div>
          </w:divsChild>
        </w:div>
        <w:div w:id="1176112821">
          <w:marLeft w:val="0"/>
          <w:marRight w:val="0"/>
          <w:marTop w:val="0"/>
          <w:marBottom w:val="0"/>
          <w:divBdr>
            <w:top w:val="none" w:sz="0" w:space="0" w:color="auto"/>
            <w:left w:val="none" w:sz="0" w:space="0" w:color="auto"/>
            <w:bottom w:val="none" w:sz="0" w:space="0" w:color="auto"/>
            <w:right w:val="none" w:sz="0" w:space="0" w:color="auto"/>
          </w:divBdr>
          <w:divsChild>
            <w:div w:id="876892439">
              <w:marLeft w:val="0"/>
              <w:marRight w:val="0"/>
              <w:marTop w:val="0"/>
              <w:marBottom w:val="0"/>
              <w:divBdr>
                <w:top w:val="none" w:sz="0" w:space="0" w:color="auto"/>
                <w:left w:val="none" w:sz="0" w:space="0" w:color="auto"/>
                <w:bottom w:val="none" w:sz="0" w:space="0" w:color="auto"/>
                <w:right w:val="none" w:sz="0" w:space="0" w:color="auto"/>
              </w:divBdr>
            </w:div>
            <w:div w:id="1571843390">
              <w:marLeft w:val="0"/>
              <w:marRight w:val="0"/>
              <w:marTop w:val="0"/>
              <w:marBottom w:val="0"/>
              <w:divBdr>
                <w:top w:val="none" w:sz="0" w:space="0" w:color="auto"/>
                <w:left w:val="none" w:sz="0" w:space="0" w:color="auto"/>
                <w:bottom w:val="none" w:sz="0" w:space="0" w:color="auto"/>
                <w:right w:val="none" w:sz="0" w:space="0" w:color="auto"/>
              </w:divBdr>
            </w:div>
            <w:div w:id="499783758">
              <w:marLeft w:val="0"/>
              <w:marRight w:val="0"/>
              <w:marTop w:val="0"/>
              <w:marBottom w:val="0"/>
              <w:divBdr>
                <w:top w:val="none" w:sz="0" w:space="0" w:color="auto"/>
                <w:left w:val="none" w:sz="0" w:space="0" w:color="auto"/>
                <w:bottom w:val="none" w:sz="0" w:space="0" w:color="auto"/>
                <w:right w:val="none" w:sz="0" w:space="0" w:color="auto"/>
              </w:divBdr>
            </w:div>
            <w:div w:id="1106731620">
              <w:marLeft w:val="0"/>
              <w:marRight w:val="0"/>
              <w:marTop w:val="0"/>
              <w:marBottom w:val="0"/>
              <w:divBdr>
                <w:top w:val="none" w:sz="0" w:space="0" w:color="auto"/>
                <w:left w:val="none" w:sz="0" w:space="0" w:color="auto"/>
                <w:bottom w:val="none" w:sz="0" w:space="0" w:color="auto"/>
                <w:right w:val="none" w:sz="0" w:space="0" w:color="auto"/>
              </w:divBdr>
            </w:div>
            <w:div w:id="964771138">
              <w:marLeft w:val="0"/>
              <w:marRight w:val="0"/>
              <w:marTop w:val="0"/>
              <w:marBottom w:val="0"/>
              <w:divBdr>
                <w:top w:val="none" w:sz="0" w:space="0" w:color="auto"/>
                <w:left w:val="none" w:sz="0" w:space="0" w:color="auto"/>
                <w:bottom w:val="none" w:sz="0" w:space="0" w:color="auto"/>
                <w:right w:val="none" w:sz="0" w:space="0" w:color="auto"/>
              </w:divBdr>
            </w:div>
            <w:div w:id="2100447226">
              <w:marLeft w:val="0"/>
              <w:marRight w:val="0"/>
              <w:marTop w:val="0"/>
              <w:marBottom w:val="0"/>
              <w:divBdr>
                <w:top w:val="none" w:sz="0" w:space="0" w:color="auto"/>
                <w:left w:val="none" w:sz="0" w:space="0" w:color="auto"/>
                <w:bottom w:val="none" w:sz="0" w:space="0" w:color="auto"/>
                <w:right w:val="none" w:sz="0" w:space="0" w:color="auto"/>
              </w:divBdr>
            </w:div>
            <w:div w:id="1600288484">
              <w:marLeft w:val="0"/>
              <w:marRight w:val="0"/>
              <w:marTop w:val="0"/>
              <w:marBottom w:val="0"/>
              <w:divBdr>
                <w:top w:val="none" w:sz="0" w:space="0" w:color="auto"/>
                <w:left w:val="none" w:sz="0" w:space="0" w:color="auto"/>
                <w:bottom w:val="none" w:sz="0" w:space="0" w:color="auto"/>
                <w:right w:val="none" w:sz="0" w:space="0" w:color="auto"/>
              </w:divBdr>
            </w:div>
            <w:div w:id="1571501670">
              <w:marLeft w:val="0"/>
              <w:marRight w:val="0"/>
              <w:marTop w:val="0"/>
              <w:marBottom w:val="0"/>
              <w:divBdr>
                <w:top w:val="none" w:sz="0" w:space="0" w:color="auto"/>
                <w:left w:val="none" w:sz="0" w:space="0" w:color="auto"/>
                <w:bottom w:val="none" w:sz="0" w:space="0" w:color="auto"/>
                <w:right w:val="none" w:sz="0" w:space="0" w:color="auto"/>
              </w:divBdr>
            </w:div>
            <w:div w:id="1837111774">
              <w:marLeft w:val="0"/>
              <w:marRight w:val="0"/>
              <w:marTop w:val="0"/>
              <w:marBottom w:val="0"/>
              <w:divBdr>
                <w:top w:val="none" w:sz="0" w:space="0" w:color="auto"/>
                <w:left w:val="none" w:sz="0" w:space="0" w:color="auto"/>
                <w:bottom w:val="none" w:sz="0" w:space="0" w:color="auto"/>
                <w:right w:val="none" w:sz="0" w:space="0" w:color="auto"/>
              </w:divBdr>
            </w:div>
            <w:div w:id="1827479722">
              <w:marLeft w:val="0"/>
              <w:marRight w:val="0"/>
              <w:marTop w:val="0"/>
              <w:marBottom w:val="0"/>
              <w:divBdr>
                <w:top w:val="none" w:sz="0" w:space="0" w:color="auto"/>
                <w:left w:val="none" w:sz="0" w:space="0" w:color="auto"/>
                <w:bottom w:val="none" w:sz="0" w:space="0" w:color="auto"/>
                <w:right w:val="none" w:sz="0" w:space="0" w:color="auto"/>
              </w:divBdr>
            </w:div>
            <w:div w:id="670988280">
              <w:marLeft w:val="0"/>
              <w:marRight w:val="0"/>
              <w:marTop w:val="0"/>
              <w:marBottom w:val="0"/>
              <w:divBdr>
                <w:top w:val="none" w:sz="0" w:space="0" w:color="auto"/>
                <w:left w:val="none" w:sz="0" w:space="0" w:color="auto"/>
                <w:bottom w:val="none" w:sz="0" w:space="0" w:color="auto"/>
                <w:right w:val="none" w:sz="0" w:space="0" w:color="auto"/>
              </w:divBdr>
            </w:div>
            <w:div w:id="1587031433">
              <w:marLeft w:val="0"/>
              <w:marRight w:val="0"/>
              <w:marTop w:val="0"/>
              <w:marBottom w:val="0"/>
              <w:divBdr>
                <w:top w:val="none" w:sz="0" w:space="0" w:color="auto"/>
                <w:left w:val="none" w:sz="0" w:space="0" w:color="auto"/>
                <w:bottom w:val="none" w:sz="0" w:space="0" w:color="auto"/>
                <w:right w:val="none" w:sz="0" w:space="0" w:color="auto"/>
              </w:divBdr>
            </w:div>
            <w:div w:id="1695498465">
              <w:marLeft w:val="0"/>
              <w:marRight w:val="0"/>
              <w:marTop w:val="0"/>
              <w:marBottom w:val="0"/>
              <w:divBdr>
                <w:top w:val="none" w:sz="0" w:space="0" w:color="auto"/>
                <w:left w:val="none" w:sz="0" w:space="0" w:color="auto"/>
                <w:bottom w:val="none" w:sz="0" w:space="0" w:color="auto"/>
                <w:right w:val="none" w:sz="0" w:space="0" w:color="auto"/>
              </w:divBdr>
            </w:div>
            <w:div w:id="277023">
              <w:marLeft w:val="0"/>
              <w:marRight w:val="0"/>
              <w:marTop w:val="0"/>
              <w:marBottom w:val="0"/>
              <w:divBdr>
                <w:top w:val="none" w:sz="0" w:space="0" w:color="auto"/>
                <w:left w:val="none" w:sz="0" w:space="0" w:color="auto"/>
                <w:bottom w:val="none" w:sz="0" w:space="0" w:color="auto"/>
                <w:right w:val="none" w:sz="0" w:space="0" w:color="auto"/>
              </w:divBdr>
            </w:div>
            <w:div w:id="1534148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4754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era.ac.uk/researchers-resources/publications/ethical-guidelines-for-educational-research-2018" TargetMode="External"/><Relationship Id="rId18" Type="http://schemas.openxmlformats.org/officeDocument/2006/relationships/hyperlink" Target="https://doi.org/10.33790/jphip1100170" TargetMode="External"/><Relationship Id="rId26" Type="http://schemas.openxmlformats.org/officeDocument/2006/relationships/hyperlink" Target="http://dx.doi.org/10.1080/03033910.2006.10446228" TargetMode="External"/><Relationship Id="rId39" Type="http://schemas.openxmlformats.org/officeDocument/2006/relationships/hyperlink" Target="https://doi.org/10.1177/1609406919840516" TargetMode="External"/><Relationship Id="rId21" Type="http://schemas.openxmlformats.org/officeDocument/2006/relationships/hyperlink" Target="https://doi.org/10.1098/rstb.2021.0357" TargetMode="External"/><Relationship Id="rId34" Type="http://schemas.openxmlformats.org/officeDocument/2006/relationships/hyperlink" Target="https://www.hra.nhs.uk/planning-and-improving-research/policies-standards-legislation/research-involving-children/" TargetMode="External"/><Relationship Id="rId42" Type="http://schemas.openxmlformats.org/officeDocument/2006/relationships/hyperlink" Target="https://doi.org/10.1080/02607476.2012.708121" TargetMode="External"/><Relationship Id="rId47" Type="http://schemas.openxmlformats.org/officeDocument/2006/relationships/hyperlink" Target="https://resourcecentre.savethechildren.net/document/unicef-guidelines-interviewing-children/" TargetMode="External"/><Relationship Id="rId50"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s://www.scribbr.com/methodology/qualitative-research/" TargetMode="External"/><Relationship Id="rId17" Type="http://schemas.openxmlformats.org/officeDocument/2006/relationships/hyperlink" Target="https://www.unicef.org/child-rights-convention/convention-text" TargetMode="External"/><Relationship Id="rId25" Type="http://schemas.openxmlformats.org/officeDocument/2006/relationships/hyperlink" Target="https://doi.org/10.1080/03055690303268" TargetMode="External"/><Relationship Id="rId33" Type="http://schemas.openxmlformats.org/officeDocument/2006/relationships/hyperlink" Target="https://doi.org/10.1177/16094069231205789" TargetMode="External"/><Relationship Id="rId38" Type="http://schemas.openxmlformats.org/officeDocument/2006/relationships/hyperlink" Target="https://www.jstor.org/stable/2294981" TargetMode="External"/><Relationship Id="rId46" Type="http://schemas.openxmlformats.org/officeDocument/2006/relationships/hyperlink" Target="https://doi.org/10.1080/02671522.2018.1452962" TargetMode="External"/><Relationship Id="rId2" Type="http://schemas.openxmlformats.org/officeDocument/2006/relationships/numbering" Target="numbering.xml"/><Relationship Id="rId16" Type="http://schemas.openxmlformats.org/officeDocument/2006/relationships/hyperlink" Target="https://www.jstor.org/stable/10.7721/chilyoutenvi.15.1.0368" TargetMode="External"/><Relationship Id="rId20" Type="http://schemas.openxmlformats.org/officeDocument/2006/relationships/hyperlink" Target="https://www.simplypsychology.org/bandura.html" TargetMode="External"/><Relationship Id="rId29" Type="http://schemas.openxmlformats.org/officeDocument/2006/relationships/hyperlink" Target="https://www.simplypsychology.org/vygotsky.html" TargetMode="External"/><Relationship Id="rId41" Type="http://schemas.openxmlformats.org/officeDocument/2006/relationships/hyperlink" Target="https://doi.org/10.1177/0038022920970318" TargetMode="External"/><Relationship Id="rId54" Type="http://schemas.openxmlformats.org/officeDocument/2006/relationships/theme" Target="theme/theme1.xml"/><Relationship Id="R1ea3c5cd143a4294"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books.google.co.uk/books?hl=en&amp;lr=&amp;id=o0iOOrN3DQIC&amp;oi=fnd&amp;pg=PA19&amp;dq=strengths+and+limitations+of+case+studies&amp;ots=t6JhNBs4KE&amp;sig=1d-sR5y8PMCLkKdS8VTYUR61_p8" TargetMode="External"/><Relationship Id="rId24" Type="http://schemas.openxmlformats.org/officeDocument/2006/relationships/hyperlink" Target="https://kmctlw.edu.np/wp-content/uploads/2020/09/Guest_2012_AppliedThematicAnlaysis_Ch1.pdf" TargetMode="External"/><Relationship Id="rId32" Type="http://schemas.openxmlformats.org/officeDocument/2006/relationships/hyperlink" Target="https://www.classcraft.com/blog/heterogeneous-vs-homogeneous-grouping-whats-the-best-way-to-group-students/" TargetMode="External"/><Relationship Id="rId37" Type="http://schemas.openxmlformats.org/officeDocument/2006/relationships/hyperlink" Target="https://doi.org/10.1177/160940690900800301" TargetMode="External"/><Relationship Id="rId40" Type="http://schemas.openxmlformats.org/officeDocument/2006/relationships/hyperlink" Target="https://doi.org/10.1177/1609406919840516" TargetMode="External"/><Relationship Id="rId45" Type="http://schemas.openxmlformats.org/officeDocument/2006/relationships/hyperlink" Target="https://doi.org/10.1177/2333393616630466" TargetMode="External"/><Relationship Id="rId53"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yperlink" Target="https://www.scribbr.com/methodology/thematic-analysis/" TargetMode="External"/><Relationship Id="rId23" Type="http://schemas.openxmlformats.org/officeDocument/2006/relationships/hyperlink" Target="https://doi.org/10.1016/j.ijer.2005.07.004" TargetMode="External"/><Relationship Id="rId28" Type="http://schemas.openxmlformats.org/officeDocument/2006/relationships/hyperlink" Target="https://educationaltechnology.net/constructivist-learning-theory/" TargetMode="External"/><Relationship Id="rId36" Type="http://schemas.openxmlformats.org/officeDocument/2006/relationships/hyperlink" Target="https://www.gov.uk/government/news/too-many-bright-children-let-down-in-the-state-system" TargetMode="External"/><Relationship Id="rId49" Type="http://schemas.openxmlformats.org/officeDocument/2006/relationships/hyperlink" Target="https://www.thoughtco.com/social-constructionism-4586374" TargetMode="External"/><Relationship Id="rId10" Type="http://schemas.openxmlformats.org/officeDocument/2006/relationships/hyperlink" Target="https://doi.org/10.1177/1609406919887274" TargetMode="External"/><Relationship Id="rId19" Type="http://schemas.openxmlformats.org/officeDocument/2006/relationships/hyperlink" Target="https://www.edweek.org/education/opinion-ability-grouping-or-mixed-grouping-a-point-of-contention/2016/03" TargetMode="External"/><Relationship Id="rId31" Type="http://schemas.openxmlformats.org/officeDocument/2006/relationships/hyperlink" Target="https://doi.org/10.1177/160940690200100404" TargetMode="External"/><Relationship Id="rId44" Type="http://schemas.openxmlformats.org/officeDocument/2006/relationships/hyperlink" Target="https://d1wqtxts1xzle7.cloudfront.net/32134643/Cooperative_Learning_-_SLAVIN__Robert-libre.pdf?1391493450=&amp;response-content-disposition=inline%3B+filename%3DRESEARCH_FOR_THE_FUTURE_Research_on_Coop.pdf&amp;Expires=1711379097&amp;Signature=HlX~wlbsawRBvVL1nDm3~eoW2bwbspKOQAcc10yMPmjBFGiHeye37LhbVbF2tfJV6tg~tABWVfwWOJzg5-LT5X1z5FCmZo4dzp8AWi88WmxuVdr2ExZsWJ2R~Es-SoI4oYz9LPmDoAuIl0tx~50SZDplgFQPVoOzf6Zg1opoTpN4njCoviVSO3~EgM-xDa1wYIIsJkiWcXs8TrXMWueq~bA9yPBgmDvXaX1b8fMAmCuNPM4M5fkRKamGgK6250bkFxxtHXVuDeXUHzGKLoWMtetKH4TRqk7uWzsl~VG4xUD~FZe9l~Qe7KP8QXW-GZj679l7ENhJs6~X0O4bvjpU2w__&amp;Key-Pair-Id=APKAJLOHF5GGSLRBV4ZA" TargetMode="External"/><Relationship Id="rId52"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doi.org/10.1177/001698620404800102" TargetMode="External"/><Relationship Id="rId14" Type="http://schemas.openxmlformats.org/officeDocument/2006/relationships/hyperlink" Target="https://doi.org/10.1186%2Fs42466-020-00059-z" TargetMode="External"/><Relationship Id="rId22" Type="http://schemas.openxmlformats.org/officeDocument/2006/relationships/hyperlink" Target="https://doi.org/10.1111/j.1756-2589.2012.00119.x" TargetMode="External"/><Relationship Id="rId27" Type="http://schemas.openxmlformats.org/officeDocument/2006/relationships/hyperlink" Target="https://www.researchgate.net/publication/282249876_Open-_versus_close-ended_survey_questions" TargetMode="External"/><Relationship Id="rId30" Type="http://schemas.openxmlformats.org/officeDocument/2006/relationships/hyperlink" Target="http://dx.doi.org/10.1191/146342300675316801" TargetMode="External"/><Relationship Id="rId35" Type="http://schemas.openxmlformats.org/officeDocument/2006/relationships/hyperlink" Target="https://doi.org/10.1177/1609406917733847" TargetMode="External"/><Relationship Id="rId43" Type="http://schemas.openxmlformats.org/officeDocument/2006/relationships/hyperlink" Target="https://content.iospress.com/articles/education-for-information/efi00778" TargetMode="External"/><Relationship Id="rId48" Type="http://schemas.openxmlformats.org/officeDocument/2006/relationships/hyperlink" Target="https://www.unicef.org.uk/what-we-do/un-convention-child-rights/" TargetMode="External"/><Relationship Id="rId8" Type="http://schemas.openxmlformats.org/officeDocument/2006/relationships/endnotes" Target="endnotes.xml"/><Relationship Id="rId51" Type="http://schemas.openxmlformats.org/officeDocument/2006/relationships/footer" Target="footer1.xml"/><Relationship Id="rId3"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2E7F"/>
    <w:rsid w:val="001F2E7F"/>
    <w:rsid w:val="00BC61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A38E5326C034FDC9B3994457B7E0958">
    <w:name w:val="FA38E5326C034FDC9B3994457B7E0958"/>
    <w:rsid w:val="001F2E7F"/>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A38E5326C034FDC9B3994457B7E0958">
    <w:name w:val="FA38E5326C034FDC9B3994457B7E0958"/>
    <w:rsid w:val="001F2E7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070626-454E-4805-8B71-C2D5BAD3BE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TotalTime>
  <Pages>18</Pages>
  <Words>7176</Words>
  <Characters>40909</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47990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Tess Lewis (2306243)</dc:creator>
  <cp:lastModifiedBy>447375506756</cp:lastModifiedBy>
  <cp:revision>27</cp:revision>
  <dcterms:created xsi:type="dcterms:W3CDTF">2024-05-07T13:15:00Z</dcterms:created>
  <dcterms:modified xsi:type="dcterms:W3CDTF">2024-05-07T17:25:00Z</dcterms:modified>
</cp:coreProperties>
</file>