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 xml:space="preserve">Dr </w:t>
      </w:r>
      <w:proofErr w:type="spellStart"/>
      <w:r w:rsidR="006C710C" w:rsidRPr="00AC5B23">
        <w:rPr>
          <w:rFonts w:asciiTheme="minorHAnsi" w:hAnsiTheme="minorHAnsi" w:cstheme="minorHAnsi"/>
          <w:bCs/>
          <w:sz w:val="28"/>
          <w:szCs w:val="28"/>
        </w:rPr>
        <w:t>Nalda</w:t>
      </w:r>
      <w:proofErr w:type="spellEnd"/>
      <w:r w:rsidR="006C710C" w:rsidRPr="00AC5B23">
        <w:rPr>
          <w:rFonts w:asciiTheme="minorHAnsi" w:hAnsiTheme="minorHAnsi" w:cstheme="minorHAnsi"/>
          <w:bCs/>
          <w:sz w:val="28"/>
          <w:szCs w:val="28"/>
        </w:rPr>
        <w:t xml:space="preserve">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lastRenderedPageBreak/>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2DEDD20F"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r w:rsidR="00952A52">
        <w:rPr>
          <w:b/>
          <w:bCs/>
          <w:sz w:val="24"/>
          <w:szCs w:val="24"/>
          <w:u w:val="none"/>
        </w:rPr>
        <w:t>Jenny Richards 2128389</w:t>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441F0C1C" w:rsidR="00D6095A" w:rsidRPr="006C710C" w:rsidRDefault="00D6095A" w:rsidP="00952A52">
            <w:pPr>
              <w:pStyle w:val="Subtitle"/>
              <w:jc w:val="left"/>
              <w:rPr>
                <w:rFonts w:asciiTheme="minorHAnsi" w:hAnsiTheme="minorHAnsi" w:cstheme="minorHAnsi"/>
                <w:b/>
                <w:bCs/>
                <w:sz w:val="24"/>
                <w:szCs w:val="24"/>
                <w:u w:val="none"/>
              </w:rPr>
            </w:pP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77777777" w:rsidR="00D6095A" w:rsidRPr="006C710C" w:rsidRDefault="00D6095A" w:rsidP="00907220">
            <w:pPr>
              <w:pStyle w:val="Subtitle"/>
              <w:rPr>
                <w:rFonts w:asciiTheme="minorHAnsi" w:hAnsiTheme="minorHAnsi" w:cstheme="minorHAnsi"/>
                <w:b/>
                <w:bCs/>
                <w:sz w:val="24"/>
                <w:szCs w:val="24"/>
                <w:u w:val="none"/>
              </w:rPr>
            </w:pP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 xml:space="preserve">It is expected that students will present work that is </w:t>
            </w:r>
            <w:proofErr w:type="gramStart"/>
            <w:r w:rsidRPr="006C710C">
              <w:rPr>
                <w:rFonts w:asciiTheme="minorHAnsi" w:hAnsiTheme="minorHAnsi" w:cstheme="minorHAnsi"/>
                <w:sz w:val="18"/>
                <w:szCs w:val="18"/>
                <w:u w:val="none"/>
              </w:rPr>
              <w:t>proof read</w:t>
            </w:r>
            <w:proofErr w:type="gramEnd"/>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w:t>
            </w:r>
            <w:proofErr w:type="gramStart"/>
            <w:r w:rsidRPr="006C710C">
              <w:rPr>
                <w:rFonts w:asciiTheme="minorHAnsi" w:hAnsiTheme="minorHAnsi" w:cstheme="minorHAnsi"/>
                <w:sz w:val="18"/>
                <w:szCs w:val="18"/>
                <w:u w:val="none"/>
              </w:rPr>
              <w:t>Therefore</w:t>
            </w:r>
            <w:proofErr w:type="gramEnd"/>
            <w:r w:rsidRPr="006C710C">
              <w:rPr>
                <w:rFonts w:asciiTheme="minorHAnsi" w:hAnsiTheme="minorHAnsi" w:cstheme="minorHAnsi"/>
                <w:sz w:val="18"/>
                <w:szCs w:val="18"/>
                <w:u w:val="none"/>
              </w:rPr>
              <w:t xml:space="preserv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proofErr w:type="spellStart"/>
            <w:r w:rsidR="00A07500" w:rsidRPr="006C710C">
              <w:rPr>
                <w:rFonts w:asciiTheme="minorHAnsi" w:hAnsiTheme="minorHAnsi" w:cstheme="minorHAnsi"/>
                <w:b/>
                <w:bCs/>
                <w:sz w:val="18"/>
                <w:szCs w:val="18"/>
                <w:u w:val="none"/>
              </w:rPr>
              <w:t>Nalda</w:t>
            </w:r>
            <w:proofErr w:type="spellEnd"/>
            <w:r w:rsidR="00A07500" w:rsidRPr="006C710C">
              <w:rPr>
                <w:rFonts w:asciiTheme="minorHAnsi" w:hAnsiTheme="minorHAnsi" w:cstheme="minorHAnsi"/>
                <w:b/>
                <w:bCs/>
                <w:sz w:val="18"/>
                <w:szCs w:val="18"/>
                <w:u w:val="none"/>
              </w:rPr>
              <w:t xml:space="preserve">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588716BE" w14:textId="06E0AE1C" w:rsidR="00952A52" w:rsidRDefault="00952A52" w:rsidP="00952A52">
      <w:pPr>
        <w:spacing w:line="480" w:lineRule="auto"/>
        <w:jc w:val="both"/>
        <w:rPr>
          <w:lang w:val="en-US"/>
        </w:rPr>
      </w:pPr>
      <w:r w:rsidRPr="2F2908EC">
        <w:rPr>
          <w:lang w:val="en-US"/>
        </w:rPr>
        <w:lastRenderedPageBreak/>
        <w:t xml:space="preserve">This reflective journal is based on sessions that I have taught at </w:t>
      </w:r>
      <w:proofErr w:type="spellStart"/>
      <w:r w:rsidRPr="2F2908EC">
        <w:rPr>
          <w:lang w:val="en-US"/>
        </w:rPr>
        <w:t>Glais</w:t>
      </w:r>
      <w:proofErr w:type="spellEnd"/>
      <w:r w:rsidRPr="2F2908EC">
        <w:rPr>
          <w:lang w:val="en-US"/>
        </w:rPr>
        <w:t xml:space="preserve"> Primary School in Swansea Valley in spring and summer 2022.  </w:t>
      </w:r>
      <w:proofErr w:type="spellStart"/>
      <w:r w:rsidRPr="2F2908EC">
        <w:rPr>
          <w:lang w:val="en-US"/>
        </w:rPr>
        <w:t>Glais</w:t>
      </w:r>
      <w:proofErr w:type="spellEnd"/>
      <w:r w:rsidRPr="2F2908EC">
        <w:rPr>
          <w:lang w:val="en-US"/>
        </w:rPr>
        <w:t xml:space="preserve"> Primary School is a small school comprising of 4 mixed-age classes.  I teach the nursery and reception class with 14 reception children who attend full time and two groups of nursery children who attend either mornings or afternoons.  </w:t>
      </w:r>
      <w:r>
        <w:rPr>
          <w:lang w:val="en-US"/>
        </w:rPr>
        <w:t xml:space="preserve">I have been in this role for just over a year.  Prior to that, </w:t>
      </w:r>
      <w:r w:rsidRPr="2F2908EC">
        <w:rPr>
          <w:lang w:val="en-US"/>
        </w:rPr>
        <w:t xml:space="preserve">I have </w:t>
      </w:r>
      <w:r>
        <w:rPr>
          <w:lang w:val="en-US"/>
        </w:rPr>
        <w:t>had various roles in the school over the last 17 years.  I taught Year 5 and 6 for 4 years and spent 8</w:t>
      </w:r>
      <w:r w:rsidRPr="2F2908EC">
        <w:rPr>
          <w:lang w:val="en-US"/>
        </w:rPr>
        <w:t xml:space="preserve"> years working part time covering PPA across the school.  The teaching assistants working in the class are also new to the role this year.  I am also acting ALNCO and acting Deputy Headteacher </w:t>
      </w:r>
      <w:proofErr w:type="gramStart"/>
      <w:r w:rsidRPr="2F2908EC">
        <w:rPr>
          <w:lang w:val="en-US"/>
        </w:rPr>
        <w:t>at the moment</w:t>
      </w:r>
      <w:proofErr w:type="gramEnd"/>
      <w:r w:rsidRPr="2F2908EC">
        <w:rPr>
          <w:lang w:val="en-US"/>
        </w:rPr>
        <w:t xml:space="preserve"> covering long term absence.  </w:t>
      </w:r>
    </w:p>
    <w:p w14:paraId="74840FBB" w14:textId="77777777" w:rsidR="00952A52" w:rsidRDefault="00952A52" w:rsidP="00952A52">
      <w:pPr>
        <w:spacing w:line="480" w:lineRule="auto"/>
        <w:jc w:val="both"/>
        <w:rPr>
          <w:lang w:val="en-US"/>
        </w:rPr>
      </w:pPr>
    </w:p>
    <w:p w14:paraId="5180579B" w14:textId="38CDE30A" w:rsidR="00952A52" w:rsidRDefault="00952A52" w:rsidP="00952A52">
      <w:pPr>
        <w:spacing w:line="480" w:lineRule="auto"/>
        <w:jc w:val="both"/>
        <w:rPr>
          <w:lang w:val="en-US"/>
        </w:rPr>
      </w:pPr>
      <w:r>
        <w:rPr>
          <w:lang w:val="en-US"/>
        </w:rPr>
        <w:t>With the arrival of the new curriculum, a new legal framework for additional learning needs and new leadership within the school, there is significant interest in children’s early physical development.  If children are confident and capable physically, they are more likely to be successful in accessing the new curriculum.  The curriculum is based on four purposes and early successful physical competence will enable children to be ambitious and capable, creative and healthy and confident.  Early success and self-belief, supported by a good skill level will mean that children develop a positive spiral of engagement (</w:t>
      </w:r>
      <w:proofErr w:type="spellStart"/>
      <w:r>
        <w:rPr>
          <w:lang w:val="en-US"/>
        </w:rPr>
        <w:t>Stodden</w:t>
      </w:r>
      <w:proofErr w:type="spellEnd"/>
      <w:r>
        <w:rPr>
          <w:lang w:val="en-US"/>
        </w:rPr>
        <w:t xml:space="preserve"> et al, 2008).  As a school, one of our next development priorities will be attitudes towards learning, particularly resilience and perseverance.  The children are already showing this during SKIP sessions.  </w:t>
      </w:r>
    </w:p>
    <w:p w14:paraId="4D8BCA67" w14:textId="77777777" w:rsidR="00952A52" w:rsidRDefault="00952A52" w:rsidP="00952A52">
      <w:pPr>
        <w:spacing w:line="480" w:lineRule="auto"/>
        <w:jc w:val="both"/>
        <w:rPr>
          <w:lang w:val="en-US"/>
        </w:rPr>
      </w:pPr>
    </w:p>
    <w:p w14:paraId="43ADB451" w14:textId="73296518" w:rsidR="00952A52" w:rsidRDefault="00952A52" w:rsidP="00952A52">
      <w:pPr>
        <w:spacing w:line="480" w:lineRule="auto"/>
        <w:jc w:val="both"/>
        <w:rPr>
          <w:lang w:val="en-US"/>
        </w:rPr>
      </w:pPr>
      <w:r>
        <w:rPr>
          <w:lang w:val="en-US"/>
        </w:rPr>
        <w:t xml:space="preserve">The SKIP sessions also fit well into the new ALN framework.  The approach is based on early intervention and universal provision.  By developing these physical skills early on, the children will be better able to access provision.  If children </w:t>
      </w:r>
      <w:proofErr w:type="gramStart"/>
      <w:r>
        <w:rPr>
          <w:lang w:val="en-US"/>
        </w:rPr>
        <w:t>have the opportunity to</w:t>
      </w:r>
      <w:proofErr w:type="gramEnd"/>
      <w:r>
        <w:rPr>
          <w:lang w:val="en-US"/>
        </w:rPr>
        <w:t xml:space="preserve"> develop their sensory integration, body awareness and develop a movement vocabulary, they will be physically better prepared for the later skills of handwriting, reading and sport (Ayres, 2005).  The sessions will also identify children that might require more targeted support in their physical development.</w:t>
      </w:r>
    </w:p>
    <w:p w14:paraId="16182EF3" w14:textId="77777777" w:rsidR="00952A52" w:rsidRDefault="00952A52" w:rsidP="00952A52">
      <w:pPr>
        <w:spacing w:line="480" w:lineRule="auto"/>
        <w:jc w:val="both"/>
        <w:rPr>
          <w:lang w:val="en-US"/>
        </w:rPr>
      </w:pPr>
    </w:p>
    <w:p w14:paraId="79EB6D8D" w14:textId="77777777" w:rsidR="00952A52" w:rsidRDefault="00952A52" w:rsidP="00952A52">
      <w:pPr>
        <w:spacing w:line="480" w:lineRule="auto"/>
        <w:jc w:val="both"/>
        <w:rPr>
          <w:lang w:val="en-US"/>
        </w:rPr>
      </w:pPr>
      <w:r>
        <w:rPr>
          <w:lang w:val="en-US"/>
        </w:rPr>
        <w:lastRenderedPageBreak/>
        <w:t>I initially decided to teach the SKIP sessions to my class in two groups.  I teach a mixed nursery and reception class.  I felt that the space available in the hall would allow two gardens with up to eight children in each.  I also felt that for my professional development having children grouped chronologically would probably slightly narrow the ability range and stages that the children were at developmentally (</w:t>
      </w:r>
      <w:proofErr w:type="spellStart"/>
      <w:r>
        <w:rPr>
          <w:lang w:val="en-US"/>
        </w:rPr>
        <w:t>Gallahue</w:t>
      </w:r>
      <w:proofErr w:type="spellEnd"/>
      <w:r>
        <w:rPr>
          <w:lang w:val="en-US"/>
        </w:rPr>
        <w:t xml:space="preserve"> et al, 2012). The smaller group size would allow me to observe children more closely to see what stage they were working at and to adapt the constraints and tasks to promote development following Newell’s constraint model (Haywood and Getchell, 2019).  I felt that trying to manage the whole class, even with support from a teaching assistant would lead to a focus on organization and </w:t>
      </w:r>
      <w:proofErr w:type="spellStart"/>
      <w:r>
        <w:rPr>
          <w:lang w:val="en-US"/>
        </w:rPr>
        <w:t>behaviour</w:t>
      </w:r>
      <w:proofErr w:type="spellEnd"/>
      <w:r>
        <w:rPr>
          <w:lang w:val="en-US"/>
        </w:rPr>
        <w:t xml:space="preserve"> management rather than a focus on skill development.  Moving forward, I will keep the group size to half a class, but maybe mix older and younger pupils, enabling the older pupils to model and support the younger children.  There were two children in the reception cohort, who were beginning to perceive their skills as poorer than their peers.  Working with younger children would give them the opportunity to lead the learning.</w:t>
      </w:r>
    </w:p>
    <w:p w14:paraId="57D6AA2A" w14:textId="708BF4BD" w:rsidR="00952A52" w:rsidRDefault="00952A52" w:rsidP="00952A52">
      <w:pPr>
        <w:spacing w:line="480" w:lineRule="auto"/>
        <w:jc w:val="both"/>
        <w:rPr>
          <w:lang w:val="en-US"/>
        </w:rPr>
      </w:pPr>
      <w:r>
        <w:rPr>
          <w:lang w:val="en-US"/>
        </w:rPr>
        <w:t xml:space="preserve">In the first two sessions I taught, I focused on body awareness and building a movement vocabulary.  I wanted the opportunity to observe the skills that the children possessed already </w:t>
      </w:r>
      <w:proofErr w:type="gramStart"/>
      <w:r>
        <w:rPr>
          <w:lang w:val="en-US"/>
        </w:rPr>
        <w:t>and also</w:t>
      </w:r>
      <w:proofErr w:type="gramEnd"/>
      <w:r>
        <w:rPr>
          <w:lang w:val="en-US"/>
        </w:rPr>
        <w:t xml:space="preserve"> to teach them the routines and vocabulary necessary access the gardens in later sessions.</w:t>
      </w:r>
    </w:p>
    <w:p w14:paraId="4438ED46" w14:textId="77777777" w:rsidR="00952A52" w:rsidRDefault="00952A52" w:rsidP="00952A52">
      <w:pPr>
        <w:spacing w:line="480" w:lineRule="auto"/>
        <w:jc w:val="both"/>
        <w:rPr>
          <w:lang w:val="en-US"/>
        </w:rPr>
      </w:pPr>
    </w:p>
    <w:p w14:paraId="614AF57B" w14:textId="77777777" w:rsidR="00952A52" w:rsidRDefault="00952A52" w:rsidP="00952A52">
      <w:pPr>
        <w:spacing w:line="480" w:lineRule="auto"/>
        <w:jc w:val="both"/>
        <w:rPr>
          <w:lang w:val="en-US"/>
        </w:rPr>
      </w:pPr>
      <w:r>
        <w:rPr>
          <w:lang w:val="en-US"/>
        </w:rPr>
        <w:t>Prior to embarking on the SKIP training, I had carried out the sort of activities that I was teaching, but I had been under the false impression that children would gain the skills through opportunity to carry out the activity, that the acquisition of physical competence would naturally occur. With an awareness of the stages of movement development (</w:t>
      </w:r>
      <w:proofErr w:type="spellStart"/>
      <w:r>
        <w:rPr>
          <w:lang w:val="en-US"/>
        </w:rPr>
        <w:t>Gallahue</w:t>
      </w:r>
      <w:proofErr w:type="spellEnd"/>
      <w:r>
        <w:rPr>
          <w:lang w:val="en-US"/>
        </w:rPr>
        <w:t xml:space="preserve"> et al, 2012) it was apparent that there was a wide range of stages within the class in basic movements like running and jumping.  Interestingly, the teaching assistant that had taught PE to this cohort in nursery had used the Play to Learn pack.  She had taught movements like galloping which the children seemed to remember.  There were children who galloped well but struggled to crawl.  Running </w:t>
      </w:r>
      <w:proofErr w:type="gramStart"/>
      <w:r>
        <w:rPr>
          <w:lang w:val="en-US"/>
        </w:rPr>
        <w:t>in particular was</w:t>
      </w:r>
      <w:proofErr w:type="gramEnd"/>
      <w:r>
        <w:rPr>
          <w:lang w:val="en-US"/>
        </w:rPr>
        <w:t xml:space="preserve"> an activity with a whole range of stages.  To give children opportunity, we changed the location of one of our two weekly outdoor sessions from the woodland area to the far end of the playing field.  Every session started and ended with a ‘run’. This gave both the </w:t>
      </w:r>
      <w:r>
        <w:rPr>
          <w:lang w:val="en-US"/>
        </w:rPr>
        <w:lastRenderedPageBreak/>
        <w:t xml:space="preserve">opportunity to observe how the children were running and how to develop their running.  It was quickly apparent that the children were not lifting their legs at the hip or using their arms.  We put hurdles in the children’s continuous provision and we ‘march’ around the school, developing the balance and stability in the hips.  </w:t>
      </w:r>
    </w:p>
    <w:p w14:paraId="13B862ED" w14:textId="657CAB66" w:rsidR="00952A52" w:rsidRDefault="00952A52" w:rsidP="00952A52">
      <w:pPr>
        <w:spacing w:line="480" w:lineRule="auto"/>
        <w:jc w:val="both"/>
        <w:rPr>
          <w:lang w:val="en-US"/>
        </w:rPr>
      </w:pPr>
      <w:r>
        <w:rPr>
          <w:lang w:val="en-US"/>
        </w:rPr>
        <w:t>In the early sessions, balance was also something the children found challenging.  Again, we looked at continuous provision, adding planks, crates and ‘hedgehogs’ to the outdoor provision.  I also often set up a simple obstacle course in the outdoor area which the children soon adapt and improve on.</w:t>
      </w:r>
    </w:p>
    <w:p w14:paraId="7AC84856" w14:textId="77777777" w:rsidR="00952A52" w:rsidRDefault="00952A52" w:rsidP="00952A52">
      <w:pPr>
        <w:spacing w:line="480" w:lineRule="auto"/>
        <w:jc w:val="both"/>
        <w:rPr>
          <w:lang w:val="en-US"/>
        </w:rPr>
      </w:pPr>
    </w:p>
    <w:p w14:paraId="23B7DF83" w14:textId="038A9430" w:rsidR="00952A52" w:rsidRDefault="00952A52" w:rsidP="00952A52">
      <w:pPr>
        <w:spacing w:line="480" w:lineRule="auto"/>
        <w:jc w:val="both"/>
        <w:rPr>
          <w:lang w:val="en-US"/>
        </w:rPr>
      </w:pPr>
      <w:r>
        <w:rPr>
          <w:lang w:val="en-US"/>
        </w:rPr>
        <w:t>There is one child in my class whose global development, particularly language, was delayed.  He is physically, relatively capable.  He plays very actively, can ride a two-wheel bike, is a ‘scoop’ catcher (</w:t>
      </w:r>
      <w:proofErr w:type="spellStart"/>
      <w:r>
        <w:rPr>
          <w:lang w:val="en-US"/>
        </w:rPr>
        <w:t>Gallahue</w:t>
      </w:r>
      <w:proofErr w:type="spellEnd"/>
      <w:r>
        <w:rPr>
          <w:lang w:val="en-US"/>
        </w:rPr>
        <w:t xml:space="preserve"> et al, 2012). However, his receptive language and working memory are still developing.  In the initial sessions he sometimes became overwhelmed by the verbal instructions around body awareness.  He would struggle with language like ‘low’ and ‘zig zag’.  When I described the splat game – he was very upset.  Once we started and he could see what he had to do, he was able to join in.  I developed some visuals to support the activities and found that he was better able to access activities if there was an analogy.  For example, ‘slither like a snake’, or the </w:t>
      </w:r>
      <w:proofErr w:type="spellStart"/>
      <w:r>
        <w:rPr>
          <w:lang w:val="en-US"/>
        </w:rPr>
        <w:t>Mr</w:t>
      </w:r>
      <w:proofErr w:type="spellEnd"/>
      <w:r>
        <w:rPr>
          <w:lang w:val="en-US"/>
        </w:rPr>
        <w:t xml:space="preserve"> Man game.  I also found the session supported the children’s development of language concepts like over, under, behind, first, last etc. </w:t>
      </w:r>
    </w:p>
    <w:p w14:paraId="766395F4" w14:textId="77777777" w:rsidR="00952A52" w:rsidRDefault="00952A52" w:rsidP="00952A52">
      <w:pPr>
        <w:spacing w:line="480" w:lineRule="auto"/>
        <w:jc w:val="both"/>
        <w:rPr>
          <w:lang w:val="en-US"/>
        </w:rPr>
      </w:pPr>
    </w:p>
    <w:p w14:paraId="60066E05" w14:textId="3AB02114" w:rsidR="00952A52" w:rsidRDefault="00952A52" w:rsidP="00952A52">
      <w:pPr>
        <w:spacing w:line="480" w:lineRule="auto"/>
        <w:jc w:val="both"/>
        <w:rPr>
          <w:lang w:val="en-US"/>
        </w:rPr>
      </w:pPr>
      <w:r>
        <w:rPr>
          <w:lang w:val="en-US"/>
        </w:rPr>
        <w:t xml:space="preserve">In the initial sessions, it was useful to reflect with the teaching assistant that delivered the sessions in nursery.  We shared the feeling that we had assumed the children’s skills were better than we observed, particularly with some children who are academically capable.  We also felt that the fun active and short nature of the activities was benefitting children whose focus and attention is fleeting in other areas.  We also were both using ‘camouflage’ activities to increase children’s opportunities to develop </w:t>
      </w:r>
      <w:proofErr w:type="gramStart"/>
      <w:r>
        <w:rPr>
          <w:lang w:val="en-US"/>
        </w:rPr>
        <w:t>particular skills</w:t>
      </w:r>
      <w:proofErr w:type="gramEnd"/>
      <w:r>
        <w:rPr>
          <w:lang w:val="en-US"/>
        </w:rPr>
        <w:t xml:space="preserve"> that were needed like marching and balancing.  We also discussed our role in encouraging the children to challenge themselves.  Using phrases like ‘I wonder if anyone can …’ and ‘I noticed … doing</w:t>
      </w:r>
      <w:proofErr w:type="gramStart"/>
      <w:r>
        <w:rPr>
          <w:lang w:val="en-US"/>
        </w:rPr>
        <w:t xml:space="preserve"> ..</w:t>
      </w:r>
      <w:proofErr w:type="gramEnd"/>
      <w:r>
        <w:rPr>
          <w:lang w:val="en-US"/>
        </w:rPr>
        <w:t xml:space="preserve">’  often prompted the children to challenge themselves and to watch each other more.  In a game of statues </w:t>
      </w:r>
      <w:r>
        <w:rPr>
          <w:lang w:val="en-US"/>
        </w:rPr>
        <w:lastRenderedPageBreak/>
        <w:t xml:space="preserve">where the children had to balance as a statue, using “I wonder if any of the statues have their hands on the floor’ or ‘I wonder if any statues are on one leg’ meant that children tried these </w:t>
      </w:r>
      <w:proofErr w:type="gramStart"/>
      <w:r>
        <w:rPr>
          <w:lang w:val="en-US"/>
        </w:rPr>
        <w:t>and also</w:t>
      </w:r>
      <w:proofErr w:type="gramEnd"/>
      <w:r>
        <w:rPr>
          <w:lang w:val="en-US"/>
        </w:rPr>
        <w:t xml:space="preserve"> looked to see if anyone else was.</w:t>
      </w:r>
    </w:p>
    <w:p w14:paraId="11F1C7CC" w14:textId="77777777" w:rsidR="00952A52" w:rsidRDefault="00952A52" w:rsidP="00952A52">
      <w:pPr>
        <w:spacing w:line="480" w:lineRule="auto"/>
        <w:jc w:val="both"/>
        <w:rPr>
          <w:lang w:val="en-US"/>
        </w:rPr>
      </w:pPr>
    </w:p>
    <w:p w14:paraId="71B78FF4" w14:textId="23B117F4" w:rsidR="00952A52" w:rsidRDefault="00952A52" w:rsidP="00952A52">
      <w:pPr>
        <w:spacing w:line="480" w:lineRule="auto"/>
        <w:jc w:val="both"/>
        <w:rPr>
          <w:lang w:val="en-US"/>
        </w:rPr>
      </w:pPr>
      <w:r>
        <w:rPr>
          <w:lang w:val="en-US"/>
        </w:rPr>
        <w:t>The training also changed my interventions with children.  Prior to the training I did not have the knowledge of the stages of development (</w:t>
      </w:r>
      <w:proofErr w:type="spellStart"/>
      <w:r>
        <w:rPr>
          <w:lang w:val="en-US"/>
        </w:rPr>
        <w:t>Gallahue</w:t>
      </w:r>
      <w:proofErr w:type="spellEnd"/>
      <w:r>
        <w:rPr>
          <w:lang w:val="en-US"/>
        </w:rPr>
        <w:t xml:space="preserve"> et al, 2012) so even when it was apparent that the children were finding catching difficult, I wouldn’t have had the knowledge of how to intervene by changing the constraints of the task or environment following Newell’s Constraints Model (Haywood </w:t>
      </w:r>
      <w:proofErr w:type="gramStart"/>
      <w:r>
        <w:rPr>
          <w:lang w:val="en-US"/>
        </w:rPr>
        <w:t>an</w:t>
      </w:r>
      <w:proofErr w:type="gramEnd"/>
      <w:r>
        <w:rPr>
          <w:lang w:val="en-US"/>
        </w:rPr>
        <w:t xml:space="preserve"> Getchell, 2019).  When the children were embarking on developing their catching, I concentrated just on catching, rather than catching and throwing.  I was able to provide a range of suitable resources targeted at the children’s stage of catching.  All the children used the scarves to develop tracking.  I started all the children rolling, before moving the children who were able to track onto the next stage.  When the children were able to scoop, I could provide large, tactile balls and beach balls if they were needed.  One pair were successful standing and rolling but found the shift to catching difficult.  I encouraged them to stand very close with a large ball with a very grippy surface to encourage passing hand to hands with lots of contact with the ball.  On reflection, I could have used throwing and catching scarves individually to see if they were anticipating catching by stepping ready to hand catch (</w:t>
      </w:r>
      <w:proofErr w:type="spellStart"/>
      <w:r>
        <w:rPr>
          <w:lang w:val="en-US"/>
        </w:rPr>
        <w:t>Gallahue</w:t>
      </w:r>
      <w:proofErr w:type="spellEnd"/>
      <w:r>
        <w:rPr>
          <w:lang w:val="en-US"/>
        </w:rPr>
        <w:t xml:space="preserve"> et al, 2012).</w:t>
      </w:r>
    </w:p>
    <w:p w14:paraId="5BF0A9D4" w14:textId="77777777" w:rsidR="00952A52" w:rsidRDefault="00952A52" w:rsidP="00952A52">
      <w:pPr>
        <w:spacing w:line="480" w:lineRule="auto"/>
        <w:jc w:val="both"/>
        <w:rPr>
          <w:lang w:val="en-US"/>
        </w:rPr>
      </w:pPr>
    </w:p>
    <w:p w14:paraId="2A1A7130" w14:textId="6643EB9D" w:rsidR="00952A52" w:rsidRDefault="00952A52" w:rsidP="00952A52">
      <w:pPr>
        <w:spacing w:line="480" w:lineRule="auto"/>
        <w:jc w:val="both"/>
        <w:rPr>
          <w:lang w:val="en-US"/>
        </w:rPr>
      </w:pPr>
      <w:r>
        <w:rPr>
          <w:lang w:val="en-US"/>
        </w:rPr>
        <w:t xml:space="preserve">As the children moved onto the next phase of lessons, focusing on throwing, I noticed that their familiarity with the type of lessons, the ideas of gardens, obstacle courses and the use of a range of appealing equipment meant they were very motivated by the opportunities.  As an initial session on throwing, I took bean bags, fluff balls and stretchy balls to the field.  I gave children access to these alongside other balls, hoops and their </w:t>
      </w:r>
      <w:proofErr w:type="spellStart"/>
      <w:r>
        <w:rPr>
          <w:lang w:val="en-US"/>
        </w:rPr>
        <w:t>favourite</w:t>
      </w:r>
      <w:proofErr w:type="spellEnd"/>
      <w:r>
        <w:rPr>
          <w:lang w:val="en-US"/>
        </w:rPr>
        <w:t xml:space="preserve"> grassy bank.  I gave no direction other than ‘these are for throwing.’  I was keen to see what stages the children were at and which children would embrace the opportunity and who might avoid or quickly lose interest.  I felt that children who avoided or moved away from opportunities to develop their skills might be at risk of failing to reach the proficiency barrier described by </w:t>
      </w:r>
      <w:proofErr w:type="spellStart"/>
      <w:r>
        <w:rPr>
          <w:lang w:val="en-US"/>
        </w:rPr>
        <w:t>Seefeldt</w:t>
      </w:r>
      <w:proofErr w:type="spellEnd"/>
      <w:r>
        <w:rPr>
          <w:lang w:val="en-US"/>
        </w:rPr>
        <w:t xml:space="preserve"> </w:t>
      </w:r>
      <w:r>
        <w:rPr>
          <w:lang w:val="en-US"/>
        </w:rPr>
        <w:lastRenderedPageBreak/>
        <w:t>(</w:t>
      </w:r>
      <w:proofErr w:type="spellStart"/>
      <w:r>
        <w:rPr>
          <w:lang w:val="en-US"/>
        </w:rPr>
        <w:t>Seefeldt</w:t>
      </w:r>
      <w:proofErr w:type="spellEnd"/>
      <w:r>
        <w:rPr>
          <w:lang w:val="en-US"/>
        </w:rPr>
        <w:t xml:space="preserve">, 1980).  I was interested to see if </w:t>
      </w:r>
      <w:proofErr w:type="spellStart"/>
      <w:r>
        <w:rPr>
          <w:lang w:val="en-US"/>
        </w:rPr>
        <w:t>Stodden’s</w:t>
      </w:r>
      <w:proofErr w:type="spellEnd"/>
      <w:r>
        <w:rPr>
          <w:lang w:val="en-US"/>
        </w:rPr>
        <w:t xml:space="preserve"> model of engagement would be apparent amongst 3-, 4- and 5-year-olds (</w:t>
      </w:r>
      <w:proofErr w:type="spellStart"/>
      <w:r>
        <w:rPr>
          <w:lang w:val="en-US"/>
        </w:rPr>
        <w:t>Stodden</w:t>
      </w:r>
      <w:proofErr w:type="spellEnd"/>
      <w:r>
        <w:rPr>
          <w:lang w:val="en-US"/>
        </w:rPr>
        <w:t xml:space="preserve"> et al, 2008). There were children who did not throw a single thing!  Some threw everything, repeatedly for most of the session.  One new nursery child who barely speaks during sessions played throwing and catching with a teaching assistant for 15 minutes.  No child said that they couldn’t throw, but some were very reluctant to engage, although they masked it by being very interested in other activities.  From this, I knew that throwing activities would need to be motivating and set the children up to succeed.  I considered the environmental constraints for this following Newell’s constraints model (Haywood and Getchell, 2019).  I used a wall that divides our playground in two and made the challenge to throw the bean bag, fluff ball </w:t>
      </w:r>
      <w:proofErr w:type="spellStart"/>
      <w:r>
        <w:rPr>
          <w:lang w:val="en-US"/>
        </w:rPr>
        <w:t>etc</w:t>
      </w:r>
      <w:proofErr w:type="spellEnd"/>
      <w:r>
        <w:rPr>
          <w:lang w:val="en-US"/>
        </w:rPr>
        <w:t xml:space="preserve"> over the wall.  The wall was high enough to require an over arm action but was achievable by most children.  Once they could throw over the wall, they moved their spot back away from the wall.  I used two children who demonstrated a more proficient throw with a wind up and step to model for the other children.  They all tried stepping, but they often got the wrong foot, or the step and throw were not a smooth action.  Using stickers to mark the correct foot in the next session helped but I noticed two children, one of whom is predominantly left-handed, swapped hands for throwing.  The stepping action is something that will need further work so I will incorporate stepping and landing on one foot to build confidence and strength with transfer of weight.</w:t>
      </w:r>
    </w:p>
    <w:p w14:paraId="56B2C80A" w14:textId="77777777" w:rsidR="00952A52" w:rsidRDefault="00952A52" w:rsidP="00952A52">
      <w:pPr>
        <w:spacing w:line="480" w:lineRule="auto"/>
        <w:jc w:val="both"/>
        <w:rPr>
          <w:lang w:val="en-US"/>
        </w:rPr>
      </w:pPr>
    </w:p>
    <w:p w14:paraId="5375077E" w14:textId="77777777" w:rsidR="00952A52" w:rsidRDefault="00952A52" w:rsidP="00952A52">
      <w:pPr>
        <w:spacing w:line="480" w:lineRule="auto"/>
        <w:jc w:val="both"/>
        <w:rPr>
          <w:lang w:val="en-US"/>
        </w:rPr>
      </w:pPr>
      <w:r>
        <w:rPr>
          <w:lang w:val="en-US"/>
        </w:rPr>
        <w:t xml:space="preserve">In conclusion, involvement in the SKIP </w:t>
      </w:r>
      <w:proofErr w:type="spellStart"/>
      <w:r>
        <w:rPr>
          <w:lang w:val="en-US"/>
        </w:rPr>
        <w:t>programme</w:t>
      </w:r>
      <w:proofErr w:type="spellEnd"/>
      <w:r>
        <w:rPr>
          <w:lang w:val="en-US"/>
        </w:rPr>
        <w:t xml:space="preserve"> has impacted on both my practice as a teacher </w:t>
      </w:r>
      <w:proofErr w:type="gramStart"/>
      <w:r>
        <w:rPr>
          <w:lang w:val="en-US"/>
        </w:rPr>
        <w:t>and also</w:t>
      </w:r>
      <w:proofErr w:type="gramEnd"/>
      <w:r>
        <w:rPr>
          <w:lang w:val="en-US"/>
        </w:rPr>
        <w:t xml:space="preserve"> the experiences of the children in my class.  In terms of the children’s physical development the teachers and assistants have better knowledge of the stages of development but also the fundamental significance and the issues that may arise form not developing the skills in this period.  It has placed a greater value on physical development meaning that teaching assistants are better equipped to observe, intervene and provide the opportunities to teach the necessary skills.  Having all staff in foundation phase train together means that we </w:t>
      </w:r>
      <w:proofErr w:type="gramStart"/>
      <w:r>
        <w:rPr>
          <w:lang w:val="en-US"/>
        </w:rPr>
        <w:t>are able to</w:t>
      </w:r>
      <w:proofErr w:type="gramEnd"/>
      <w:r>
        <w:rPr>
          <w:lang w:val="en-US"/>
        </w:rPr>
        <w:t xml:space="preserve"> have professional dialogue around continuous provision that will support development.  In our situation, the teaching assistants are new to the role and learning about the importance of sensory integration and understanding how important the early physical development </w:t>
      </w:r>
      <w:r>
        <w:rPr>
          <w:lang w:val="en-US"/>
        </w:rPr>
        <w:lastRenderedPageBreak/>
        <w:t xml:space="preserve">is for all learning and development has led them to place greater value on physical and outdoor play. Beyond the SKIP session themselves I have found Newell’s constraint model a </w:t>
      </w:r>
      <w:proofErr w:type="gramStart"/>
      <w:r>
        <w:rPr>
          <w:lang w:val="en-US"/>
        </w:rPr>
        <w:t>really useful</w:t>
      </w:r>
      <w:proofErr w:type="gramEnd"/>
      <w:r>
        <w:rPr>
          <w:lang w:val="en-US"/>
        </w:rPr>
        <w:t xml:space="preserve"> tool for teaching in many areas.  As a school we have focused on our role in developing the children’s independence in all learning.  Using the model of adjusting the task and the environment has helped me to understand how to put in and reduce the support required.  Moving forward, I would like to develop our ability to identify children who may require targeted support in developing their physical skills.  It would also be interesting to build knowledge among key stage 2 staff to ensure that children have the necessary skills prior to introducing more sport specific and competitive skills.  We are looking at developing the children’s attitudes towards learning and I am planning on using the SKIP sessions as the children will already be familiar with how they can adjust the task to an appropriate level of challenge and to recognize the value of effort and how practice leads to improvement in performance.</w:t>
      </w:r>
    </w:p>
    <w:p w14:paraId="4BAD4A6F" w14:textId="77777777" w:rsidR="00952A52" w:rsidRDefault="00952A52" w:rsidP="00952A52">
      <w:pPr>
        <w:rPr>
          <w:lang w:val="en-US"/>
        </w:rPr>
      </w:pPr>
    </w:p>
    <w:p w14:paraId="520D601C" w14:textId="77777777" w:rsidR="00952A52" w:rsidRDefault="00952A52" w:rsidP="00952A52">
      <w:pPr>
        <w:rPr>
          <w:lang w:val="en-US"/>
        </w:rPr>
      </w:pPr>
    </w:p>
    <w:p w14:paraId="662CFF91" w14:textId="77777777" w:rsidR="00952A52" w:rsidRDefault="00952A52" w:rsidP="00952A52">
      <w:pPr>
        <w:rPr>
          <w:lang w:val="en-US"/>
        </w:rPr>
      </w:pPr>
      <w:r>
        <w:rPr>
          <w:lang w:val="en-US"/>
        </w:rPr>
        <w:t>References</w:t>
      </w:r>
    </w:p>
    <w:p w14:paraId="67553F01" w14:textId="77777777" w:rsidR="00952A52" w:rsidRPr="00B23B84" w:rsidRDefault="00952A52" w:rsidP="00952A52">
      <w:pPr>
        <w:spacing w:line="480" w:lineRule="auto"/>
        <w:ind w:left="284" w:right="-52" w:hanging="284"/>
        <w:rPr>
          <w:rFonts w:cstheme="minorHAnsi"/>
          <w:color w:val="000000" w:themeColor="text1"/>
        </w:rPr>
      </w:pPr>
      <w:r w:rsidRPr="00B23B84">
        <w:rPr>
          <w:rFonts w:cstheme="minorHAnsi"/>
          <w:color w:val="000000" w:themeColor="text1"/>
          <w:shd w:val="clear" w:color="auto" w:fill="FFFFFF"/>
        </w:rPr>
        <w:t>Ayres, A. J., &amp; Robbins, J. (2005).</w:t>
      </w:r>
      <w:r w:rsidRPr="00B23B84">
        <w:rPr>
          <w:rStyle w:val="apple-converted-space"/>
          <w:rFonts w:cstheme="minorHAnsi"/>
          <w:color w:val="000000" w:themeColor="text1"/>
          <w:shd w:val="clear" w:color="auto" w:fill="FFFFFF"/>
        </w:rPr>
        <w:t> </w:t>
      </w:r>
      <w:r w:rsidRPr="00B23B84">
        <w:rPr>
          <w:rFonts w:cstheme="minorHAnsi"/>
          <w:i/>
          <w:iCs/>
          <w:color w:val="000000" w:themeColor="text1"/>
        </w:rPr>
        <w:t>Sensory integration and the child: Understanding hidden sensory challenges</w:t>
      </w:r>
      <w:r w:rsidRPr="00B23B84">
        <w:rPr>
          <w:rFonts w:cstheme="minorHAnsi"/>
          <w:color w:val="000000" w:themeColor="text1"/>
          <w:shd w:val="clear" w:color="auto" w:fill="FFFFFF"/>
        </w:rPr>
        <w:t>. Western Psychological Services.</w:t>
      </w:r>
    </w:p>
    <w:p w14:paraId="4C5F07B1" w14:textId="77777777" w:rsidR="00952A52" w:rsidRDefault="00952A52" w:rsidP="00952A52">
      <w:pPr>
        <w:spacing w:line="480" w:lineRule="auto"/>
        <w:ind w:left="284" w:right="-52" w:hanging="284"/>
        <w:rPr>
          <w:rFonts w:cstheme="minorHAnsi"/>
          <w:color w:val="000000" w:themeColor="text1"/>
          <w:shd w:val="clear" w:color="auto" w:fill="FFFFFF"/>
        </w:rPr>
      </w:pPr>
      <w:r w:rsidRPr="00B23B84">
        <w:rPr>
          <w:rFonts w:cstheme="minorHAnsi"/>
          <w:color w:val="000000" w:themeColor="text1"/>
          <w:shd w:val="clear" w:color="auto" w:fill="FFFFFF"/>
        </w:rPr>
        <w:t>Clark, J. E., &amp; Metcalfe, J. S. (2002). The mountain of motor development: A metaphor.</w:t>
      </w:r>
      <w:r w:rsidRPr="00B23B84">
        <w:rPr>
          <w:rStyle w:val="apple-converted-space"/>
          <w:rFonts w:cstheme="minorHAnsi"/>
          <w:color w:val="000000" w:themeColor="text1"/>
          <w:shd w:val="clear" w:color="auto" w:fill="FFFFFF"/>
        </w:rPr>
        <w:t> </w:t>
      </w:r>
      <w:r w:rsidRPr="00B23B84">
        <w:rPr>
          <w:rFonts w:cstheme="minorHAnsi"/>
          <w:i/>
          <w:iCs/>
          <w:color w:val="000000" w:themeColor="text1"/>
        </w:rPr>
        <w:t>Motor development: Research and reviews</w:t>
      </w:r>
      <w:r w:rsidRPr="00B23B84">
        <w:rPr>
          <w:rFonts w:cstheme="minorHAnsi"/>
          <w:color w:val="000000" w:themeColor="text1"/>
          <w:shd w:val="clear" w:color="auto" w:fill="FFFFFF"/>
        </w:rPr>
        <w:t>,</w:t>
      </w:r>
      <w:r w:rsidRPr="00B23B84">
        <w:rPr>
          <w:rStyle w:val="apple-converted-space"/>
          <w:rFonts w:cstheme="minorHAnsi"/>
          <w:color w:val="000000" w:themeColor="text1"/>
          <w:shd w:val="clear" w:color="auto" w:fill="FFFFFF"/>
        </w:rPr>
        <w:t> </w:t>
      </w:r>
      <w:r w:rsidRPr="00B23B84">
        <w:rPr>
          <w:rFonts w:cstheme="minorHAnsi"/>
          <w:i/>
          <w:iCs/>
          <w:color w:val="000000" w:themeColor="text1"/>
        </w:rPr>
        <w:t>2</w:t>
      </w:r>
      <w:r w:rsidRPr="00B23B84">
        <w:rPr>
          <w:rFonts w:cstheme="minorHAnsi"/>
          <w:color w:val="000000" w:themeColor="text1"/>
          <w:shd w:val="clear" w:color="auto" w:fill="FFFFFF"/>
        </w:rPr>
        <w:t>(163-190), 183-202.</w:t>
      </w:r>
    </w:p>
    <w:p w14:paraId="74B6F494" w14:textId="77777777" w:rsidR="00952A52" w:rsidRPr="00B23B84" w:rsidRDefault="00952A52" w:rsidP="00952A52">
      <w:pPr>
        <w:spacing w:line="480" w:lineRule="auto"/>
        <w:ind w:left="284" w:right="-52" w:hanging="284"/>
        <w:rPr>
          <w:rFonts w:eastAsiaTheme="minorEastAsia" w:cstheme="minorHAnsi"/>
          <w:color w:val="000000" w:themeColor="text1"/>
        </w:rPr>
      </w:pPr>
      <w:proofErr w:type="spellStart"/>
      <w:r w:rsidRPr="00B23B84">
        <w:rPr>
          <w:rFonts w:eastAsiaTheme="minorEastAsia" w:cstheme="minorHAnsi"/>
          <w:color w:val="000000" w:themeColor="text1"/>
        </w:rPr>
        <w:t>Gallahue</w:t>
      </w:r>
      <w:proofErr w:type="spellEnd"/>
      <w:r w:rsidRPr="00B23B84">
        <w:rPr>
          <w:rFonts w:eastAsiaTheme="minorEastAsia" w:cstheme="minorHAnsi"/>
          <w:color w:val="000000" w:themeColor="text1"/>
        </w:rPr>
        <w:t xml:space="preserve">, D., Ozmun, J. and Goodway, J. (2012). Understanding motor development: Infants, children, adolescents, adults. 7th ed. New York: McGraw Hill Higher Education. </w:t>
      </w:r>
    </w:p>
    <w:p w14:paraId="29D1C575" w14:textId="77777777" w:rsidR="00952A52" w:rsidRPr="00DB35AD" w:rsidRDefault="00952A52" w:rsidP="00952A52">
      <w:pPr>
        <w:spacing w:line="480" w:lineRule="auto"/>
        <w:rPr>
          <w:rFonts w:cstheme="minorHAnsi"/>
          <w:color w:val="000000" w:themeColor="text1"/>
          <w:shd w:val="clear" w:color="auto" w:fill="FFFFFF"/>
        </w:rPr>
      </w:pPr>
      <w:r w:rsidRPr="002B787D">
        <w:rPr>
          <w:rFonts w:cstheme="minorHAnsi"/>
          <w:color w:val="000000" w:themeColor="text1"/>
          <w:shd w:val="clear" w:color="auto" w:fill="FFFFFF"/>
        </w:rPr>
        <w:t>Haywood, K. M., &amp; Getchell, N. (2019). </w:t>
      </w:r>
      <w:r w:rsidRPr="002B787D">
        <w:rPr>
          <w:rFonts w:cstheme="minorHAnsi"/>
          <w:i/>
          <w:iCs/>
          <w:color w:val="000000" w:themeColor="text1"/>
        </w:rPr>
        <w:t>Life span motor development</w:t>
      </w:r>
      <w:r w:rsidRPr="002B787D">
        <w:rPr>
          <w:rFonts w:cstheme="minorHAnsi"/>
          <w:color w:val="000000" w:themeColor="text1"/>
          <w:shd w:val="clear" w:color="auto" w:fill="FFFFFF"/>
        </w:rPr>
        <w:t>. Human kinetics.</w:t>
      </w:r>
    </w:p>
    <w:p w14:paraId="6F90DE5C" w14:textId="77777777" w:rsidR="00952A52" w:rsidRPr="00B23B84" w:rsidRDefault="00952A52" w:rsidP="00952A52">
      <w:pPr>
        <w:spacing w:line="480" w:lineRule="auto"/>
        <w:ind w:left="284" w:right="-52" w:hanging="284"/>
        <w:rPr>
          <w:rFonts w:cstheme="minorHAnsi"/>
          <w:color w:val="000000" w:themeColor="text1"/>
        </w:rPr>
      </w:pPr>
      <w:proofErr w:type="spellStart"/>
      <w:r w:rsidRPr="00B23B84">
        <w:rPr>
          <w:rFonts w:cstheme="minorHAnsi"/>
          <w:color w:val="000000" w:themeColor="text1"/>
          <w:shd w:val="clear" w:color="auto" w:fill="FFFFFF"/>
        </w:rPr>
        <w:t>Seefeldt</w:t>
      </w:r>
      <w:proofErr w:type="spellEnd"/>
      <w:r w:rsidRPr="00B23B84">
        <w:rPr>
          <w:rFonts w:cstheme="minorHAnsi"/>
          <w:color w:val="000000" w:themeColor="text1"/>
          <w:shd w:val="clear" w:color="auto" w:fill="FFFFFF"/>
        </w:rPr>
        <w:t>, V. (1980). Developmental motor patterns: Implications for elementary school physical education. </w:t>
      </w:r>
      <w:r w:rsidRPr="00B23B84">
        <w:rPr>
          <w:rFonts w:cstheme="minorHAnsi"/>
          <w:i/>
          <w:iCs/>
          <w:color w:val="000000" w:themeColor="text1"/>
        </w:rPr>
        <w:t xml:space="preserve">Psychology of motor </w:t>
      </w:r>
      <w:proofErr w:type="spellStart"/>
      <w:r w:rsidRPr="00B23B84">
        <w:rPr>
          <w:rFonts w:cstheme="minorHAnsi"/>
          <w:i/>
          <w:iCs/>
          <w:color w:val="000000" w:themeColor="text1"/>
        </w:rPr>
        <w:t>behavior</w:t>
      </w:r>
      <w:proofErr w:type="spellEnd"/>
      <w:r w:rsidRPr="00B23B84">
        <w:rPr>
          <w:rFonts w:cstheme="minorHAnsi"/>
          <w:i/>
          <w:iCs/>
          <w:color w:val="000000" w:themeColor="text1"/>
        </w:rPr>
        <w:t xml:space="preserve"> and sport</w:t>
      </w:r>
      <w:r w:rsidRPr="00B23B84">
        <w:rPr>
          <w:rFonts w:cstheme="minorHAnsi"/>
          <w:color w:val="000000" w:themeColor="text1"/>
          <w:shd w:val="clear" w:color="auto" w:fill="FFFFFF"/>
        </w:rPr>
        <w:t>, </w:t>
      </w:r>
      <w:r w:rsidRPr="00B23B84">
        <w:rPr>
          <w:rFonts w:cstheme="minorHAnsi"/>
          <w:i/>
          <w:iCs/>
          <w:color w:val="000000" w:themeColor="text1"/>
        </w:rPr>
        <w:t>36</w:t>
      </w:r>
      <w:r w:rsidRPr="00B23B84">
        <w:rPr>
          <w:rFonts w:cstheme="minorHAnsi"/>
          <w:color w:val="000000" w:themeColor="text1"/>
          <w:shd w:val="clear" w:color="auto" w:fill="FFFFFF"/>
        </w:rPr>
        <w:t>(6), 314-323.</w:t>
      </w:r>
    </w:p>
    <w:p w14:paraId="23AF6CDB" w14:textId="77777777" w:rsidR="00952A52" w:rsidRPr="00B23B84" w:rsidRDefault="00952A52" w:rsidP="00952A52">
      <w:pPr>
        <w:spacing w:line="480" w:lineRule="auto"/>
        <w:ind w:left="284" w:right="-52" w:hanging="284"/>
        <w:rPr>
          <w:rFonts w:cstheme="minorHAnsi"/>
          <w:color w:val="000000" w:themeColor="text1"/>
        </w:rPr>
      </w:pPr>
      <w:proofErr w:type="spellStart"/>
      <w:r w:rsidRPr="00B23B84">
        <w:rPr>
          <w:rFonts w:cstheme="minorHAnsi"/>
          <w:color w:val="000000" w:themeColor="text1"/>
          <w:shd w:val="clear" w:color="auto" w:fill="FFFFFF"/>
        </w:rPr>
        <w:t>Stodden</w:t>
      </w:r>
      <w:proofErr w:type="spellEnd"/>
      <w:r w:rsidRPr="00B23B84">
        <w:rPr>
          <w:rFonts w:cstheme="minorHAnsi"/>
          <w:color w:val="000000" w:themeColor="text1"/>
          <w:shd w:val="clear" w:color="auto" w:fill="FFFFFF"/>
        </w:rPr>
        <w:t xml:space="preserve">, D. F., Goodway, J. D., </w:t>
      </w:r>
      <w:proofErr w:type="spellStart"/>
      <w:r w:rsidRPr="00B23B84">
        <w:rPr>
          <w:rFonts w:cstheme="minorHAnsi"/>
          <w:color w:val="000000" w:themeColor="text1"/>
          <w:shd w:val="clear" w:color="auto" w:fill="FFFFFF"/>
        </w:rPr>
        <w:t>Langendorfer</w:t>
      </w:r>
      <w:proofErr w:type="spellEnd"/>
      <w:r w:rsidRPr="00B23B84">
        <w:rPr>
          <w:rFonts w:cstheme="minorHAnsi"/>
          <w:color w:val="000000" w:themeColor="text1"/>
          <w:shd w:val="clear" w:color="auto" w:fill="FFFFFF"/>
        </w:rPr>
        <w:t xml:space="preserve">, S. J., </w:t>
      </w:r>
      <w:proofErr w:type="spellStart"/>
      <w:r w:rsidRPr="00B23B84">
        <w:rPr>
          <w:rFonts w:cstheme="minorHAnsi"/>
          <w:color w:val="000000" w:themeColor="text1"/>
          <w:shd w:val="clear" w:color="auto" w:fill="FFFFFF"/>
        </w:rPr>
        <w:t>Roberton</w:t>
      </w:r>
      <w:proofErr w:type="spellEnd"/>
      <w:r w:rsidRPr="00B23B84">
        <w:rPr>
          <w:rFonts w:cstheme="minorHAnsi"/>
          <w:color w:val="000000" w:themeColor="text1"/>
          <w:shd w:val="clear" w:color="auto" w:fill="FFFFFF"/>
        </w:rPr>
        <w:t xml:space="preserve">, M. A., </w:t>
      </w:r>
      <w:proofErr w:type="spellStart"/>
      <w:r w:rsidRPr="00B23B84">
        <w:rPr>
          <w:rFonts w:cstheme="minorHAnsi"/>
          <w:color w:val="000000" w:themeColor="text1"/>
          <w:shd w:val="clear" w:color="auto" w:fill="FFFFFF"/>
        </w:rPr>
        <w:t>Rudisill</w:t>
      </w:r>
      <w:proofErr w:type="spellEnd"/>
      <w:r w:rsidRPr="00B23B84">
        <w:rPr>
          <w:rFonts w:cstheme="minorHAnsi"/>
          <w:color w:val="000000" w:themeColor="text1"/>
          <w:shd w:val="clear" w:color="auto" w:fill="FFFFFF"/>
        </w:rPr>
        <w:t>, M. E., Garcia, C., &amp; Garcia, L. E. (2008). A developmental perspective on the role of motor skill competence in physical activity: An emergent relationship. </w:t>
      </w:r>
      <w:r w:rsidRPr="00B23B84">
        <w:rPr>
          <w:rFonts w:cstheme="minorHAnsi"/>
          <w:i/>
          <w:iCs/>
          <w:color w:val="000000" w:themeColor="text1"/>
        </w:rPr>
        <w:t>Quest</w:t>
      </w:r>
      <w:r w:rsidRPr="00B23B84">
        <w:rPr>
          <w:rFonts w:cstheme="minorHAnsi"/>
          <w:color w:val="000000" w:themeColor="text1"/>
          <w:shd w:val="clear" w:color="auto" w:fill="FFFFFF"/>
        </w:rPr>
        <w:t>, </w:t>
      </w:r>
      <w:r w:rsidRPr="00B23B84">
        <w:rPr>
          <w:rFonts w:cstheme="minorHAnsi"/>
          <w:i/>
          <w:iCs/>
          <w:color w:val="000000" w:themeColor="text1"/>
        </w:rPr>
        <w:t>60</w:t>
      </w:r>
      <w:r w:rsidRPr="00B23B84">
        <w:rPr>
          <w:rFonts w:cstheme="minorHAnsi"/>
          <w:color w:val="000000" w:themeColor="text1"/>
          <w:shd w:val="clear" w:color="auto" w:fill="FFFFFF"/>
        </w:rPr>
        <w:t>(2), 290-306.</w:t>
      </w:r>
    </w:p>
    <w:p w14:paraId="1BEFC3BC" w14:textId="77777777" w:rsidR="00952A52" w:rsidRDefault="00952A52" w:rsidP="00952A52">
      <w:pPr>
        <w:rPr>
          <w:lang w:val="en-US"/>
        </w:rPr>
      </w:pPr>
    </w:p>
    <w:p w14:paraId="5834C349" w14:textId="77777777" w:rsidR="00952A52" w:rsidRDefault="00952A52" w:rsidP="00952A52">
      <w:pPr>
        <w:rPr>
          <w:lang w:val="en-US"/>
        </w:rPr>
      </w:pPr>
    </w:p>
    <w:p w14:paraId="7B34A600" w14:textId="77777777" w:rsidR="00952A52" w:rsidRDefault="00952A52" w:rsidP="00952A52">
      <w:pPr>
        <w:rPr>
          <w:lang w:val="en-US"/>
        </w:rPr>
      </w:pPr>
    </w:p>
    <w:p w14:paraId="2DD15014" w14:textId="77777777" w:rsidR="00952A52" w:rsidRDefault="00952A52" w:rsidP="00952A52">
      <w:pPr>
        <w:rPr>
          <w:lang w:val="en-US"/>
        </w:rPr>
      </w:pPr>
    </w:p>
    <w:p w14:paraId="51F9CF54" w14:textId="77777777" w:rsidR="00952A52" w:rsidRDefault="00952A52" w:rsidP="00952A52">
      <w:pPr>
        <w:rPr>
          <w:lang w:val="en-US"/>
        </w:rPr>
      </w:pPr>
    </w:p>
    <w:p w14:paraId="7793AEF7" w14:textId="77777777" w:rsidR="00952A52" w:rsidRDefault="00952A52" w:rsidP="00952A52">
      <w:pPr>
        <w:rPr>
          <w:lang w:val="en-US"/>
        </w:rPr>
      </w:pPr>
    </w:p>
    <w:p w14:paraId="77AC37AF" w14:textId="77777777" w:rsidR="00952A52" w:rsidRDefault="00952A52" w:rsidP="00952A52">
      <w:pPr>
        <w:rPr>
          <w:lang w:val="en-US"/>
        </w:rPr>
      </w:pPr>
    </w:p>
    <w:p w14:paraId="24E11B74" w14:textId="77777777" w:rsidR="00952A52" w:rsidRDefault="00952A52" w:rsidP="00952A52">
      <w:pPr>
        <w:rPr>
          <w:lang w:val="en-US"/>
        </w:rPr>
      </w:pPr>
    </w:p>
    <w:p w14:paraId="6AE6F3C0" w14:textId="77777777" w:rsidR="00952A52" w:rsidRPr="00EB3429" w:rsidRDefault="00952A52" w:rsidP="00952A52">
      <w:pPr>
        <w:rPr>
          <w:lang w:val="en-US"/>
        </w:rPr>
      </w:pPr>
    </w:p>
    <w:p w14:paraId="3921F8F2" w14:textId="77777777" w:rsidR="00952A52" w:rsidRDefault="00952A52" w:rsidP="00952A52">
      <w:pPr>
        <w:rPr>
          <w:lang w:val="en-US"/>
        </w:rPr>
      </w:pPr>
    </w:p>
    <w:p w14:paraId="675840D7" w14:textId="77777777" w:rsidR="00952A52" w:rsidRDefault="00952A52" w:rsidP="00952A52">
      <w:pPr>
        <w:rPr>
          <w:lang w:val="en-US"/>
        </w:rPr>
      </w:pPr>
    </w:p>
    <w:p w14:paraId="3FBC6BA5" w14:textId="77777777" w:rsidR="00952A52" w:rsidRDefault="00952A52" w:rsidP="00952A52">
      <w:pPr>
        <w:rPr>
          <w:lang w:val="en-US"/>
        </w:rPr>
      </w:pPr>
    </w:p>
    <w:p w14:paraId="3A7A763A" w14:textId="77777777" w:rsidR="00952A52" w:rsidRPr="00EB3429" w:rsidRDefault="00952A52" w:rsidP="00952A52">
      <w:pPr>
        <w:rPr>
          <w:lang w:val="en-US"/>
        </w:rPr>
      </w:pPr>
    </w:p>
    <w:p w14:paraId="7396C13B" w14:textId="77777777" w:rsidR="00D6095A" w:rsidRPr="006C710C" w:rsidRDefault="00D6095A" w:rsidP="00D6095A">
      <w:pPr>
        <w:rPr>
          <w:rFonts w:cstheme="minorHAnsi"/>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7777777" w:rsidR="00C6371F" w:rsidRPr="007F7CF1" w:rsidRDefault="00D6095A" w:rsidP="004150A6">
      <w:pPr>
        <w:jc w:val="center"/>
        <w:rPr>
          <w:rFonts w:eastAsia="Times New Roman"/>
          <w:b/>
          <w:sz w:val="24"/>
          <w:szCs w:val="24"/>
        </w:rPr>
      </w:pPr>
      <w:r w:rsidRPr="007F7CF1">
        <w:rPr>
          <w:b/>
          <w:sz w:val="52"/>
        </w:rPr>
        <w:t>Failure to follow these guidelines will cost you marks!</w:t>
      </w:r>
    </w:p>
    <w:sectPr w:rsidR="00C6371F" w:rsidRPr="007F7CF1" w:rsidSect="00B828B7">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9BA41" w14:textId="77777777" w:rsidR="00B72A1B" w:rsidRDefault="00B72A1B" w:rsidP="0077207E">
      <w:pPr>
        <w:spacing w:line="240" w:lineRule="auto"/>
      </w:pPr>
      <w:r>
        <w:separator/>
      </w:r>
    </w:p>
  </w:endnote>
  <w:endnote w:type="continuationSeparator" w:id="0">
    <w:p w14:paraId="398637E8" w14:textId="77777777" w:rsidR="00B72A1B" w:rsidRDefault="00B72A1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ebdings">
    <w:panose1 w:val="05030102010509060703"/>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20B0604020202020204"/>
    <w:charset w:val="80"/>
    <w:family w:val="roman"/>
    <w:notTrueType/>
    <w:pitch w:val="fixed"/>
    <w:sig w:usb0="00000000" w:usb1="08070000" w:usb2="00000010" w:usb3="00000000" w:csb0="00020000" w:csb1="00000000"/>
  </w:font>
  <w:font w:name="Times">
    <w:altName w:val="Times"/>
    <w:panose1 w:val="00000500000000020000"/>
    <w:charset w:val="00"/>
    <w:family w:val="auto"/>
    <w:pitch w:val="variable"/>
    <w:sig w:usb0="00000003" w:usb1="00000000" w:usb2="00000000" w:usb3="00000000" w:csb0="00000007"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F418D4" w14:textId="77777777" w:rsidR="00B72A1B" w:rsidRDefault="00B72A1B" w:rsidP="0077207E">
      <w:pPr>
        <w:spacing w:line="240" w:lineRule="auto"/>
      </w:pPr>
      <w:r>
        <w:separator/>
      </w:r>
    </w:p>
  </w:footnote>
  <w:footnote w:type="continuationSeparator" w:id="0">
    <w:p w14:paraId="601CB06F" w14:textId="77777777" w:rsidR="00B72A1B" w:rsidRDefault="00B72A1B"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2865485">
    <w:abstractNumId w:val="0"/>
  </w:num>
  <w:num w:numId="2" w16cid:durableId="986320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9032F"/>
    <w:rsid w:val="000968F1"/>
    <w:rsid w:val="000D4291"/>
    <w:rsid w:val="00105A17"/>
    <w:rsid w:val="00125037"/>
    <w:rsid w:val="001524B6"/>
    <w:rsid w:val="00172E3C"/>
    <w:rsid w:val="001F19DA"/>
    <w:rsid w:val="001F7C59"/>
    <w:rsid w:val="0022077D"/>
    <w:rsid w:val="00234FE2"/>
    <w:rsid w:val="00284793"/>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21EB7"/>
    <w:rsid w:val="00530E8C"/>
    <w:rsid w:val="005374BB"/>
    <w:rsid w:val="005A0BD0"/>
    <w:rsid w:val="0063462A"/>
    <w:rsid w:val="006565DF"/>
    <w:rsid w:val="006761E5"/>
    <w:rsid w:val="006C4885"/>
    <w:rsid w:val="006C710C"/>
    <w:rsid w:val="006E5500"/>
    <w:rsid w:val="007234D5"/>
    <w:rsid w:val="0076191D"/>
    <w:rsid w:val="0077207E"/>
    <w:rsid w:val="007D1ECD"/>
    <w:rsid w:val="007D2445"/>
    <w:rsid w:val="007D332B"/>
    <w:rsid w:val="007D5B83"/>
    <w:rsid w:val="007D69B0"/>
    <w:rsid w:val="007E3A92"/>
    <w:rsid w:val="007F1F29"/>
    <w:rsid w:val="007F7076"/>
    <w:rsid w:val="007F7CF1"/>
    <w:rsid w:val="00840626"/>
    <w:rsid w:val="00846882"/>
    <w:rsid w:val="00854BD9"/>
    <w:rsid w:val="008E78C1"/>
    <w:rsid w:val="00907220"/>
    <w:rsid w:val="00923D6D"/>
    <w:rsid w:val="00952A52"/>
    <w:rsid w:val="009538F0"/>
    <w:rsid w:val="0097395F"/>
    <w:rsid w:val="009B69A8"/>
    <w:rsid w:val="009D41E7"/>
    <w:rsid w:val="00A02860"/>
    <w:rsid w:val="00A07500"/>
    <w:rsid w:val="00A648B7"/>
    <w:rsid w:val="00A72A53"/>
    <w:rsid w:val="00A91FB8"/>
    <w:rsid w:val="00AA5E60"/>
    <w:rsid w:val="00AC5B23"/>
    <w:rsid w:val="00B16FA2"/>
    <w:rsid w:val="00B2437F"/>
    <w:rsid w:val="00B72A1B"/>
    <w:rsid w:val="00B828B7"/>
    <w:rsid w:val="00B919F1"/>
    <w:rsid w:val="00BC2829"/>
    <w:rsid w:val="00BC5537"/>
    <w:rsid w:val="00BF3F1C"/>
    <w:rsid w:val="00C07D4D"/>
    <w:rsid w:val="00C10F21"/>
    <w:rsid w:val="00C3080B"/>
    <w:rsid w:val="00C3093A"/>
    <w:rsid w:val="00C531E9"/>
    <w:rsid w:val="00C536A6"/>
    <w:rsid w:val="00C6371F"/>
    <w:rsid w:val="00CA255D"/>
    <w:rsid w:val="00CB046D"/>
    <w:rsid w:val="00CB0E02"/>
    <w:rsid w:val="00CB1CB8"/>
    <w:rsid w:val="00CB3B2D"/>
    <w:rsid w:val="00D34C76"/>
    <w:rsid w:val="00D537EE"/>
    <w:rsid w:val="00D6095A"/>
    <w:rsid w:val="00D866EB"/>
    <w:rsid w:val="00DC2B68"/>
    <w:rsid w:val="00DF5A32"/>
    <w:rsid w:val="00E10195"/>
    <w:rsid w:val="00E57F9C"/>
    <w:rsid w:val="00E828C2"/>
    <w:rsid w:val="00EA5C3F"/>
    <w:rsid w:val="00EB1F41"/>
    <w:rsid w:val="00EB5990"/>
    <w:rsid w:val="00EE29ED"/>
    <w:rsid w:val="00F91C76"/>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952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3009</Words>
  <Characters>15020</Characters>
  <Application>Microsoft Office Word</Application>
  <DocSecurity>0</DocSecurity>
  <Lines>208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Mostyn Richards</cp:lastModifiedBy>
  <cp:revision>2</cp:revision>
  <cp:lastPrinted>2014-08-18T15:50:00Z</cp:lastPrinted>
  <dcterms:created xsi:type="dcterms:W3CDTF">2022-07-02T15:47:00Z</dcterms:created>
  <dcterms:modified xsi:type="dcterms:W3CDTF">2022-07-02T15:47:00Z</dcterms:modified>
</cp:coreProperties>
</file>