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olors1.xml" ContentType="application/vnd.ms-office.chartcolorstyle+xml"/>
  <Override PartName="/word/charts/colors10.xml" ContentType="application/vnd.ms-office.chartcolorstyle+xml"/>
  <Override PartName="/word/charts/colors1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colors8.xml" ContentType="application/vnd.ms-office.chartcolorstyle+xml"/>
  <Override PartName="/word/charts/colors9.xml" ContentType="application/vnd.ms-office.chartcolorstyle+xml"/>
  <Override PartName="/word/charts/style1.xml" ContentType="application/vnd.ms-office.chartstyle+xml"/>
  <Override PartName="/word/charts/style10.xml" ContentType="application/vnd.ms-office.chartstyle+xml"/>
  <Override PartName="/word/charts/style1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charts/style8.xml" ContentType="application/vnd.ms-office.chartstyle+xml"/>
  <Override PartName="/word/charts/style9.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32976254">
      <w:pPr>
        <w:pStyle w:val="16"/>
        <w:jc w:val="left"/>
        <w:rPr>
          <w:rFonts w:ascii="Arial" w:hAnsi="Arial" w:cs="Arial"/>
          <w:lang w:val="en-GB"/>
        </w:rPr>
      </w:pPr>
      <w:bookmarkStart w:id="0" w:name="_lp0908jxmq7q" w:colFirst="0" w:colLast="0"/>
      <w:bookmarkEnd w:id="0"/>
      <w:r>
        <w:rPr>
          <w:rFonts w:ascii="Arial" w:hAnsi="Arial" w:cs="Arial"/>
          <w:lang w:val="en-GB"/>
        </w:rPr>
        <w:drawing>
          <wp:inline distT="0" distB="0" distL="0" distR="0">
            <wp:extent cx="2505075" cy="10096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2"/>
                    <a:stretch>
                      <a:fillRect/>
                    </a:stretch>
                  </pic:blipFill>
                  <pic:spPr>
                    <a:xfrm>
                      <a:off x="0" y="0"/>
                      <a:ext cx="2505425" cy="1009791"/>
                    </a:xfrm>
                    <a:prstGeom prst="rect">
                      <a:avLst/>
                    </a:prstGeom>
                  </pic:spPr>
                </pic:pic>
              </a:graphicData>
            </a:graphic>
          </wp:inline>
        </w:drawing>
      </w:r>
    </w:p>
    <w:p w14:paraId="3F8E75F9">
      <w:pPr>
        <w:pStyle w:val="16"/>
        <w:jc w:val="both"/>
        <w:rPr>
          <w:rFonts w:ascii="Arial" w:hAnsi="Arial" w:cs="Arial"/>
          <w:lang w:val="en-GB"/>
        </w:rPr>
      </w:pPr>
    </w:p>
    <w:p w14:paraId="33B7210B">
      <w:pPr>
        <w:pStyle w:val="16"/>
        <w:rPr>
          <w:rFonts w:ascii="Arial" w:hAnsi="Arial" w:cs="Arial"/>
          <w:lang w:val="en-GB"/>
        </w:rPr>
      </w:pPr>
      <w:r>
        <w:rPr>
          <w:rFonts w:ascii="Arial" w:hAnsi="Arial" w:cs="Arial"/>
          <w:lang w:val="en-GB"/>
        </w:rPr>
        <w:t xml:space="preserve">FINANCIAL MANAGEMENT </w:t>
      </w:r>
    </w:p>
    <w:p w14:paraId="00EA2C84">
      <w:pPr>
        <w:pStyle w:val="16"/>
        <w:rPr>
          <w:rFonts w:ascii="Arial" w:hAnsi="Arial" w:cs="Arial"/>
          <w:lang w:val="en-GB"/>
        </w:rPr>
      </w:pPr>
    </w:p>
    <w:p w14:paraId="3D7844AC">
      <w:pPr>
        <w:pStyle w:val="16"/>
        <w:rPr>
          <w:rFonts w:ascii="Arial" w:hAnsi="Arial" w:cs="Arial"/>
          <w:lang w:val="en-GB"/>
        </w:rPr>
      </w:pPr>
      <w:r>
        <w:rPr>
          <w:rFonts w:ascii="Arial" w:hAnsi="Arial" w:cs="Arial"/>
          <w:lang w:val="en-GB"/>
        </w:rPr>
        <w:t>LCMB7002</w:t>
      </w:r>
    </w:p>
    <w:p w14:paraId="7E93D989">
      <w:pPr>
        <w:pStyle w:val="16"/>
        <w:rPr>
          <w:rFonts w:ascii="Arial" w:hAnsi="Arial" w:cs="Arial"/>
          <w:lang w:val="en-GB"/>
        </w:rPr>
      </w:pPr>
    </w:p>
    <w:p w14:paraId="78880305">
      <w:pPr>
        <w:pStyle w:val="16"/>
        <w:rPr>
          <w:rFonts w:ascii="Arial" w:hAnsi="Arial" w:cs="Arial"/>
          <w:lang w:val="en-GB"/>
        </w:rPr>
      </w:pPr>
      <w:r>
        <w:rPr>
          <w:rFonts w:ascii="Arial" w:hAnsi="Arial" w:cs="Arial"/>
          <w:lang w:val="en-GB"/>
        </w:rPr>
        <w:t>ASSESSMENT COMPONENT: FINANCIAL PERFORMANCE AND MANAGEMENT</w:t>
      </w:r>
    </w:p>
    <w:p w14:paraId="45091B7E">
      <w:pPr>
        <w:pStyle w:val="16"/>
        <w:rPr>
          <w:rFonts w:ascii="Arial" w:hAnsi="Arial" w:cs="Arial"/>
          <w:lang w:val="en-GB"/>
        </w:rPr>
      </w:pPr>
    </w:p>
    <w:p w14:paraId="30F5EA8D">
      <w:pPr>
        <w:pStyle w:val="16"/>
        <w:rPr>
          <w:rFonts w:ascii="Arial" w:hAnsi="Arial" w:cs="Arial"/>
          <w:lang w:val="en-GB"/>
        </w:rPr>
      </w:pPr>
      <w:r>
        <w:rPr>
          <w:rFonts w:ascii="Arial" w:hAnsi="Arial" w:cs="Arial"/>
          <w:lang w:val="en-GB"/>
        </w:rPr>
        <w:t xml:space="preserve">STRATEGIC CFO CHALLENGE: SAVING A FAILING GLOBAL FIRM: GENERAL ELECTRONICS </w:t>
      </w:r>
    </w:p>
    <w:p w14:paraId="138C2280">
      <w:pPr>
        <w:pStyle w:val="16"/>
        <w:rPr>
          <w:rFonts w:ascii="Arial" w:hAnsi="Arial" w:cs="Arial"/>
          <w:lang w:val="en-GB"/>
        </w:rPr>
      </w:pPr>
    </w:p>
    <w:p w14:paraId="5EAF4795">
      <w:pPr>
        <w:pStyle w:val="16"/>
        <w:rPr>
          <w:rFonts w:ascii="Arial" w:hAnsi="Arial" w:cs="Arial"/>
          <w:sz w:val="24"/>
          <w:szCs w:val="24"/>
          <w:lang w:val="en-GB"/>
        </w:rPr>
      </w:pPr>
    </w:p>
    <w:p w14:paraId="6C26576D">
      <w:pPr>
        <w:pStyle w:val="16"/>
        <w:rPr>
          <w:rFonts w:ascii="Arial" w:hAnsi="Arial" w:cs="Arial"/>
          <w:sz w:val="24"/>
          <w:szCs w:val="24"/>
          <w:lang w:val="en-GB"/>
        </w:rPr>
      </w:pPr>
    </w:p>
    <w:p w14:paraId="6BA23573">
      <w:pPr>
        <w:pStyle w:val="16"/>
        <w:rPr>
          <w:rFonts w:hint="default" w:ascii="Arial" w:hAnsi="Arial" w:cs="Arial"/>
          <w:sz w:val="24"/>
          <w:szCs w:val="24"/>
          <w:lang w:val="en-IN"/>
        </w:rPr>
      </w:pPr>
      <w:r>
        <w:rPr>
          <w:rFonts w:ascii="Arial" w:hAnsi="Arial" w:cs="Arial"/>
          <w:sz w:val="24"/>
          <w:szCs w:val="24"/>
          <w:lang w:val="en-GB"/>
        </w:rPr>
        <w:t xml:space="preserve">Student name: </w:t>
      </w:r>
      <w:r>
        <w:rPr>
          <w:rFonts w:hint="default" w:ascii="Arial" w:hAnsi="Arial" w:cs="Arial"/>
          <w:sz w:val="24"/>
          <w:szCs w:val="24"/>
          <w:lang w:val="en-IN"/>
        </w:rPr>
        <w:t>odedara vivek bharatbhai</w:t>
      </w:r>
    </w:p>
    <w:p w14:paraId="3CCC04A1">
      <w:pPr>
        <w:pStyle w:val="16"/>
        <w:rPr>
          <w:rFonts w:ascii="Arial" w:hAnsi="Arial" w:cs="Arial"/>
          <w:sz w:val="24"/>
          <w:szCs w:val="24"/>
          <w:lang w:val="en-GB"/>
        </w:rPr>
      </w:pPr>
    </w:p>
    <w:p w14:paraId="2CE912F9">
      <w:pPr>
        <w:pStyle w:val="16"/>
        <w:rPr>
          <w:rFonts w:hint="default" w:ascii="Arial" w:hAnsi="Arial" w:cs="Arial"/>
          <w:sz w:val="24"/>
          <w:szCs w:val="24"/>
          <w:lang w:val="en-IN"/>
        </w:rPr>
      </w:pPr>
      <w:r>
        <w:rPr>
          <w:rFonts w:ascii="Arial" w:hAnsi="Arial" w:cs="Arial"/>
          <w:sz w:val="24"/>
          <w:szCs w:val="24"/>
          <w:lang w:val="en-GB"/>
        </w:rPr>
        <w:t xml:space="preserve">Student ID number: </w:t>
      </w:r>
      <w:r>
        <w:rPr>
          <w:rFonts w:hint="default" w:ascii="Arial" w:hAnsi="Arial" w:cs="Arial"/>
          <w:sz w:val="24"/>
          <w:szCs w:val="24"/>
          <w:lang w:val="en-IN"/>
        </w:rPr>
        <w:t>2505516</w:t>
      </w:r>
    </w:p>
    <w:p w14:paraId="2CF71169">
      <w:pPr>
        <w:pStyle w:val="16"/>
        <w:rPr>
          <w:rFonts w:ascii="Arial" w:hAnsi="Arial" w:cs="Arial"/>
          <w:sz w:val="24"/>
          <w:szCs w:val="24"/>
          <w:lang w:val="en-GB"/>
        </w:rPr>
      </w:pPr>
    </w:p>
    <w:p w14:paraId="14FD2916">
      <w:pPr>
        <w:pStyle w:val="16"/>
        <w:rPr>
          <w:rFonts w:ascii="Arial" w:hAnsi="Arial" w:cs="Arial"/>
          <w:sz w:val="24"/>
          <w:szCs w:val="24"/>
          <w:lang w:val="en-GB"/>
        </w:rPr>
      </w:pPr>
    </w:p>
    <w:p w14:paraId="5B557D57">
      <w:pPr>
        <w:pStyle w:val="16"/>
        <w:rPr>
          <w:rFonts w:hint="default" w:ascii="Arial" w:hAnsi="Arial" w:cs="Arial"/>
          <w:sz w:val="24"/>
          <w:szCs w:val="24"/>
          <w:lang w:val="en-IN"/>
        </w:rPr>
      </w:pPr>
      <w:r>
        <w:rPr>
          <w:rFonts w:ascii="Arial" w:hAnsi="Arial" w:cs="Arial"/>
          <w:sz w:val="24"/>
          <w:szCs w:val="24"/>
          <w:lang w:val="en-GB"/>
        </w:rPr>
        <w:t>Word count: 50</w:t>
      </w:r>
      <w:r>
        <w:rPr>
          <w:rFonts w:hint="default" w:ascii="Arial" w:hAnsi="Arial" w:cs="Arial"/>
          <w:sz w:val="24"/>
          <w:szCs w:val="24"/>
          <w:lang w:val="en-IN"/>
        </w:rPr>
        <w:t>48</w:t>
      </w:r>
    </w:p>
    <w:p w14:paraId="2D90EB6A">
      <w:pPr>
        <w:pStyle w:val="16"/>
        <w:jc w:val="both"/>
        <w:rPr>
          <w:rFonts w:ascii="Arial" w:hAnsi="Arial" w:cs="Arial"/>
          <w:sz w:val="24"/>
          <w:szCs w:val="24"/>
          <w:lang w:val="en-GB"/>
        </w:rPr>
      </w:pPr>
    </w:p>
    <w:p w14:paraId="22678AF6">
      <w:pPr>
        <w:pStyle w:val="16"/>
        <w:rPr>
          <w:rFonts w:ascii="Arial" w:hAnsi="Arial" w:cs="Arial"/>
          <w:sz w:val="24"/>
          <w:szCs w:val="24"/>
          <w:lang w:val="en-GB"/>
        </w:rPr>
      </w:pPr>
      <w:r>
        <w:rPr>
          <w:rFonts w:ascii="Arial" w:hAnsi="Arial" w:cs="Arial"/>
          <w:sz w:val="24"/>
          <w:szCs w:val="24"/>
          <w:lang w:val="en-GB"/>
        </w:rPr>
        <w:t xml:space="preserve">Submission date: </w:t>
      </w:r>
      <w:r>
        <w:rPr>
          <w:rFonts w:hint="default" w:ascii="Arial" w:hAnsi="Arial" w:cs="Arial"/>
          <w:sz w:val="24"/>
          <w:szCs w:val="24"/>
          <w:lang w:val="en-IN"/>
        </w:rPr>
        <w:t>22-12-2025</w:t>
      </w:r>
      <w:r>
        <w:rPr>
          <w:rFonts w:ascii="Arial" w:hAnsi="Arial" w:cs="Arial"/>
          <w:sz w:val="24"/>
          <w:szCs w:val="24"/>
          <w:lang w:val="en-GB"/>
        </w:rPr>
        <w:t xml:space="preserve">   </w:t>
      </w:r>
    </w:p>
    <w:p w14:paraId="5750AB98">
      <w:pPr>
        <w:rPr>
          <w:rFonts w:ascii="Arial" w:hAnsi="Arial" w:cs="Arial"/>
          <w:lang w:val="en-GB"/>
        </w:rPr>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20" w:footer="720" w:gutter="0"/>
          <w:pgNumType w:start="1"/>
          <w:cols w:space="720" w:num="1"/>
        </w:sectPr>
      </w:pPr>
      <w:bookmarkStart w:id="95" w:name="_GoBack"/>
      <w:bookmarkEnd w:id="95"/>
    </w:p>
    <w:sdt>
      <w:sdtPr>
        <w:rPr>
          <w:rFonts w:ascii="Arial" w:hAnsi="Arial" w:eastAsia="Times New Roman" w:cs="Arial"/>
          <w:b w:val="0"/>
          <w:bCs w:val="0"/>
          <w:color w:val="auto"/>
          <w:sz w:val="24"/>
          <w:szCs w:val="24"/>
          <w:lang w:val="en" w:eastAsia="en-GB"/>
        </w:rPr>
        <w:id w:val="-959098638"/>
        <w:docPartObj>
          <w:docPartGallery w:val="Table of Contents"/>
          <w:docPartUnique/>
        </w:docPartObj>
      </w:sdtPr>
      <w:sdtEndPr>
        <w:rPr>
          <w:rFonts w:ascii="Arial" w:hAnsi="Arial" w:eastAsia="Times New Roman" w:cs="Arial"/>
          <w:b w:val="0"/>
          <w:bCs w:val="0"/>
          <w:color w:val="EE0000"/>
          <w:sz w:val="24"/>
          <w:szCs w:val="24"/>
          <w:lang w:val="en" w:eastAsia="en-GB"/>
        </w:rPr>
      </w:sdtEndPr>
      <w:sdtContent>
        <w:p w14:paraId="4CD3D3C3">
          <w:pPr>
            <w:pStyle w:val="29"/>
            <w:spacing w:before="0"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Table of Contents</w:t>
          </w:r>
        </w:p>
        <w:p w14:paraId="2711DBAD">
          <w:pPr>
            <w:pStyle w:val="17"/>
            <w:tabs>
              <w:tab w:val="right" w:leader="dot" w:pos="9016"/>
            </w:tabs>
            <w:jc w:val="both"/>
            <w:rPr>
              <w:rFonts w:ascii="Arial" w:hAnsi="Arial" w:cs="Arial" w:eastAsiaTheme="minorEastAsia"/>
              <w:b w:val="0"/>
              <w:bCs w:val="0"/>
              <w:i w:val="0"/>
              <w:iCs w:val="0"/>
              <w:color w:val="EE0000"/>
              <w:kern w:val="2"/>
              <w:lang w:val="en-IN" w:eastAsia="en-IN"/>
              <w14:ligatures w14:val="standardContextual"/>
            </w:rPr>
          </w:pPr>
          <w:r>
            <w:rPr>
              <w:rFonts w:ascii="Arial" w:hAnsi="Arial" w:cs="Arial"/>
              <w:b w:val="0"/>
              <w:bCs w:val="0"/>
              <w:i w:val="0"/>
              <w:iCs w:val="0"/>
              <w:color w:val="EE0000"/>
            </w:rPr>
            <w:fldChar w:fldCharType="begin"/>
          </w:r>
          <w:r>
            <w:rPr>
              <w:rFonts w:ascii="Arial" w:hAnsi="Arial" w:cs="Arial"/>
              <w:b w:val="0"/>
              <w:bCs w:val="0"/>
              <w:i w:val="0"/>
              <w:iCs w:val="0"/>
              <w:color w:val="EE0000"/>
            </w:rPr>
            <w:instrText xml:space="preserve"> TOC \o "1-3" \h \z \u </w:instrText>
          </w:r>
          <w:r>
            <w:rPr>
              <w:rFonts w:ascii="Arial" w:hAnsi="Arial" w:cs="Arial"/>
              <w:b w:val="0"/>
              <w:bCs w:val="0"/>
              <w:i w:val="0"/>
              <w:iCs w:val="0"/>
              <w:color w:val="EE0000"/>
            </w:rPr>
            <w:fldChar w:fldCharType="separate"/>
          </w:r>
          <w:r>
            <w:rPr>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begin"/>
          </w:r>
          <w:r>
            <w:rPr>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instrText xml:space="preserve"> HYPERLINK \l "_Toc216438024" </w:instrText>
          </w:r>
          <w:r>
            <w:rPr>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separate"/>
          </w:r>
          <w:r>
            <w:rPr>
              <w:rStyle w:val="12"/>
              <w:rFonts w:ascii="Arial" w:hAnsi="Arial" w:cs="Arial"/>
              <w:b w:val="0"/>
              <w:bCs w:val="0"/>
              <w:i w:val="0"/>
              <w:iCs w:val="0"/>
              <w:color w:val="000000" w:themeColor="text1"/>
              <w:highlight w:val="none"/>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1. Introduction</w:t>
          </w:r>
          <w:r>
            <w:rPr>
              <w:rFonts w:ascii="Arial" w:hAnsi="Arial" w:cs="Arial"/>
              <w:b w:val="0"/>
              <w:bCs w:val="0"/>
              <w:i w:val="0"/>
              <w:iCs w:val="0"/>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ab/>
          </w:r>
          <w:r>
            <w:rPr>
              <w:rFonts w:ascii="Arial" w:hAnsi="Arial" w:cs="Arial"/>
              <w:b w:val="0"/>
              <w:bCs w:val="0"/>
              <w:i w:val="0"/>
              <w:iCs w:val="0"/>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begin"/>
          </w:r>
          <w:r>
            <w:rPr>
              <w:rFonts w:ascii="Arial" w:hAnsi="Arial" w:cs="Arial"/>
              <w:b w:val="0"/>
              <w:bCs w:val="0"/>
              <w:i w:val="0"/>
              <w:iCs w:val="0"/>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instrText xml:space="preserve"> PAGEREF _Toc216438024 \h </w:instrText>
          </w:r>
          <w:r>
            <w:rPr>
              <w:rFonts w:ascii="Arial" w:hAnsi="Arial" w:cs="Arial"/>
              <w:b w:val="0"/>
              <w:bCs w:val="0"/>
              <w:i w:val="0"/>
              <w:iCs w:val="0"/>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separate"/>
          </w:r>
          <w:r>
            <w:rPr>
              <w:rFonts w:ascii="Arial" w:hAnsi="Arial" w:cs="Arial"/>
              <w:b w:val="0"/>
              <w:bCs w:val="0"/>
              <w:i w:val="0"/>
              <w:iCs w:val="0"/>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4</w:t>
          </w:r>
          <w:r>
            <w:rPr>
              <w:rFonts w:ascii="Arial" w:hAnsi="Arial" w:cs="Arial"/>
              <w:b w:val="0"/>
              <w:bCs w:val="0"/>
              <w:i w:val="0"/>
              <w:iCs w:val="0"/>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end"/>
          </w:r>
          <w:r>
            <w:rPr>
              <w:rFonts w:ascii="Arial" w:hAnsi="Arial" w:cs="Arial"/>
              <w:b w:val="0"/>
              <w:bCs w:val="0"/>
              <w:i w:val="0"/>
              <w:iCs w:val="0"/>
              <w:color w:val="000000" w:themeColor="text1"/>
              <w:highlight w:val="non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fldChar w:fldCharType="end"/>
          </w:r>
        </w:p>
        <w:p w14:paraId="73253D2F">
          <w:pPr>
            <w:pStyle w:val="17"/>
            <w:tabs>
              <w:tab w:val="right" w:leader="dot" w:pos="9016"/>
            </w:tabs>
            <w:jc w:val="both"/>
            <w:rPr>
              <w:rFonts w:ascii="Arial" w:hAnsi="Arial" w:cs="Arial" w:eastAsiaTheme="minorEastAsia"/>
              <w:b w:val="0"/>
              <w:bCs w:val="0"/>
              <w:i w:val="0"/>
              <w:iCs w:val="0"/>
              <w:color w:val="000000" w:themeColor="text1"/>
              <w:kern w:val="2"/>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"_Toc216438025" </w:instrText>
          </w:r>
          <w:r>
            <w:rPr>
              <w:color w:val="000000" w:themeColor="text1"/>
              <w14:textFill>
                <w14:solidFill>
                  <w14:schemeClr w14:val="tx1"/>
                </w14:solidFill>
              </w14:textFill>
            </w:rPr>
            <w:fldChar w:fldCharType="separate"/>
          </w:r>
          <w:r>
            <w:rPr>
              <w:rStyle w:val="12"/>
              <w:rFonts w:ascii="Arial" w:hAnsi="Arial" w:cs="Arial"/>
              <w:b w:val="0"/>
              <w:bCs w:val="0"/>
              <w:i w:val="0"/>
              <w:iCs w:val="0"/>
              <w:color w:val="000000" w:themeColor="text1"/>
              <w:lang w:val="en-GB"/>
              <w14:textFill>
                <w14:solidFill>
                  <w14:schemeClr w14:val="tx1"/>
                </w14:solidFill>
              </w14:textFill>
            </w:rPr>
            <w:t>2. Financial Health Check</w:t>
          </w:r>
          <w:r>
            <w:rPr>
              <w:rFonts w:ascii="Arial" w:hAnsi="Arial" w:cs="Arial"/>
              <w:b w:val="0"/>
              <w:bCs w:val="0"/>
              <w:i w:val="0"/>
              <w:iCs w:val="0"/>
              <w:color w:val="000000" w:themeColor="text1"/>
              <w14:textFill>
                <w14:solidFill>
                  <w14:schemeClr w14:val="tx1"/>
                </w14:solidFill>
              </w14:textFill>
            </w:rPr>
            <w:tab/>
          </w:r>
          <w:r>
            <w:rPr>
              <w:rFonts w:ascii="Arial" w:hAnsi="Arial" w:cs="Arial"/>
              <w:b w:val="0"/>
              <w:bCs w:val="0"/>
              <w:i w:val="0"/>
              <w:iCs w:val="0"/>
              <w:color w:val="000000" w:themeColor="text1"/>
              <w14:textFill>
                <w14:solidFill>
                  <w14:schemeClr w14:val="tx1"/>
                </w14:solidFill>
              </w14:textFill>
            </w:rPr>
            <w:fldChar w:fldCharType="begin"/>
          </w:r>
          <w:r>
            <w:rPr>
              <w:rFonts w:ascii="Arial" w:hAnsi="Arial" w:cs="Arial"/>
              <w:b w:val="0"/>
              <w:bCs w:val="0"/>
              <w:i w:val="0"/>
              <w:iCs w:val="0"/>
              <w:color w:val="000000" w:themeColor="text1"/>
              <w14:textFill>
                <w14:solidFill>
                  <w14:schemeClr w14:val="tx1"/>
                </w14:solidFill>
              </w14:textFill>
            </w:rPr>
            <w:instrText xml:space="preserve"> PAGEREF _Toc216438025 \h </w:instrText>
          </w:r>
          <w:r>
            <w:rPr>
              <w:rFonts w:ascii="Arial" w:hAnsi="Arial" w:cs="Arial"/>
              <w:b w:val="0"/>
              <w:bCs w:val="0"/>
              <w:i w:val="0"/>
              <w:iCs w:val="0"/>
              <w:color w:val="000000" w:themeColor="text1"/>
              <w14:textFill>
                <w14:solidFill>
                  <w14:schemeClr w14:val="tx1"/>
                </w14:solidFill>
              </w14:textFill>
            </w:rPr>
            <w:fldChar w:fldCharType="separate"/>
          </w:r>
          <w:r>
            <w:rPr>
              <w:rFonts w:ascii="Arial" w:hAnsi="Arial" w:cs="Arial"/>
              <w:b w:val="0"/>
              <w:bCs w:val="0"/>
              <w:i w:val="0"/>
              <w:iCs w:val="0"/>
              <w:color w:val="000000" w:themeColor="text1"/>
              <w14:textFill>
                <w14:solidFill>
                  <w14:schemeClr w14:val="tx1"/>
                </w14:solidFill>
              </w14:textFill>
            </w:rPr>
            <w:t>4</w:t>
          </w:r>
          <w:r>
            <w:rPr>
              <w:rFonts w:ascii="Arial" w:hAnsi="Arial" w:cs="Arial"/>
              <w:b w:val="0"/>
              <w:bCs w:val="0"/>
              <w:i w:val="0"/>
              <w:iCs w:val="0"/>
              <w:color w:val="000000" w:themeColor="text1"/>
              <w14:textFill>
                <w14:solidFill>
                  <w14:schemeClr w14:val="tx1"/>
                </w14:solidFill>
              </w14:textFill>
            </w:rPr>
            <w:fldChar w:fldCharType="end"/>
          </w:r>
          <w:r>
            <w:rPr>
              <w:rFonts w:ascii="Arial" w:hAnsi="Arial" w:cs="Arial"/>
              <w:b w:val="0"/>
              <w:bCs w:val="0"/>
              <w:i w:val="0"/>
              <w:iCs w:val="0"/>
              <w:color w:val="000000" w:themeColor="text1"/>
              <w14:textFill>
                <w14:solidFill>
                  <w14:schemeClr w14:val="tx1"/>
                </w14:solidFill>
              </w14:textFill>
            </w:rPr>
            <w:fldChar w:fldCharType="end"/>
          </w:r>
        </w:p>
        <w:p w14:paraId="76A91CE5">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"_Toc216438026"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2.1 Overview of Financial Performance Trends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_Toc216438026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4</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50C681E4">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"_Toc216438027"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2.2 Profitability Analysis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_Toc216438027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4</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6A71D5AD">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"_Toc216438028"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2.3 Liquidity Analysis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_Toc216438028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5</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2C1F437D">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"_Toc216438029"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2.4 Efficiency / Working Asset Management Ratios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_Toc216438029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5</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466CCCA1">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"_Toc216438030"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2.5 Gearing / Leverage Analysis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_Toc216438030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6</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56F31B7F">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"_Toc216438031"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2.6 Investment Ratios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_Toc216438031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6</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4772BD44">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"_Toc216438032"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2.7 Cash Flow Quality Assessment</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_Toc216438032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6</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17D3A349">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"_Toc216438033"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2.8 Corporate Failure Prediction</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_Toc216438033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7</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2D2BE93C">
          <w:pPr>
            <w:pStyle w:val="17"/>
            <w:tabs>
              <w:tab w:val="right" w:leader="dot" w:pos="9016"/>
            </w:tabs>
            <w:jc w:val="both"/>
            <w:rPr>
              <w:rFonts w:ascii="Arial" w:hAnsi="Arial" w:cs="Arial" w:eastAsiaTheme="minorEastAsia"/>
              <w:b w:val="0"/>
              <w:bCs w:val="0"/>
              <w:i w:val="0"/>
              <w:iCs w:val="0"/>
              <w:color w:val="000000" w:themeColor="text1"/>
              <w:kern w:val="2"/>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"_Toc216438034" </w:instrText>
          </w:r>
          <w:r>
            <w:rPr>
              <w:color w:val="000000" w:themeColor="text1"/>
              <w14:textFill>
                <w14:solidFill>
                  <w14:schemeClr w14:val="tx1"/>
                </w14:solidFill>
              </w14:textFill>
            </w:rPr>
            <w:fldChar w:fldCharType="separate"/>
          </w:r>
          <w:r>
            <w:rPr>
              <w:rStyle w:val="12"/>
              <w:rFonts w:ascii="Arial" w:hAnsi="Arial" w:cs="Arial"/>
              <w:b w:val="0"/>
              <w:bCs w:val="0"/>
              <w:i w:val="0"/>
              <w:iCs w:val="0"/>
              <w:color w:val="000000" w:themeColor="text1"/>
              <w:lang w:val="en-GB"/>
              <w14:textFill>
                <w14:solidFill>
                  <w14:schemeClr w14:val="tx1"/>
                </w14:solidFill>
              </w14:textFill>
            </w:rPr>
            <w:t>3. Working Capital Management Analysis</w:t>
          </w:r>
          <w:r>
            <w:rPr>
              <w:rFonts w:ascii="Arial" w:hAnsi="Arial" w:cs="Arial"/>
              <w:b w:val="0"/>
              <w:bCs w:val="0"/>
              <w:i w:val="0"/>
              <w:iCs w:val="0"/>
              <w:color w:val="000000" w:themeColor="text1"/>
              <w14:textFill>
                <w14:solidFill>
                  <w14:schemeClr w14:val="tx1"/>
                </w14:solidFill>
              </w14:textFill>
            </w:rPr>
            <w:tab/>
          </w:r>
          <w:r>
            <w:rPr>
              <w:rFonts w:ascii="Arial" w:hAnsi="Arial" w:cs="Arial"/>
              <w:b w:val="0"/>
              <w:bCs w:val="0"/>
              <w:i w:val="0"/>
              <w:iCs w:val="0"/>
              <w:color w:val="000000" w:themeColor="text1"/>
              <w14:textFill>
                <w14:solidFill>
                  <w14:schemeClr w14:val="tx1"/>
                </w14:solidFill>
              </w14:textFill>
            </w:rPr>
            <w:fldChar w:fldCharType="begin"/>
          </w:r>
          <w:r>
            <w:rPr>
              <w:rFonts w:ascii="Arial" w:hAnsi="Arial" w:cs="Arial"/>
              <w:b w:val="0"/>
              <w:bCs w:val="0"/>
              <w:i w:val="0"/>
              <w:iCs w:val="0"/>
              <w:color w:val="000000" w:themeColor="text1"/>
              <w14:textFill>
                <w14:solidFill>
                  <w14:schemeClr w14:val="tx1"/>
                </w14:solidFill>
              </w14:textFill>
            </w:rPr>
            <w:instrText xml:space="preserve"> PAGEREF _Toc216438034 \h </w:instrText>
          </w:r>
          <w:r>
            <w:rPr>
              <w:rFonts w:ascii="Arial" w:hAnsi="Arial" w:cs="Arial"/>
              <w:b w:val="0"/>
              <w:bCs w:val="0"/>
              <w:i w:val="0"/>
              <w:iCs w:val="0"/>
              <w:color w:val="000000" w:themeColor="text1"/>
              <w14:textFill>
                <w14:solidFill>
                  <w14:schemeClr w14:val="tx1"/>
                </w14:solidFill>
              </w14:textFill>
            </w:rPr>
            <w:fldChar w:fldCharType="separate"/>
          </w:r>
          <w:r>
            <w:rPr>
              <w:rFonts w:ascii="Arial" w:hAnsi="Arial" w:cs="Arial"/>
              <w:b w:val="0"/>
              <w:bCs w:val="0"/>
              <w:i w:val="0"/>
              <w:iCs w:val="0"/>
              <w:color w:val="000000" w:themeColor="text1"/>
              <w14:textFill>
                <w14:solidFill>
                  <w14:schemeClr w14:val="tx1"/>
                </w14:solidFill>
              </w14:textFill>
            </w:rPr>
            <w:t>7</w:t>
          </w:r>
          <w:r>
            <w:rPr>
              <w:rFonts w:ascii="Arial" w:hAnsi="Arial" w:cs="Arial"/>
              <w:b w:val="0"/>
              <w:bCs w:val="0"/>
              <w:i w:val="0"/>
              <w:iCs w:val="0"/>
              <w:color w:val="000000" w:themeColor="text1"/>
              <w14:textFill>
                <w14:solidFill>
                  <w14:schemeClr w14:val="tx1"/>
                </w14:solidFill>
              </w14:textFill>
            </w:rPr>
            <w:fldChar w:fldCharType="end"/>
          </w:r>
          <w:r>
            <w:rPr>
              <w:rFonts w:ascii="Arial" w:hAnsi="Arial" w:cs="Arial"/>
              <w:b w:val="0"/>
              <w:bCs w:val="0"/>
              <w:i w:val="0"/>
              <w:iCs w:val="0"/>
              <w:color w:val="000000" w:themeColor="text1"/>
              <w14:textFill>
                <w14:solidFill>
                  <w14:schemeClr w14:val="tx1"/>
                </w14:solidFill>
              </w14:textFill>
            </w:rPr>
            <w:fldChar w:fldCharType="end"/>
          </w:r>
        </w:p>
        <w:p w14:paraId="089F61BE">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"_Toc216438035"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3.1 Structure of Working Capital</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_Toc216438035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7</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65755950">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"_Toc216438036"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3.2 Cash Operating Cycle (COC)</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_Toc216438036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8</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61F0411B">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"_Toc216438037"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3.3 Problems Identified</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_Toc216438037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8</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58FE89FD">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"_Toc216438038"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3.4 Recommended Working Capital Reforms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_Toc216438038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9</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38009F4E">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"_Toc216438039"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3.5 Short-term vs Long-term Financing</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_Toc216438039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9</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0AEC3880">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"_Toc216438040"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3.6 Impact on Liquidity and Financial Stability</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_Toc216438040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10</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23402CB7">
          <w:pPr>
            <w:pStyle w:val="17"/>
            <w:tabs>
              <w:tab w:val="right" w:leader="dot" w:pos="9016"/>
            </w:tabs>
            <w:jc w:val="both"/>
            <w:rPr>
              <w:rFonts w:ascii="Arial" w:hAnsi="Arial" w:cs="Arial" w:eastAsiaTheme="minorEastAsia"/>
              <w:b w:val="0"/>
              <w:bCs w:val="0"/>
              <w:i w:val="0"/>
              <w:iCs w:val="0"/>
              <w:color w:val="000000" w:themeColor="text1"/>
              <w:kern w:val="2"/>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"_Toc216438041" </w:instrText>
          </w:r>
          <w:r>
            <w:rPr>
              <w:color w:val="000000" w:themeColor="text1"/>
              <w14:textFill>
                <w14:solidFill>
                  <w14:schemeClr w14:val="tx1"/>
                </w14:solidFill>
              </w14:textFill>
            </w:rPr>
            <w:fldChar w:fldCharType="separate"/>
          </w:r>
          <w:r>
            <w:rPr>
              <w:rStyle w:val="12"/>
              <w:rFonts w:ascii="Arial" w:hAnsi="Arial" w:cs="Arial"/>
              <w:b w:val="0"/>
              <w:bCs w:val="0"/>
              <w:i w:val="0"/>
              <w:iCs w:val="0"/>
              <w:color w:val="000000" w:themeColor="text1"/>
              <w:lang w:val="en-GB"/>
              <w14:textFill>
                <w14:solidFill>
                  <w14:schemeClr w14:val="tx1"/>
                </w14:solidFill>
              </w14:textFill>
            </w:rPr>
            <w:t>4. Strategic Financial Restructuring Plan</w:t>
          </w:r>
          <w:r>
            <w:rPr>
              <w:rFonts w:ascii="Arial" w:hAnsi="Arial" w:cs="Arial"/>
              <w:b w:val="0"/>
              <w:bCs w:val="0"/>
              <w:i w:val="0"/>
              <w:iCs w:val="0"/>
              <w:color w:val="000000" w:themeColor="text1"/>
              <w14:textFill>
                <w14:solidFill>
                  <w14:schemeClr w14:val="tx1"/>
                </w14:solidFill>
              </w14:textFill>
            </w:rPr>
            <w:tab/>
          </w:r>
          <w:r>
            <w:rPr>
              <w:rFonts w:ascii="Arial" w:hAnsi="Arial" w:cs="Arial"/>
              <w:b w:val="0"/>
              <w:bCs w:val="0"/>
              <w:i w:val="0"/>
              <w:iCs w:val="0"/>
              <w:color w:val="000000" w:themeColor="text1"/>
              <w14:textFill>
                <w14:solidFill>
                  <w14:schemeClr w14:val="tx1"/>
                </w14:solidFill>
              </w14:textFill>
            </w:rPr>
            <w:fldChar w:fldCharType="begin"/>
          </w:r>
          <w:r>
            <w:rPr>
              <w:rFonts w:ascii="Arial" w:hAnsi="Arial" w:cs="Arial"/>
              <w:b w:val="0"/>
              <w:bCs w:val="0"/>
              <w:i w:val="0"/>
              <w:iCs w:val="0"/>
              <w:color w:val="000000" w:themeColor="text1"/>
              <w14:textFill>
                <w14:solidFill>
                  <w14:schemeClr w14:val="tx1"/>
                </w14:solidFill>
              </w14:textFill>
            </w:rPr>
            <w:instrText xml:space="preserve"> PAGEREF _Toc216438041 \h </w:instrText>
          </w:r>
          <w:r>
            <w:rPr>
              <w:rFonts w:ascii="Arial" w:hAnsi="Arial" w:cs="Arial"/>
              <w:b w:val="0"/>
              <w:bCs w:val="0"/>
              <w:i w:val="0"/>
              <w:iCs w:val="0"/>
              <w:color w:val="000000" w:themeColor="text1"/>
              <w14:textFill>
                <w14:solidFill>
                  <w14:schemeClr w14:val="tx1"/>
                </w14:solidFill>
              </w14:textFill>
            </w:rPr>
            <w:fldChar w:fldCharType="separate"/>
          </w:r>
          <w:r>
            <w:rPr>
              <w:rFonts w:ascii="Arial" w:hAnsi="Arial" w:cs="Arial"/>
              <w:b w:val="0"/>
              <w:bCs w:val="0"/>
              <w:i w:val="0"/>
              <w:iCs w:val="0"/>
              <w:color w:val="000000" w:themeColor="text1"/>
              <w14:textFill>
                <w14:solidFill>
                  <w14:schemeClr w14:val="tx1"/>
                </w14:solidFill>
              </w14:textFill>
            </w:rPr>
            <w:t>10</w:t>
          </w:r>
          <w:r>
            <w:rPr>
              <w:rFonts w:ascii="Arial" w:hAnsi="Arial" w:cs="Arial"/>
              <w:b w:val="0"/>
              <w:bCs w:val="0"/>
              <w:i w:val="0"/>
              <w:iCs w:val="0"/>
              <w:color w:val="000000" w:themeColor="text1"/>
              <w14:textFill>
                <w14:solidFill>
                  <w14:schemeClr w14:val="tx1"/>
                </w14:solidFill>
              </w14:textFill>
            </w:rPr>
            <w:fldChar w:fldCharType="end"/>
          </w:r>
          <w:r>
            <w:rPr>
              <w:rFonts w:ascii="Arial" w:hAnsi="Arial" w:cs="Arial"/>
              <w:b w:val="0"/>
              <w:bCs w:val="0"/>
              <w:i w:val="0"/>
              <w:iCs w:val="0"/>
              <w:color w:val="000000" w:themeColor="text1"/>
              <w14:textFill>
                <w14:solidFill>
                  <w14:schemeClr w14:val="tx1"/>
                </w14:solidFill>
              </w14:textFill>
            </w:rPr>
            <w:fldChar w:fldCharType="end"/>
          </w:r>
        </w:p>
        <w:p w14:paraId="70003461">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"_Toc216438042"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4.1 Need for Restructuring</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_Toc216438042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10</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52E66D84">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"_Toc216438043"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4.2 Restructuring Options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_Toc216438043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10</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6D043997">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"_Toc216438044"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4.2.1 Divestiture of Non-Core Assets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_Toc216438044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10</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5622517C">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"_Toc216438045"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4.2.2 Merger / Strategic Alliance</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_Toc216438045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11</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7D9CF728">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"_Toc216438046"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4.2.3 Equity Injection / Rights Issue</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_Toc216438046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11</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09C2B611">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"_Toc216438047"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4.2.4 Debt Restructuring</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_Toc216438047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12</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0DCF5975">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"_Toc216438048"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4.3 Global Considerations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_Toc216438048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12</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66A7A894">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"_Toc216438049"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4.3.1 Currency Risk</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_Toc216438049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12</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48FB361E">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"_Toc216438050"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4.3.2 International Tax Considerations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_Toc216438050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12</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6857FC81">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"_Toc216438051"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4.3.3 Inflation Considerations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_Toc216438051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12</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127ED861">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"_Toc216438052"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4.3.4 Ethical &amp; CSR Considerations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_Toc216438052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12</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273FA9DA">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"_Toc216438053"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4.4 Impact Assessment</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_Toc216438053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13</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5063D4E7">
          <w:pPr>
            <w:pStyle w:val="17"/>
            <w:tabs>
              <w:tab w:val="right" w:leader="dot" w:pos="9016"/>
            </w:tabs>
            <w:jc w:val="both"/>
            <w:rPr>
              <w:rFonts w:ascii="Arial" w:hAnsi="Arial" w:cs="Arial" w:eastAsiaTheme="minorEastAsia"/>
              <w:b w:val="0"/>
              <w:bCs w:val="0"/>
              <w:i w:val="0"/>
              <w:iCs w:val="0"/>
              <w:color w:val="000000" w:themeColor="text1"/>
              <w:kern w:val="2"/>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"_Toc216438054" </w:instrText>
          </w:r>
          <w:r>
            <w:rPr>
              <w:color w:val="000000" w:themeColor="text1"/>
              <w14:textFill>
                <w14:solidFill>
                  <w14:schemeClr w14:val="tx1"/>
                </w14:solidFill>
              </w14:textFill>
            </w:rPr>
            <w:fldChar w:fldCharType="separate"/>
          </w:r>
          <w:r>
            <w:rPr>
              <w:rStyle w:val="12"/>
              <w:rFonts w:ascii="Arial" w:hAnsi="Arial" w:cs="Arial"/>
              <w:b w:val="0"/>
              <w:bCs w:val="0"/>
              <w:i w:val="0"/>
              <w:iCs w:val="0"/>
              <w:color w:val="000000" w:themeColor="text1"/>
              <w:lang w:val="en-GB"/>
              <w14:textFill>
                <w14:solidFill>
                  <w14:schemeClr w14:val="tx1"/>
                </w14:solidFill>
              </w14:textFill>
            </w:rPr>
            <w:t>5. Investment Appraisal &amp; Capital Budgeting</w:t>
          </w:r>
          <w:r>
            <w:rPr>
              <w:rFonts w:ascii="Arial" w:hAnsi="Arial" w:cs="Arial"/>
              <w:b w:val="0"/>
              <w:bCs w:val="0"/>
              <w:i w:val="0"/>
              <w:iCs w:val="0"/>
              <w:color w:val="000000" w:themeColor="text1"/>
              <w14:textFill>
                <w14:solidFill>
                  <w14:schemeClr w14:val="tx1"/>
                </w14:solidFill>
              </w14:textFill>
            </w:rPr>
            <w:tab/>
          </w:r>
          <w:r>
            <w:rPr>
              <w:rFonts w:ascii="Arial" w:hAnsi="Arial" w:cs="Arial"/>
              <w:b w:val="0"/>
              <w:bCs w:val="0"/>
              <w:i w:val="0"/>
              <w:iCs w:val="0"/>
              <w:color w:val="000000" w:themeColor="text1"/>
              <w14:textFill>
                <w14:solidFill>
                  <w14:schemeClr w14:val="tx1"/>
                </w14:solidFill>
              </w14:textFill>
            </w:rPr>
            <w:fldChar w:fldCharType="begin"/>
          </w:r>
          <w:r>
            <w:rPr>
              <w:rFonts w:ascii="Arial" w:hAnsi="Arial" w:cs="Arial"/>
              <w:b w:val="0"/>
              <w:bCs w:val="0"/>
              <w:i w:val="0"/>
              <w:iCs w:val="0"/>
              <w:color w:val="000000" w:themeColor="text1"/>
              <w14:textFill>
                <w14:solidFill>
                  <w14:schemeClr w14:val="tx1"/>
                </w14:solidFill>
              </w14:textFill>
            </w:rPr>
            <w:instrText xml:space="preserve"> PAGEREF _Toc216438054 \h </w:instrText>
          </w:r>
          <w:r>
            <w:rPr>
              <w:rFonts w:ascii="Arial" w:hAnsi="Arial" w:cs="Arial"/>
              <w:b w:val="0"/>
              <w:bCs w:val="0"/>
              <w:i w:val="0"/>
              <w:iCs w:val="0"/>
              <w:color w:val="000000" w:themeColor="text1"/>
              <w14:textFill>
                <w14:solidFill>
                  <w14:schemeClr w14:val="tx1"/>
                </w14:solidFill>
              </w14:textFill>
            </w:rPr>
            <w:fldChar w:fldCharType="separate"/>
          </w:r>
          <w:r>
            <w:rPr>
              <w:rFonts w:ascii="Arial" w:hAnsi="Arial" w:cs="Arial"/>
              <w:b w:val="0"/>
              <w:bCs w:val="0"/>
              <w:i w:val="0"/>
              <w:iCs w:val="0"/>
              <w:color w:val="000000" w:themeColor="text1"/>
              <w14:textFill>
                <w14:solidFill>
                  <w14:schemeClr w14:val="tx1"/>
                </w14:solidFill>
              </w14:textFill>
            </w:rPr>
            <w:t>13</w:t>
          </w:r>
          <w:r>
            <w:rPr>
              <w:rFonts w:ascii="Arial" w:hAnsi="Arial" w:cs="Arial"/>
              <w:b w:val="0"/>
              <w:bCs w:val="0"/>
              <w:i w:val="0"/>
              <w:iCs w:val="0"/>
              <w:color w:val="000000" w:themeColor="text1"/>
              <w14:textFill>
                <w14:solidFill>
                  <w14:schemeClr w14:val="tx1"/>
                </w14:solidFill>
              </w14:textFill>
            </w:rPr>
            <w:fldChar w:fldCharType="end"/>
          </w:r>
          <w:r>
            <w:rPr>
              <w:rFonts w:ascii="Arial" w:hAnsi="Arial" w:cs="Arial"/>
              <w:b w:val="0"/>
              <w:bCs w:val="0"/>
              <w:i w:val="0"/>
              <w:iCs w:val="0"/>
              <w:color w:val="000000" w:themeColor="text1"/>
              <w14:textFill>
                <w14:solidFill>
                  <w14:schemeClr w14:val="tx1"/>
                </w14:solidFill>
              </w14:textFill>
            </w:rPr>
            <w:fldChar w:fldCharType="end"/>
          </w:r>
        </w:p>
        <w:p w14:paraId="20EB916A">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"_Toc216438055"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5.1 Overview of Proposed Projects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_Toc216438055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13</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08364DC7">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"_Toc216438056"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5.2 Methodology</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_Toc216438056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13</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26527C99">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"_Toc216438057"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5.3 Individual Project Evaluation</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_Toc216438057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14</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4582C0FD">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"_Toc216438058"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5.3.1 Project A</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_Toc216438058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14</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443287B8">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"_Toc216438059"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5.3.2 Project B</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_Toc216438059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14</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618D8791">
          <w:pPr>
            <w:pStyle w:val="19"/>
            <w:tabs>
              <w:tab w:val="right" w:leader="dot" w:pos="9016"/>
            </w:tabs>
            <w:spacing w:before="120"/>
            <w:jc w:val="both"/>
            <w:rPr>
              <w:rFonts w:ascii="Arial" w:hAnsi="Arial" w:cs="Arial" w:eastAsiaTheme="minorEastAsia"/>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"_Toc216438060" </w:instrText>
          </w:r>
          <w:r>
            <w:rPr>
              <w:color w:val="000000" w:themeColor="text1"/>
              <w14:textFill>
                <w14:solidFill>
                  <w14:schemeClr w14:val="tx1"/>
                </w14:solidFill>
              </w14:textFill>
            </w:rPr>
            <w:fldChar w:fldCharType="separate"/>
          </w:r>
          <w:r>
            <w:rPr>
              <w:rStyle w:val="12"/>
              <w:rFonts w:ascii="Arial" w:hAnsi="Arial" w:cs="Arial"/>
              <w:color w:val="000000" w:themeColor="text1"/>
              <w:sz w:val="24"/>
              <w:szCs w:val="24"/>
              <w:lang w:val="en-GB"/>
              <w14:textFill>
                <w14:solidFill>
                  <w14:schemeClr w14:val="tx1"/>
                </w14:solidFill>
              </w14:textFill>
            </w:rPr>
            <w:t>5.3.3 Project C</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_Toc216438060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15</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0D96AAD5">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"_Toc216438061"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5.4 Comparison and Ranking of Projects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_Toc216438061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15</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68246918">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"_Toc216438062"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5.5 Capital Rationing (Maximum £60m)</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_Toc216438062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15</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57E0B501">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"_Toc216438063"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5.6 Recommendation</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_Toc216438063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16</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628CC7CB">
          <w:pPr>
            <w:pStyle w:val="17"/>
            <w:tabs>
              <w:tab w:val="right" w:leader="dot" w:pos="9016"/>
            </w:tabs>
            <w:jc w:val="both"/>
            <w:rPr>
              <w:rFonts w:ascii="Arial" w:hAnsi="Arial" w:cs="Arial" w:eastAsiaTheme="minorEastAsia"/>
              <w:b w:val="0"/>
              <w:bCs w:val="0"/>
              <w:i w:val="0"/>
              <w:iCs w:val="0"/>
              <w:color w:val="000000" w:themeColor="text1"/>
              <w:kern w:val="2"/>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"_Toc216438064" </w:instrText>
          </w:r>
          <w:r>
            <w:rPr>
              <w:color w:val="000000" w:themeColor="text1"/>
              <w14:textFill>
                <w14:solidFill>
                  <w14:schemeClr w14:val="tx1"/>
                </w14:solidFill>
              </w14:textFill>
            </w:rPr>
            <w:fldChar w:fldCharType="separate"/>
          </w:r>
          <w:r>
            <w:rPr>
              <w:rStyle w:val="12"/>
              <w:rFonts w:ascii="Arial" w:hAnsi="Arial" w:cs="Arial"/>
              <w:b w:val="0"/>
              <w:bCs w:val="0"/>
              <w:i w:val="0"/>
              <w:iCs w:val="0"/>
              <w:color w:val="000000" w:themeColor="text1"/>
              <w:lang w:val="en-GB"/>
              <w14:textFill>
                <w14:solidFill>
                  <w14:schemeClr w14:val="tx1"/>
                </w14:solidFill>
              </w14:textFill>
            </w:rPr>
            <w:t>6. Conclusion</w:t>
          </w:r>
          <w:r>
            <w:rPr>
              <w:rFonts w:ascii="Arial" w:hAnsi="Arial" w:cs="Arial"/>
              <w:b w:val="0"/>
              <w:bCs w:val="0"/>
              <w:i w:val="0"/>
              <w:iCs w:val="0"/>
              <w:color w:val="000000" w:themeColor="text1"/>
              <w14:textFill>
                <w14:solidFill>
                  <w14:schemeClr w14:val="tx1"/>
                </w14:solidFill>
              </w14:textFill>
            </w:rPr>
            <w:tab/>
          </w:r>
          <w:r>
            <w:rPr>
              <w:rFonts w:ascii="Arial" w:hAnsi="Arial" w:cs="Arial"/>
              <w:b w:val="0"/>
              <w:bCs w:val="0"/>
              <w:i w:val="0"/>
              <w:iCs w:val="0"/>
              <w:color w:val="000000" w:themeColor="text1"/>
              <w14:textFill>
                <w14:solidFill>
                  <w14:schemeClr w14:val="tx1"/>
                </w14:solidFill>
              </w14:textFill>
            </w:rPr>
            <w:fldChar w:fldCharType="begin"/>
          </w:r>
          <w:r>
            <w:rPr>
              <w:rFonts w:ascii="Arial" w:hAnsi="Arial" w:cs="Arial"/>
              <w:b w:val="0"/>
              <w:bCs w:val="0"/>
              <w:i w:val="0"/>
              <w:iCs w:val="0"/>
              <w:color w:val="000000" w:themeColor="text1"/>
              <w14:textFill>
                <w14:solidFill>
                  <w14:schemeClr w14:val="tx1"/>
                </w14:solidFill>
              </w14:textFill>
            </w:rPr>
            <w:instrText xml:space="preserve"> PAGEREF _Toc216438064 \h </w:instrText>
          </w:r>
          <w:r>
            <w:rPr>
              <w:rFonts w:ascii="Arial" w:hAnsi="Arial" w:cs="Arial"/>
              <w:b w:val="0"/>
              <w:bCs w:val="0"/>
              <w:i w:val="0"/>
              <w:iCs w:val="0"/>
              <w:color w:val="000000" w:themeColor="text1"/>
              <w14:textFill>
                <w14:solidFill>
                  <w14:schemeClr w14:val="tx1"/>
                </w14:solidFill>
              </w14:textFill>
            </w:rPr>
            <w:fldChar w:fldCharType="separate"/>
          </w:r>
          <w:r>
            <w:rPr>
              <w:rFonts w:ascii="Arial" w:hAnsi="Arial" w:cs="Arial"/>
              <w:b w:val="0"/>
              <w:bCs w:val="0"/>
              <w:i w:val="0"/>
              <w:iCs w:val="0"/>
              <w:color w:val="000000" w:themeColor="text1"/>
              <w14:textFill>
                <w14:solidFill>
                  <w14:schemeClr w14:val="tx1"/>
                </w14:solidFill>
              </w14:textFill>
            </w:rPr>
            <w:t>16</w:t>
          </w:r>
          <w:r>
            <w:rPr>
              <w:rFonts w:ascii="Arial" w:hAnsi="Arial" w:cs="Arial"/>
              <w:b w:val="0"/>
              <w:bCs w:val="0"/>
              <w:i w:val="0"/>
              <w:iCs w:val="0"/>
              <w:color w:val="000000" w:themeColor="text1"/>
              <w14:textFill>
                <w14:solidFill>
                  <w14:schemeClr w14:val="tx1"/>
                </w14:solidFill>
              </w14:textFill>
            </w:rPr>
            <w:fldChar w:fldCharType="end"/>
          </w:r>
          <w:r>
            <w:rPr>
              <w:rFonts w:ascii="Arial" w:hAnsi="Arial" w:cs="Arial"/>
              <w:b w:val="0"/>
              <w:bCs w:val="0"/>
              <w:i w:val="0"/>
              <w:iCs w:val="0"/>
              <w:color w:val="000000" w:themeColor="text1"/>
              <w14:textFill>
                <w14:solidFill>
                  <w14:schemeClr w14:val="tx1"/>
                </w14:solidFill>
              </w14:textFill>
            </w:rPr>
            <w:fldChar w:fldCharType="end"/>
          </w:r>
        </w:p>
        <w:p w14:paraId="4DD9AE2E">
          <w:pPr>
            <w:pStyle w:val="17"/>
            <w:tabs>
              <w:tab w:val="right" w:leader="dot" w:pos="9016"/>
            </w:tabs>
            <w:jc w:val="both"/>
            <w:rPr>
              <w:rFonts w:ascii="Arial" w:hAnsi="Arial" w:cs="Arial" w:eastAsiaTheme="minorEastAsia"/>
              <w:b w:val="0"/>
              <w:bCs w:val="0"/>
              <w:i w:val="0"/>
              <w:iCs w:val="0"/>
              <w:color w:val="000000" w:themeColor="text1"/>
              <w:kern w:val="2"/>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"_Toc216438065" </w:instrText>
          </w:r>
          <w:r>
            <w:rPr>
              <w:color w:val="000000" w:themeColor="text1"/>
              <w14:textFill>
                <w14:solidFill>
                  <w14:schemeClr w14:val="tx1"/>
                </w14:solidFill>
              </w14:textFill>
            </w:rPr>
            <w:fldChar w:fldCharType="separate"/>
          </w:r>
          <w:r>
            <w:rPr>
              <w:rStyle w:val="12"/>
              <w:rFonts w:ascii="Arial" w:hAnsi="Arial" w:cs="Arial"/>
              <w:b w:val="0"/>
              <w:bCs w:val="0"/>
              <w:i w:val="0"/>
              <w:iCs w:val="0"/>
              <w:color w:val="000000" w:themeColor="text1"/>
              <w:lang w:val="en-GB"/>
              <w14:textFill>
                <w14:solidFill>
                  <w14:schemeClr w14:val="tx1"/>
                </w14:solidFill>
              </w14:textFill>
            </w:rPr>
            <w:t>References</w:t>
          </w:r>
          <w:r>
            <w:rPr>
              <w:rFonts w:ascii="Arial" w:hAnsi="Arial" w:cs="Arial"/>
              <w:b w:val="0"/>
              <w:bCs w:val="0"/>
              <w:i w:val="0"/>
              <w:iCs w:val="0"/>
              <w:color w:val="000000" w:themeColor="text1"/>
              <w14:textFill>
                <w14:solidFill>
                  <w14:schemeClr w14:val="tx1"/>
                </w14:solidFill>
              </w14:textFill>
            </w:rPr>
            <w:tab/>
          </w:r>
          <w:r>
            <w:rPr>
              <w:rFonts w:ascii="Arial" w:hAnsi="Arial" w:cs="Arial"/>
              <w:b w:val="0"/>
              <w:bCs w:val="0"/>
              <w:i w:val="0"/>
              <w:iCs w:val="0"/>
              <w:color w:val="000000" w:themeColor="text1"/>
              <w14:textFill>
                <w14:solidFill>
                  <w14:schemeClr w14:val="tx1"/>
                </w14:solidFill>
              </w14:textFill>
            </w:rPr>
            <w:fldChar w:fldCharType="begin"/>
          </w:r>
          <w:r>
            <w:rPr>
              <w:rFonts w:ascii="Arial" w:hAnsi="Arial" w:cs="Arial"/>
              <w:b w:val="0"/>
              <w:bCs w:val="0"/>
              <w:i w:val="0"/>
              <w:iCs w:val="0"/>
              <w:color w:val="000000" w:themeColor="text1"/>
              <w14:textFill>
                <w14:solidFill>
                  <w14:schemeClr w14:val="tx1"/>
                </w14:solidFill>
              </w14:textFill>
            </w:rPr>
            <w:instrText xml:space="preserve"> PAGEREF _Toc216438065 \h </w:instrText>
          </w:r>
          <w:r>
            <w:rPr>
              <w:rFonts w:ascii="Arial" w:hAnsi="Arial" w:cs="Arial"/>
              <w:b w:val="0"/>
              <w:bCs w:val="0"/>
              <w:i w:val="0"/>
              <w:iCs w:val="0"/>
              <w:color w:val="000000" w:themeColor="text1"/>
              <w14:textFill>
                <w14:solidFill>
                  <w14:schemeClr w14:val="tx1"/>
                </w14:solidFill>
              </w14:textFill>
            </w:rPr>
            <w:fldChar w:fldCharType="separate"/>
          </w:r>
          <w:r>
            <w:rPr>
              <w:rFonts w:ascii="Arial" w:hAnsi="Arial" w:cs="Arial"/>
              <w:b w:val="0"/>
              <w:bCs w:val="0"/>
              <w:i w:val="0"/>
              <w:iCs w:val="0"/>
              <w:color w:val="000000" w:themeColor="text1"/>
              <w14:textFill>
                <w14:solidFill>
                  <w14:schemeClr w14:val="tx1"/>
                </w14:solidFill>
              </w14:textFill>
            </w:rPr>
            <w:t>18</w:t>
          </w:r>
          <w:r>
            <w:rPr>
              <w:rFonts w:ascii="Arial" w:hAnsi="Arial" w:cs="Arial"/>
              <w:b w:val="0"/>
              <w:bCs w:val="0"/>
              <w:i w:val="0"/>
              <w:iCs w:val="0"/>
              <w:color w:val="000000" w:themeColor="text1"/>
              <w14:textFill>
                <w14:solidFill>
                  <w14:schemeClr w14:val="tx1"/>
                </w14:solidFill>
              </w14:textFill>
            </w:rPr>
            <w:fldChar w:fldCharType="end"/>
          </w:r>
          <w:r>
            <w:rPr>
              <w:rFonts w:ascii="Arial" w:hAnsi="Arial" w:cs="Arial"/>
              <w:b w:val="0"/>
              <w:bCs w:val="0"/>
              <w:i w:val="0"/>
              <w:iCs w:val="0"/>
              <w:color w:val="000000" w:themeColor="text1"/>
              <w14:textFill>
                <w14:solidFill>
                  <w14:schemeClr w14:val="tx1"/>
                </w14:solidFill>
              </w14:textFill>
            </w:rPr>
            <w:fldChar w:fldCharType="end"/>
          </w:r>
        </w:p>
        <w:p w14:paraId="32FC0915">
          <w:pPr>
            <w:pStyle w:val="17"/>
            <w:tabs>
              <w:tab w:val="right" w:leader="dot" w:pos="9016"/>
            </w:tabs>
            <w:jc w:val="both"/>
            <w:rPr>
              <w:rFonts w:ascii="Arial" w:hAnsi="Arial" w:cs="Arial" w:eastAsiaTheme="minorEastAsia"/>
              <w:b w:val="0"/>
              <w:bCs w:val="0"/>
              <w:i w:val="0"/>
              <w:iCs w:val="0"/>
              <w:color w:val="000000" w:themeColor="text1"/>
              <w:kern w:val="2"/>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"_Toc216438066" </w:instrText>
          </w:r>
          <w:r>
            <w:rPr>
              <w:color w:val="000000" w:themeColor="text1"/>
              <w14:textFill>
                <w14:solidFill>
                  <w14:schemeClr w14:val="tx1"/>
                </w14:solidFill>
              </w14:textFill>
            </w:rPr>
            <w:fldChar w:fldCharType="separate"/>
          </w:r>
          <w:r>
            <w:rPr>
              <w:rStyle w:val="12"/>
              <w:rFonts w:ascii="Arial" w:hAnsi="Arial" w:cs="Arial"/>
              <w:b w:val="0"/>
              <w:bCs w:val="0"/>
              <w:i w:val="0"/>
              <w:iCs w:val="0"/>
              <w:color w:val="000000" w:themeColor="text1"/>
              <w:lang w:val="en-GB"/>
              <w14:textFill>
                <w14:solidFill>
                  <w14:schemeClr w14:val="tx1"/>
                </w14:solidFill>
              </w14:textFill>
            </w:rPr>
            <w:t>Appendices</w:t>
          </w:r>
          <w:r>
            <w:rPr>
              <w:rFonts w:ascii="Arial" w:hAnsi="Arial" w:cs="Arial"/>
              <w:b w:val="0"/>
              <w:bCs w:val="0"/>
              <w:i w:val="0"/>
              <w:iCs w:val="0"/>
              <w:color w:val="000000" w:themeColor="text1"/>
              <w14:textFill>
                <w14:solidFill>
                  <w14:schemeClr w14:val="tx1"/>
                </w14:solidFill>
              </w14:textFill>
            </w:rPr>
            <w:tab/>
          </w:r>
          <w:r>
            <w:rPr>
              <w:rFonts w:ascii="Arial" w:hAnsi="Arial" w:cs="Arial"/>
              <w:b w:val="0"/>
              <w:bCs w:val="0"/>
              <w:i w:val="0"/>
              <w:iCs w:val="0"/>
              <w:color w:val="000000" w:themeColor="text1"/>
              <w14:textFill>
                <w14:solidFill>
                  <w14:schemeClr w14:val="tx1"/>
                </w14:solidFill>
              </w14:textFill>
            </w:rPr>
            <w:fldChar w:fldCharType="begin"/>
          </w:r>
          <w:r>
            <w:rPr>
              <w:rFonts w:ascii="Arial" w:hAnsi="Arial" w:cs="Arial"/>
              <w:b w:val="0"/>
              <w:bCs w:val="0"/>
              <w:i w:val="0"/>
              <w:iCs w:val="0"/>
              <w:color w:val="000000" w:themeColor="text1"/>
              <w14:textFill>
                <w14:solidFill>
                  <w14:schemeClr w14:val="tx1"/>
                </w14:solidFill>
              </w14:textFill>
            </w:rPr>
            <w:instrText xml:space="preserve"> PAGEREF _Toc216438066 \h </w:instrText>
          </w:r>
          <w:r>
            <w:rPr>
              <w:rFonts w:ascii="Arial" w:hAnsi="Arial" w:cs="Arial"/>
              <w:b w:val="0"/>
              <w:bCs w:val="0"/>
              <w:i w:val="0"/>
              <w:iCs w:val="0"/>
              <w:color w:val="000000" w:themeColor="text1"/>
              <w14:textFill>
                <w14:solidFill>
                  <w14:schemeClr w14:val="tx1"/>
                </w14:solidFill>
              </w14:textFill>
            </w:rPr>
            <w:fldChar w:fldCharType="separate"/>
          </w:r>
          <w:r>
            <w:rPr>
              <w:rFonts w:ascii="Arial" w:hAnsi="Arial" w:cs="Arial"/>
              <w:b w:val="0"/>
              <w:bCs w:val="0"/>
              <w:i w:val="0"/>
              <w:iCs w:val="0"/>
              <w:color w:val="000000" w:themeColor="text1"/>
              <w14:textFill>
                <w14:solidFill>
                  <w14:schemeClr w14:val="tx1"/>
                </w14:solidFill>
              </w14:textFill>
            </w:rPr>
            <w:t>22</w:t>
          </w:r>
          <w:r>
            <w:rPr>
              <w:rFonts w:ascii="Arial" w:hAnsi="Arial" w:cs="Arial"/>
              <w:b w:val="0"/>
              <w:bCs w:val="0"/>
              <w:i w:val="0"/>
              <w:iCs w:val="0"/>
              <w:color w:val="000000" w:themeColor="text1"/>
              <w14:textFill>
                <w14:solidFill>
                  <w14:schemeClr w14:val="tx1"/>
                </w14:solidFill>
              </w14:textFill>
            </w:rPr>
            <w:fldChar w:fldCharType="end"/>
          </w:r>
          <w:r>
            <w:rPr>
              <w:rFonts w:ascii="Arial" w:hAnsi="Arial" w:cs="Arial"/>
              <w:b w:val="0"/>
              <w:bCs w:val="0"/>
              <w:i w:val="0"/>
              <w:iCs w:val="0"/>
              <w:color w:val="000000" w:themeColor="text1"/>
              <w14:textFill>
                <w14:solidFill>
                  <w14:schemeClr w14:val="tx1"/>
                </w14:solidFill>
              </w14:textFill>
            </w:rPr>
            <w:fldChar w:fldCharType="end"/>
          </w:r>
        </w:p>
        <w:p w14:paraId="09F53376">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"_Toc216438067"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Appendix 1: Raw Data</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_Toc216438067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22</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1EC3FEA0">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"_Toc216438068"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Appendix 2:</w:t>
          </w:r>
          <w:r>
            <w:rPr>
              <w:rStyle w:val="12"/>
              <w:rFonts w:ascii="Arial" w:hAnsi="Arial" w:cs="Arial"/>
              <w:b w:val="0"/>
              <w:bCs w:val="0"/>
              <w:color w:val="000000" w:themeColor="text1"/>
              <w:sz w:val="24"/>
              <w:szCs w:val="24"/>
              <w:highlight w:val="none"/>
              <w:lang w:val="en-GB"/>
              <w14:textFill>
                <w14:solidFill>
                  <w14:schemeClr w14:val="tx1"/>
                </w14:solidFill>
              </w14:textFill>
            </w:rPr>
            <w:t xml:space="preserve"> </w:t>
          </w:r>
          <w:r>
            <w:rPr>
              <w:color w:val="000000" w:themeColor="text1"/>
              <w:highlight w:val="none"/>
              <w:lang w:val="en-GB"/>
              <w14:textFill>
                <w14:solidFill>
                  <w14:schemeClr w14:val="tx1"/>
                </w14:solidFill>
              </w14:textFill>
            </w:rPr>
            <w:t xml:space="preserve">Ratio </w:t>
          </w:r>
          <w:r>
            <w:rPr>
              <w:rStyle w:val="12"/>
              <w:rFonts w:ascii="Arial" w:hAnsi="Arial" w:cs="Arial"/>
              <w:b w:val="0"/>
              <w:bCs w:val="0"/>
              <w:color w:val="000000" w:themeColor="text1"/>
              <w:sz w:val="24"/>
              <w:szCs w:val="24"/>
              <w:lang w:val="en-GB"/>
              <w14:textFill>
                <w14:solidFill>
                  <w14:schemeClr w14:val="tx1"/>
                </w14:solidFill>
              </w14:textFill>
            </w:rPr>
            <w:t>Analysis</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_Toc216438068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23</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600C01E9">
          <w:pPr>
            <w:pStyle w:val="18"/>
            <w:tabs>
              <w:tab w:val="right" w:leader="dot" w:pos="9016"/>
            </w:tabs>
            <w:jc w:val="both"/>
            <w:rPr>
              <w:rFonts w:ascii="Arial" w:hAnsi="Arial" w:cs="Arial" w:eastAsiaTheme="minorEastAsia"/>
              <w:b w:val="0"/>
              <w:bCs w:val="0"/>
              <w:color w:val="000000" w:themeColor="text1"/>
              <w:kern w:val="2"/>
              <w:sz w:val="24"/>
              <w:szCs w:val="24"/>
              <w:lang w:val="en-IN" w:eastAsia="en-IN"/>
              <w14:textFill>
                <w14:solidFill>
                  <w14:schemeClr w14:val="tx1"/>
                </w14:solidFill>
              </w14:textFill>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"_Toc216438069"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Appendix 3: Altman Z Score</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_Toc216438069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32</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47B233EA">
          <w:pPr>
            <w:pStyle w:val="18"/>
            <w:tabs>
              <w:tab w:val="right" w:leader="dot" w:pos="9016"/>
            </w:tabs>
            <w:jc w:val="both"/>
            <w:rPr>
              <w:rFonts w:ascii="Arial" w:hAnsi="Arial" w:cs="Arial" w:eastAsiaTheme="minorEastAsia"/>
              <w:b w:val="0"/>
              <w:bCs w:val="0"/>
              <w:color w:val="EE0000"/>
              <w:kern w:val="2"/>
              <w:sz w:val="24"/>
              <w:szCs w:val="24"/>
              <w:lang w:val="en-IN" w:eastAsia="en-IN"/>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"_Toc216438070" </w:instrText>
          </w:r>
          <w:r>
            <w:rPr>
              <w:color w:val="000000" w:themeColor="text1"/>
              <w14:textFill>
                <w14:solidFill>
                  <w14:schemeClr w14:val="tx1"/>
                </w14:solidFill>
              </w14:textFill>
            </w:rPr>
            <w:fldChar w:fldCharType="separate"/>
          </w:r>
          <w:r>
            <w:rPr>
              <w:rStyle w:val="12"/>
              <w:rFonts w:ascii="Arial" w:hAnsi="Arial" w:cs="Arial"/>
              <w:b w:val="0"/>
              <w:bCs w:val="0"/>
              <w:color w:val="000000" w:themeColor="text1"/>
              <w:sz w:val="24"/>
              <w:szCs w:val="24"/>
              <w:lang w:val="en-GB"/>
              <w14:textFill>
                <w14:solidFill>
                  <w14:schemeClr w14:val="tx1"/>
                </w14:solidFill>
              </w14:textFill>
            </w:rPr>
            <w:t>Appendix 4: Investment Appraisal</w:t>
          </w:r>
          <w:r>
            <w:rPr>
              <w:rFonts w:ascii="Arial" w:hAnsi="Arial" w:cs="Arial"/>
              <w:b w:val="0"/>
              <w:bCs w:val="0"/>
              <w:color w:val="000000" w:themeColor="text1"/>
              <w:sz w:val="24"/>
              <w:szCs w:val="24"/>
              <w14:textFill>
                <w14:solidFill>
                  <w14:schemeClr w14:val="tx1"/>
                </w14:solidFill>
              </w14:textFill>
            </w:rPr>
            <w:tab/>
          </w:r>
          <w:r>
            <w:rPr>
              <w:rFonts w:ascii="Arial" w:hAnsi="Arial" w:cs="Arial"/>
              <w:b w:val="0"/>
              <w:bCs w:val="0"/>
              <w:color w:val="000000" w:themeColor="text1"/>
              <w:sz w:val="24"/>
              <w:szCs w:val="24"/>
              <w14:textFill>
                <w14:solidFill>
                  <w14:schemeClr w14:val="tx1"/>
                </w14:solidFill>
              </w14:textFill>
            </w:rPr>
            <w:fldChar w:fldCharType="begin"/>
          </w:r>
          <w:r>
            <w:rPr>
              <w:rFonts w:ascii="Arial" w:hAnsi="Arial" w:cs="Arial"/>
              <w:b w:val="0"/>
              <w:bCs w:val="0"/>
              <w:color w:val="000000" w:themeColor="text1"/>
              <w:sz w:val="24"/>
              <w:szCs w:val="24"/>
              <w14:textFill>
                <w14:solidFill>
                  <w14:schemeClr w14:val="tx1"/>
                </w14:solidFill>
              </w14:textFill>
            </w:rPr>
            <w:instrText xml:space="preserve"> PAGEREF _Toc216438070 \h </w:instrText>
          </w:r>
          <w:r>
            <w:rPr>
              <w:rFonts w:ascii="Arial" w:hAnsi="Arial" w:cs="Arial"/>
              <w:b w:val="0"/>
              <w:bCs w:val="0"/>
              <w:color w:val="000000" w:themeColor="text1"/>
              <w:sz w:val="24"/>
              <w:szCs w:val="24"/>
              <w14:textFill>
                <w14:solidFill>
                  <w14:schemeClr w14:val="tx1"/>
                </w14:solidFill>
              </w14:textFill>
            </w:rPr>
            <w:fldChar w:fldCharType="separate"/>
          </w:r>
          <w:r>
            <w:rPr>
              <w:rFonts w:ascii="Arial" w:hAnsi="Arial" w:cs="Arial"/>
              <w:b w:val="0"/>
              <w:bCs w:val="0"/>
              <w:color w:val="000000" w:themeColor="text1"/>
              <w:sz w:val="24"/>
              <w:szCs w:val="24"/>
              <w14:textFill>
                <w14:solidFill>
                  <w14:schemeClr w14:val="tx1"/>
                </w14:solidFill>
              </w14:textFill>
            </w:rPr>
            <w:t>35</w:t>
          </w:r>
          <w:r>
            <w:rPr>
              <w:rFonts w:ascii="Arial" w:hAnsi="Arial" w:cs="Arial"/>
              <w:b w:val="0"/>
              <w:bCs w:val="0"/>
              <w:color w:val="000000" w:themeColor="text1"/>
              <w:sz w:val="24"/>
              <w:szCs w:val="24"/>
              <w14:textFill>
                <w14:solidFill>
                  <w14:schemeClr w14:val="tx1"/>
                </w14:solidFill>
              </w14:textFill>
            </w:rPr>
            <w:fldChar w:fldCharType="end"/>
          </w:r>
          <w:r>
            <w:rPr>
              <w:rFonts w:ascii="Arial" w:hAnsi="Arial" w:cs="Arial"/>
              <w:b w:val="0"/>
              <w:bCs w:val="0"/>
              <w:color w:val="000000" w:themeColor="text1"/>
              <w:sz w:val="24"/>
              <w:szCs w:val="24"/>
              <w14:textFill>
                <w14:solidFill>
                  <w14:schemeClr w14:val="tx1"/>
                </w14:solidFill>
              </w14:textFill>
            </w:rPr>
            <w:fldChar w:fldCharType="end"/>
          </w:r>
        </w:p>
        <w:p w14:paraId="6F250F65">
          <w:pPr>
            <w:spacing w:before="120"/>
            <w:rPr>
              <w:rFonts w:ascii="Arial" w:hAnsi="Arial" w:cs="Arial"/>
              <w:color w:val="EE0000"/>
            </w:rPr>
          </w:pPr>
          <w:r>
            <w:rPr>
              <w:rFonts w:ascii="Arial" w:hAnsi="Arial" w:cs="Arial"/>
              <w:color w:val="EE0000"/>
            </w:rPr>
            <w:fldChar w:fldCharType="end"/>
          </w:r>
        </w:p>
      </w:sdtContent>
    </w:sdt>
    <w:p w14:paraId="7BCC7BF7">
      <w:pPr>
        <w:pStyle w:val="16"/>
        <w:rPr>
          <w:rFonts w:ascii="Arial" w:hAnsi="Arial" w:cs="Arial"/>
          <w:sz w:val="24"/>
          <w:szCs w:val="24"/>
          <w:lang w:val="en-GB"/>
        </w:rPr>
      </w:pPr>
      <w:r>
        <w:rPr>
          <w:rFonts w:ascii="Arial" w:hAnsi="Arial" w:cs="Arial"/>
          <w:sz w:val="24"/>
          <w:szCs w:val="24"/>
          <w:lang w:val="en-GB"/>
        </w:rPr>
        <w:br w:type="page"/>
      </w:r>
    </w:p>
    <w:p w14:paraId="6EBCB0AF">
      <w:pPr>
        <w:pStyle w:val="2"/>
        <w:rPr>
          <w:rFonts w:ascii="Arial" w:hAnsi="Arial" w:cs="Arial"/>
          <w:lang w:val="en-GB"/>
        </w:rPr>
      </w:pPr>
      <w:bookmarkStart w:id="1" w:name="_m5tynp29jiez" w:colFirst="0" w:colLast="0"/>
      <w:bookmarkEnd w:id="1"/>
      <w:bookmarkStart w:id="2" w:name="_Toc216438024"/>
      <w:r>
        <w:rPr>
          <w:rFonts w:ascii="Arial" w:hAnsi="Arial" w:cs="Arial"/>
          <w:lang w:val="en-GB"/>
        </w:rPr>
        <w:t>1. Introduction</w:t>
      </w:r>
      <w:bookmarkEnd w:id="2"/>
    </w:p>
    <w:p w14:paraId="57D31073">
      <w:pPr>
        <w:rPr>
          <w:rFonts w:ascii="Arial" w:hAnsi="Arial" w:cs="Arial"/>
          <w:lang w:val="en-GB"/>
        </w:rPr>
      </w:pPr>
      <w:r>
        <w:rPr>
          <w:rFonts w:ascii="Arial" w:hAnsi="Arial" w:cs="Arial"/>
          <w:lang w:val="en-GB"/>
        </w:rPr>
        <w:t>In this report, the aspects that are assessed include the financial performance of General Electronics, the working capital efficiency of this company, restructuring requirements, and investment opportunities. It also employs the tools of ratio analysis, risk assessment, and capital budgeting to define the main issues faced by the firm and suggest the financial options to be adopted to stabilise the liquidity, regain profitability, and ensure the recovery of the firm on a long-term basis in a highly competitive global world.</w:t>
      </w:r>
    </w:p>
    <w:p w14:paraId="572AF4C0">
      <w:pPr>
        <w:pStyle w:val="2"/>
        <w:rPr>
          <w:rFonts w:ascii="Arial" w:hAnsi="Arial" w:cs="Arial"/>
          <w:lang w:val="en-GB"/>
        </w:rPr>
      </w:pPr>
      <w:bookmarkStart w:id="3" w:name="_ezwic7zavkhv" w:colFirst="0" w:colLast="0"/>
      <w:bookmarkEnd w:id="3"/>
      <w:bookmarkStart w:id="4" w:name="_Toc216438025"/>
      <w:r>
        <w:rPr>
          <w:rFonts w:ascii="Arial" w:hAnsi="Arial" w:cs="Arial"/>
          <w:lang w:val="en-GB"/>
        </w:rPr>
        <w:t>2. Financial Health Check</w:t>
      </w:r>
      <w:bookmarkEnd w:id="4"/>
    </w:p>
    <w:p w14:paraId="25FC55F3">
      <w:pPr>
        <w:pStyle w:val="3"/>
        <w:rPr>
          <w:rFonts w:ascii="Arial" w:hAnsi="Arial" w:cs="Arial"/>
          <w:lang w:val="en-GB"/>
        </w:rPr>
      </w:pPr>
      <w:bookmarkStart w:id="5" w:name="_dnsms1r1d8eb" w:colFirst="0" w:colLast="0"/>
      <w:bookmarkEnd w:id="5"/>
      <w:bookmarkStart w:id="6" w:name="_Toc216438026"/>
      <w:r>
        <w:rPr>
          <w:rFonts w:ascii="Arial" w:hAnsi="Arial" w:cs="Arial"/>
          <w:lang w:val="en-GB"/>
        </w:rPr>
        <w:t>2.1 Overview of Financial Performance Trends</w:t>
      </w:r>
      <w:bookmarkEnd w:id="6"/>
    </w:p>
    <w:p w14:paraId="1825DC35">
      <w:pPr>
        <w:rPr>
          <w:rFonts w:ascii="Arial" w:hAnsi="Arial" w:cs="Arial"/>
          <w:lang w:val="en-GB"/>
        </w:rPr>
      </w:pPr>
      <w:r>
        <w:rPr>
          <w:rFonts w:ascii="Arial" w:hAnsi="Arial" w:cs="Arial"/>
          <w:lang w:val="en-GB"/>
        </w:rPr>
        <w:t>The financial trend of General Electronics shows an acute and continuous deterioration of financial stability and operations. In 2020, the revenue was 614.7 billion and in 2024, 394.9 billion, a shrinkage of more than 35% [</w:t>
      </w:r>
      <w:r>
        <w:rPr>
          <w:rFonts w:ascii="Arial" w:hAnsi="Arial" w:cs="Arial"/>
          <w:b/>
          <w:bCs/>
          <w:i/>
          <w:iCs/>
          <w:lang w:val="en-GB"/>
        </w:rPr>
        <w:t>Refer to Appendix 1</w:t>
      </w:r>
      <w:r>
        <w:rPr>
          <w:rFonts w:ascii="Arial" w:hAnsi="Arial" w:cs="Arial"/>
          <w:lang w:val="en-GB"/>
        </w:rPr>
        <w:t xml:space="preserve">]. The decrease in revenue was not matched by cost cuts, and this led to a tightening of margins and increasing losses. The level of profitability declined critically in 2023 and 2024, when the company posted net losses of £98.2 billion and 24 billion, respectively. These years are the turning points of major inflexions that are precipitated by the disruption of global supply and ruthless cost formations and impairments. </w:t>
      </w:r>
    </w:p>
    <w:p w14:paraId="5C7A09D7">
      <w:pPr>
        <w:rPr>
          <w:rFonts w:ascii="Arial" w:hAnsi="Arial" w:cs="Arial"/>
          <w:lang w:val="en-GB"/>
        </w:rPr>
      </w:pPr>
      <w:r>
        <w:rPr>
          <w:rFonts w:ascii="Arial" w:hAnsi="Arial" w:cs="Arial"/>
          <w:lang w:val="en-GB"/>
        </w:rPr>
        <w:t>Operating income started to decrease in 2020, with the value being 37.3 billion before decreasing to losses in 2022, 2023, and 2024, 14.5 billion and 85.3 billion, respectively. The volatility reflects the trends of the ailing companies where managerial inertia and out-of-alignment strategies speed up degradation (Akbar et al., 2022). Besides, the fact that there is no decrease in sales and a growing operating cost in 2023 is indicative of structural inefficiencies that typically lead to intense financial distress. The time frame of 2022-2024, therefore, represents a decisive decline in performance and solvency. This is in line with the initial distress stages featured in the literature on corporate restructuring (Mavlutova et al., 2021).</w:t>
      </w:r>
    </w:p>
    <w:p w14:paraId="50D870A5">
      <w:pPr>
        <w:pStyle w:val="3"/>
        <w:rPr>
          <w:rFonts w:ascii="Arial" w:hAnsi="Arial" w:cs="Arial"/>
          <w:lang w:val="en-GB"/>
        </w:rPr>
      </w:pPr>
      <w:bookmarkStart w:id="7" w:name="_rh9rgyltc4k" w:colFirst="0" w:colLast="0"/>
      <w:bookmarkEnd w:id="7"/>
      <w:bookmarkStart w:id="8" w:name="_Toc216438027"/>
      <w:r>
        <w:rPr>
          <w:rFonts w:ascii="Arial" w:hAnsi="Arial" w:cs="Arial"/>
          <w:lang w:val="en-GB"/>
        </w:rPr>
        <w:t>2.2 Profitability Analysis</w:t>
      </w:r>
      <w:bookmarkEnd w:id="8"/>
    </w:p>
    <w:p w14:paraId="1A66473B">
      <w:pPr>
        <w:rPr>
          <w:rFonts w:ascii="Arial" w:hAnsi="Arial" w:cs="Arial"/>
          <w:lang w:val="en-GB"/>
        </w:rPr>
      </w:pPr>
      <w:r>
        <w:rPr>
          <w:rFonts w:ascii="Arial" w:hAnsi="Arial" w:cs="Arial"/>
          <w:lang w:val="en-GB"/>
        </w:rPr>
        <w:t>The operational decline is severe as indicated by the profitability ratios. Gross margin was mostly stable (0.28-0.29), but decreased in 2023 (0.23). This is a sign of decreased pricing power and increased production inefficiencies. The operating margin has significantly worsened, with the value of 6.06 in 2020 and -20.3 in 2023, indicating the growing overheads and possible impairment of assets [</w:t>
      </w:r>
      <w:r>
        <w:rPr>
          <w:rFonts w:ascii="Arial" w:hAnsi="Arial" w:cs="Arial"/>
          <w:b/>
          <w:bCs/>
          <w:i/>
          <w:iCs/>
          <w:lang w:val="en-GB"/>
        </w:rPr>
        <w:t>Refer to Appendix 2</w:t>
      </w:r>
      <w:r>
        <w:rPr>
          <w:rFonts w:ascii="Arial" w:hAnsi="Arial" w:cs="Arial"/>
          <w:lang w:val="en-GB"/>
        </w:rPr>
        <w:t>]. As per Fahdil et al. (2024), this is a common proportion of restructuring operations. Net margin dropped from in 2020 6.27 to 2023 in 23.4, whereas in 2024, it was 6.1, thereby reflecting substantial net losses. The trend of a decline in net earnings coincides with the trend observed in companies entering the crisis period of the life cycle (Akbar et al., 2022). Return on Assets (ROA) changed to -0.276 in 2023 (compared to 0.075 in 2020). Also, the Return on Equity (ROE) changed to -0.549 in 2023, which was 0.123 in 2020. The two indicators portend the destruction of shareholder value and the non-use of assets. Umar (2023) stated that the negative ROE in the sharp form, especially, is indicative of the erosion of equity, which is a widespread precedent to restructuring or recapitalisation. The deteriorating profitability ratios are all indicative of structural wastage and unsustainable expenditures that must be corrected through an immediate business change policy.</w:t>
      </w:r>
    </w:p>
    <w:p w14:paraId="60C75B61">
      <w:pPr>
        <w:pStyle w:val="3"/>
        <w:rPr>
          <w:rFonts w:ascii="Arial" w:hAnsi="Arial" w:cs="Arial"/>
          <w:lang w:val="en-GB"/>
        </w:rPr>
      </w:pPr>
      <w:bookmarkStart w:id="9" w:name="_a4hz9auqqlv7" w:colFirst="0" w:colLast="0"/>
      <w:bookmarkEnd w:id="9"/>
      <w:bookmarkStart w:id="10" w:name="_Toc216438028"/>
      <w:r>
        <w:rPr>
          <w:rFonts w:ascii="Arial" w:hAnsi="Arial" w:cs="Arial"/>
          <w:lang w:val="en-GB"/>
        </w:rPr>
        <w:t>2.3 Liquidity Analysis</w:t>
      </w:r>
      <w:bookmarkEnd w:id="10"/>
    </w:p>
    <w:p w14:paraId="5B0973E0">
      <w:pPr>
        <w:rPr>
          <w:rFonts w:ascii="Arial" w:hAnsi="Arial" w:cs="Arial"/>
          <w:lang w:val="en-GB"/>
        </w:rPr>
      </w:pPr>
      <w:r>
        <w:rPr>
          <w:rFonts w:ascii="Arial" w:hAnsi="Arial" w:cs="Arial"/>
          <w:lang w:val="en-GB"/>
        </w:rPr>
        <w:t>The short-term solvency is moderate but worsening, as indicated by liquidity indicators. The current ratio is greater than 1.5 during all five years (1.53 in 2024), indicating that the nominal coverage of short-term liabilities should be provided. Nevertheless, the quick ratio, without inventories, drops to 1.03 in 2024 [</w:t>
      </w:r>
      <w:r>
        <w:rPr>
          <w:rFonts w:ascii="Arial" w:hAnsi="Arial" w:cs="Arial"/>
          <w:b/>
          <w:bCs/>
          <w:i/>
          <w:iCs/>
          <w:lang w:val="en-GB"/>
        </w:rPr>
        <w:t>Refer to Appendix 2</w:t>
      </w:r>
      <w:r>
        <w:rPr>
          <w:rFonts w:ascii="Arial" w:hAnsi="Arial" w:cs="Arial"/>
          <w:lang w:val="en-GB"/>
        </w:rPr>
        <w:t>], which is a sign of poor liquid assets availability. The accumulation of resources in the stock of inventory and receivables, and the slowness of the movement, raises the question of liquidity. Besides, the cash balance decreased in 2022 and 2024 to 66.7 billion and 26.8 billion, respectively, which indicates the growing dependence on external funding. It is consistent with the findings of Colliard and Gromb (2025) that languishing companies usually experience liquidity squeeze before implementing restructuring strategies. The company has been continuously reducing and repaying commercial credit lines, which is another indication of its reliance on short-term financing, an unsustainable liquidity policy.</w:t>
      </w:r>
    </w:p>
    <w:p w14:paraId="14AF37D6">
      <w:pPr>
        <w:pStyle w:val="3"/>
        <w:rPr>
          <w:rFonts w:ascii="Arial" w:hAnsi="Arial" w:cs="Arial"/>
          <w:lang w:val="en-GB"/>
        </w:rPr>
      </w:pPr>
      <w:bookmarkStart w:id="11" w:name="_9vn84mgnsshu" w:colFirst="0" w:colLast="0"/>
      <w:bookmarkEnd w:id="11"/>
      <w:bookmarkStart w:id="12" w:name="_Toc216438029"/>
      <w:r>
        <w:rPr>
          <w:rFonts w:ascii="Arial" w:hAnsi="Arial" w:cs="Arial"/>
          <w:lang w:val="en-GB"/>
        </w:rPr>
        <w:t>2.4 Efficiency / Working Asset Management Ratios</w:t>
      </w:r>
      <w:bookmarkEnd w:id="12"/>
    </w:p>
    <w:p w14:paraId="20FDCFF5">
      <w:pPr>
        <w:rPr>
          <w:rFonts w:ascii="Arial" w:hAnsi="Arial" w:cs="Arial"/>
          <w:lang w:val="en-GB"/>
        </w:rPr>
      </w:pPr>
      <w:r>
        <w:rPr>
          <w:rFonts w:ascii="Arial" w:hAnsi="Arial" w:cs="Arial"/>
          <w:lang w:val="en-GB"/>
        </w:rPr>
        <w:t>The efficiency ratios highlight chronic underperformance in the management of operational working capital. There was a tremendous increase in inventory days that went up to 94 days in 2022, as opposed to 71 days in 2020 [</w:t>
      </w:r>
      <w:r>
        <w:rPr>
          <w:rFonts w:ascii="Arial" w:hAnsi="Arial" w:cs="Arial"/>
          <w:b/>
          <w:bCs/>
          <w:i/>
          <w:iCs/>
          <w:lang w:val="en-GB"/>
        </w:rPr>
        <w:t>Refer to Appendix 2</w:t>
      </w:r>
      <w:r>
        <w:rPr>
          <w:rFonts w:ascii="Arial" w:hAnsi="Arial" w:cs="Arial"/>
          <w:lang w:val="en-GB"/>
        </w:rPr>
        <w:t>]. This growth is because of overproduction, overestimation of demand, or inefficiency in the supply side, which are usually the antecedents of strategic restructuring interventions (Widiyastuti et al., 2025). The number of days outstanding is elevated (105 days in 2024), which means the ineffective use of credit and the inability to collect it quickly. In the meantime, the payables days are relatively low (66 days in 2024). The increasing distance between receivable and payable cycles augments strain on cash and prolongs the cash conversion cycle (CCC), which is a classical liquidity crisis antecedent (Mavlutova et al., 2021). In combination, inefficient deployment of working capital indicates profound operational misalignment that should be dealt with in any turnaround plan.</w:t>
      </w:r>
    </w:p>
    <w:p w14:paraId="441F9ADB">
      <w:pPr>
        <w:pStyle w:val="3"/>
        <w:rPr>
          <w:rFonts w:ascii="Arial" w:hAnsi="Arial" w:cs="Arial"/>
          <w:lang w:val="en-GB"/>
        </w:rPr>
      </w:pPr>
      <w:bookmarkStart w:id="13" w:name="_5kkppffohdvn" w:colFirst="0" w:colLast="0"/>
      <w:bookmarkEnd w:id="13"/>
      <w:bookmarkStart w:id="14" w:name="_Toc216438030"/>
      <w:r>
        <w:rPr>
          <w:rFonts w:ascii="Arial" w:hAnsi="Arial" w:cs="Arial"/>
          <w:lang w:val="en-GB"/>
        </w:rPr>
        <w:t>2.5 Gearing / Leverage Analysis</w:t>
      </w:r>
      <w:bookmarkEnd w:id="14"/>
    </w:p>
    <w:p w14:paraId="0B84ADE3">
      <w:pPr>
        <w:rPr>
          <w:rFonts w:ascii="Arial" w:hAnsi="Arial" w:cs="Arial"/>
          <w:lang w:val="en-GB"/>
        </w:rPr>
      </w:pPr>
      <w:r>
        <w:rPr>
          <w:rFonts w:ascii="Arial" w:hAnsi="Arial" w:cs="Arial"/>
          <w:lang w:val="en-GB"/>
        </w:rPr>
        <w:t>Debt-to-equity rose 0.63-1.11 between 2020 and 2024, indicating an increase in leverage and dependency on debt financing [</w:t>
      </w:r>
      <w:r>
        <w:rPr>
          <w:rFonts w:ascii="Arial" w:hAnsi="Arial" w:cs="Arial"/>
          <w:b/>
          <w:bCs/>
          <w:i/>
          <w:iCs/>
          <w:lang w:val="en-GB"/>
        </w:rPr>
        <w:t>Refer to Appendix 2</w:t>
      </w:r>
      <w:r>
        <w:rPr>
          <w:rFonts w:ascii="Arial" w:hAnsi="Arial" w:cs="Arial"/>
          <w:lang w:val="en-GB"/>
        </w:rPr>
        <w:t>]. An increase in liabilities and a decrease in equity increase the risk of insolvency. The interest expense is not as high, but the interest coverage decreases considerably, as negative operating income is present, meaning that it is unable to comfortably cover the debt obligations. Increased gearing is also a common pointer to imminent financial restructuring, as companies strive to re-equate capital structure and lighten financial load (Umar, 2023). As leverage increases the vulnerability in times of downfalls, this ratio should allow us to verify that General Electronics is on the verge of becoming insolvent. Also, continuous borrowing using credit lines is a stress financing behaviour which is in line with early-stage financial distress.</w:t>
      </w:r>
    </w:p>
    <w:p w14:paraId="7C0F8746">
      <w:pPr>
        <w:pStyle w:val="3"/>
        <w:rPr>
          <w:rFonts w:ascii="Arial" w:hAnsi="Arial" w:cs="Arial"/>
          <w:lang w:val="en-GB"/>
        </w:rPr>
      </w:pPr>
      <w:bookmarkStart w:id="15" w:name="_y2kzvcks39v7" w:colFirst="0" w:colLast="0"/>
      <w:bookmarkEnd w:id="15"/>
      <w:bookmarkStart w:id="16" w:name="_Toc216438031"/>
      <w:r>
        <w:rPr>
          <w:rFonts w:ascii="Arial" w:hAnsi="Arial" w:cs="Arial"/>
          <w:lang w:val="en-GB"/>
        </w:rPr>
        <w:t>2.6 Investment Ratios</w:t>
      </w:r>
      <w:bookmarkEnd w:id="16"/>
    </w:p>
    <w:p w14:paraId="7AC56FE7">
      <w:pPr>
        <w:rPr>
          <w:rFonts w:ascii="Arial" w:hAnsi="Arial" w:cs="Arial"/>
          <w:lang w:val="en-GB"/>
        </w:rPr>
      </w:pPr>
      <w:r>
        <w:rPr>
          <w:rFonts w:ascii="Arial" w:hAnsi="Arial" w:cs="Arial"/>
          <w:lang w:val="en-GB"/>
        </w:rPr>
        <w:t>Despite the drawbacks of full market-value programs (including P/E) because of losses, trends in earnings per share (EPS) reveal a drop in shareholder value since 2020 (2.78 to -7.64) in 2023 [</w:t>
      </w:r>
      <w:r>
        <w:rPr>
          <w:rFonts w:ascii="Arial" w:hAnsi="Arial" w:cs="Arial"/>
          <w:b/>
          <w:bCs/>
          <w:i/>
          <w:iCs/>
          <w:lang w:val="en-GB"/>
        </w:rPr>
        <w:t>Refer to Appendix 2</w:t>
      </w:r>
      <w:r>
        <w:rPr>
          <w:rFonts w:ascii="Arial" w:hAnsi="Arial" w:cs="Arial"/>
          <w:lang w:val="en-GB"/>
        </w:rPr>
        <w:t>]. It proved a significant loss of shareholder value. The falling retained earnings indicate the deterioration of internal capital formation, and this further explains why restructuring should be considered. Poor timing of capital allocation decisions is indicated by the large amount of treasury stock purchases until 2022, since buybacks took place just before the major losses. As per Widiyastuti et al. (2025), these financial policies that are not in line with each other tend to spur governance and strategic reforms. The declining market image of the company highlights the need to initiate structural change, such as a possible divestiture or capital infusion.</w:t>
      </w:r>
    </w:p>
    <w:p w14:paraId="0362EB48">
      <w:pPr>
        <w:pStyle w:val="3"/>
        <w:rPr>
          <w:rFonts w:ascii="Arial" w:hAnsi="Arial" w:cs="Arial"/>
          <w:lang w:val="en-GB"/>
        </w:rPr>
      </w:pPr>
      <w:bookmarkStart w:id="17" w:name="_1gi8kb5l9bb" w:colFirst="0" w:colLast="0"/>
      <w:bookmarkEnd w:id="17"/>
      <w:bookmarkStart w:id="18" w:name="_Toc216438032"/>
      <w:r>
        <w:rPr>
          <w:rFonts w:ascii="Arial" w:hAnsi="Arial" w:cs="Arial"/>
          <w:lang w:val="en-GB"/>
        </w:rPr>
        <w:t>2.7 Cash Flow Quality Assessment</w:t>
      </w:r>
      <w:bookmarkEnd w:id="18"/>
    </w:p>
    <w:p w14:paraId="04E8CE1A">
      <w:pPr>
        <w:rPr>
          <w:rFonts w:ascii="Arial" w:hAnsi="Arial" w:cs="Arial"/>
          <w:lang w:val="en-GB"/>
        </w:rPr>
      </w:pPr>
      <w:r>
        <w:rPr>
          <w:rFonts w:ascii="Arial" w:hAnsi="Arial" w:cs="Arial"/>
          <w:lang w:val="en-GB"/>
        </w:rPr>
        <w:t>Although the firm has recorded negative accounting returns in 2023-2024, the operating cash flows have been positive (125.2 billion in 2023 and 14.8 billion in 2024). This separation can be typically observed in distressed companies that treat working capital in an aggressive way to help with liquidity (Mehmood and De Luco, 2025). Cash flow sustainability, however, seems to be poor. There were inventory decreases, payables periods, and credit line utilisation that made a major contribution to the improvement of the short-term cash flow. Literature about aggrieved organisations proposes that this type of cash flow signifies a short-term relief and not permanent recovery. Cash flow from investment is negative in all the years because of the continuous capital expenditures. Funding cash flows show a great use of borrowing and repayment of debt, which is an indicator of a circle of reliance on foreign funding, a carcinogenic indicator of increasing distress (Colliard and Gromb, 2025).</w:t>
      </w:r>
    </w:p>
    <w:p w14:paraId="72375D9C">
      <w:pPr>
        <w:pStyle w:val="3"/>
        <w:rPr>
          <w:rFonts w:ascii="Arial" w:hAnsi="Arial" w:cs="Arial"/>
          <w:lang w:val="en-GB"/>
        </w:rPr>
      </w:pPr>
      <w:bookmarkStart w:id="19" w:name="_s2xq5qbg9bvv" w:colFirst="0" w:colLast="0"/>
      <w:bookmarkEnd w:id="19"/>
      <w:bookmarkStart w:id="20" w:name="_Toc216438033"/>
      <w:r>
        <w:rPr>
          <w:rFonts w:ascii="Arial" w:hAnsi="Arial" w:cs="Arial"/>
          <w:lang w:val="en-GB"/>
        </w:rPr>
        <w:t>2.8 Corporate Failure Prediction</w:t>
      </w:r>
      <w:bookmarkEnd w:id="20"/>
    </w:p>
    <w:p w14:paraId="510F2348">
      <w:pPr>
        <w:rPr>
          <w:rFonts w:ascii="Arial" w:hAnsi="Arial" w:cs="Arial"/>
          <w:lang w:val="en-GB"/>
        </w:rPr>
      </w:pPr>
      <w:r>
        <w:rPr>
          <w:rFonts w:ascii="Arial" w:hAnsi="Arial" w:cs="Arial"/>
          <w:lang w:val="en-GB"/>
        </w:rPr>
        <w:t>The Altman Z-Score shows that the 2024 score is in the distress zone, which means that there is a high likelihood of financial failure [</w:t>
      </w:r>
      <w:r>
        <w:rPr>
          <w:rFonts w:ascii="Arial" w:hAnsi="Arial" w:cs="Arial"/>
          <w:b/>
          <w:bCs/>
          <w:i/>
          <w:iCs/>
          <w:lang w:val="en-GB"/>
        </w:rPr>
        <w:t>Refer to Appendix 3</w:t>
      </w:r>
      <w:r>
        <w:rPr>
          <w:rFonts w:ascii="Arial" w:hAnsi="Arial" w:cs="Arial"/>
          <w:lang w:val="en-GB"/>
        </w:rPr>
        <w:t>]. This aligns with the predictive tendencies of troubled private companies by Mehmood and De Luco (2025), where deteriorating profitability, leveraging upwards, and liquidity stress concomitantly increase default risk. General Electronics exhibits all the typical indicators of the risk of bankruptcy. As described by Fahdil et al. (2024), falling margins, negative earnings, declining solvency, limited liquidity, and ineffective efficiency ratios are observed. The Z-score of the previous years was relatively higher and yet continuously declining, indicating the existence of a gradual slip to insolvency and not a sharp shock. The fact that the firm is losing its financial ground gives more weight to the argument of extensive restructuring, which depicts that early response provides a significant boost in survival rates.</w:t>
      </w:r>
    </w:p>
    <w:p w14:paraId="4CC95381">
      <w:pPr>
        <w:pStyle w:val="2"/>
        <w:rPr>
          <w:rFonts w:ascii="Arial" w:hAnsi="Arial" w:cs="Arial"/>
          <w:lang w:val="en-GB"/>
        </w:rPr>
      </w:pPr>
      <w:bookmarkStart w:id="21" w:name="_3gkedavskcn8" w:colFirst="0" w:colLast="0"/>
      <w:bookmarkEnd w:id="21"/>
      <w:bookmarkStart w:id="22" w:name="_Toc216438034"/>
      <w:r>
        <w:rPr>
          <w:rFonts w:ascii="Arial" w:hAnsi="Arial" w:cs="Arial"/>
          <w:lang w:val="en-GB"/>
        </w:rPr>
        <w:t>3. Working Capital Management Analysis</w:t>
      </w:r>
      <w:bookmarkEnd w:id="22"/>
    </w:p>
    <w:p w14:paraId="6295473D">
      <w:pPr>
        <w:pStyle w:val="3"/>
        <w:rPr>
          <w:rFonts w:ascii="Arial" w:hAnsi="Arial" w:cs="Arial"/>
          <w:lang w:val="en-GB"/>
        </w:rPr>
      </w:pPr>
      <w:bookmarkStart w:id="23" w:name="_5gv15w6bl1r" w:colFirst="0" w:colLast="0"/>
      <w:bookmarkEnd w:id="23"/>
      <w:bookmarkStart w:id="24" w:name="_Toc216438035"/>
      <w:r>
        <w:rPr>
          <w:rFonts w:ascii="Arial" w:hAnsi="Arial" w:cs="Arial"/>
          <w:lang w:val="en-GB"/>
        </w:rPr>
        <w:t>3.1 Structure of Working Capital</w:t>
      </w:r>
      <w:bookmarkEnd w:id="24"/>
    </w:p>
    <w:p w14:paraId="13DAE506">
      <w:pPr>
        <w:rPr>
          <w:rFonts w:ascii="Arial" w:hAnsi="Arial" w:cs="Arial"/>
          <w:lang w:val="en-GB"/>
        </w:rPr>
      </w:pPr>
      <w:r>
        <w:rPr>
          <w:rFonts w:ascii="Arial" w:hAnsi="Arial" w:cs="Arial"/>
          <w:lang w:val="en-GB"/>
        </w:rPr>
        <w:t>The working capital structure of General Electronics has declined considerably over the period of five years, as seen through the changes in the inventory, debtors and payables recorded in the financial statements and the calculations done in Excel. Inventory increased significantly in 2022 to reach £140.2 billion and decreased to reach 79.3 billion in 2024. This spike means that the stock is oversized at times of poor sales and demand forecasting. The level of receivables was very high, even though revenues were decreasing because of unstable credit policies, as well as ineffective collection channels and processes, exceeding 110 billion a year. The reduction in payables was very steep, as it decreased by 92.7 billion in 2021 to 57.0 billion in 2023 due to the lack of confidence in the company in the financial stability of the company among the suppliers. Trends on a year-by-year basis show the working capital elements shifted in the negative direction, which caused liquidity strain and limited the flexibility of operations. Oyeyipo (2023) stated that organisations that undergo prolonged downturns usually have imbalances between cash cycles and the demand of operations that undermine financial strength and reduce the ability to strategies.</w:t>
      </w:r>
    </w:p>
    <w:p w14:paraId="4F90E64E">
      <w:pPr>
        <w:pStyle w:val="3"/>
        <w:rPr>
          <w:rFonts w:ascii="Arial" w:hAnsi="Arial" w:cs="Arial"/>
          <w:lang w:val="en-GB"/>
        </w:rPr>
      </w:pPr>
      <w:bookmarkStart w:id="25" w:name="_i3324ww8zruy" w:colFirst="0" w:colLast="0"/>
      <w:bookmarkEnd w:id="25"/>
      <w:bookmarkStart w:id="26" w:name="_Toc216438036"/>
      <w:r>
        <w:rPr>
          <w:rFonts w:ascii="Arial" w:hAnsi="Arial" w:cs="Arial"/>
          <w:lang w:val="en-GB"/>
        </w:rPr>
        <w:t>3.2 Cash Operating Cycle (COC)</w:t>
      </w:r>
      <w:bookmarkEnd w:id="26"/>
    </w:p>
    <w:p w14:paraId="04E010FC">
      <w:pPr>
        <w:rPr>
          <w:rFonts w:ascii="Arial" w:hAnsi="Arial" w:cs="Arial"/>
          <w:lang w:val="en-GB"/>
        </w:rPr>
      </w:pPr>
      <w:r>
        <w:rPr>
          <w:rFonts w:ascii="Arial" w:hAnsi="Arial" w:cs="Arial"/>
          <w:lang w:val="en-GB"/>
        </w:rPr>
        <w:t>Based on the ratios obtained, Days Inventory Outstanding (DIO) was at its highest level of 94 days in 2022 and then dropped to 73 days in 2024. Days Sales Outstanding (DSO) rose to 105 days in 2024, and this means that it now takes almost one-third of a year to turn receivables into cash. Days Payable Outstanding (DPO) was relatively low, but it is rising slightly to 66 days in 2024. The increasing discrepancy between DIO + DSO and DPO establishes a lengthy cash operating cycle, which is an indication of inefficiency and a high rate of cash consumption. Long COC limits the availability of liquidity and increases financing needs, with a particular effect in times of trouble in profitability. Khalid (2024) noted that companies that take a long time to convert cash into revenue during economic recessions increase their refinancing requirements, so structural refinements in the working capital performance are important.</w:t>
      </w:r>
    </w:p>
    <w:p w14:paraId="22F85470">
      <w:pPr>
        <w:pStyle w:val="3"/>
        <w:rPr>
          <w:rFonts w:ascii="Arial" w:hAnsi="Arial" w:cs="Arial"/>
          <w:lang w:val="en-GB"/>
        </w:rPr>
      </w:pPr>
      <w:bookmarkStart w:id="27" w:name="_vlzvelu7pi7l" w:colFirst="0" w:colLast="0"/>
      <w:bookmarkEnd w:id="27"/>
      <w:bookmarkStart w:id="28" w:name="_Toc216438037"/>
      <w:r>
        <w:rPr>
          <w:rFonts w:ascii="Arial" w:hAnsi="Arial" w:cs="Arial"/>
          <w:lang w:val="en-GB"/>
        </w:rPr>
        <w:t>3.3 Problems Identified</w:t>
      </w:r>
      <w:bookmarkEnd w:id="28"/>
    </w:p>
    <w:p w14:paraId="2BCC0BB4">
      <w:pPr>
        <w:rPr>
          <w:rFonts w:ascii="Arial" w:hAnsi="Arial" w:cs="Arial"/>
          <w:lang w:val="en-GB"/>
        </w:rPr>
      </w:pPr>
      <w:r>
        <w:rPr>
          <w:rFonts w:ascii="Arial" w:hAnsi="Arial" w:cs="Arial"/>
          <w:lang w:val="en-GB"/>
        </w:rPr>
        <w:t>There are a number of serious problems which make General Electronics' working capital status worse. To start with, the 2022 inventory overstocking was too high compared to the falling sales, and this was a burden on the cash reserves and augmented storage and obsolescence expenses. Secondly, the collection of receivables deteriorated, which is reflected in the increasing DSO that restricted the possibility of generating internal liquidity and exposed the company to a greater risk of credit risk. Third, the decreasing payables leverage, indicated by the fading DPO, is a sign of the loss of bargaining power against suppliers and the decline in corporate credibility. This restricts the delay ability of cash outflows in the firm. Fourth, the cash flow statement indicates persistent reliance on short-term credit lines, which shows that the company has constantly been using short-term credit to finance its operations. Adamolekun (2025) states that companies experiencing financial strain in the market tend to develop a declining internal cash-generating capacity, which causes them to depend heavily on outside funding, which also increases the risk of operation and finance.</w:t>
      </w:r>
    </w:p>
    <w:p w14:paraId="4DE9C903">
      <w:pPr>
        <w:pStyle w:val="3"/>
        <w:rPr>
          <w:rFonts w:ascii="Arial" w:hAnsi="Arial" w:cs="Arial"/>
          <w:lang w:val="en-GB"/>
        </w:rPr>
      </w:pPr>
      <w:bookmarkStart w:id="29" w:name="_i5m7wsn2qfz4" w:colFirst="0" w:colLast="0"/>
      <w:bookmarkEnd w:id="29"/>
      <w:bookmarkStart w:id="30" w:name="_Toc216438038"/>
      <w:r>
        <w:rPr>
          <w:rFonts w:ascii="Arial" w:hAnsi="Arial" w:cs="Arial"/>
          <w:lang w:val="en-GB"/>
        </w:rPr>
        <w:t>3.4 Recommended Working Capital Reforms</w:t>
      </w:r>
      <w:bookmarkEnd w:id="30"/>
    </w:p>
    <w:p w14:paraId="1CD16304">
      <w:pPr>
        <w:rPr>
          <w:rFonts w:ascii="Arial" w:hAnsi="Arial" w:cs="Arial"/>
          <w:lang w:val="en-GB"/>
        </w:rPr>
      </w:pPr>
      <w:r>
        <w:rPr>
          <w:rFonts w:ascii="Arial" w:hAnsi="Arial" w:cs="Arial"/>
          <w:lang w:val="en-GB"/>
        </w:rPr>
        <w:t>Inventory optimisation in the form of lean processes, including Just-in-Time (JIT) system and reduction of SKUs, is the priority of the reform. Product rationalisation will minimise carrying costs by enhancing the forecasting accuracy and releasing cash that is tied up in unnecessary stock. The tightening of receivables management should be intensified by making changes in credit policy more specific, encouraging early payments, and enriching the credit risk screen. Automation of the invoicing and collection reminders will decrease DSO and enhance the predictability of cash. Renegotiation with the suppliers should be intended to prolong credit terms and integrate the long-term contracts that will stabilise the prices and payment rates. Such arrangements will be able to establish supplier confidence and alleviate immediate cash pressure. The cash forecasting should also be improved to combine real-time operational and financial data so that proper liquidity planning can be done. As noted by Achbah (2024), timely information and systematic advice-seeking behaviours to be an effective response of managers to emerging financial difficulty, adding to the necessity to improve forecasting and working capital management.</w:t>
      </w:r>
    </w:p>
    <w:p w14:paraId="27D04BA6">
      <w:pPr>
        <w:pStyle w:val="3"/>
        <w:rPr>
          <w:rFonts w:ascii="Arial" w:hAnsi="Arial" w:cs="Arial"/>
          <w:lang w:val="en-GB"/>
        </w:rPr>
      </w:pPr>
      <w:bookmarkStart w:id="31" w:name="_4t6c6qskl23w" w:colFirst="0" w:colLast="0"/>
      <w:bookmarkEnd w:id="31"/>
      <w:bookmarkStart w:id="32" w:name="_Toc216438039"/>
      <w:r>
        <w:rPr>
          <w:rFonts w:ascii="Arial" w:hAnsi="Arial" w:cs="Arial"/>
          <w:lang w:val="en-GB"/>
        </w:rPr>
        <w:t>3.5 Short-term vs Long-term Financing</w:t>
      </w:r>
      <w:bookmarkEnd w:id="32"/>
    </w:p>
    <w:p w14:paraId="7CF2E5CF">
      <w:pPr>
        <w:rPr>
          <w:rFonts w:ascii="Arial" w:hAnsi="Arial" w:cs="Arial"/>
          <w:lang w:val="en-GB"/>
        </w:rPr>
      </w:pPr>
      <w:r>
        <w:rPr>
          <w:rFonts w:ascii="Arial" w:hAnsi="Arial" w:cs="Arial"/>
          <w:lang w:val="en-GB"/>
        </w:rPr>
        <w:t>The dependency of the company on the short-term lines of credit poses refinancing risk, volatility of interest and a high degree of uncertainty in cash flow plans. These facilities have to be renewed often, and this exposes the firm to unpredictable market conditions, and lenders may be tempted to tighten their terms in such a time of stress. By converting some of this short-term exposure to long-term restructuring loans, financial stability would be increased by matching the repayment schedule to expected operating cash inflows and decreasing the burden of recurrent refinancing. As shown by Zhang (2024), renegotiated long-term debt structures become particularly useful to distressed firms, as they stabilise liquidity, enhance creditor confidence, and offer a better indication of how firms proceed to recovery. The use of short-term financing is therefore limited and only to supplement working capital variations over the short term. Although long-term financing could be characterised by greater total interest payments in the life of the loan, it has less rollover risk, more predictable repayment planning, and overall, more stable cash flow, which are critical to a sustainable turnaround strategy.</w:t>
      </w:r>
    </w:p>
    <w:p w14:paraId="0D67337C">
      <w:pPr>
        <w:pStyle w:val="3"/>
        <w:rPr>
          <w:rFonts w:ascii="Arial" w:hAnsi="Arial" w:cs="Arial"/>
          <w:lang w:val="en-GB"/>
        </w:rPr>
      </w:pPr>
      <w:bookmarkStart w:id="33" w:name="_fty089efi7w7" w:colFirst="0" w:colLast="0"/>
      <w:bookmarkEnd w:id="33"/>
      <w:bookmarkStart w:id="34" w:name="_Toc216438040"/>
      <w:r>
        <w:rPr>
          <w:rFonts w:ascii="Arial" w:hAnsi="Arial" w:cs="Arial"/>
          <w:lang w:val="en-GB"/>
        </w:rPr>
        <w:t>3.6 Impact on Liquidity and Financial Stability</w:t>
      </w:r>
      <w:bookmarkEnd w:id="34"/>
    </w:p>
    <w:p w14:paraId="4B2EC422">
      <w:pPr>
        <w:rPr>
          <w:rFonts w:ascii="Arial" w:hAnsi="Arial" w:cs="Arial"/>
          <w:lang w:val="en-GB"/>
        </w:rPr>
      </w:pPr>
      <w:r>
        <w:rPr>
          <w:rFonts w:ascii="Arial" w:hAnsi="Arial" w:cs="Arial"/>
          <w:lang w:val="en-GB"/>
        </w:rPr>
        <w:t>A reform that would be undertaken according to the recommendations would bring about a substantial increase in liquidity. A smaller inventory has the potential to free tens of billions in cash, and a reduction in the cash cycle is enabled through a better collection of receivables. Improved payables management would defer the cash outflows and sustain operations. Better forecasting would minimise ad-hoc borrowing and promote disciplined cash management. Filipović (2024) established the fact that when operational enhancement is associated with financial restructuring, the performance of companies in restructuring is better. The leadership of the CFO is essential in instilling discipline, implementing performance measurements and streamlining working capital policies towards corporate strategy. All these steps would enhance liquidity, limit risk exposure, and create a platform to recover long-term finances.</w:t>
      </w:r>
    </w:p>
    <w:p w14:paraId="5C272D02">
      <w:pPr>
        <w:pStyle w:val="2"/>
        <w:rPr>
          <w:rFonts w:ascii="Arial" w:hAnsi="Arial" w:cs="Arial"/>
          <w:lang w:val="en-GB"/>
        </w:rPr>
      </w:pPr>
      <w:bookmarkStart w:id="35" w:name="_jlw7yclkjax9" w:colFirst="0" w:colLast="0"/>
      <w:bookmarkEnd w:id="35"/>
      <w:bookmarkStart w:id="36" w:name="_Toc216438041"/>
      <w:r>
        <w:rPr>
          <w:rFonts w:ascii="Arial" w:hAnsi="Arial" w:cs="Arial"/>
          <w:lang w:val="en-GB"/>
        </w:rPr>
        <w:t>4. Strategic Financial Restructuring Plan</w:t>
      </w:r>
      <w:bookmarkEnd w:id="36"/>
    </w:p>
    <w:p w14:paraId="65F68BB4">
      <w:pPr>
        <w:pStyle w:val="3"/>
        <w:rPr>
          <w:rFonts w:ascii="Arial" w:hAnsi="Arial" w:cs="Arial"/>
          <w:lang w:val="en-GB"/>
        </w:rPr>
      </w:pPr>
      <w:bookmarkStart w:id="37" w:name="_3q6ed0ss61p9" w:colFirst="0" w:colLast="0"/>
      <w:bookmarkEnd w:id="37"/>
      <w:bookmarkStart w:id="38" w:name="_Toc216438042"/>
      <w:r>
        <w:rPr>
          <w:rFonts w:ascii="Arial" w:hAnsi="Arial" w:cs="Arial"/>
          <w:lang w:val="en-GB"/>
        </w:rPr>
        <w:t>4.1 Need for Restructuring</w:t>
      </w:r>
      <w:bookmarkEnd w:id="38"/>
    </w:p>
    <w:p w14:paraId="3E5A5A66">
      <w:pPr>
        <w:rPr>
          <w:rFonts w:ascii="Arial" w:hAnsi="Arial" w:cs="Arial"/>
          <w:lang w:val="en-GB"/>
        </w:rPr>
      </w:pPr>
      <w:r>
        <w:rPr>
          <w:rFonts w:ascii="Arial" w:hAnsi="Arial" w:cs="Arial"/>
          <w:lang w:val="en-GB"/>
        </w:rPr>
        <w:t>The recent financial results of General Electronics show that the company is in a state of extreme and increasing distress, as indicated by operating negative margins, increasing leverage, decreasing equity reserves, and deteriorating liquidity. These patterns reveal that there are pressing matters of solvency and value being lost at a high rate of shareholders, which is an indication that the company has already reached an advanced stage of a financially unstable situation, beyond early warning signals. Achbah (2024) pointed out that the prompt managerial awareness of the financial struggle is crucial to the start of effective restructuring and underlines the necessity of the leaders to take action. As the shrinking profitability, the rising level of dependence on debt, and the limited cash flow can be seen in the case of General Electronics, the lack of action would cause the situation to get much worse. Moreover, the loss of competitive edge on the market, poor operational efficiency and worsening working capital efficiency are evidence that the problems are not only in the finance domain and that an integrated and organisation-wide restructuring programme is needed to stabilise operations and regain long-term sustainability.</w:t>
      </w:r>
    </w:p>
    <w:p w14:paraId="2B4AC503">
      <w:pPr>
        <w:pStyle w:val="3"/>
        <w:rPr>
          <w:rFonts w:ascii="Arial" w:hAnsi="Arial" w:cs="Arial"/>
          <w:lang w:val="en-GB"/>
        </w:rPr>
      </w:pPr>
      <w:bookmarkStart w:id="39" w:name="_9ndpr8ag6wyp" w:colFirst="0" w:colLast="0"/>
      <w:bookmarkEnd w:id="39"/>
      <w:bookmarkStart w:id="40" w:name="_Toc216438043"/>
      <w:r>
        <w:rPr>
          <w:rFonts w:ascii="Arial" w:hAnsi="Arial" w:cs="Arial"/>
          <w:lang w:val="en-GB"/>
        </w:rPr>
        <w:t>4.2 Restructuring Options</w:t>
      </w:r>
      <w:bookmarkEnd w:id="40"/>
    </w:p>
    <w:p w14:paraId="6E74C247">
      <w:pPr>
        <w:pStyle w:val="4"/>
        <w:rPr>
          <w:rFonts w:ascii="Arial" w:hAnsi="Arial" w:cs="Arial"/>
          <w:lang w:val="en-GB"/>
        </w:rPr>
      </w:pPr>
      <w:bookmarkStart w:id="41" w:name="_y7p1xr7dlwt7" w:colFirst="0" w:colLast="0"/>
      <w:bookmarkEnd w:id="41"/>
      <w:bookmarkStart w:id="42" w:name="_Toc216438044"/>
      <w:r>
        <w:rPr>
          <w:rFonts w:ascii="Arial" w:hAnsi="Arial" w:cs="Arial"/>
          <w:lang w:val="en-GB"/>
        </w:rPr>
        <w:t>4.2.1 Divestiture of Non-Core Assets</w:t>
      </w:r>
      <w:bookmarkEnd w:id="42"/>
    </w:p>
    <w:p w14:paraId="104E14DB">
      <w:pPr>
        <w:rPr>
          <w:rFonts w:ascii="Arial" w:hAnsi="Arial" w:cs="Arial"/>
          <w:lang w:val="en-GB"/>
        </w:rPr>
      </w:pPr>
      <w:r>
        <w:rPr>
          <w:rFonts w:ascii="Arial" w:hAnsi="Arial" w:cs="Arial"/>
          <w:lang w:val="en-GB"/>
        </w:rPr>
        <w:t>Selling non-core assets like poorly performing business segments, excessively held real estate or old-fashioned manufacturing plants can create high and immediate cash flow, which gives the financial space needed by a troubled company to get its head above water. Such proceeds can be used to pay debt this outstanding debt, or they can be reinvested in high-growth and strategically valuable areas that have more long-term payoffs. Pagano (2022) points out that the companies that are vulnerable to global shocks often manage to improve by diversifying their portfolios with the help of targeted asset sales to enable the management to allocate resources to their core competencies. In addition to the financial advantages, divestiture simplifies the operation of the business and minimises overhead expenses and improves organisational focus. As a capital structure, the asset sale enhances leverage ratios, high liquidity, and creditworthiness of the firm, as it has shown proactive management in the use of funds. The given strategic step is an indispensable part of a larger restructuring model that will help to achieve sustainability and long-term competitiveness once again.</w:t>
      </w:r>
    </w:p>
    <w:p w14:paraId="1E82E12A">
      <w:pPr>
        <w:pStyle w:val="4"/>
        <w:rPr>
          <w:rFonts w:ascii="Arial" w:hAnsi="Arial" w:cs="Arial"/>
          <w:lang w:val="en-GB"/>
        </w:rPr>
      </w:pPr>
      <w:bookmarkStart w:id="43" w:name="_9u4n585xo39q" w:colFirst="0" w:colLast="0"/>
      <w:bookmarkEnd w:id="43"/>
      <w:bookmarkStart w:id="44" w:name="_Toc216438045"/>
      <w:r>
        <w:rPr>
          <w:rFonts w:ascii="Arial" w:hAnsi="Arial" w:cs="Arial"/>
          <w:lang w:val="en-GB"/>
        </w:rPr>
        <w:t>4.2.2 Merger / Strategic Alliance</w:t>
      </w:r>
      <w:bookmarkEnd w:id="44"/>
    </w:p>
    <w:p w14:paraId="1E04C64D">
      <w:pPr>
        <w:rPr>
          <w:rFonts w:ascii="Arial" w:hAnsi="Arial" w:cs="Arial"/>
          <w:lang w:val="en-GB"/>
        </w:rPr>
      </w:pPr>
      <w:r>
        <w:rPr>
          <w:rFonts w:ascii="Arial" w:hAnsi="Arial" w:cs="Arial"/>
          <w:lang w:val="en-GB"/>
        </w:rPr>
        <w:t>Competitive capabilities could be improved with a merger or a strategic partnership with a technology company, semiconductor firm or AI-oriented company. Through such arrangements, access to innovation ecosystems can be obtained, less R&amp;D capital can be spent and a wider market reach. According to Chitraju (2025), governance and compliance frameworks play a key role during restructuring-related mergers so that risks that result during integration can be handled successfully. Integration could bring in both operational and cultural challenges, but in the long-term, the company could receive transfer of technology, improved productivity and strong positioning in the market.</w:t>
      </w:r>
    </w:p>
    <w:p w14:paraId="38383ABC">
      <w:pPr>
        <w:pStyle w:val="4"/>
        <w:rPr>
          <w:rFonts w:ascii="Arial" w:hAnsi="Arial" w:cs="Arial"/>
          <w:lang w:val="en-GB"/>
        </w:rPr>
      </w:pPr>
      <w:bookmarkStart w:id="45" w:name="_33rjgug89cil" w:colFirst="0" w:colLast="0"/>
      <w:bookmarkEnd w:id="45"/>
      <w:bookmarkStart w:id="46" w:name="_Toc216438046"/>
      <w:r>
        <w:rPr>
          <w:rFonts w:ascii="Arial" w:hAnsi="Arial" w:cs="Arial"/>
          <w:lang w:val="en-GB"/>
        </w:rPr>
        <w:t>4.2.3 Equity Injection / Rights Issue</w:t>
      </w:r>
      <w:bookmarkEnd w:id="46"/>
    </w:p>
    <w:p w14:paraId="60321211">
      <w:pPr>
        <w:rPr>
          <w:rFonts w:ascii="Arial" w:hAnsi="Arial" w:cs="Arial"/>
          <w:lang w:val="en-GB"/>
        </w:rPr>
      </w:pPr>
      <w:r>
        <w:rPr>
          <w:rFonts w:ascii="Arial" w:hAnsi="Arial" w:cs="Arial"/>
          <w:lang w:val="en-GB"/>
        </w:rPr>
        <w:t>Equity injection would enhance capital base, enhance solvency and enhance liquidity. A rights issue gives the current shareholders the chance to retain ownership and, at the same time, facilitate recapitalisation. Despite the short-term dilution of shareholder returns associated with the issue of equity, the latter offers much-needed long-term stability. Recapitalisation projects are a part and parcel of post-crisis reconstruction of large companies and help them recover financially sustainably (Bauer, 2021). Use of more equity minimises the use of debt and enhances the risk profile of the firm, which is favourable to investor confidence.</w:t>
      </w:r>
    </w:p>
    <w:p w14:paraId="7BEBF2DC">
      <w:pPr>
        <w:pStyle w:val="4"/>
        <w:rPr>
          <w:rFonts w:ascii="Arial" w:hAnsi="Arial" w:cs="Arial"/>
          <w:lang w:val="en-GB"/>
        </w:rPr>
      </w:pPr>
      <w:bookmarkStart w:id="47" w:name="_4mc513owvf3n" w:colFirst="0" w:colLast="0"/>
      <w:bookmarkEnd w:id="47"/>
      <w:bookmarkStart w:id="48" w:name="_Toc216438047"/>
      <w:r>
        <w:rPr>
          <w:rFonts w:ascii="Arial" w:hAnsi="Arial" w:cs="Arial"/>
          <w:lang w:val="en-GB"/>
        </w:rPr>
        <w:t>4.2.4 Debt Restructuring</w:t>
      </w:r>
      <w:bookmarkEnd w:id="48"/>
    </w:p>
    <w:p w14:paraId="25D0D636">
      <w:pPr>
        <w:rPr>
          <w:rFonts w:ascii="Arial" w:hAnsi="Arial" w:cs="Arial"/>
          <w:lang w:val="en-GB"/>
        </w:rPr>
      </w:pPr>
      <w:r>
        <w:rPr>
          <w:rFonts w:ascii="Arial" w:hAnsi="Arial" w:cs="Arial"/>
          <w:lang w:val="en-GB"/>
        </w:rPr>
        <w:t>The company is overleveraged and is experiencing low interest cover; thus, it requires restructuring of its debts. A conversion of short-term borrowings into long-term debt would also decrease the refinancing risk, and the renegotiation of interest rates may relieve the pressure of cash flow. Tirado (2023) discusses the role of the mechanisms of debt restructuring that allow troubled companies to stabilise their activities in the conditions of legal and economic pressure, noting the need to act early. Proper debt restructuring would enhance liquidity, prolong repayment periods as well and provide grounds for operational recovery.</w:t>
      </w:r>
    </w:p>
    <w:p w14:paraId="57B6ABDC">
      <w:pPr>
        <w:pStyle w:val="3"/>
        <w:rPr>
          <w:rFonts w:ascii="Arial" w:hAnsi="Arial" w:cs="Arial"/>
          <w:lang w:val="en-GB"/>
        </w:rPr>
      </w:pPr>
      <w:bookmarkStart w:id="49" w:name="_5ecv18p7ozy0" w:colFirst="0" w:colLast="0"/>
      <w:bookmarkEnd w:id="49"/>
      <w:bookmarkStart w:id="50" w:name="_Toc216438048"/>
      <w:r>
        <w:rPr>
          <w:rFonts w:ascii="Arial" w:hAnsi="Arial" w:cs="Arial"/>
          <w:lang w:val="en-GB"/>
        </w:rPr>
        <w:t>4.3 Global Considerations</w:t>
      </w:r>
      <w:bookmarkEnd w:id="50"/>
    </w:p>
    <w:p w14:paraId="15EBF363">
      <w:pPr>
        <w:pStyle w:val="4"/>
        <w:rPr>
          <w:rFonts w:ascii="Arial" w:hAnsi="Arial" w:cs="Arial"/>
          <w:lang w:val="en-GB"/>
        </w:rPr>
      </w:pPr>
      <w:bookmarkStart w:id="51" w:name="_z3d0t620wgie" w:colFirst="0" w:colLast="0"/>
      <w:bookmarkEnd w:id="51"/>
      <w:bookmarkStart w:id="52" w:name="_Toc216438049"/>
      <w:r>
        <w:rPr>
          <w:rFonts w:ascii="Arial" w:hAnsi="Arial" w:cs="Arial"/>
          <w:lang w:val="en-GB"/>
        </w:rPr>
        <w:t>4.3.1 Currency Risk</w:t>
      </w:r>
      <w:bookmarkEnd w:id="52"/>
    </w:p>
    <w:p w14:paraId="17E4D5FD">
      <w:pPr>
        <w:rPr>
          <w:rFonts w:ascii="Arial" w:hAnsi="Arial" w:cs="Arial"/>
          <w:lang w:val="en-GB"/>
        </w:rPr>
      </w:pPr>
      <w:r>
        <w:rPr>
          <w:rFonts w:ascii="Arial" w:hAnsi="Arial" w:cs="Arial"/>
          <w:lang w:val="en-GB"/>
        </w:rPr>
        <w:t>General Electronics, cs being a multination organisation is vulnerable to USD, EUR and CNY fluctuations. Exchange volatility has impacts on exports, the cost of imports and foreign debt. Cash flows may be stabilised using hedging methods like forward contracts and natural hedging. It is emphasised that the lack of financial risks in the process of restructuring predisposes insolvency, which supports the necessity of effective currency risk control (Ma, 2022).</w:t>
      </w:r>
    </w:p>
    <w:p w14:paraId="40F20727">
      <w:pPr>
        <w:pStyle w:val="4"/>
        <w:rPr>
          <w:rFonts w:ascii="Arial" w:hAnsi="Arial" w:cs="Arial"/>
          <w:lang w:val="en-GB"/>
        </w:rPr>
      </w:pPr>
      <w:bookmarkStart w:id="53" w:name="_rlxzi9ekgn78" w:colFirst="0" w:colLast="0"/>
      <w:bookmarkEnd w:id="53"/>
      <w:bookmarkStart w:id="54" w:name="_Toc216438050"/>
      <w:r>
        <w:rPr>
          <w:rFonts w:ascii="Arial" w:hAnsi="Arial" w:cs="Arial"/>
          <w:lang w:val="en-GB"/>
        </w:rPr>
        <w:t>4.3.2 International Tax Considerations</w:t>
      </w:r>
      <w:bookmarkEnd w:id="54"/>
    </w:p>
    <w:p w14:paraId="20093E82">
      <w:pPr>
        <w:rPr>
          <w:rFonts w:ascii="Arial" w:hAnsi="Arial" w:cs="Arial"/>
          <w:lang w:val="en-GB"/>
        </w:rPr>
      </w:pPr>
      <w:r>
        <w:rPr>
          <w:rFonts w:ascii="Arial" w:hAnsi="Arial" w:cs="Arial"/>
          <w:lang w:val="en-GB"/>
        </w:rPr>
        <w:t>Restructuring on a global scale needs tax-efficient planning. Effective tax burdens can be minimised by optimising transfer pricing, using tax treaties and cross-border financing forms. This kind of measures safeguards liquidity and facilitate continuity of operations.</w:t>
      </w:r>
    </w:p>
    <w:p w14:paraId="1DAFC4D0">
      <w:pPr>
        <w:pStyle w:val="4"/>
        <w:rPr>
          <w:rFonts w:ascii="Arial" w:hAnsi="Arial" w:cs="Arial"/>
          <w:lang w:val="en-GB"/>
        </w:rPr>
      </w:pPr>
      <w:bookmarkStart w:id="55" w:name="_ty1w7hdpinm8" w:colFirst="0" w:colLast="0"/>
      <w:bookmarkEnd w:id="55"/>
      <w:bookmarkStart w:id="56" w:name="_Toc216438051"/>
      <w:r>
        <w:rPr>
          <w:rFonts w:ascii="Arial" w:hAnsi="Arial" w:cs="Arial"/>
          <w:lang w:val="en-GB"/>
        </w:rPr>
        <w:t>4.3.3 Inflation Considerations</w:t>
      </w:r>
      <w:bookmarkEnd w:id="56"/>
    </w:p>
    <w:p w14:paraId="7B1E3341">
      <w:pPr>
        <w:rPr>
          <w:rFonts w:ascii="Arial" w:hAnsi="Arial" w:cs="Arial"/>
          <w:lang w:val="en-GB"/>
        </w:rPr>
      </w:pPr>
      <w:r>
        <w:rPr>
          <w:rFonts w:ascii="Arial" w:hAnsi="Arial" w:cs="Arial"/>
          <w:lang w:val="en-GB"/>
        </w:rPr>
        <w:t>High inflation is a factor that influences the sourcing of components, labour costs, as well as distribution costs. The reduction of margins can be achieved by adjusting procurement, renegotiating contracts and implementing flexible pricing systems. The key cost controls are inflation-sensitive controls, which will help to regain profitability.</w:t>
      </w:r>
    </w:p>
    <w:p w14:paraId="50A140B2">
      <w:pPr>
        <w:pStyle w:val="4"/>
        <w:rPr>
          <w:rFonts w:ascii="Arial" w:hAnsi="Arial" w:cs="Arial"/>
          <w:lang w:val="en-GB"/>
        </w:rPr>
      </w:pPr>
      <w:bookmarkStart w:id="57" w:name="_8g9xodn5ciss" w:colFirst="0" w:colLast="0"/>
      <w:bookmarkEnd w:id="57"/>
      <w:bookmarkStart w:id="58" w:name="_Toc216438052"/>
      <w:r>
        <w:rPr>
          <w:rFonts w:ascii="Arial" w:hAnsi="Arial" w:cs="Arial"/>
          <w:lang w:val="en-GB"/>
        </w:rPr>
        <w:t>4.3.4 Ethical &amp; CSR Considerations</w:t>
      </w:r>
      <w:bookmarkEnd w:id="58"/>
    </w:p>
    <w:p w14:paraId="553BBEB6">
      <w:pPr>
        <w:rPr>
          <w:rFonts w:ascii="Arial" w:hAnsi="Arial" w:cs="Arial"/>
          <w:lang w:val="en-GB"/>
        </w:rPr>
      </w:pPr>
      <w:r>
        <w:rPr>
          <w:rFonts w:ascii="Arial" w:hAnsi="Arial" w:cs="Arial"/>
          <w:lang w:val="en-GB"/>
        </w:rPr>
        <w:t>The reorganisation needs to be ethical with its concepts, such as treating the employees fairly, communicating openly and responsibly when engaging suppliers. The environmental performance must not be neglected. Adamolekun (2025) demonstrates that companies that have environmental commitments throughout the restructuring process have positive market valuation results. The restructuring, in terms of ethics, can thus sustain the reputation, stakeholder trust, and long-term sustainability.</w:t>
      </w:r>
    </w:p>
    <w:p w14:paraId="701021FB">
      <w:pPr>
        <w:pStyle w:val="3"/>
        <w:rPr>
          <w:rFonts w:ascii="Arial" w:hAnsi="Arial" w:cs="Arial"/>
          <w:lang w:val="en-GB"/>
        </w:rPr>
      </w:pPr>
      <w:bookmarkStart w:id="59" w:name="_mt4hdfyiexc9" w:colFirst="0" w:colLast="0"/>
      <w:bookmarkEnd w:id="59"/>
      <w:bookmarkStart w:id="60" w:name="_Toc216438053"/>
      <w:r>
        <w:rPr>
          <w:rFonts w:ascii="Arial" w:hAnsi="Arial" w:cs="Arial"/>
          <w:lang w:val="en-GB"/>
        </w:rPr>
        <w:t>4.4 Impact Assessment</w:t>
      </w:r>
      <w:bookmarkEnd w:id="60"/>
    </w:p>
    <w:p w14:paraId="35F4A088">
      <w:pPr>
        <w:rPr>
          <w:rFonts w:ascii="Arial" w:hAnsi="Arial" w:cs="Arial"/>
          <w:lang w:val="en-GB"/>
        </w:rPr>
      </w:pPr>
      <w:r>
        <w:rPr>
          <w:rFonts w:ascii="Arial" w:hAnsi="Arial" w:cs="Arial"/>
          <w:lang w:val="en-GB"/>
        </w:rPr>
        <w:t>The suggested measures of restructuring would enhance financial resilience a great deal. The divestiture would give direct liquidity and decrease operating costs. Mergers or strategic alliances would improve the technological capacities and relevance in the market. The solvency would be enhanced through the injection of equity, and the dependence on debt would be minimised. Restructuring of debts would stabilise the cost of financing and enhance interest coverage. The company that implements general restructuring efforts in the context of crises is more likely to survive (Stef, 2022). This proves that the suggested measures would make the financial situation in General Electronics flexible and would increase the shareholder value and facilitate the sustainable recovery.</w:t>
      </w:r>
    </w:p>
    <w:p w14:paraId="04BF4F1C">
      <w:pPr>
        <w:pStyle w:val="2"/>
        <w:rPr>
          <w:rFonts w:ascii="Arial" w:hAnsi="Arial" w:cs="Arial"/>
          <w:lang w:val="en-GB"/>
        </w:rPr>
      </w:pPr>
      <w:bookmarkStart w:id="61" w:name="_h7tgtaodx8zc" w:colFirst="0" w:colLast="0"/>
      <w:bookmarkEnd w:id="61"/>
      <w:bookmarkStart w:id="62" w:name="_Toc216438054"/>
      <w:r>
        <w:rPr>
          <w:rFonts w:ascii="Arial" w:hAnsi="Arial" w:cs="Arial"/>
          <w:lang w:val="en-GB"/>
        </w:rPr>
        <w:t>5. Investment Appraisal &amp; Capital Budgeting</w:t>
      </w:r>
      <w:bookmarkEnd w:id="62"/>
    </w:p>
    <w:p w14:paraId="3A4AA683">
      <w:pPr>
        <w:pStyle w:val="3"/>
        <w:rPr>
          <w:rFonts w:ascii="Arial" w:hAnsi="Arial" w:cs="Arial"/>
          <w:lang w:val="en-GB"/>
        </w:rPr>
      </w:pPr>
      <w:bookmarkStart w:id="63" w:name="_rp452nt55efh" w:colFirst="0" w:colLast="0"/>
      <w:bookmarkEnd w:id="63"/>
      <w:bookmarkStart w:id="64" w:name="_Toc216438055"/>
      <w:r>
        <w:rPr>
          <w:rFonts w:ascii="Arial" w:hAnsi="Arial" w:cs="Arial"/>
          <w:lang w:val="en-GB"/>
        </w:rPr>
        <w:t>5.1 Overview of Proposed Projects</w:t>
      </w:r>
      <w:bookmarkEnd w:id="64"/>
    </w:p>
    <w:p w14:paraId="5CE2B20D">
      <w:pPr>
        <w:rPr>
          <w:rFonts w:ascii="Arial" w:hAnsi="Arial" w:cs="Arial"/>
          <w:lang w:val="en-GB"/>
        </w:rPr>
      </w:pPr>
      <w:r>
        <w:rPr>
          <w:rFonts w:ascii="Arial" w:hAnsi="Arial" w:cs="Arial"/>
          <w:lang w:val="en-GB"/>
        </w:rPr>
        <w:t>Three investment opportunities are strategically important to General Electronics but vary in their level of risk, investment magnitude, and financial contribution. Project A would demand an initial investment of 40 million pounds and will offer a constantly increasing cash flow that will then decrease later. It is a middle-risk, middle-return investment, which yields a steady initial cash flow. Project B has a lower initial capital outlay of £30 million and offers even inflows of a flat rate of £6 million/year over a period of five years. This project is focused on stability and predictability with minimal potential for returns. Project C has the greatest initial investment of 50 million pounds and has a very fluctuating inflow, which starts at a low point but increases significantly in Years 3 and 4. The project has the best potential value and the best level of volatility. Considering that the company is financially distressed, investments should be made to sustain liquidity requirements as well as to recover in he long term. Restructuring environments need capital allocation decisions that can enhance performance without endangering financial resilience, as indicated by Abiodun (2024).</w:t>
      </w:r>
    </w:p>
    <w:p w14:paraId="7FD57AFB">
      <w:pPr>
        <w:pStyle w:val="3"/>
        <w:rPr>
          <w:rFonts w:ascii="Arial" w:hAnsi="Arial" w:cs="Arial"/>
          <w:lang w:val="en-GB"/>
        </w:rPr>
      </w:pPr>
      <w:bookmarkStart w:id="65" w:name="_54kkqtnw124c" w:colFirst="0" w:colLast="0"/>
      <w:bookmarkEnd w:id="65"/>
      <w:bookmarkStart w:id="66" w:name="_Toc216438056"/>
      <w:r>
        <w:rPr>
          <w:rFonts w:ascii="Arial" w:hAnsi="Arial" w:cs="Arial"/>
          <w:lang w:val="en-GB"/>
        </w:rPr>
        <w:t>5.2 Methodology</w:t>
      </w:r>
      <w:bookmarkEnd w:id="66"/>
    </w:p>
    <w:p w14:paraId="3BDBDC5B">
      <w:pPr>
        <w:rPr>
          <w:rFonts w:ascii="Arial" w:hAnsi="Arial" w:cs="Arial"/>
          <w:lang w:val="en-GB"/>
        </w:rPr>
      </w:pPr>
      <w:r>
        <w:rPr>
          <w:rFonts w:ascii="Arial" w:hAnsi="Arial" w:cs="Arial"/>
          <w:lang w:val="en-GB"/>
        </w:rPr>
        <w:t>In order to cover a complete analysis, the company uses five capital budgeting tools, which are Payback Period (PBP), Accounting Rate of Return (ARR), Net Present Value (NPV), Profitability Index (PI) and Internal Rate of Return (IRR). The PBP determines the duration of time required by each project to recoup its original cost using net cash inflows. A shorter payback period is in favour of liquidity, which is vital in the case of a troubled company. The ARR is a measure of profitability based on average accounting income in relation to the investment costs. The NPV discounts the estimated cash inflows at 10% needed by the firm and calculates the net value generated. The PI is a ratio of the present value of inflows against the initial outlay to assess the efficiency of an investment. The IRR is calculated to determine the discount rate whereby the project NPV will be zero to enable evaluation of the relative yield. All of these methods aid in assisting the organisation to evaluate the effects of liquidity, profitability, and strategic value over the long term. According to Seymour (2021), proper assessment is more than essential in times of financial pressure because wrongly distributed money may enhance bankruptcy threat.</w:t>
      </w:r>
    </w:p>
    <w:p w14:paraId="7CA15B8F">
      <w:pPr>
        <w:pStyle w:val="3"/>
        <w:rPr>
          <w:rFonts w:ascii="Arial" w:hAnsi="Arial" w:cs="Arial"/>
          <w:lang w:val="en-GB"/>
        </w:rPr>
      </w:pPr>
      <w:bookmarkStart w:id="67" w:name="_6g1z82z1d0ps" w:colFirst="0" w:colLast="0"/>
      <w:bookmarkEnd w:id="67"/>
      <w:bookmarkStart w:id="68" w:name="_Toc216438057"/>
      <w:r>
        <w:rPr>
          <w:rFonts w:ascii="Arial" w:hAnsi="Arial" w:cs="Arial"/>
          <w:lang w:val="en-GB"/>
        </w:rPr>
        <w:t>5.3 Individual Project Evaluation</w:t>
      </w:r>
      <w:bookmarkEnd w:id="68"/>
    </w:p>
    <w:p w14:paraId="195F7465">
      <w:pPr>
        <w:rPr>
          <w:lang w:val="en-GB"/>
        </w:rPr>
      </w:pPr>
      <w:r>
        <w:rPr>
          <w:rFonts w:ascii="Arial" w:hAnsi="Arial" w:cs="Arial"/>
          <w:lang w:val="en-GB"/>
        </w:rPr>
        <w:t>[</w:t>
      </w:r>
      <w:r>
        <w:rPr>
          <w:rFonts w:ascii="Arial" w:hAnsi="Arial" w:cs="Arial"/>
          <w:i/>
          <w:iCs/>
          <w:lang w:val="en-GB"/>
        </w:rPr>
        <w:t>Refer to Appendix 4</w:t>
      </w:r>
      <w:r>
        <w:rPr>
          <w:rFonts w:ascii="Arial" w:hAnsi="Arial" w:cs="Arial"/>
          <w:lang w:val="en-GB"/>
        </w:rPr>
        <w:t>]</w:t>
      </w:r>
    </w:p>
    <w:p w14:paraId="5542683F">
      <w:pPr>
        <w:pStyle w:val="4"/>
        <w:rPr>
          <w:rFonts w:ascii="Arial" w:hAnsi="Arial" w:cs="Arial"/>
          <w:lang w:val="en-GB"/>
        </w:rPr>
      </w:pPr>
      <w:bookmarkStart w:id="69" w:name="_qoubgs5m9yfl" w:colFirst="0" w:colLast="0"/>
      <w:bookmarkEnd w:id="69"/>
      <w:bookmarkStart w:id="70" w:name="_Toc216438058"/>
      <w:r>
        <w:rPr>
          <w:rFonts w:ascii="Arial" w:hAnsi="Arial" w:cs="Arial"/>
          <w:lang w:val="en-GB"/>
        </w:rPr>
        <w:t>5.3.1 Project A</w:t>
      </w:r>
      <w:bookmarkEnd w:id="70"/>
    </w:p>
    <w:p w14:paraId="6FA616EB">
      <w:pPr>
        <w:rPr>
          <w:rFonts w:ascii="Arial" w:hAnsi="Arial" w:cs="Arial"/>
          <w:lang w:val="en-GB"/>
        </w:rPr>
      </w:pPr>
      <w:r>
        <w:rPr>
          <w:rFonts w:ascii="Arial" w:hAnsi="Arial" w:cs="Arial"/>
          <w:lang w:val="en-GB"/>
        </w:rPr>
        <w:t>The balance between return and risk is good in Project A. Its cash inflows are also stable, which helps to provide a reasonable payback period, providing short-term liquidity and minimising the dependence on outside funding. Its profitability is average, and NPV is positive at the discount rate of 10% and IRR is higher than the required return, which proves its financial viability. It has a predictable cash flow trend that is especially appropriate in a distressed firm. According to Tsioli (2021), viable projects in troubled firms should not be too exposed. Project A has a better stability option of adding value to Project C by stabilisation and recovery in comparison with Project C, which has volatility.</w:t>
      </w:r>
    </w:p>
    <w:p w14:paraId="51CA3400">
      <w:pPr>
        <w:pStyle w:val="4"/>
        <w:rPr>
          <w:rFonts w:ascii="Arial" w:hAnsi="Arial" w:cs="Arial"/>
          <w:lang w:val="en-GB"/>
        </w:rPr>
      </w:pPr>
      <w:bookmarkStart w:id="71" w:name="_u7w7pem9u6xw" w:colFirst="0" w:colLast="0"/>
      <w:bookmarkEnd w:id="71"/>
      <w:bookmarkStart w:id="72" w:name="_Toc216438059"/>
      <w:r>
        <w:rPr>
          <w:rFonts w:ascii="Arial" w:hAnsi="Arial" w:cs="Arial"/>
          <w:lang w:val="en-GB"/>
        </w:rPr>
        <w:t>5.3.2 Project B</w:t>
      </w:r>
      <w:bookmarkEnd w:id="72"/>
    </w:p>
    <w:p w14:paraId="5539BCF0">
      <w:pPr>
        <w:rPr>
          <w:rFonts w:ascii="Arial" w:hAnsi="Arial" w:cs="Arial"/>
          <w:lang w:val="en-GB"/>
        </w:rPr>
      </w:pPr>
      <w:r>
        <w:rPr>
          <w:rFonts w:ascii="Arial" w:hAnsi="Arial" w:cs="Arial"/>
          <w:lang w:val="en-GB"/>
        </w:rPr>
        <w:t>Project B is extremely stable and not volatile, and therefore, its inflows are not very difficult to foresee and handle. Its profitability is very poor: it has a long payback period, low ARR, and positive and small NPV, which implies that it has only created value marginally. Despite the high IRR compared to the cost of capital, it is least when compared to the other two projects. Although it can be used to provide a financially constrained firm with short-term liquidity, its low returns do not add any value in the long-term recovery. Project B is an inconsequential, but low-risk alternative to revitalisation since marginal projects are not conducive to sustainable revitalisation (Kurniawan, 2024).</w:t>
      </w:r>
    </w:p>
    <w:p w14:paraId="23123455">
      <w:pPr>
        <w:pStyle w:val="4"/>
        <w:rPr>
          <w:rFonts w:ascii="Arial" w:hAnsi="Arial" w:cs="Arial"/>
          <w:lang w:val="en-GB"/>
        </w:rPr>
      </w:pPr>
      <w:bookmarkStart w:id="73" w:name="_yot774lx5q2f" w:colFirst="0" w:colLast="0"/>
      <w:bookmarkEnd w:id="73"/>
      <w:bookmarkStart w:id="74" w:name="_Toc216438060"/>
      <w:r>
        <w:rPr>
          <w:rFonts w:ascii="Arial" w:hAnsi="Arial" w:cs="Arial"/>
          <w:lang w:val="en-GB"/>
        </w:rPr>
        <w:t>5.3.3 Project C</w:t>
      </w:r>
      <w:bookmarkEnd w:id="74"/>
    </w:p>
    <w:p w14:paraId="0C6E5EFF">
      <w:pPr>
        <w:rPr>
          <w:rFonts w:ascii="Arial" w:hAnsi="Arial" w:cs="Arial"/>
          <w:lang w:val="en-GB"/>
        </w:rPr>
      </w:pPr>
      <w:r>
        <w:rPr>
          <w:rFonts w:ascii="Arial" w:hAnsi="Arial" w:cs="Arial"/>
          <w:lang w:val="en-GB"/>
        </w:rPr>
        <w:t>Project C offers the greatest potential for returns, based on the large increase in cash flows during Years 3 and 4. It generates the highest NPV, which implies the highest total value generation. The IRR also has the highest among the three projects, showing high potential for returns. The PI demonstrates its efficacy in that every pound invested brings a lot of value. Nevertheless, the cash inflows of Project C are not even: the initial years show low returns, which is a burden on the liquidity of the firm in the short term. To a troubled firm, this poses further risk, particularly where external funding is still limited or very expensive. In times of economic instability, companies need to pay attention to volatility because unexpected inflows may destabilise recovery measures (Pagano, 2022). Although Project C is very profitable in the long term, it creates a significant financial burden in the initial stages. It might provide the greatest value when things are healthy, but in the current circumstances of the company's liquidity stabilisation and minimisation of the operational risk exposure, its applicability is limited.</w:t>
      </w:r>
    </w:p>
    <w:p w14:paraId="013F265F">
      <w:pPr>
        <w:pStyle w:val="3"/>
        <w:rPr>
          <w:rFonts w:ascii="Arial" w:hAnsi="Arial" w:cs="Arial"/>
          <w:lang w:val="en-GB"/>
        </w:rPr>
      </w:pPr>
      <w:bookmarkStart w:id="75" w:name="_kwpt2oh8r8on" w:colFirst="0" w:colLast="0"/>
      <w:bookmarkEnd w:id="75"/>
      <w:bookmarkStart w:id="76" w:name="_Toc216438061"/>
      <w:r>
        <w:rPr>
          <w:rFonts w:ascii="Arial" w:hAnsi="Arial" w:cs="Arial"/>
          <w:lang w:val="en-GB"/>
        </w:rPr>
        <w:t>5.4 Comparison and Ranking of Projects</w:t>
      </w:r>
      <w:bookmarkEnd w:id="76"/>
    </w:p>
    <w:p w14:paraId="6EAFB3CB">
      <w:pPr>
        <w:rPr>
          <w:rFonts w:ascii="Arial" w:hAnsi="Arial" w:cs="Arial"/>
          <w:lang w:val="en-GB"/>
        </w:rPr>
      </w:pPr>
      <w:r>
        <w:rPr>
          <w:rFonts w:ascii="Arial" w:hAnsi="Arial" w:cs="Arial"/>
          <w:lang w:val="en-GB"/>
        </w:rPr>
        <w:t>The comparison of the financial indicators in the main areas indicates the following:</w:t>
      </w:r>
    </w:p>
    <w:p w14:paraId="6591762B">
      <w:pPr>
        <w:numPr>
          <w:ilvl w:val="0"/>
          <w:numId w:val="1"/>
        </w:numPr>
        <w:rPr>
          <w:rFonts w:ascii="Arial" w:hAnsi="Arial" w:cs="Arial"/>
          <w:lang w:val="en-GB"/>
        </w:rPr>
      </w:pPr>
      <w:r>
        <w:rPr>
          <w:rFonts w:ascii="Arial" w:hAnsi="Arial" w:cs="Arial"/>
          <w:lang w:val="en-GB"/>
        </w:rPr>
        <w:t>Project C is the best in terms of NPV, IRR and PI and hence is the strongest in terms of generating value in the long run</w:t>
      </w:r>
    </w:p>
    <w:p w14:paraId="186F4BEE">
      <w:pPr>
        <w:numPr>
          <w:ilvl w:val="0"/>
          <w:numId w:val="1"/>
        </w:numPr>
        <w:rPr>
          <w:rFonts w:ascii="Arial" w:hAnsi="Arial" w:cs="Arial"/>
          <w:lang w:val="en-GB"/>
        </w:rPr>
      </w:pPr>
      <w:r>
        <w:rPr>
          <w:rFonts w:ascii="Arial" w:hAnsi="Arial" w:cs="Arial"/>
          <w:lang w:val="en-GB"/>
        </w:rPr>
        <w:t>Project A is second in the majority of the measures of profitability, but much better than Project B in the measures of liquidity</w:t>
      </w:r>
    </w:p>
    <w:p w14:paraId="00C0AA0E">
      <w:pPr>
        <w:numPr>
          <w:ilvl w:val="0"/>
          <w:numId w:val="1"/>
        </w:numPr>
        <w:rPr>
          <w:rFonts w:ascii="Arial" w:hAnsi="Arial" w:cs="Arial"/>
          <w:lang w:val="en-GB"/>
        </w:rPr>
      </w:pPr>
      <w:r>
        <w:rPr>
          <w:rFonts w:ascii="Arial" w:hAnsi="Arial" w:cs="Arial"/>
          <w:lang w:val="en-GB"/>
        </w:rPr>
        <w:t>The last one in terms of value creation is project B, yet it has the least fluctuating cash flow pattern</w:t>
      </w:r>
    </w:p>
    <w:p w14:paraId="7A487E39">
      <w:pPr>
        <w:numPr>
          <w:ilvl w:val="0"/>
          <w:numId w:val="1"/>
        </w:numPr>
        <w:rPr>
          <w:rFonts w:ascii="Arial" w:hAnsi="Arial" w:cs="Arial"/>
          <w:lang w:val="en-GB"/>
        </w:rPr>
      </w:pPr>
      <w:r>
        <w:rPr>
          <w:rFonts w:ascii="Arial" w:hAnsi="Arial" w:cs="Arial"/>
          <w:lang w:val="en-GB"/>
        </w:rPr>
        <w:t>Project C, therefore, would be the best option given a pure financial ret, and Project A would be the most balanced in terms of profitability and risk, and Project B would be the most stable at the expense of profitability</w:t>
      </w:r>
    </w:p>
    <w:p w14:paraId="4A1F582E">
      <w:pPr>
        <w:rPr>
          <w:rFonts w:ascii="Arial" w:hAnsi="Arial" w:cs="Arial"/>
          <w:lang w:val="en-GB"/>
        </w:rPr>
      </w:pPr>
      <w:r>
        <w:rPr>
          <w:rFonts w:ascii="Arial" w:hAnsi="Arial" w:cs="Arial"/>
          <w:lang w:val="en-GB"/>
        </w:rPr>
        <w:t>However, the choice of the project cannot be based on financial measures only. It is stated by Seymour (2021) that troubled companies need to explore projects under the constraints of capital structure and reorganisation agendas. Due to the liquidity issues faced by the company, the short-term preservation of cash and elimination of risks should be reflected in the decisions.</w:t>
      </w:r>
    </w:p>
    <w:p w14:paraId="2F86AB50">
      <w:pPr>
        <w:pStyle w:val="3"/>
        <w:rPr>
          <w:rFonts w:ascii="Arial" w:hAnsi="Arial" w:cs="Arial"/>
          <w:lang w:val="en-GB"/>
        </w:rPr>
      </w:pPr>
      <w:bookmarkStart w:id="77" w:name="_qkl275uetpkp" w:colFirst="0" w:colLast="0"/>
      <w:bookmarkEnd w:id="77"/>
      <w:bookmarkStart w:id="78" w:name="_Toc216438062"/>
      <w:r>
        <w:rPr>
          <w:rFonts w:ascii="Arial" w:hAnsi="Arial" w:cs="Arial"/>
          <w:lang w:val="en-GB"/>
        </w:rPr>
        <w:t>5.5 Capital Rationing (Maximum £60m)</w:t>
      </w:r>
      <w:bookmarkEnd w:id="78"/>
    </w:p>
    <w:p w14:paraId="5C66E44B">
      <w:pPr>
        <w:rPr>
          <w:rFonts w:ascii="Arial" w:hAnsi="Arial" w:cs="Arial"/>
          <w:lang w:val="en-GB"/>
        </w:rPr>
      </w:pPr>
      <w:r>
        <w:rPr>
          <w:rFonts w:ascii="Arial" w:hAnsi="Arial" w:cs="Arial"/>
          <w:lang w:val="en-GB"/>
        </w:rPr>
        <w:t>The organisation is not free to undertake more than one project at a time since any combination of all the potential projects will have a total value exceeding the limit of capital budget available, which is 60 million pounds. Therefore, only one investment has to be chosen. Liquidity limitations demand a keen review of the cash inflows early on. Project C is the most profitable but weak in terms of initial inflows; thus, it would not suit a company with financial disabilities that would require lots of money at the beginning. Its volatility enhances its funding gaps in the initial years, which may contribute to the aggravation of solvency problems. Project B is stable, but not profitable enough to have a significant beneficial effect on the overall restructuring of the company. It has low returns that slow its prospect of debt reduction and little strategic lift. Project A, though, generates quicker and reliable cash flows as compared to Project C and is highly more profitable than Project B. It can be used to meet liquidity requirements and, at the same time, enhance financial performance in the long term. This makes Project A the most suitable for the existing constraints of the firm. Decisions made within constraints should be aimed at sustainable recovery, as opposed to short-term liquidity or long-term value alone (Tsioli, 2021). Project A can be associated with this principle since it offers equal financial resources.</w:t>
      </w:r>
    </w:p>
    <w:p w14:paraId="7250EEFB">
      <w:pPr>
        <w:pStyle w:val="3"/>
        <w:rPr>
          <w:rFonts w:ascii="Arial" w:hAnsi="Arial" w:cs="Arial"/>
          <w:lang w:val="en-GB"/>
        </w:rPr>
      </w:pPr>
      <w:bookmarkStart w:id="79" w:name="_cusvt8j243an" w:colFirst="0" w:colLast="0"/>
      <w:bookmarkEnd w:id="79"/>
      <w:bookmarkStart w:id="80" w:name="_Toc216438063"/>
      <w:r>
        <w:rPr>
          <w:rFonts w:ascii="Arial" w:hAnsi="Arial" w:cs="Arial"/>
          <w:lang w:val="en-GB"/>
        </w:rPr>
        <w:t>5.6 Recommendation</w:t>
      </w:r>
      <w:bookmarkEnd w:id="80"/>
    </w:p>
    <w:p w14:paraId="25ECF5F1">
      <w:pPr>
        <w:rPr>
          <w:rFonts w:ascii="Arial" w:hAnsi="Arial" w:cs="Arial"/>
          <w:lang w:val="en-GB"/>
        </w:rPr>
      </w:pPr>
      <w:r>
        <w:rPr>
          <w:rFonts w:ascii="Arial" w:hAnsi="Arial" w:cs="Arial"/>
          <w:lang w:val="en-GB"/>
        </w:rPr>
        <w:t>The investment to be recommended is Project A. It provides the most suitable liquidity recovery, profitability, and manageable risk exposure due to the stressed financial position of the company. The constant inflows of project A enhance the cash strength, facilitate the continuity of operations, and avoid reliance on external funding. Although the returns of Project C would be better in the long run, the risk profile of the project is front-loaded and therefore cannot be accepted by the company in search of stability. Project B is a foreseeable undertaking, but not financially impactful to fund restructuring. Seymour (2021) stated successful restructuring involves a balanced distribution of capital into opportunities to increase solvency without taking excessive risks. Project A corresponds to this principle and contributes to the overall turnaround strategy that was mentioned in the previous sections. To sum up, Project A is the most appropriate in terms of strategies and financial feasibility. It solidifies liquidity, creates substantial profitability, and supports the restructuring efforts of the organisation to position General Electronics as a recovery process that will take the organisation to the long term and create a competitive revitalisation.</w:t>
      </w:r>
    </w:p>
    <w:p w14:paraId="0EA3E19D">
      <w:pPr>
        <w:pStyle w:val="2"/>
        <w:rPr>
          <w:rFonts w:ascii="Arial" w:hAnsi="Arial" w:cs="Arial"/>
          <w:lang w:val="en-GB"/>
        </w:rPr>
      </w:pPr>
      <w:bookmarkStart w:id="81" w:name="_rpdue8pqqgxb" w:colFirst="0" w:colLast="0"/>
      <w:bookmarkEnd w:id="81"/>
      <w:bookmarkStart w:id="82" w:name="_Toc216438064"/>
      <w:r>
        <w:rPr>
          <w:rFonts w:ascii="Arial" w:hAnsi="Arial" w:cs="Arial"/>
          <w:lang w:val="en-GB"/>
        </w:rPr>
        <w:t>6. Conclusion</w:t>
      </w:r>
      <w:bookmarkEnd w:id="82"/>
    </w:p>
    <w:p w14:paraId="40130D51">
      <w:pPr>
        <w:rPr>
          <w:rFonts w:ascii="Arial" w:hAnsi="Arial" w:cs="Arial"/>
          <w:lang w:val="en-GB"/>
        </w:rPr>
      </w:pPr>
      <w:r>
        <w:rPr>
          <w:rFonts w:ascii="Arial" w:hAnsi="Arial" w:cs="Arial"/>
          <w:lang w:val="en-GB"/>
        </w:rPr>
        <w:t>General Electronics is in dire financial distress that needs serious restructuring, better working capital management, and strict investment decisions. It has been discussed that reforms focused on specific areas, enhanced liquidity practices, and making a balanced choice of investment options will get things back on track. Application of the strategies will put the company in the position of sustainable recovery, revitalised competitiveness and enhanced financial performance in the long term.</w:t>
      </w:r>
      <w:r>
        <w:rPr>
          <w:rFonts w:ascii="Arial" w:hAnsi="Arial" w:cs="Arial"/>
          <w:lang w:val="en-GB"/>
        </w:rPr>
        <w:br w:type="page"/>
      </w:r>
    </w:p>
    <w:p w14:paraId="35F2A8A1">
      <w:pPr>
        <w:pStyle w:val="2"/>
        <w:rPr>
          <w:rFonts w:ascii="Arial" w:hAnsi="Arial" w:cs="Arial"/>
          <w:lang w:val="en-GB"/>
        </w:rPr>
      </w:pPr>
      <w:bookmarkStart w:id="83" w:name="_ippo89depb4y" w:colFirst="0" w:colLast="0"/>
      <w:bookmarkEnd w:id="83"/>
      <w:bookmarkStart w:id="84" w:name="_Toc216438065"/>
      <w:r>
        <w:rPr>
          <w:rFonts w:ascii="Arial" w:hAnsi="Arial" w:cs="Arial"/>
          <w:lang w:val="en-GB"/>
        </w:rPr>
        <w:t>References</w:t>
      </w:r>
      <w:bookmarkEnd w:id="84"/>
    </w:p>
    <w:p w14:paraId="393BF7EA">
      <w:pPr>
        <w:spacing w:after="240"/>
        <w:rPr>
          <w:rFonts w:ascii="Arial" w:hAnsi="Arial" w:cs="Arial"/>
          <w:lang w:val="en-GB"/>
        </w:rPr>
      </w:pPr>
      <w:r>
        <w:rPr>
          <w:rFonts w:ascii="Arial" w:hAnsi="Arial" w:cs="Arial"/>
          <w:color w:val="222222"/>
          <w:shd w:val="clear" w:color="auto" w:fill="FFFFFF"/>
          <w:lang w:val="en-GB"/>
        </w:rPr>
        <w:t>Abiodun, O.O., (2024). Effect of Restructuring on Organisational Performance. A Study of Selected Small and Medium Enterprises (SMEs) in an Emerging Economy. </w:t>
      </w:r>
      <w:r>
        <w:rPr>
          <w:rFonts w:ascii="Arial" w:hAnsi="Arial" w:cs="Arial"/>
          <w:i/>
          <w:iCs/>
          <w:color w:val="222222"/>
          <w:shd w:val="clear" w:color="auto" w:fill="FFFFFF"/>
          <w:lang w:val="en-GB"/>
        </w:rPr>
        <w:t>Stratford Peer Reviewed Journals and Book Publishing Journal of Strategic ManagementVolume</w:t>
      </w:r>
      <w:r>
        <w:rPr>
          <w:rFonts w:ascii="Arial" w:hAnsi="Arial" w:cs="Arial"/>
          <w:color w:val="222222"/>
          <w:shd w:val="clear" w:color="auto" w:fill="FFFFFF"/>
          <w:lang w:val="en-GB"/>
        </w:rPr>
        <w:t>, </w:t>
      </w:r>
      <w:r>
        <w:rPr>
          <w:rFonts w:ascii="Arial" w:hAnsi="Arial" w:cs="Arial"/>
          <w:i/>
          <w:iCs/>
          <w:color w:val="222222"/>
          <w:shd w:val="clear" w:color="auto" w:fill="FFFFFF"/>
          <w:lang w:val="en-GB"/>
        </w:rPr>
        <w:t>8</w:t>
      </w:r>
      <w:r>
        <w:rPr>
          <w:rFonts w:ascii="Arial" w:hAnsi="Arial" w:cs="Arial"/>
          <w:color w:val="222222"/>
          <w:shd w:val="clear" w:color="auto" w:fill="FFFFFF"/>
          <w:lang w:val="en-GB"/>
        </w:rPr>
        <w:t xml:space="preserve">, pp.84-108. </w:t>
      </w:r>
      <w:r>
        <w:fldChar w:fldCharType="begin"/>
      </w:r>
      <w:r>
        <w:instrText xml:space="preserve"> HYPERLINK "https://www.researchgate.net/profile/Olumuyiwa-Abiodun-2/publication/387460230_Effect_of_Restructuring_on_Organisational_Performance_A_Study_of_Selected_Small_and_Medium_Enterprises_SMEs_in_an_Emerging_Economy/links/676eb377117f340ec3daefab/Effect-of-Restructuring-on-Organisational-Performance-A-Study-of-Selected-Small-and-Medium-Enterprises-SMEs-in-an-Emerging-Economy.pdf" </w:instrText>
      </w:r>
      <w:r>
        <w:fldChar w:fldCharType="separate"/>
      </w:r>
      <w:r>
        <w:rPr>
          <w:rStyle w:val="12"/>
          <w:rFonts w:ascii="Arial" w:hAnsi="Arial" w:cs="Arial"/>
          <w:shd w:val="clear" w:color="auto" w:fill="FFFFFF"/>
          <w:lang w:val="en-GB"/>
        </w:rPr>
        <w:t>https://www.researchgate.net/profile/Olumuyiwa-Abiodun-2/publication/387460230_Effect_of_Restructuring_on_Organisational_Performance_A_Study_of_Selected_Small_and_Medium_Enterprises_SMEs_in_an_Emerging_Economy/links/676eb377117f340ec3daefab/Effect-of-Restructuring-on-Organisational-Performance-A-Study-of-Selected-Small-and-Medium-Enterprises-SMEs-in-an-Emerging-Economy.pdf</w:t>
      </w:r>
      <w:r>
        <w:rPr>
          <w:rStyle w:val="12"/>
          <w:rFonts w:ascii="Arial" w:hAnsi="Arial" w:cs="Arial"/>
          <w:shd w:val="clear" w:color="auto" w:fill="FFFFFF"/>
          <w:lang w:val="en-GB"/>
        </w:rPr>
        <w:fldChar w:fldCharType="end"/>
      </w:r>
    </w:p>
    <w:p w14:paraId="4CA2942A">
      <w:pPr>
        <w:spacing w:after="240"/>
        <w:rPr>
          <w:rFonts w:ascii="Arial" w:hAnsi="Arial" w:cs="Arial"/>
          <w:lang w:val="en-GB"/>
        </w:rPr>
      </w:pPr>
      <w:r>
        <w:rPr>
          <w:rFonts w:ascii="Arial" w:hAnsi="Arial" w:cs="Arial"/>
          <w:color w:val="222222"/>
          <w:shd w:val="clear" w:color="auto" w:fill="FFFFFF"/>
          <w:lang w:val="en-GB"/>
        </w:rPr>
        <w:t>Achbah, R., Vitanova, I. and Fréchet, M., (2024). Failure Escape: The role of advice seeking in CEOs’ awareness of financial difficulties and corporate restructuring. </w:t>
      </w:r>
      <w:r>
        <w:rPr>
          <w:rFonts w:ascii="Arial" w:hAnsi="Arial" w:cs="Arial"/>
          <w:i/>
          <w:iCs/>
          <w:color w:val="222222"/>
          <w:shd w:val="clear" w:color="auto" w:fill="FFFFFF"/>
          <w:lang w:val="en-GB"/>
        </w:rPr>
        <w:t>Journal of Business Research</w:t>
      </w:r>
      <w:r>
        <w:rPr>
          <w:rFonts w:ascii="Arial" w:hAnsi="Arial" w:cs="Arial"/>
          <w:color w:val="222222"/>
          <w:shd w:val="clear" w:color="auto" w:fill="FFFFFF"/>
          <w:lang w:val="en-GB"/>
        </w:rPr>
        <w:t>, </w:t>
      </w:r>
      <w:r>
        <w:rPr>
          <w:rFonts w:ascii="Arial" w:hAnsi="Arial" w:cs="Arial"/>
          <w:i/>
          <w:iCs/>
          <w:color w:val="222222"/>
          <w:shd w:val="clear" w:color="auto" w:fill="FFFFFF"/>
          <w:lang w:val="en-GB"/>
        </w:rPr>
        <w:t>175</w:t>
      </w:r>
      <w:r>
        <w:rPr>
          <w:rFonts w:ascii="Arial" w:hAnsi="Arial" w:cs="Arial"/>
          <w:color w:val="222222"/>
          <w:shd w:val="clear" w:color="auto" w:fill="FFFFFF"/>
          <w:lang w:val="en-GB"/>
        </w:rPr>
        <w:t xml:space="preserve">, p.114548. </w:t>
      </w:r>
      <w:r>
        <w:fldChar w:fldCharType="begin"/>
      </w:r>
      <w:r>
        <w:instrText xml:space="preserve"> HYPERLINK "https://www.sciencedirect.com/science/article/pii/S0148296324000523" </w:instrText>
      </w:r>
      <w:r>
        <w:fldChar w:fldCharType="separate"/>
      </w:r>
      <w:r>
        <w:rPr>
          <w:rStyle w:val="12"/>
          <w:rFonts w:ascii="Arial" w:hAnsi="Arial" w:cs="Arial"/>
          <w:shd w:val="clear" w:color="auto" w:fill="FFFFFF"/>
          <w:lang w:val="en-GB"/>
        </w:rPr>
        <w:t>https://www.sciencedirect.com/science/article/pii/S0148296324000523</w:t>
      </w:r>
      <w:r>
        <w:rPr>
          <w:rStyle w:val="12"/>
          <w:rFonts w:ascii="Arial" w:hAnsi="Arial" w:cs="Arial"/>
          <w:shd w:val="clear" w:color="auto" w:fill="FFFFFF"/>
          <w:lang w:val="en-GB"/>
        </w:rPr>
        <w:fldChar w:fldCharType="end"/>
      </w:r>
    </w:p>
    <w:p w14:paraId="141AE607">
      <w:pPr>
        <w:spacing w:after="240"/>
        <w:rPr>
          <w:rFonts w:ascii="Arial" w:hAnsi="Arial" w:cs="Arial"/>
          <w:lang w:val="en-GB"/>
        </w:rPr>
      </w:pPr>
      <w:r>
        <w:rPr>
          <w:rFonts w:ascii="Arial" w:hAnsi="Arial" w:cs="Arial"/>
          <w:color w:val="222222"/>
          <w:shd w:val="clear" w:color="auto" w:fill="FFFFFF"/>
          <w:lang w:val="en-GB"/>
        </w:rPr>
        <w:t>Adamolekun, G. and Kyiu, A., (2025). Corporate carbon footprint and market valuation of restructuring announcements. </w:t>
      </w:r>
      <w:r>
        <w:rPr>
          <w:rFonts w:ascii="Arial" w:hAnsi="Arial" w:cs="Arial"/>
          <w:i/>
          <w:iCs/>
          <w:color w:val="222222"/>
          <w:shd w:val="clear" w:color="auto" w:fill="FFFFFF"/>
          <w:lang w:val="en-GB"/>
        </w:rPr>
        <w:t>Review of Quantitative Finance and Accounting</w:t>
      </w:r>
      <w:r>
        <w:rPr>
          <w:rFonts w:ascii="Arial" w:hAnsi="Arial" w:cs="Arial"/>
          <w:color w:val="222222"/>
          <w:shd w:val="clear" w:color="auto" w:fill="FFFFFF"/>
          <w:lang w:val="en-GB"/>
        </w:rPr>
        <w:t>, </w:t>
      </w:r>
      <w:r>
        <w:rPr>
          <w:rFonts w:ascii="Arial" w:hAnsi="Arial" w:cs="Arial"/>
          <w:i/>
          <w:iCs/>
          <w:color w:val="222222"/>
          <w:shd w:val="clear" w:color="auto" w:fill="FFFFFF"/>
          <w:lang w:val="en-GB"/>
        </w:rPr>
        <w:t>64</w:t>
      </w:r>
      <w:r>
        <w:rPr>
          <w:rFonts w:ascii="Arial" w:hAnsi="Arial" w:cs="Arial"/>
          <w:color w:val="222222"/>
          <w:shd w:val="clear" w:color="auto" w:fill="FFFFFF"/>
          <w:lang w:val="en-GB"/>
        </w:rPr>
        <w:t xml:space="preserve">(2), pp.595-620. </w:t>
      </w:r>
      <w:r>
        <w:fldChar w:fldCharType="begin"/>
      </w:r>
      <w:r>
        <w:instrText xml:space="preserve"> HYPERLINK "https://link.springer.com/article/10.1007/s11156-024-01315-y" </w:instrText>
      </w:r>
      <w:r>
        <w:fldChar w:fldCharType="separate"/>
      </w:r>
      <w:r>
        <w:rPr>
          <w:rStyle w:val="12"/>
          <w:rFonts w:ascii="Arial" w:hAnsi="Arial" w:cs="Arial"/>
          <w:shd w:val="clear" w:color="auto" w:fill="FFFFFF"/>
          <w:lang w:val="en-GB"/>
        </w:rPr>
        <w:t>https://link.springer.com/article/10.1007/s11156-024-01315-y</w:t>
      </w:r>
      <w:r>
        <w:rPr>
          <w:rStyle w:val="12"/>
          <w:rFonts w:ascii="Arial" w:hAnsi="Arial" w:cs="Arial"/>
          <w:shd w:val="clear" w:color="auto" w:fill="FFFFFF"/>
          <w:lang w:val="en-GB"/>
        </w:rPr>
        <w:fldChar w:fldCharType="end"/>
      </w:r>
    </w:p>
    <w:p w14:paraId="66F75B0E">
      <w:pPr>
        <w:spacing w:after="240"/>
        <w:rPr>
          <w:rFonts w:ascii="Arial" w:hAnsi="Arial" w:cs="Arial"/>
          <w:lang w:val="en-GB"/>
        </w:rPr>
      </w:pPr>
      <w:r>
        <w:rPr>
          <w:rFonts w:ascii="Arial" w:hAnsi="Arial" w:cs="Arial"/>
          <w:color w:val="222222"/>
          <w:shd w:val="clear" w:color="auto" w:fill="FFFFFF"/>
          <w:lang w:val="en-GB"/>
        </w:rPr>
        <w:t>Akbar, M., Hussain, A., Sokolova, M. and Sabahat, T., (2022). Financial distress, firm life cycle, and corporate restructuring decisions: evidence from Pakistan’s economy. </w:t>
      </w:r>
      <w:r>
        <w:rPr>
          <w:rFonts w:ascii="Arial" w:hAnsi="Arial" w:cs="Arial"/>
          <w:i/>
          <w:iCs/>
          <w:color w:val="222222"/>
          <w:shd w:val="clear" w:color="auto" w:fill="FFFFFF"/>
          <w:lang w:val="en-GB"/>
        </w:rPr>
        <w:t>Economies</w:t>
      </w:r>
      <w:r>
        <w:rPr>
          <w:rFonts w:ascii="Arial" w:hAnsi="Arial" w:cs="Arial"/>
          <w:color w:val="222222"/>
          <w:shd w:val="clear" w:color="auto" w:fill="FFFFFF"/>
          <w:lang w:val="en-GB"/>
        </w:rPr>
        <w:t>, </w:t>
      </w:r>
      <w:r>
        <w:rPr>
          <w:rFonts w:ascii="Arial" w:hAnsi="Arial" w:cs="Arial"/>
          <w:i/>
          <w:iCs/>
          <w:color w:val="222222"/>
          <w:shd w:val="clear" w:color="auto" w:fill="FFFFFF"/>
          <w:lang w:val="en-GB"/>
        </w:rPr>
        <w:t>10</w:t>
      </w:r>
      <w:r>
        <w:rPr>
          <w:rFonts w:ascii="Arial" w:hAnsi="Arial" w:cs="Arial"/>
          <w:color w:val="222222"/>
          <w:shd w:val="clear" w:color="auto" w:fill="FFFFFF"/>
          <w:lang w:val="en-GB"/>
        </w:rPr>
        <w:t xml:space="preserve">(7), p.175. </w:t>
      </w:r>
      <w:r>
        <w:fldChar w:fldCharType="begin"/>
      </w:r>
      <w:r>
        <w:instrText xml:space="preserve"> HYPERLINK "https://www.mdpi.com/2227-7099/10/7/175" </w:instrText>
      </w:r>
      <w:r>
        <w:fldChar w:fldCharType="separate"/>
      </w:r>
      <w:r>
        <w:rPr>
          <w:rStyle w:val="12"/>
          <w:rFonts w:ascii="Arial" w:hAnsi="Arial" w:cs="Arial"/>
          <w:shd w:val="clear" w:color="auto" w:fill="FFFFFF"/>
          <w:lang w:val="en-GB"/>
        </w:rPr>
        <w:t>https://www.mdpi.com/2227-7099/10/7/175</w:t>
      </w:r>
      <w:r>
        <w:rPr>
          <w:rStyle w:val="12"/>
          <w:rFonts w:ascii="Arial" w:hAnsi="Arial" w:cs="Arial"/>
          <w:shd w:val="clear" w:color="auto" w:fill="FFFFFF"/>
          <w:lang w:val="en-GB"/>
        </w:rPr>
        <w:fldChar w:fldCharType="end"/>
      </w:r>
    </w:p>
    <w:p w14:paraId="3A6D10FC">
      <w:pPr>
        <w:spacing w:after="240"/>
        <w:rPr>
          <w:rFonts w:ascii="Arial" w:hAnsi="Arial" w:cs="Arial"/>
          <w:lang w:val="en-GB"/>
        </w:rPr>
      </w:pPr>
      <w:r>
        <w:rPr>
          <w:rFonts w:ascii="Arial" w:hAnsi="Arial" w:cs="Arial"/>
          <w:color w:val="222222"/>
          <w:shd w:val="clear" w:color="auto" w:fill="FFFFFF"/>
          <w:lang w:val="en-GB"/>
        </w:rPr>
        <w:t xml:space="preserve">Bauer, A., Craig, R., Garrido, J., Kang, K., Kashiwase, K., Kim, S., Liu, Y. and Rafiq, S., (2021). Flattening the insolvency curve: promoting corporate restructuring in Asia and the Pacific in the post-C19 recovery. </w:t>
      </w:r>
      <w:r>
        <w:fldChar w:fldCharType="begin"/>
      </w:r>
      <w:r>
        <w:instrText xml:space="preserve"> HYPERLINK "https://papers.ssrn.com/sol3/papers.cfm?abstract_id=3799608" </w:instrText>
      </w:r>
      <w:r>
        <w:fldChar w:fldCharType="separate"/>
      </w:r>
      <w:r>
        <w:rPr>
          <w:rStyle w:val="12"/>
          <w:rFonts w:ascii="Arial" w:hAnsi="Arial" w:cs="Arial"/>
          <w:shd w:val="clear" w:color="auto" w:fill="FFFFFF"/>
          <w:lang w:val="en-GB"/>
        </w:rPr>
        <w:t>https://papers.ssrn.com/sol3/papers.cfm?abstract_id=3799608</w:t>
      </w:r>
      <w:r>
        <w:rPr>
          <w:rStyle w:val="12"/>
          <w:rFonts w:ascii="Arial" w:hAnsi="Arial" w:cs="Arial"/>
          <w:shd w:val="clear" w:color="auto" w:fill="FFFFFF"/>
          <w:lang w:val="en-GB"/>
        </w:rPr>
        <w:fldChar w:fldCharType="end"/>
      </w:r>
    </w:p>
    <w:p w14:paraId="053178C7">
      <w:pPr>
        <w:spacing w:after="240"/>
        <w:rPr>
          <w:rFonts w:ascii="Arial" w:hAnsi="Arial" w:cs="Arial"/>
          <w:lang w:val="en-GB"/>
        </w:rPr>
      </w:pPr>
      <w:r>
        <w:rPr>
          <w:rFonts w:ascii="Arial" w:hAnsi="Arial" w:cs="Arial"/>
          <w:color w:val="222222"/>
          <w:shd w:val="clear" w:color="auto" w:fill="FFFFFF"/>
          <w:lang w:val="en-GB"/>
        </w:rPr>
        <w:t>Chitraju, S., (2025). Mergers, Acquisitions, and Risk Governance: Ensuring Compliance in Corporate Restructuring. </w:t>
      </w:r>
      <w:r>
        <w:rPr>
          <w:rFonts w:ascii="Arial" w:hAnsi="Arial" w:cs="Arial"/>
          <w:i/>
          <w:iCs/>
          <w:color w:val="222222"/>
          <w:shd w:val="clear" w:color="auto" w:fill="FFFFFF"/>
          <w:lang w:val="en-GB"/>
        </w:rPr>
        <w:t>Available at SSRN 5598212</w:t>
      </w:r>
      <w:r>
        <w:rPr>
          <w:rFonts w:ascii="Arial" w:hAnsi="Arial" w:cs="Arial"/>
          <w:color w:val="222222"/>
          <w:shd w:val="clear" w:color="auto" w:fill="FFFFFF"/>
          <w:lang w:val="en-GB"/>
        </w:rPr>
        <w:t xml:space="preserve">. </w:t>
      </w:r>
      <w:r>
        <w:fldChar w:fldCharType="begin"/>
      </w:r>
      <w:r>
        <w:instrText xml:space="preserve"> HYPERLINK "https://papers.ssrn.com/sol3/papers.cfm?abstract_id=5598212" </w:instrText>
      </w:r>
      <w:r>
        <w:fldChar w:fldCharType="separate"/>
      </w:r>
      <w:r>
        <w:rPr>
          <w:rStyle w:val="12"/>
          <w:rFonts w:ascii="Arial" w:hAnsi="Arial" w:cs="Arial"/>
          <w:shd w:val="clear" w:color="auto" w:fill="FFFFFF"/>
          <w:lang w:val="en-GB"/>
        </w:rPr>
        <w:t>https://papers.ssrn.com/sol3/papers.cfm?abstract_id=5598212</w:t>
      </w:r>
      <w:r>
        <w:rPr>
          <w:rStyle w:val="12"/>
          <w:rFonts w:ascii="Arial" w:hAnsi="Arial" w:cs="Arial"/>
          <w:shd w:val="clear" w:color="auto" w:fill="FFFFFF"/>
          <w:lang w:val="en-GB"/>
        </w:rPr>
        <w:fldChar w:fldCharType="end"/>
      </w:r>
    </w:p>
    <w:p w14:paraId="55F32CFA">
      <w:pPr>
        <w:spacing w:after="240"/>
        <w:rPr>
          <w:rFonts w:ascii="Arial" w:hAnsi="Arial" w:cs="Arial"/>
          <w:lang w:val="en-GB"/>
        </w:rPr>
      </w:pPr>
      <w:r>
        <w:rPr>
          <w:rFonts w:ascii="Arial" w:hAnsi="Arial" w:cs="Arial"/>
          <w:color w:val="222222"/>
          <w:shd w:val="clear" w:color="auto" w:fill="FFFFFF"/>
          <w:lang w:val="en-GB"/>
        </w:rPr>
        <w:t>Colliard, J.E. and Gromb, D., (2025). Financial restructuring and resolution of banks. </w:t>
      </w:r>
      <w:r>
        <w:rPr>
          <w:rFonts w:ascii="Arial" w:hAnsi="Arial" w:cs="Arial"/>
          <w:i/>
          <w:iCs/>
          <w:color w:val="222222"/>
          <w:shd w:val="clear" w:color="auto" w:fill="FFFFFF"/>
          <w:lang w:val="en-GB"/>
        </w:rPr>
        <w:t>HEC Paris Research Paper No. FIN-2018-1272</w:t>
      </w:r>
      <w:r>
        <w:rPr>
          <w:rFonts w:ascii="Arial" w:hAnsi="Arial" w:cs="Arial"/>
          <w:color w:val="222222"/>
          <w:shd w:val="clear" w:color="auto" w:fill="FFFFFF"/>
          <w:lang w:val="en-GB"/>
        </w:rPr>
        <w:t xml:space="preserve">. </w:t>
      </w:r>
      <w:r>
        <w:fldChar w:fldCharType="begin"/>
      </w:r>
      <w:r>
        <w:instrText xml:space="preserve"> HYPERLINK "https://papers.ssrn.com/sol3/papers.cfm?abstract_id=3183777" </w:instrText>
      </w:r>
      <w:r>
        <w:fldChar w:fldCharType="separate"/>
      </w:r>
      <w:r>
        <w:rPr>
          <w:rStyle w:val="12"/>
          <w:rFonts w:ascii="Arial" w:hAnsi="Arial" w:cs="Arial"/>
          <w:shd w:val="clear" w:color="auto" w:fill="FFFFFF"/>
          <w:lang w:val="en-GB"/>
        </w:rPr>
        <w:t>https://papers.ssrn.com/sol3/papers.cfm?abstract_id=3183777</w:t>
      </w:r>
      <w:r>
        <w:rPr>
          <w:rStyle w:val="12"/>
          <w:rFonts w:ascii="Arial" w:hAnsi="Arial" w:cs="Arial"/>
          <w:shd w:val="clear" w:color="auto" w:fill="FFFFFF"/>
          <w:lang w:val="en-GB"/>
        </w:rPr>
        <w:fldChar w:fldCharType="end"/>
      </w:r>
    </w:p>
    <w:p w14:paraId="6D1165FC">
      <w:pPr>
        <w:spacing w:after="240"/>
        <w:rPr>
          <w:rFonts w:ascii="Arial" w:hAnsi="Arial" w:cs="Arial"/>
          <w:lang w:val="en-GB"/>
        </w:rPr>
      </w:pPr>
      <w:r>
        <w:rPr>
          <w:rFonts w:ascii="Arial" w:hAnsi="Arial" w:cs="Arial"/>
          <w:color w:val="222222"/>
          <w:shd w:val="clear" w:color="auto" w:fill="FFFFFF"/>
          <w:lang w:val="en-GB"/>
        </w:rPr>
        <w:t>Fahdil, H.N., Abdulkarim, M.A., Mohamed, J. and Allah, E.A.M.M., (2024). Corporate bankruptcy and financial restructuring. </w:t>
      </w:r>
      <w:r>
        <w:rPr>
          <w:rFonts w:ascii="Arial" w:hAnsi="Arial" w:cs="Arial"/>
          <w:i/>
          <w:iCs/>
          <w:color w:val="222222"/>
          <w:shd w:val="clear" w:color="auto" w:fill="FFFFFF"/>
          <w:lang w:val="en-GB"/>
        </w:rPr>
        <w:t>Journal of Ecohumanism</w:t>
      </w:r>
      <w:r>
        <w:rPr>
          <w:rFonts w:ascii="Arial" w:hAnsi="Arial" w:cs="Arial"/>
          <w:color w:val="222222"/>
          <w:shd w:val="clear" w:color="auto" w:fill="FFFFFF"/>
          <w:lang w:val="en-GB"/>
        </w:rPr>
        <w:t>, </w:t>
      </w:r>
      <w:r>
        <w:rPr>
          <w:rFonts w:ascii="Arial" w:hAnsi="Arial" w:cs="Arial"/>
          <w:i/>
          <w:iCs/>
          <w:color w:val="222222"/>
          <w:shd w:val="clear" w:color="auto" w:fill="FFFFFF"/>
          <w:lang w:val="en-GB"/>
        </w:rPr>
        <w:t>3</w:t>
      </w:r>
      <w:r>
        <w:rPr>
          <w:rFonts w:ascii="Arial" w:hAnsi="Arial" w:cs="Arial"/>
          <w:color w:val="222222"/>
          <w:shd w:val="clear" w:color="auto" w:fill="FFFFFF"/>
          <w:lang w:val="en-GB"/>
        </w:rPr>
        <w:t xml:space="preserve">(5), pp.234-248. </w:t>
      </w:r>
      <w:r>
        <w:fldChar w:fldCharType="begin"/>
      </w:r>
      <w:r>
        <w:instrText xml:space="preserve"> HYPERLINK "https://www.ceeol.com/search/article-detail?id=1273642" </w:instrText>
      </w:r>
      <w:r>
        <w:fldChar w:fldCharType="separate"/>
      </w:r>
      <w:r>
        <w:rPr>
          <w:rStyle w:val="12"/>
          <w:rFonts w:ascii="Arial" w:hAnsi="Arial" w:cs="Arial"/>
          <w:shd w:val="clear" w:color="auto" w:fill="FFFFFF"/>
          <w:lang w:val="en-GB"/>
        </w:rPr>
        <w:t>https://www.ceeol.com/search/article-detail?id=1273642</w:t>
      </w:r>
      <w:r>
        <w:rPr>
          <w:rStyle w:val="12"/>
          <w:rFonts w:ascii="Arial" w:hAnsi="Arial" w:cs="Arial"/>
          <w:shd w:val="clear" w:color="auto" w:fill="FFFFFF"/>
          <w:lang w:val="en-GB"/>
        </w:rPr>
        <w:fldChar w:fldCharType="end"/>
      </w:r>
    </w:p>
    <w:p w14:paraId="4F82555B">
      <w:pPr>
        <w:spacing w:after="240"/>
        <w:rPr>
          <w:rFonts w:ascii="Arial" w:hAnsi="Arial" w:cs="Arial"/>
          <w:lang w:val="en-GB"/>
        </w:rPr>
      </w:pPr>
      <w:r>
        <w:rPr>
          <w:rFonts w:ascii="Arial" w:hAnsi="Arial" w:cs="Arial"/>
          <w:color w:val="222222"/>
          <w:shd w:val="clear" w:color="auto" w:fill="FFFFFF"/>
          <w:lang w:val="en-GB"/>
        </w:rPr>
        <w:t>Filipović, N. and Horvat, G., (2024). Effectiveness of restructuring strategies: empirical evidence from Croatian firms. </w:t>
      </w:r>
      <w:r>
        <w:rPr>
          <w:rFonts w:ascii="Arial" w:hAnsi="Arial" w:cs="Arial"/>
          <w:i/>
          <w:iCs/>
          <w:color w:val="222222"/>
          <w:shd w:val="clear" w:color="auto" w:fill="FFFFFF"/>
          <w:lang w:val="en-GB"/>
        </w:rPr>
        <w:t>Mednarodno inovativno poslovanje= Journal of Innovative Business and Management</w:t>
      </w:r>
      <w:r>
        <w:rPr>
          <w:rFonts w:ascii="Arial" w:hAnsi="Arial" w:cs="Arial"/>
          <w:color w:val="222222"/>
          <w:shd w:val="clear" w:color="auto" w:fill="FFFFFF"/>
          <w:lang w:val="en-GB"/>
        </w:rPr>
        <w:t>, </w:t>
      </w:r>
      <w:r>
        <w:rPr>
          <w:rFonts w:ascii="Arial" w:hAnsi="Arial" w:cs="Arial"/>
          <w:i/>
          <w:iCs/>
          <w:color w:val="222222"/>
          <w:shd w:val="clear" w:color="auto" w:fill="FFFFFF"/>
          <w:lang w:val="en-GB"/>
        </w:rPr>
        <w:t>16</w:t>
      </w:r>
      <w:r>
        <w:rPr>
          <w:rFonts w:ascii="Arial" w:hAnsi="Arial" w:cs="Arial"/>
          <w:color w:val="222222"/>
          <w:shd w:val="clear" w:color="auto" w:fill="FFFFFF"/>
          <w:lang w:val="en-GB"/>
        </w:rPr>
        <w:t xml:space="preserve">(1), pp.1-9. </w:t>
      </w:r>
      <w:r>
        <w:fldChar w:fldCharType="begin"/>
      </w:r>
      <w:r>
        <w:instrText xml:space="preserve"> HYPERLINK "https://journal.doba.si/OJS/index.php/jimb/article/view/355" </w:instrText>
      </w:r>
      <w:r>
        <w:fldChar w:fldCharType="separate"/>
      </w:r>
      <w:r>
        <w:rPr>
          <w:rStyle w:val="12"/>
          <w:rFonts w:ascii="Arial" w:hAnsi="Arial" w:cs="Arial"/>
          <w:shd w:val="clear" w:color="auto" w:fill="FFFFFF"/>
          <w:lang w:val="en-GB"/>
        </w:rPr>
        <w:t>https://journal.doba.si/OJS/index.php/jimb/article/view/355</w:t>
      </w:r>
      <w:r>
        <w:rPr>
          <w:rStyle w:val="12"/>
          <w:rFonts w:ascii="Arial" w:hAnsi="Arial" w:cs="Arial"/>
          <w:shd w:val="clear" w:color="auto" w:fill="FFFFFF"/>
          <w:lang w:val="en-GB"/>
        </w:rPr>
        <w:fldChar w:fldCharType="end"/>
      </w:r>
    </w:p>
    <w:p w14:paraId="5611519C">
      <w:pPr>
        <w:spacing w:after="240"/>
        <w:rPr>
          <w:rFonts w:ascii="Arial" w:hAnsi="Arial" w:cs="Arial"/>
          <w:lang w:val="en-GB"/>
        </w:rPr>
      </w:pPr>
      <w:r>
        <w:rPr>
          <w:rFonts w:ascii="Arial" w:hAnsi="Arial" w:cs="Arial"/>
          <w:color w:val="222222"/>
          <w:shd w:val="clear" w:color="auto" w:fill="FFFFFF"/>
          <w:lang w:val="en-GB"/>
        </w:rPr>
        <w:t>Khalid, M.I., (2024). Analyzing Corporate Debt Restructuring Strategies During Economic Recession Periods. </w:t>
      </w:r>
      <w:r>
        <w:rPr>
          <w:rFonts w:ascii="Arial" w:hAnsi="Arial" w:cs="Arial"/>
          <w:i/>
          <w:iCs/>
          <w:color w:val="222222"/>
          <w:shd w:val="clear" w:color="auto" w:fill="FFFFFF"/>
          <w:lang w:val="en-GB"/>
        </w:rPr>
        <w:t>Economic Trends and Business Review</w:t>
      </w:r>
      <w:r>
        <w:rPr>
          <w:rFonts w:ascii="Arial" w:hAnsi="Arial" w:cs="Arial"/>
          <w:color w:val="222222"/>
          <w:shd w:val="clear" w:color="auto" w:fill="FFFFFF"/>
          <w:lang w:val="en-GB"/>
        </w:rPr>
        <w:t>, </w:t>
      </w:r>
      <w:r>
        <w:rPr>
          <w:rFonts w:ascii="Arial" w:hAnsi="Arial" w:cs="Arial"/>
          <w:i/>
          <w:iCs/>
          <w:color w:val="222222"/>
          <w:shd w:val="clear" w:color="auto" w:fill="FFFFFF"/>
          <w:lang w:val="en-GB"/>
        </w:rPr>
        <w:t>2</w:t>
      </w:r>
      <w:r>
        <w:rPr>
          <w:rFonts w:ascii="Arial" w:hAnsi="Arial" w:cs="Arial"/>
          <w:color w:val="222222"/>
          <w:shd w:val="clear" w:color="auto" w:fill="FFFFFF"/>
          <w:lang w:val="en-GB"/>
        </w:rPr>
        <w:t xml:space="preserve">(1), pp.28-33. </w:t>
      </w:r>
      <w:r>
        <w:fldChar w:fldCharType="begin"/>
      </w:r>
      <w:r>
        <w:instrText xml:space="preserve"> HYPERLINK "https://etbrjournal.com/index.php/journal/article/view/15" </w:instrText>
      </w:r>
      <w:r>
        <w:fldChar w:fldCharType="separate"/>
      </w:r>
      <w:r>
        <w:rPr>
          <w:rStyle w:val="12"/>
          <w:rFonts w:ascii="Arial" w:hAnsi="Arial" w:cs="Arial"/>
          <w:shd w:val="clear" w:color="auto" w:fill="FFFFFF"/>
          <w:lang w:val="en-GB"/>
        </w:rPr>
        <w:t>https://etbrjournal.com/index.php/journal/article/view/15</w:t>
      </w:r>
      <w:r>
        <w:rPr>
          <w:rStyle w:val="12"/>
          <w:rFonts w:ascii="Arial" w:hAnsi="Arial" w:cs="Arial"/>
          <w:shd w:val="clear" w:color="auto" w:fill="FFFFFF"/>
          <w:lang w:val="en-GB"/>
        </w:rPr>
        <w:fldChar w:fldCharType="end"/>
      </w:r>
    </w:p>
    <w:p w14:paraId="7174A76F">
      <w:pPr>
        <w:spacing w:after="240"/>
        <w:rPr>
          <w:rFonts w:ascii="Arial" w:hAnsi="Arial" w:cs="Arial"/>
          <w:lang w:val="en-GB"/>
        </w:rPr>
      </w:pPr>
      <w:r>
        <w:rPr>
          <w:rFonts w:ascii="Arial" w:hAnsi="Arial" w:cs="Arial"/>
          <w:color w:val="222222"/>
          <w:shd w:val="clear" w:color="auto" w:fill="FFFFFF"/>
          <w:lang w:val="en-GB"/>
        </w:rPr>
        <w:t>Kurniawan, I., Sialagan, S.P. and Fernandes, A., (2024). Semi-Public Restructuring and the Principle of Good Faith: Adoption for Indonesian Bankruptcy Law. </w:t>
      </w:r>
      <w:r>
        <w:rPr>
          <w:rFonts w:ascii="Arial" w:hAnsi="Arial" w:cs="Arial"/>
          <w:i/>
          <w:iCs/>
          <w:color w:val="222222"/>
          <w:shd w:val="clear" w:color="auto" w:fill="FFFFFF"/>
          <w:lang w:val="en-GB"/>
        </w:rPr>
        <w:t>Wacana Hukum</w:t>
      </w:r>
      <w:r>
        <w:rPr>
          <w:rFonts w:ascii="Arial" w:hAnsi="Arial" w:cs="Arial"/>
          <w:color w:val="222222"/>
          <w:shd w:val="clear" w:color="auto" w:fill="FFFFFF"/>
          <w:lang w:val="en-GB"/>
        </w:rPr>
        <w:t>, </w:t>
      </w:r>
      <w:r>
        <w:rPr>
          <w:rFonts w:ascii="Arial" w:hAnsi="Arial" w:cs="Arial"/>
          <w:i/>
          <w:iCs/>
          <w:color w:val="222222"/>
          <w:shd w:val="clear" w:color="auto" w:fill="FFFFFF"/>
          <w:lang w:val="en-GB"/>
        </w:rPr>
        <w:t>30</w:t>
      </w:r>
      <w:r>
        <w:rPr>
          <w:rFonts w:ascii="Arial" w:hAnsi="Arial" w:cs="Arial"/>
          <w:color w:val="222222"/>
          <w:shd w:val="clear" w:color="auto" w:fill="FFFFFF"/>
          <w:lang w:val="en-GB"/>
        </w:rPr>
        <w:t xml:space="preserve">(2), pp.142-152. </w:t>
      </w:r>
      <w:r>
        <w:fldChar w:fldCharType="begin"/>
      </w:r>
      <w:r>
        <w:instrText xml:space="preserve"> HYPERLINK "https://ejurnal.unisri.ac.id/index.php/Wacana/article/view/11132" </w:instrText>
      </w:r>
      <w:r>
        <w:fldChar w:fldCharType="separate"/>
      </w:r>
      <w:r>
        <w:rPr>
          <w:rStyle w:val="12"/>
          <w:rFonts w:ascii="Arial" w:hAnsi="Arial" w:cs="Arial"/>
          <w:shd w:val="clear" w:color="auto" w:fill="FFFFFF"/>
          <w:lang w:val="en-GB"/>
        </w:rPr>
        <w:t>https://ejurnal.unisri.ac.id/index.php/Wacana/article/view/11132</w:t>
      </w:r>
      <w:r>
        <w:rPr>
          <w:rStyle w:val="12"/>
          <w:rFonts w:ascii="Arial" w:hAnsi="Arial" w:cs="Arial"/>
          <w:shd w:val="clear" w:color="auto" w:fill="FFFFFF"/>
          <w:lang w:val="en-GB"/>
        </w:rPr>
        <w:fldChar w:fldCharType="end"/>
      </w:r>
    </w:p>
    <w:p w14:paraId="23483E65">
      <w:pPr>
        <w:spacing w:after="240"/>
        <w:rPr>
          <w:rFonts w:ascii="Arial" w:hAnsi="Arial" w:cs="Arial"/>
          <w:lang w:val="en-GB"/>
        </w:rPr>
      </w:pPr>
      <w:r>
        <w:rPr>
          <w:rFonts w:ascii="Arial" w:hAnsi="Arial" w:cs="Arial"/>
          <w:color w:val="222222"/>
          <w:shd w:val="clear" w:color="auto" w:fill="FFFFFF"/>
          <w:lang w:val="en-GB"/>
        </w:rPr>
        <w:t>Ma, J., Lu, S. and Wang, S., (2021). Research on GSEC's Restructuring Financial Risk. </w:t>
      </w:r>
      <w:r>
        <w:rPr>
          <w:rFonts w:ascii="Arial" w:hAnsi="Arial" w:cs="Arial"/>
          <w:i/>
          <w:iCs/>
          <w:color w:val="222222"/>
          <w:shd w:val="clear" w:color="auto" w:fill="FFFFFF"/>
          <w:lang w:val="en-GB"/>
        </w:rPr>
        <w:t>ratio</w:t>
      </w:r>
      <w:r>
        <w:rPr>
          <w:rFonts w:ascii="Arial" w:hAnsi="Arial" w:cs="Arial"/>
          <w:color w:val="222222"/>
          <w:shd w:val="clear" w:color="auto" w:fill="FFFFFF"/>
          <w:lang w:val="en-GB"/>
        </w:rPr>
        <w:t>, </w:t>
      </w:r>
      <w:r>
        <w:rPr>
          <w:rFonts w:ascii="Arial" w:hAnsi="Arial" w:cs="Arial"/>
          <w:i/>
          <w:iCs/>
          <w:color w:val="222222"/>
          <w:shd w:val="clear" w:color="auto" w:fill="FFFFFF"/>
          <w:lang w:val="en-GB"/>
        </w:rPr>
        <w:t>2</w:t>
      </w:r>
      <w:r>
        <w:rPr>
          <w:rFonts w:ascii="Arial" w:hAnsi="Arial" w:cs="Arial"/>
          <w:color w:val="222222"/>
          <w:shd w:val="clear" w:color="auto" w:fill="FFFFFF"/>
          <w:lang w:val="en-GB"/>
        </w:rPr>
        <w:t xml:space="preserve">(4), pp.6-8. </w:t>
      </w:r>
      <w:r>
        <w:fldChar w:fldCharType="begin"/>
      </w:r>
      <w:r>
        <w:instrText xml:space="preserve"> HYPERLINK "https://www.francis-press.com/uploads/papers/LOPIKWnCGlZVZ4gcBfaBeW8uNXD5fAnjbjGbwUq3.pdf" </w:instrText>
      </w:r>
      <w:r>
        <w:fldChar w:fldCharType="separate"/>
      </w:r>
      <w:r>
        <w:rPr>
          <w:rStyle w:val="12"/>
          <w:rFonts w:ascii="Arial" w:hAnsi="Arial" w:cs="Arial"/>
          <w:shd w:val="clear" w:color="auto" w:fill="FFFFFF"/>
          <w:lang w:val="en-GB"/>
        </w:rPr>
        <w:t>https://www.francis-press.com/uploads/papers/LOPIKWnCGlZVZ4gcBfaBeW8uNXD5fAnjbjGbwUq3.pdf</w:t>
      </w:r>
      <w:r>
        <w:rPr>
          <w:rStyle w:val="12"/>
          <w:rFonts w:ascii="Arial" w:hAnsi="Arial" w:cs="Arial"/>
          <w:shd w:val="clear" w:color="auto" w:fill="FFFFFF"/>
          <w:lang w:val="en-GB"/>
        </w:rPr>
        <w:fldChar w:fldCharType="end"/>
      </w:r>
    </w:p>
    <w:p w14:paraId="258E5FEA">
      <w:pPr>
        <w:spacing w:after="240"/>
        <w:rPr>
          <w:rFonts w:ascii="Arial" w:hAnsi="Arial" w:cs="Arial"/>
          <w:lang w:val="en-GB"/>
        </w:rPr>
      </w:pPr>
      <w:r>
        <w:rPr>
          <w:rFonts w:ascii="Arial" w:hAnsi="Arial" w:cs="Arial"/>
          <w:color w:val="222222"/>
          <w:shd w:val="clear" w:color="auto" w:fill="FFFFFF"/>
          <w:lang w:val="en-GB"/>
        </w:rPr>
        <w:t>Makhdoom, Z.H., Gao, Y., Song, X., Khoso, W.M. and Baloch, Z.A., (2023). Linking environmental corporate social responsibility to firm performance: the role of partnership restructure. </w:t>
      </w:r>
      <w:r>
        <w:rPr>
          <w:rFonts w:ascii="Arial" w:hAnsi="Arial" w:cs="Arial"/>
          <w:i/>
          <w:iCs/>
          <w:color w:val="222222"/>
          <w:shd w:val="clear" w:color="auto" w:fill="FFFFFF"/>
          <w:lang w:val="en-GB"/>
        </w:rPr>
        <w:t>Environmental Science and Pollution Research</w:t>
      </w:r>
      <w:r>
        <w:rPr>
          <w:rFonts w:ascii="Arial" w:hAnsi="Arial" w:cs="Arial"/>
          <w:color w:val="222222"/>
          <w:shd w:val="clear" w:color="auto" w:fill="FFFFFF"/>
          <w:lang w:val="en-GB"/>
        </w:rPr>
        <w:t>, </w:t>
      </w:r>
      <w:r>
        <w:rPr>
          <w:rFonts w:ascii="Arial" w:hAnsi="Arial" w:cs="Arial"/>
          <w:i/>
          <w:iCs/>
          <w:color w:val="222222"/>
          <w:shd w:val="clear" w:color="auto" w:fill="FFFFFF"/>
          <w:lang w:val="en-GB"/>
        </w:rPr>
        <w:t>30</w:t>
      </w:r>
      <w:r>
        <w:rPr>
          <w:rFonts w:ascii="Arial" w:hAnsi="Arial" w:cs="Arial"/>
          <w:color w:val="222222"/>
          <w:shd w:val="clear" w:color="auto" w:fill="FFFFFF"/>
          <w:lang w:val="en-GB"/>
        </w:rPr>
        <w:t xml:space="preserve">(16), pp.48323-48338. </w:t>
      </w:r>
      <w:r>
        <w:fldChar w:fldCharType="begin"/>
      </w:r>
      <w:r>
        <w:instrText xml:space="preserve"> HYPERLINK "https://link.springer.com/article/10.1007/s11356-023-25776-1" </w:instrText>
      </w:r>
      <w:r>
        <w:fldChar w:fldCharType="separate"/>
      </w:r>
      <w:r>
        <w:rPr>
          <w:rStyle w:val="12"/>
          <w:rFonts w:ascii="Arial" w:hAnsi="Arial" w:cs="Arial"/>
          <w:shd w:val="clear" w:color="auto" w:fill="FFFFFF"/>
          <w:lang w:val="en-GB"/>
        </w:rPr>
        <w:t>https://link.springer.com/article/10.1007/s11356-023-25776-1</w:t>
      </w:r>
      <w:r>
        <w:rPr>
          <w:rStyle w:val="12"/>
          <w:rFonts w:ascii="Arial" w:hAnsi="Arial" w:cs="Arial"/>
          <w:shd w:val="clear" w:color="auto" w:fill="FFFFFF"/>
          <w:lang w:val="en-GB"/>
        </w:rPr>
        <w:fldChar w:fldCharType="end"/>
      </w:r>
    </w:p>
    <w:p w14:paraId="620268D3">
      <w:pPr>
        <w:spacing w:after="240"/>
        <w:rPr>
          <w:rFonts w:ascii="Arial" w:hAnsi="Arial" w:cs="Arial"/>
          <w:lang w:val="en-GB"/>
        </w:rPr>
      </w:pPr>
      <w:r>
        <w:rPr>
          <w:rFonts w:ascii="Arial" w:hAnsi="Arial" w:cs="Arial"/>
          <w:color w:val="222222"/>
          <w:shd w:val="clear" w:color="auto" w:fill="FFFFFF"/>
          <w:lang w:val="en-GB"/>
        </w:rPr>
        <w:t>Mavlutova, I., Babenko, V., Dykan, V., Prokopenko, N., Kalinichenko, S. and Tokmakova, I., (2021). Business restructuring as a method of strengtening company’s financial position. </w:t>
      </w:r>
      <w:r>
        <w:rPr>
          <w:rFonts w:ascii="Arial" w:hAnsi="Arial" w:cs="Arial"/>
          <w:i/>
          <w:iCs/>
          <w:color w:val="222222"/>
          <w:shd w:val="clear" w:color="auto" w:fill="FFFFFF"/>
          <w:lang w:val="en-GB"/>
        </w:rPr>
        <w:t>Journal of Optimization in Industrial Engineering</w:t>
      </w:r>
      <w:r>
        <w:rPr>
          <w:rFonts w:ascii="Arial" w:hAnsi="Arial" w:cs="Arial"/>
          <w:color w:val="222222"/>
          <w:shd w:val="clear" w:color="auto" w:fill="FFFFFF"/>
          <w:lang w:val="en-GB"/>
        </w:rPr>
        <w:t>, </w:t>
      </w:r>
      <w:r>
        <w:rPr>
          <w:rFonts w:ascii="Arial" w:hAnsi="Arial" w:cs="Arial"/>
          <w:i/>
          <w:iCs/>
          <w:color w:val="222222"/>
          <w:shd w:val="clear" w:color="auto" w:fill="FFFFFF"/>
          <w:lang w:val="en-GB"/>
        </w:rPr>
        <w:t>14</w:t>
      </w:r>
      <w:r>
        <w:rPr>
          <w:rFonts w:ascii="Arial" w:hAnsi="Arial" w:cs="Arial"/>
          <w:color w:val="222222"/>
          <w:shd w:val="clear" w:color="auto" w:fill="FFFFFF"/>
          <w:lang w:val="en-GB"/>
        </w:rPr>
        <w:t xml:space="preserve">(1), pp.129-139. </w:t>
      </w:r>
      <w:r>
        <w:fldChar w:fldCharType="begin"/>
      </w:r>
      <w:r>
        <w:instrText xml:space="preserve"> HYPERLINK "https://www.academia.edu/download/81063588/article_677839_cd06f5c50b09f28acf4802268302e8ba.pdf" </w:instrText>
      </w:r>
      <w:r>
        <w:fldChar w:fldCharType="separate"/>
      </w:r>
      <w:r>
        <w:rPr>
          <w:rStyle w:val="12"/>
          <w:rFonts w:ascii="Arial" w:hAnsi="Arial" w:cs="Arial"/>
          <w:shd w:val="clear" w:color="auto" w:fill="FFFFFF"/>
          <w:lang w:val="en-GB"/>
        </w:rPr>
        <w:t>https://www.academia.edu/download/81063588/article_677839_cd06f5c50b09f28acf4802268302e8ba.pdf</w:t>
      </w:r>
      <w:r>
        <w:rPr>
          <w:rStyle w:val="12"/>
          <w:rFonts w:ascii="Arial" w:hAnsi="Arial" w:cs="Arial"/>
          <w:shd w:val="clear" w:color="auto" w:fill="FFFFFF"/>
          <w:lang w:val="en-GB"/>
        </w:rPr>
        <w:fldChar w:fldCharType="end"/>
      </w:r>
    </w:p>
    <w:p w14:paraId="117C582C">
      <w:pPr>
        <w:spacing w:after="240"/>
        <w:rPr>
          <w:rFonts w:ascii="Arial" w:hAnsi="Arial" w:cs="Arial"/>
          <w:lang w:val="en-GB"/>
        </w:rPr>
      </w:pPr>
      <w:r>
        <w:rPr>
          <w:rFonts w:ascii="Arial" w:hAnsi="Arial" w:cs="Arial"/>
          <w:color w:val="222222"/>
          <w:shd w:val="clear" w:color="auto" w:fill="FFFFFF"/>
          <w:lang w:val="en-GB"/>
        </w:rPr>
        <w:t>Mehmood, A. and De Luca, F., (2025). Financial distress prediction in private firms: developing a model for troubled debt restructuring. </w:t>
      </w:r>
      <w:r>
        <w:rPr>
          <w:rFonts w:ascii="Arial" w:hAnsi="Arial" w:cs="Arial"/>
          <w:i/>
          <w:iCs/>
          <w:color w:val="222222"/>
          <w:shd w:val="clear" w:color="auto" w:fill="FFFFFF"/>
          <w:lang w:val="en-GB"/>
        </w:rPr>
        <w:t>Journal of Applied Accounting Research</w:t>
      </w:r>
      <w:r>
        <w:rPr>
          <w:rFonts w:ascii="Arial" w:hAnsi="Arial" w:cs="Arial"/>
          <w:color w:val="222222"/>
          <w:shd w:val="clear" w:color="auto" w:fill="FFFFFF"/>
          <w:lang w:val="en-GB"/>
        </w:rPr>
        <w:t>, </w:t>
      </w:r>
      <w:r>
        <w:rPr>
          <w:rFonts w:ascii="Arial" w:hAnsi="Arial" w:cs="Arial"/>
          <w:i/>
          <w:iCs/>
          <w:color w:val="222222"/>
          <w:shd w:val="clear" w:color="auto" w:fill="FFFFFF"/>
          <w:lang w:val="en-GB"/>
        </w:rPr>
        <w:t>26</w:t>
      </w:r>
      <w:r>
        <w:rPr>
          <w:rFonts w:ascii="Arial" w:hAnsi="Arial" w:cs="Arial"/>
          <w:color w:val="222222"/>
          <w:shd w:val="clear" w:color="auto" w:fill="FFFFFF"/>
          <w:lang w:val="en-GB"/>
        </w:rPr>
        <w:t xml:space="preserve">(6), pp.205-222. </w:t>
      </w:r>
      <w:r>
        <w:fldChar w:fldCharType="begin"/>
      </w:r>
      <w:r>
        <w:instrText xml:space="preserve"> HYPERLINK "https://www.emerald.com/jaar/article/26/6/205/1267299" </w:instrText>
      </w:r>
      <w:r>
        <w:fldChar w:fldCharType="separate"/>
      </w:r>
      <w:r>
        <w:rPr>
          <w:rStyle w:val="12"/>
          <w:rFonts w:ascii="Arial" w:hAnsi="Arial" w:cs="Arial"/>
          <w:shd w:val="clear" w:color="auto" w:fill="FFFFFF"/>
          <w:lang w:val="en-GB"/>
        </w:rPr>
        <w:t>https://www.emerald.com/jaar/article/26/6/205/1267299</w:t>
      </w:r>
      <w:r>
        <w:rPr>
          <w:rStyle w:val="12"/>
          <w:rFonts w:ascii="Arial" w:hAnsi="Arial" w:cs="Arial"/>
          <w:shd w:val="clear" w:color="auto" w:fill="FFFFFF"/>
          <w:lang w:val="en-GB"/>
        </w:rPr>
        <w:fldChar w:fldCharType="end"/>
      </w:r>
    </w:p>
    <w:p w14:paraId="6A4F4A93">
      <w:pPr>
        <w:spacing w:after="240"/>
        <w:rPr>
          <w:rFonts w:ascii="Arial" w:hAnsi="Arial" w:cs="Arial"/>
          <w:lang w:val="en-GB"/>
        </w:rPr>
      </w:pPr>
      <w:r>
        <w:rPr>
          <w:rFonts w:ascii="Arial" w:hAnsi="Arial" w:cs="Arial"/>
          <w:color w:val="222222"/>
          <w:shd w:val="clear" w:color="auto" w:fill="FFFFFF"/>
          <w:lang w:val="en-GB"/>
        </w:rPr>
        <w:t>Nishesh, N., Ouimet, P. and Simintzi, E., (2024). Labor and corporate finance. </w:t>
      </w:r>
      <w:r>
        <w:rPr>
          <w:rFonts w:ascii="Arial" w:hAnsi="Arial" w:cs="Arial"/>
          <w:i/>
          <w:iCs/>
          <w:color w:val="222222"/>
          <w:shd w:val="clear" w:color="auto" w:fill="FFFFFF"/>
          <w:lang w:val="en-GB"/>
        </w:rPr>
        <w:t>Handbook of Corporate Finance</w:t>
      </w:r>
      <w:r>
        <w:rPr>
          <w:rFonts w:ascii="Arial" w:hAnsi="Arial" w:cs="Arial"/>
          <w:color w:val="222222"/>
          <w:shd w:val="clear" w:color="auto" w:fill="FFFFFF"/>
          <w:lang w:val="en-GB"/>
        </w:rPr>
        <w:t xml:space="preserve">, pp.647-673. </w:t>
      </w:r>
      <w:r>
        <w:fldChar w:fldCharType="begin"/>
      </w:r>
      <w:r>
        <w:instrText xml:space="preserve"> HYPERLINK "https://www.elgaronline.com/edcollchap/book/9781800373891/book-part-9781800373891-27.xml" </w:instrText>
      </w:r>
      <w:r>
        <w:fldChar w:fldCharType="separate"/>
      </w:r>
      <w:r>
        <w:rPr>
          <w:rStyle w:val="12"/>
          <w:rFonts w:ascii="Arial" w:hAnsi="Arial" w:cs="Arial"/>
          <w:shd w:val="clear" w:color="auto" w:fill="FFFFFF"/>
          <w:lang w:val="en-GB"/>
        </w:rPr>
        <w:t>https://www.elgaronline.com/edcollchap/book/9781800373891/book-part-9781800373891-27.xml</w:t>
      </w:r>
      <w:r>
        <w:rPr>
          <w:rStyle w:val="12"/>
          <w:rFonts w:ascii="Arial" w:hAnsi="Arial" w:cs="Arial"/>
          <w:shd w:val="clear" w:color="auto" w:fill="FFFFFF"/>
          <w:lang w:val="en-GB"/>
        </w:rPr>
        <w:fldChar w:fldCharType="end"/>
      </w:r>
    </w:p>
    <w:p w14:paraId="7EECEB40">
      <w:pPr>
        <w:spacing w:after="240"/>
        <w:rPr>
          <w:rFonts w:ascii="Arial" w:hAnsi="Arial" w:cs="Arial"/>
          <w:lang w:val="en-GB"/>
        </w:rPr>
      </w:pPr>
      <w:r>
        <w:rPr>
          <w:rFonts w:ascii="Arial" w:hAnsi="Arial" w:cs="Arial"/>
          <w:color w:val="222222"/>
          <w:shd w:val="clear" w:color="auto" w:fill="FFFFFF"/>
          <w:lang w:val="en-GB"/>
        </w:rPr>
        <w:t>Oyeyipo, I., Attipoe, V., Mayienga, B.A., Onwuzulike, O.C., Ayodeji, D.C., Nwaozomudoh, M.O., Isibor, N.J. and Ahmadu, J., (2023). A conceptual framework for transforming corporate finance through strategic growth, profitability, and risk optimization. </w:t>
      </w:r>
      <w:r>
        <w:rPr>
          <w:rFonts w:ascii="Arial" w:hAnsi="Arial" w:cs="Arial"/>
          <w:i/>
          <w:iCs/>
          <w:color w:val="222222"/>
          <w:shd w:val="clear" w:color="auto" w:fill="FFFFFF"/>
          <w:lang w:val="en-GB"/>
        </w:rPr>
        <w:t>International Journal of Advanced Multidisciplinary Research and Studies</w:t>
      </w:r>
      <w:r>
        <w:rPr>
          <w:rFonts w:ascii="Arial" w:hAnsi="Arial" w:cs="Arial"/>
          <w:color w:val="222222"/>
          <w:shd w:val="clear" w:color="auto" w:fill="FFFFFF"/>
          <w:lang w:val="en-GB"/>
        </w:rPr>
        <w:t>, </w:t>
      </w:r>
      <w:r>
        <w:rPr>
          <w:rFonts w:ascii="Arial" w:hAnsi="Arial" w:cs="Arial"/>
          <w:i/>
          <w:iCs/>
          <w:color w:val="222222"/>
          <w:shd w:val="clear" w:color="auto" w:fill="FFFFFF"/>
          <w:lang w:val="en-GB"/>
        </w:rPr>
        <w:t>3</w:t>
      </w:r>
      <w:r>
        <w:rPr>
          <w:rFonts w:ascii="Arial" w:hAnsi="Arial" w:cs="Arial"/>
          <w:color w:val="222222"/>
          <w:shd w:val="clear" w:color="auto" w:fill="FFFFFF"/>
          <w:lang w:val="en-GB"/>
        </w:rPr>
        <w:t xml:space="preserve">(5), pp.1527-1538. </w:t>
      </w:r>
      <w:r>
        <w:fldChar w:fldCharType="begin"/>
      </w:r>
      <w:r>
        <w:instrText xml:space="preserve"> HYPERLINK "https://www.multiresearchjournal.com/admin/uploads/archives/archive-1742807323.pdf" </w:instrText>
      </w:r>
      <w:r>
        <w:fldChar w:fldCharType="separate"/>
      </w:r>
      <w:r>
        <w:rPr>
          <w:rStyle w:val="12"/>
          <w:rFonts w:ascii="Arial" w:hAnsi="Arial" w:cs="Arial"/>
          <w:shd w:val="clear" w:color="auto" w:fill="FFFFFF"/>
          <w:lang w:val="en-GB"/>
        </w:rPr>
        <w:t>https://www.multiresearchjournal.com/admin/uploads/archives/archive-1742807323.pdf</w:t>
      </w:r>
      <w:r>
        <w:rPr>
          <w:rStyle w:val="12"/>
          <w:rFonts w:ascii="Arial" w:hAnsi="Arial" w:cs="Arial"/>
          <w:shd w:val="clear" w:color="auto" w:fill="FFFFFF"/>
          <w:lang w:val="en-GB"/>
        </w:rPr>
        <w:fldChar w:fldCharType="end"/>
      </w:r>
    </w:p>
    <w:p w14:paraId="6209EE22">
      <w:pPr>
        <w:spacing w:after="240"/>
        <w:rPr>
          <w:rFonts w:ascii="Arial" w:hAnsi="Arial" w:cs="Arial"/>
          <w:lang w:val="en-GB"/>
        </w:rPr>
      </w:pPr>
      <w:r>
        <w:rPr>
          <w:rFonts w:ascii="Arial" w:hAnsi="Arial" w:cs="Arial"/>
          <w:color w:val="222222"/>
          <w:shd w:val="clear" w:color="auto" w:fill="FFFFFF"/>
          <w:lang w:val="en-GB"/>
        </w:rPr>
        <w:t>Pagano, M. and Zechner, J., (2022). COVID-19 and corporate finance. </w:t>
      </w:r>
      <w:r>
        <w:rPr>
          <w:rFonts w:ascii="Arial" w:hAnsi="Arial" w:cs="Arial"/>
          <w:i/>
          <w:iCs/>
          <w:color w:val="222222"/>
          <w:shd w:val="clear" w:color="auto" w:fill="FFFFFF"/>
          <w:lang w:val="en-GB"/>
        </w:rPr>
        <w:t>The Review of Corporate Finance Studies</w:t>
      </w:r>
      <w:r>
        <w:rPr>
          <w:rFonts w:ascii="Arial" w:hAnsi="Arial" w:cs="Arial"/>
          <w:color w:val="222222"/>
          <w:shd w:val="clear" w:color="auto" w:fill="FFFFFF"/>
          <w:lang w:val="en-GB"/>
        </w:rPr>
        <w:t>, </w:t>
      </w:r>
      <w:r>
        <w:rPr>
          <w:rFonts w:ascii="Arial" w:hAnsi="Arial" w:cs="Arial"/>
          <w:i/>
          <w:iCs/>
          <w:color w:val="222222"/>
          <w:shd w:val="clear" w:color="auto" w:fill="FFFFFF"/>
          <w:lang w:val="en-GB"/>
        </w:rPr>
        <w:t>11</w:t>
      </w:r>
      <w:r>
        <w:rPr>
          <w:rFonts w:ascii="Arial" w:hAnsi="Arial" w:cs="Arial"/>
          <w:color w:val="222222"/>
          <w:shd w:val="clear" w:color="auto" w:fill="FFFFFF"/>
          <w:lang w:val="en-GB"/>
        </w:rPr>
        <w:t xml:space="preserve">(4), pp.849-879. </w:t>
      </w:r>
      <w:r>
        <w:fldChar w:fldCharType="begin"/>
      </w:r>
      <w:r>
        <w:instrText xml:space="preserve"> HYPERLINK "https://academic.oup.com/rcfs/article-abstract/11/4/849/6665905" </w:instrText>
      </w:r>
      <w:r>
        <w:fldChar w:fldCharType="separate"/>
      </w:r>
      <w:r>
        <w:rPr>
          <w:rStyle w:val="12"/>
          <w:rFonts w:ascii="Arial" w:hAnsi="Arial" w:cs="Arial"/>
          <w:shd w:val="clear" w:color="auto" w:fill="FFFFFF"/>
          <w:lang w:val="en-GB"/>
        </w:rPr>
        <w:t>https://academic.oup.com/rcfs/article-abstract/11/4/849/6665905</w:t>
      </w:r>
      <w:r>
        <w:rPr>
          <w:rStyle w:val="12"/>
          <w:rFonts w:ascii="Arial" w:hAnsi="Arial" w:cs="Arial"/>
          <w:shd w:val="clear" w:color="auto" w:fill="FFFFFF"/>
          <w:lang w:val="en-GB"/>
        </w:rPr>
        <w:fldChar w:fldCharType="end"/>
      </w:r>
    </w:p>
    <w:p w14:paraId="3201802B">
      <w:pPr>
        <w:spacing w:after="240"/>
        <w:rPr>
          <w:rFonts w:ascii="Arial" w:hAnsi="Arial" w:cs="Arial"/>
          <w:lang w:val="en-GB"/>
        </w:rPr>
      </w:pPr>
      <w:r>
        <w:rPr>
          <w:rFonts w:ascii="Arial" w:hAnsi="Arial" w:cs="Arial"/>
          <w:color w:val="222222"/>
          <w:shd w:val="clear" w:color="auto" w:fill="FFFFFF"/>
          <w:lang w:val="en-GB"/>
        </w:rPr>
        <w:t>Seymour, J.M. and Schwarcz, S.L., (2021). Corporate restructuring under relative and absolute priority default rules: a comparative assessment. </w:t>
      </w:r>
      <w:r>
        <w:rPr>
          <w:rFonts w:ascii="Arial" w:hAnsi="Arial" w:cs="Arial"/>
          <w:i/>
          <w:iCs/>
          <w:color w:val="222222"/>
          <w:shd w:val="clear" w:color="auto" w:fill="FFFFFF"/>
          <w:lang w:val="en-GB"/>
        </w:rPr>
        <w:t>U. Ill. L. Rev.</w:t>
      </w:r>
      <w:r>
        <w:rPr>
          <w:rFonts w:ascii="Arial" w:hAnsi="Arial" w:cs="Arial"/>
          <w:color w:val="222222"/>
          <w:shd w:val="clear" w:color="auto" w:fill="FFFFFF"/>
          <w:lang w:val="en-GB"/>
        </w:rPr>
        <w:t xml:space="preserve">, p.1. </w:t>
      </w:r>
      <w:r>
        <w:fldChar w:fldCharType="begin"/>
      </w:r>
      <w:r>
        <w:instrText xml:space="preserve"> HYPERLINK "https://heinonline.org/hol-cgi-bin/get_pdf.cgi?handle=hein.journals/unilllr2021&amp;section=5" </w:instrText>
      </w:r>
      <w:r>
        <w:fldChar w:fldCharType="separate"/>
      </w:r>
      <w:r>
        <w:rPr>
          <w:rStyle w:val="12"/>
          <w:rFonts w:ascii="Arial" w:hAnsi="Arial" w:cs="Arial"/>
          <w:shd w:val="clear" w:color="auto" w:fill="FFFFFF"/>
          <w:lang w:val="en-GB"/>
        </w:rPr>
        <w:t>https://heinonline.org/hol-cgi-bin/get_pdf.cgi?handle=hein.journals/unilllr2021&amp;section=5</w:t>
      </w:r>
      <w:r>
        <w:rPr>
          <w:rStyle w:val="12"/>
          <w:rFonts w:ascii="Arial" w:hAnsi="Arial" w:cs="Arial"/>
          <w:shd w:val="clear" w:color="auto" w:fill="FFFFFF"/>
          <w:lang w:val="en-GB"/>
        </w:rPr>
        <w:fldChar w:fldCharType="end"/>
      </w:r>
    </w:p>
    <w:p w14:paraId="7E9EC816">
      <w:pPr>
        <w:spacing w:after="240"/>
        <w:rPr>
          <w:rFonts w:ascii="Arial" w:hAnsi="Arial" w:cs="Arial"/>
          <w:lang w:val="en-GB"/>
        </w:rPr>
      </w:pPr>
      <w:r>
        <w:rPr>
          <w:rFonts w:ascii="Arial" w:hAnsi="Arial" w:cs="Arial"/>
          <w:color w:val="222222"/>
          <w:shd w:val="clear" w:color="auto" w:fill="FFFFFF"/>
          <w:lang w:val="en-GB"/>
        </w:rPr>
        <w:t>Stef, N. and Bissieux, J.J., (2022). Resolution of corporate insolvency during COVID-19 pandemic. Evidence from France. </w:t>
      </w:r>
      <w:r>
        <w:rPr>
          <w:rFonts w:ascii="Arial" w:hAnsi="Arial" w:cs="Arial"/>
          <w:i/>
          <w:iCs/>
          <w:color w:val="222222"/>
          <w:shd w:val="clear" w:color="auto" w:fill="FFFFFF"/>
          <w:lang w:val="en-GB"/>
        </w:rPr>
        <w:t>International Review of law and Economics</w:t>
      </w:r>
      <w:r>
        <w:rPr>
          <w:rFonts w:ascii="Arial" w:hAnsi="Arial" w:cs="Arial"/>
          <w:color w:val="222222"/>
          <w:shd w:val="clear" w:color="auto" w:fill="FFFFFF"/>
          <w:lang w:val="en-GB"/>
        </w:rPr>
        <w:t>, </w:t>
      </w:r>
      <w:r>
        <w:rPr>
          <w:rFonts w:ascii="Arial" w:hAnsi="Arial" w:cs="Arial"/>
          <w:i/>
          <w:iCs/>
          <w:color w:val="222222"/>
          <w:shd w:val="clear" w:color="auto" w:fill="FFFFFF"/>
          <w:lang w:val="en-GB"/>
        </w:rPr>
        <w:t>70</w:t>
      </w:r>
      <w:r>
        <w:rPr>
          <w:rFonts w:ascii="Arial" w:hAnsi="Arial" w:cs="Arial"/>
          <w:color w:val="222222"/>
          <w:shd w:val="clear" w:color="auto" w:fill="FFFFFF"/>
          <w:lang w:val="en-GB"/>
        </w:rPr>
        <w:t xml:space="preserve">, p.106063. </w:t>
      </w:r>
      <w:r>
        <w:fldChar w:fldCharType="begin"/>
      </w:r>
      <w:r>
        <w:instrText xml:space="preserve"> HYPERLINK "https://www.sciencedirect.com/science/article/pii/S0144818822000199" </w:instrText>
      </w:r>
      <w:r>
        <w:fldChar w:fldCharType="separate"/>
      </w:r>
      <w:r>
        <w:rPr>
          <w:rStyle w:val="12"/>
          <w:rFonts w:ascii="Arial" w:hAnsi="Arial" w:cs="Arial"/>
          <w:shd w:val="clear" w:color="auto" w:fill="FFFFFF"/>
          <w:lang w:val="en-GB"/>
        </w:rPr>
        <w:t>https://www.sciencedirect.com/science/article/pii/S0144818822000199</w:t>
      </w:r>
      <w:r>
        <w:rPr>
          <w:rStyle w:val="12"/>
          <w:rFonts w:ascii="Arial" w:hAnsi="Arial" w:cs="Arial"/>
          <w:shd w:val="clear" w:color="auto" w:fill="FFFFFF"/>
          <w:lang w:val="en-GB"/>
        </w:rPr>
        <w:fldChar w:fldCharType="end"/>
      </w:r>
    </w:p>
    <w:p w14:paraId="2C6EE55C">
      <w:pPr>
        <w:spacing w:after="240"/>
        <w:rPr>
          <w:rFonts w:ascii="Arial" w:hAnsi="Arial" w:cs="Arial"/>
          <w:lang w:val="en-GB"/>
        </w:rPr>
      </w:pPr>
      <w:r>
        <w:rPr>
          <w:rFonts w:ascii="Arial" w:hAnsi="Arial" w:cs="Arial"/>
          <w:color w:val="222222"/>
          <w:shd w:val="clear" w:color="auto" w:fill="FFFFFF"/>
          <w:lang w:val="en-GB"/>
        </w:rPr>
        <w:t>Tirado, I., (2023). Corporate Restructuring Laws Under Stress: The Case of Spain. </w:t>
      </w:r>
      <w:r>
        <w:rPr>
          <w:rFonts w:ascii="Arial" w:hAnsi="Arial" w:cs="Arial"/>
          <w:i/>
          <w:iCs/>
          <w:color w:val="222222"/>
          <w:shd w:val="clear" w:color="auto" w:fill="FFFFFF"/>
          <w:lang w:val="en-GB"/>
        </w:rPr>
        <w:t>European Business Organization Law Review</w:t>
      </w:r>
      <w:r>
        <w:rPr>
          <w:rFonts w:ascii="Arial" w:hAnsi="Arial" w:cs="Arial"/>
          <w:color w:val="222222"/>
          <w:shd w:val="clear" w:color="auto" w:fill="FFFFFF"/>
          <w:lang w:val="en-GB"/>
        </w:rPr>
        <w:t>, </w:t>
      </w:r>
      <w:r>
        <w:rPr>
          <w:rFonts w:ascii="Arial" w:hAnsi="Arial" w:cs="Arial"/>
          <w:i/>
          <w:iCs/>
          <w:color w:val="222222"/>
          <w:shd w:val="clear" w:color="auto" w:fill="FFFFFF"/>
          <w:lang w:val="en-GB"/>
        </w:rPr>
        <w:t>24</w:t>
      </w:r>
      <w:r>
        <w:rPr>
          <w:rFonts w:ascii="Arial" w:hAnsi="Arial" w:cs="Arial"/>
          <w:color w:val="222222"/>
          <w:shd w:val="clear" w:color="auto" w:fill="FFFFFF"/>
          <w:lang w:val="en-GB"/>
        </w:rPr>
        <w:t xml:space="preserve">(2), pp.317-336. </w:t>
      </w:r>
      <w:r>
        <w:fldChar w:fldCharType="begin"/>
      </w:r>
      <w:r>
        <w:instrText xml:space="preserve"> HYPERLINK "https://link.springer.com/article/10.1007/s40804-023-00283-5" </w:instrText>
      </w:r>
      <w:r>
        <w:fldChar w:fldCharType="separate"/>
      </w:r>
      <w:r>
        <w:rPr>
          <w:rStyle w:val="12"/>
          <w:rFonts w:ascii="Arial" w:hAnsi="Arial" w:cs="Arial"/>
          <w:shd w:val="clear" w:color="auto" w:fill="FFFFFF"/>
          <w:lang w:val="en-GB"/>
        </w:rPr>
        <w:t>https://link.springer.com/article/10.1007/s40804-023-00283-5</w:t>
      </w:r>
      <w:r>
        <w:rPr>
          <w:rStyle w:val="12"/>
          <w:rFonts w:ascii="Arial" w:hAnsi="Arial" w:cs="Arial"/>
          <w:shd w:val="clear" w:color="auto" w:fill="FFFFFF"/>
          <w:lang w:val="en-GB"/>
        </w:rPr>
        <w:fldChar w:fldCharType="end"/>
      </w:r>
    </w:p>
    <w:p w14:paraId="3561CD85">
      <w:pPr>
        <w:spacing w:after="240"/>
        <w:rPr>
          <w:rFonts w:ascii="Arial" w:hAnsi="Arial" w:cs="Arial"/>
          <w:lang w:val="en-GB"/>
        </w:rPr>
      </w:pPr>
      <w:r>
        <w:rPr>
          <w:rFonts w:ascii="Arial" w:hAnsi="Arial" w:cs="Arial"/>
          <w:color w:val="222222"/>
          <w:shd w:val="clear" w:color="auto" w:fill="FFFFFF"/>
          <w:lang w:val="en-GB"/>
        </w:rPr>
        <w:t>Tsioli, L., (2021). Viability assessment in corporate debt restructuring: optimizing the filtration effect of the European Directive on restructuring and insolvency. </w:t>
      </w:r>
      <w:r>
        <w:rPr>
          <w:rFonts w:ascii="Arial" w:hAnsi="Arial" w:cs="Arial"/>
          <w:i/>
          <w:iCs/>
          <w:color w:val="222222"/>
          <w:shd w:val="clear" w:color="auto" w:fill="FFFFFF"/>
          <w:lang w:val="en-GB"/>
        </w:rPr>
        <w:t>Norton Journal of Bank</w:t>
      </w:r>
      <w:r>
        <w:rPr>
          <w:rFonts w:ascii="Arial" w:hAnsi="Arial" w:cs="Arial"/>
          <w:color w:val="222222"/>
          <w:shd w:val="clear" w:color="auto" w:fill="FFFFFF"/>
          <w:lang w:val="en-GB"/>
        </w:rPr>
        <w:t xml:space="preserve">, pp.397-447. </w:t>
      </w:r>
      <w:r>
        <w:fldChar w:fldCharType="begin"/>
      </w:r>
      <w:r>
        <w:instrText xml:space="preserve"> HYPERLINK "https://www.iiiglobal.org/file.cfm/12/docs/2021_optimising%20the%20filtration%20effect%20of%20the%20european%20directive%20on%20restructuring.pdf" </w:instrText>
      </w:r>
      <w:r>
        <w:fldChar w:fldCharType="separate"/>
      </w:r>
      <w:r>
        <w:rPr>
          <w:rStyle w:val="12"/>
          <w:rFonts w:ascii="Arial" w:hAnsi="Arial" w:cs="Arial"/>
          <w:shd w:val="clear" w:color="auto" w:fill="FFFFFF"/>
          <w:lang w:val="en-GB"/>
        </w:rPr>
        <w:t>https://www.iiiglobal.org/file.cfm/12/docs/2021_optimising%20the%20filtration%20effect%20of%20the%20european%20directive%20on%20restructuring.pdf</w:t>
      </w:r>
      <w:r>
        <w:rPr>
          <w:rStyle w:val="12"/>
          <w:rFonts w:ascii="Arial" w:hAnsi="Arial" w:cs="Arial"/>
          <w:shd w:val="clear" w:color="auto" w:fill="FFFFFF"/>
          <w:lang w:val="en-GB"/>
        </w:rPr>
        <w:fldChar w:fldCharType="end"/>
      </w:r>
    </w:p>
    <w:p w14:paraId="04162BA8">
      <w:pPr>
        <w:spacing w:after="240"/>
        <w:rPr>
          <w:rFonts w:ascii="Arial" w:hAnsi="Arial" w:cs="Arial"/>
          <w:lang w:val="en-GB"/>
        </w:rPr>
      </w:pPr>
      <w:r>
        <w:rPr>
          <w:rFonts w:ascii="Arial" w:hAnsi="Arial" w:cs="Arial"/>
          <w:color w:val="222222"/>
          <w:shd w:val="clear" w:color="auto" w:fill="FFFFFF"/>
          <w:lang w:val="en-GB"/>
        </w:rPr>
        <w:t>Umar, M.A., (2023). Corporate Restructuring: A strategy for improving organizational performance. </w:t>
      </w:r>
      <w:r>
        <w:rPr>
          <w:rFonts w:ascii="Arial" w:hAnsi="Arial" w:cs="Arial"/>
          <w:i/>
          <w:iCs/>
          <w:color w:val="222222"/>
          <w:shd w:val="clear" w:color="auto" w:fill="FFFFFF"/>
          <w:lang w:val="en-GB"/>
        </w:rPr>
        <w:t>International Journal of Strategic Decision Sciences (IJSDS)</w:t>
      </w:r>
      <w:r>
        <w:rPr>
          <w:rFonts w:ascii="Arial" w:hAnsi="Arial" w:cs="Arial"/>
          <w:color w:val="222222"/>
          <w:shd w:val="clear" w:color="auto" w:fill="FFFFFF"/>
          <w:lang w:val="en-GB"/>
        </w:rPr>
        <w:t>, </w:t>
      </w:r>
      <w:r>
        <w:rPr>
          <w:rFonts w:ascii="Arial" w:hAnsi="Arial" w:cs="Arial"/>
          <w:i/>
          <w:iCs/>
          <w:color w:val="222222"/>
          <w:shd w:val="clear" w:color="auto" w:fill="FFFFFF"/>
          <w:lang w:val="en-GB"/>
        </w:rPr>
        <w:t>14</w:t>
      </w:r>
      <w:r>
        <w:rPr>
          <w:rFonts w:ascii="Arial" w:hAnsi="Arial" w:cs="Arial"/>
          <w:color w:val="222222"/>
          <w:shd w:val="clear" w:color="auto" w:fill="FFFFFF"/>
          <w:lang w:val="en-GB"/>
        </w:rPr>
        <w:t xml:space="preserve">(1), pp.1-11. </w:t>
      </w:r>
      <w:r>
        <w:fldChar w:fldCharType="begin"/>
      </w:r>
      <w:r>
        <w:instrText xml:space="preserve"> HYPERLINK "https://www.igi-global.com/article/corporate-restructuring/319974" </w:instrText>
      </w:r>
      <w:r>
        <w:fldChar w:fldCharType="separate"/>
      </w:r>
      <w:r>
        <w:rPr>
          <w:rStyle w:val="12"/>
          <w:rFonts w:ascii="Arial" w:hAnsi="Arial" w:cs="Arial"/>
          <w:shd w:val="clear" w:color="auto" w:fill="FFFFFF"/>
          <w:lang w:val="en-GB"/>
        </w:rPr>
        <w:t>https://www.igi-global.com/article/corporate-restructuring/319974</w:t>
      </w:r>
      <w:r>
        <w:rPr>
          <w:rStyle w:val="12"/>
          <w:rFonts w:ascii="Arial" w:hAnsi="Arial" w:cs="Arial"/>
          <w:shd w:val="clear" w:color="auto" w:fill="FFFFFF"/>
          <w:lang w:val="en-GB"/>
        </w:rPr>
        <w:fldChar w:fldCharType="end"/>
      </w:r>
    </w:p>
    <w:p w14:paraId="61957251">
      <w:pPr>
        <w:spacing w:after="240"/>
        <w:rPr>
          <w:rFonts w:ascii="Arial" w:hAnsi="Arial" w:cs="Arial"/>
          <w:lang w:val="en-GB"/>
        </w:rPr>
      </w:pPr>
      <w:r>
        <w:rPr>
          <w:rFonts w:ascii="Arial" w:hAnsi="Arial" w:cs="Arial"/>
          <w:color w:val="222222"/>
          <w:shd w:val="clear" w:color="auto" w:fill="FFFFFF"/>
          <w:lang w:val="en-GB"/>
        </w:rPr>
        <w:t>Widiyastuti, I., Rahayu, A., Wibowo, L.A. and Dirgantari, P.D., (2025). Corporate restructuring for firm performance improvement: The strategic role of digital transformation and digital human capital. </w:t>
      </w:r>
      <w:r>
        <w:rPr>
          <w:rFonts w:ascii="Arial" w:hAnsi="Arial" w:cs="Arial"/>
          <w:i/>
          <w:iCs/>
          <w:color w:val="222222"/>
          <w:shd w:val="clear" w:color="auto" w:fill="FFFFFF"/>
          <w:lang w:val="en-GB"/>
        </w:rPr>
        <w:t>Diponegoro International Journal of Business</w:t>
      </w:r>
      <w:r>
        <w:rPr>
          <w:rFonts w:ascii="Arial" w:hAnsi="Arial" w:cs="Arial"/>
          <w:color w:val="222222"/>
          <w:shd w:val="clear" w:color="auto" w:fill="FFFFFF"/>
          <w:lang w:val="en-GB"/>
        </w:rPr>
        <w:t>, </w:t>
      </w:r>
      <w:r>
        <w:rPr>
          <w:rFonts w:ascii="Arial" w:hAnsi="Arial" w:cs="Arial"/>
          <w:i/>
          <w:iCs/>
          <w:color w:val="222222"/>
          <w:shd w:val="clear" w:color="auto" w:fill="FFFFFF"/>
          <w:lang w:val="en-GB"/>
        </w:rPr>
        <w:t>8</w:t>
      </w:r>
      <w:r>
        <w:rPr>
          <w:rFonts w:ascii="Arial" w:hAnsi="Arial" w:cs="Arial"/>
          <w:color w:val="222222"/>
          <w:shd w:val="clear" w:color="auto" w:fill="FFFFFF"/>
          <w:lang w:val="en-GB"/>
        </w:rPr>
        <w:t xml:space="preserve">(1), pp.63-75. </w:t>
      </w:r>
      <w:r>
        <w:fldChar w:fldCharType="begin"/>
      </w:r>
      <w:r>
        <w:instrText xml:space="preserve"> HYPERLINK "https://ejournal2.undip.ac.id/index.php/ijb/article/view/25776" </w:instrText>
      </w:r>
      <w:r>
        <w:fldChar w:fldCharType="separate"/>
      </w:r>
      <w:r>
        <w:rPr>
          <w:rStyle w:val="12"/>
          <w:rFonts w:ascii="Arial" w:hAnsi="Arial" w:cs="Arial"/>
          <w:shd w:val="clear" w:color="auto" w:fill="FFFFFF"/>
          <w:lang w:val="en-GB"/>
        </w:rPr>
        <w:t>https://ejournal2.undip.ac.id/index.php/ijb/article/view/25776</w:t>
      </w:r>
      <w:r>
        <w:rPr>
          <w:rStyle w:val="12"/>
          <w:rFonts w:ascii="Arial" w:hAnsi="Arial" w:cs="Arial"/>
          <w:shd w:val="clear" w:color="auto" w:fill="FFFFFF"/>
          <w:lang w:val="en-GB"/>
        </w:rPr>
        <w:fldChar w:fldCharType="end"/>
      </w:r>
    </w:p>
    <w:p w14:paraId="3D4F86A9">
      <w:pPr>
        <w:spacing w:after="240"/>
        <w:rPr>
          <w:rFonts w:ascii="Arial" w:hAnsi="Arial" w:cs="Arial"/>
          <w:lang w:val="en-GB"/>
        </w:rPr>
      </w:pPr>
      <w:r>
        <w:rPr>
          <w:rFonts w:ascii="Arial" w:hAnsi="Arial" w:cs="Arial"/>
          <w:color w:val="222222"/>
          <w:shd w:val="clear" w:color="auto" w:fill="FFFFFF"/>
          <w:lang w:val="en-GB"/>
        </w:rPr>
        <w:t>Zhang, Y., (2024), October. A Case Study on Corporate Debt Restructuring of Luckin Coffee. In </w:t>
      </w:r>
      <w:r>
        <w:rPr>
          <w:rFonts w:ascii="Arial" w:hAnsi="Arial" w:cs="Arial"/>
          <w:i/>
          <w:iCs/>
          <w:color w:val="222222"/>
          <w:shd w:val="clear" w:color="auto" w:fill="FFFFFF"/>
          <w:lang w:val="en-GB"/>
        </w:rPr>
        <w:t>2024 3rd International Conference on Economics, Smart Finance and Contemporary Trade (ESFCT 2024)</w:t>
      </w:r>
      <w:r>
        <w:rPr>
          <w:rFonts w:ascii="Arial" w:hAnsi="Arial" w:cs="Arial"/>
          <w:color w:val="222222"/>
          <w:shd w:val="clear" w:color="auto" w:fill="FFFFFF"/>
          <w:lang w:val="en-GB"/>
        </w:rPr>
        <w:t xml:space="preserve"> (pp. 284-291). Atlantis Press. </w:t>
      </w:r>
      <w:r>
        <w:fldChar w:fldCharType="begin"/>
      </w:r>
      <w:r>
        <w:instrText xml:space="preserve"> HYPERLINK "https://www.atlantis-press.com/proceedings/esfct-24/126004312" </w:instrText>
      </w:r>
      <w:r>
        <w:fldChar w:fldCharType="separate"/>
      </w:r>
      <w:r>
        <w:rPr>
          <w:rStyle w:val="12"/>
          <w:rFonts w:ascii="Arial" w:hAnsi="Arial" w:cs="Arial"/>
          <w:shd w:val="clear" w:color="auto" w:fill="FFFFFF"/>
          <w:lang w:val="en-GB"/>
        </w:rPr>
        <w:t>https://www.atlantis-press.com/proceedings/esfct-24/126004312</w:t>
      </w:r>
      <w:r>
        <w:rPr>
          <w:rStyle w:val="12"/>
          <w:rFonts w:ascii="Arial" w:hAnsi="Arial" w:cs="Arial"/>
          <w:shd w:val="clear" w:color="auto" w:fill="FFFFFF"/>
          <w:lang w:val="en-GB"/>
        </w:rPr>
        <w:fldChar w:fldCharType="end"/>
      </w:r>
      <w:r>
        <w:rPr>
          <w:rFonts w:ascii="Arial" w:hAnsi="Arial" w:cs="Arial"/>
          <w:lang w:val="en-GB"/>
        </w:rPr>
        <w:br w:type="page"/>
      </w:r>
    </w:p>
    <w:p w14:paraId="2EEDD730">
      <w:pPr>
        <w:pStyle w:val="2"/>
        <w:rPr>
          <w:rFonts w:ascii="Arial" w:hAnsi="Arial" w:cs="Arial"/>
          <w:lang w:val="en-GB"/>
        </w:rPr>
      </w:pPr>
      <w:bookmarkStart w:id="85" w:name="_cbv0cop6ej6g" w:colFirst="0" w:colLast="0"/>
      <w:bookmarkEnd w:id="85"/>
      <w:bookmarkStart w:id="86" w:name="_Toc216438066"/>
      <w:r>
        <w:rPr>
          <w:rFonts w:ascii="Arial" w:hAnsi="Arial" w:cs="Arial"/>
          <w:lang w:val="en-GB"/>
        </w:rPr>
        <w:t>Appendices</w:t>
      </w:r>
      <w:bookmarkEnd w:id="86"/>
    </w:p>
    <w:p w14:paraId="75652573">
      <w:pPr>
        <w:pStyle w:val="3"/>
        <w:rPr>
          <w:rFonts w:ascii="Arial" w:hAnsi="Arial" w:cs="Arial"/>
          <w:lang w:val="en-GB"/>
        </w:rPr>
      </w:pPr>
      <w:bookmarkStart w:id="87" w:name="_plq5l0lk2k6n" w:colFirst="0" w:colLast="0"/>
      <w:bookmarkEnd w:id="87"/>
      <w:bookmarkStart w:id="88" w:name="_Toc216438067"/>
      <w:r>
        <w:rPr>
          <w:rFonts w:ascii="Arial" w:hAnsi="Arial" w:cs="Arial"/>
          <w:lang w:val="en-GB"/>
        </w:rPr>
        <w:t>Appendix 1: Raw Data</w:t>
      </w:r>
      <w:bookmarkEnd w:id="88"/>
    </w:p>
    <w:tbl>
      <w:tblPr>
        <w:tblStyle w:val="15"/>
        <w:tblW w:w="857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485"/>
        <w:gridCol w:w="1017"/>
        <w:gridCol w:w="1017"/>
        <w:gridCol w:w="1017"/>
        <w:gridCol w:w="1017"/>
        <w:gridCol w:w="1017"/>
      </w:tblGrid>
      <w:tr w14:paraId="16D451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35" w:hRule="atLeast"/>
        </w:trPr>
        <w:tc>
          <w:tcPr>
            <w:tcW w:w="3485" w:type="dxa"/>
            <w:noWrap/>
          </w:tcPr>
          <w:p w14:paraId="7263A6C3">
            <w:pPr>
              <w:spacing w:line="360" w:lineRule="auto"/>
              <w:jc w:val="left"/>
              <w:rPr>
                <w:rFonts w:ascii="Arial" w:hAnsi="Arial" w:cs="Arial"/>
                <w:b/>
                <w:bCs/>
                <w:color w:val="000000"/>
                <w:lang w:val="en-IN" w:eastAsia="en-IN"/>
              </w:rPr>
            </w:pPr>
            <w:r>
              <w:rPr>
                <w:rFonts w:ascii="Arial" w:hAnsi="Arial" w:cs="Arial"/>
                <w:b/>
                <w:bCs/>
                <w:color w:val="000000"/>
                <w:lang w:val="en-IN" w:eastAsia="en-IN"/>
              </w:rPr>
              <w:t>Metric</w:t>
            </w:r>
          </w:p>
        </w:tc>
        <w:tc>
          <w:tcPr>
            <w:tcW w:w="1017" w:type="dxa"/>
            <w:noWrap/>
          </w:tcPr>
          <w:p w14:paraId="74018252">
            <w:pPr>
              <w:spacing w:line="360" w:lineRule="auto"/>
              <w:jc w:val="left"/>
              <w:rPr>
                <w:rFonts w:ascii="Arial" w:hAnsi="Arial" w:cs="Arial"/>
                <w:b/>
                <w:bCs/>
                <w:color w:val="000000"/>
                <w:lang w:val="en-IN" w:eastAsia="en-IN"/>
              </w:rPr>
            </w:pPr>
            <w:r>
              <w:rPr>
                <w:rFonts w:ascii="Arial" w:hAnsi="Arial" w:cs="Arial"/>
                <w:b/>
                <w:bCs/>
                <w:color w:val="000000"/>
                <w:lang w:val="en-IN" w:eastAsia="en-IN"/>
              </w:rPr>
              <w:t>2024</w:t>
            </w:r>
          </w:p>
        </w:tc>
        <w:tc>
          <w:tcPr>
            <w:tcW w:w="1017" w:type="dxa"/>
            <w:noWrap/>
          </w:tcPr>
          <w:p w14:paraId="78F16AD0">
            <w:pPr>
              <w:spacing w:line="360" w:lineRule="auto"/>
              <w:jc w:val="left"/>
              <w:rPr>
                <w:rFonts w:ascii="Arial" w:hAnsi="Arial" w:cs="Arial"/>
                <w:b/>
                <w:bCs/>
                <w:color w:val="000000"/>
                <w:lang w:val="en-IN" w:eastAsia="en-IN"/>
              </w:rPr>
            </w:pPr>
            <w:r>
              <w:rPr>
                <w:rFonts w:ascii="Arial" w:hAnsi="Arial" w:cs="Arial"/>
                <w:b/>
                <w:bCs/>
                <w:color w:val="000000"/>
                <w:lang w:val="en-IN" w:eastAsia="en-IN"/>
              </w:rPr>
              <w:t>2023</w:t>
            </w:r>
          </w:p>
        </w:tc>
        <w:tc>
          <w:tcPr>
            <w:tcW w:w="1017" w:type="dxa"/>
            <w:noWrap/>
          </w:tcPr>
          <w:p w14:paraId="609BA479">
            <w:pPr>
              <w:spacing w:line="360" w:lineRule="auto"/>
              <w:jc w:val="left"/>
              <w:rPr>
                <w:rFonts w:ascii="Arial" w:hAnsi="Arial" w:cs="Arial"/>
                <w:b/>
                <w:bCs/>
                <w:color w:val="000000"/>
                <w:lang w:val="en-IN" w:eastAsia="en-IN"/>
              </w:rPr>
            </w:pPr>
            <w:r>
              <w:rPr>
                <w:rFonts w:ascii="Arial" w:hAnsi="Arial" w:cs="Arial"/>
                <w:b/>
                <w:bCs/>
                <w:color w:val="000000"/>
                <w:lang w:val="en-IN" w:eastAsia="en-IN"/>
              </w:rPr>
              <w:t>2022</w:t>
            </w:r>
          </w:p>
        </w:tc>
        <w:tc>
          <w:tcPr>
            <w:tcW w:w="1017" w:type="dxa"/>
            <w:noWrap/>
          </w:tcPr>
          <w:p w14:paraId="4E0199FC">
            <w:pPr>
              <w:spacing w:line="360" w:lineRule="auto"/>
              <w:jc w:val="left"/>
              <w:rPr>
                <w:rFonts w:ascii="Arial" w:hAnsi="Arial" w:cs="Arial"/>
                <w:b/>
                <w:bCs/>
                <w:color w:val="000000"/>
                <w:lang w:val="en-IN" w:eastAsia="en-IN"/>
              </w:rPr>
            </w:pPr>
            <w:r>
              <w:rPr>
                <w:rFonts w:ascii="Arial" w:hAnsi="Arial" w:cs="Arial"/>
                <w:b/>
                <w:bCs/>
                <w:color w:val="000000"/>
                <w:lang w:val="en-IN" w:eastAsia="en-IN"/>
              </w:rPr>
              <w:t>2021</w:t>
            </w:r>
          </w:p>
        </w:tc>
        <w:tc>
          <w:tcPr>
            <w:tcW w:w="1017" w:type="dxa"/>
            <w:noWrap/>
          </w:tcPr>
          <w:p w14:paraId="2E7D4532">
            <w:pPr>
              <w:spacing w:line="360" w:lineRule="auto"/>
              <w:jc w:val="left"/>
              <w:rPr>
                <w:rFonts w:ascii="Arial" w:hAnsi="Arial" w:cs="Arial"/>
                <w:b/>
                <w:bCs/>
                <w:color w:val="000000"/>
                <w:lang w:val="en-IN" w:eastAsia="en-IN"/>
              </w:rPr>
            </w:pPr>
            <w:r>
              <w:rPr>
                <w:rFonts w:ascii="Arial" w:hAnsi="Arial" w:cs="Arial"/>
                <w:b/>
                <w:bCs/>
                <w:color w:val="000000"/>
                <w:lang w:val="en-IN" w:eastAsia="en-IN"/>
              </w:rPr>
              <w:t>2020</w:t>
            </w:r>
          </w:p>
        </w:tc>
      </w:tr>
      <w:tr w14:paraId="3863EC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6A3B0629">
            <w:pPr>
              <w:spacing w:line="360" w:lineRule="auto"/>
              <w:jc w:val="left"/>
              <w:rPr>
                <w:rFonts w:ascii="Arial" w:hAnsi="Arial" w:cs="Arial"/>
                <w:color w:val="000000"/>
                <w:lang w:val="en-IN" w:eastAsia="en-IN"/>
              </w:rPr>
            </w:pPr>
            <w:r>
              <w:rPr>
                <w:rFonts w:ascii="Arial" w:hAnsi="Arial" w:cs="Arial"/>
                <w:color w:val="000000"/>
                <w:lang w:val="en-IN" w:eastAsia="en-IN"/>
              </w:rPr>
              <w:t>Net Sales</w:t>
            </w:r>
          </w:p>
        </w:tc>
        <w:tc>
          <w:tcPr>
            <w:tcW w:w="1017" w:type="dxa"/>
            <w:noWrap/>
          </w:tcPr>
          <w:p w14:paraId="7568326D">
            <w:pPr>
              <w:spacing w:line="360" w:lineRule="auto"/>
              <w:jc w:val="right"/>
              <w:rPr>
                <w:rFonts w:ascii="Arial" w:hAnsi="Arial" w:cs="Arial"/>
                <w:color w:val="000000"/>
                <w:lang w:val="en-IN" w:eastAsia="en-IN"/>
              </w:rPr>
            </w:pPr>
            <w:r>
              <w:rPr>
                <w:rFonts w:ascii="Arial" w:hAnsi="Arial" w:cs="Arial"/>
                <w:color w:val="000000"/>
                <w:lang w:val="en-IN" w:eastAsia="en-IN"/>
              </w:rPr>
              <w:t>394879</w:t>
            </w:r>
          </w:p>
        </w:tc>
        <w:tc>
          <w:tcPr>
            <w:tcW w:w="1017" w:type="dxa"/>
            <w:noWrap/>
          </w:tcPr>
          <w:p w14:paraId="39637024">
            <w:pPr>
              <w:spacing w:line="360" w:lineRule="auto"/>
              <w:jc w:val="right"/>
              <w:rPr>
                <w:rFonts w:ascii="Arial" w:hAnsi="Arial" w:cs="Arial"/>
                <w:color w:val="000000"/>
                <w:lang w:val="en-IN" w:eastAsia="en-IN"/>
              </w:rPr>
            </w:pPr>
            <w:r>
              <w:rPr>
                <w:rFonts w:ascii="Arial" w:hAnsi="Arial" w:cs="Arial"/>
                <w:color w:val="000000"/>
                <w:lang w:val="en-IN" w:eastAsia="en-IN"/>
              </w:rPr>
              <w:t>420457</w:t>
            </w:r>
          </w:p>
        </w:tc>
        <w:tc>
          <w:tcPr>
            <w:tcW w:w="1017" w:type="dxa"/>
            <w:noWrap/>
          </w:tcPr>
          <w:p w14:paraId="36D1E853">
            <w:pPr>
              <w:spacing w:line="360" w:lineRule="auto"/>
              <w:jc w:val="right"/>
              <w:rPr>
                <w:rFonts w:ascii="Arial" w:hAnsi="Arial" w:cs="Arial"/>
                <w:color w:val="000000"/>
                <w:lang w:val="en-IN" w:eastAsia="en-IN"/>
              </w:rPr>
            </w:pPr>
            <w:r>
              <w:rPr>
                <w:rFonts w:ascii="Arial" w:hAnsi="Arial" w:cs="Arial"/>
                <w:color w:val="000000"/>
                <w:lang w:val="en-IN" w:eastAsia="en-IN"/>
              </w:rPr>
              <w:t>542751</w:t>
            </w:r>
          </w:p>
        </w:tc>
        <w:tc>
          <w:tcPr>
            <w:tcW w:w="1017" w:type="dxa"/>
            <w:noWrap/>
          </w:tcPr>
          <w:p w14:paraId="2DCA8A6D">
            <w:pPr>
              <w:spacing w:line="360" w:lineRule="auto"/>
              <w:jc w:val="right"/>
              <w:rPr>
                <w:rFonts w:ascii="Arial" w:hAnsi="Arial" w:cs="Arial"/>
                <w:color w:val="000000"/>
                <w:lang w:val="en-IN" w:eastAsia="en-IN"/>
              </w:rPr>
            </w:pPr>
            <w:r>
              <w:rPr>
                <w:rFonts w:ascii="Arial" w:hAnsi="Arial" w:cs="Arial"/>
                <w:color w:val="000000"/>
                <w:lang w:val="en-IN" w:eastAsia="en-IN"/>
              </w:rPr>
              <w:t>601602</w:t>
            </w:r>
          </w:p>
        </w:tc>
        <w:tc>
          <w:tcPr>
            <w:tcW w:w="1017" w:type="dxa"/>
            <w:noWrap/>
          </w:tcPr>
          <w:p w14:paraId="4E2D3C02">
            <w:pPr>
              <w:spacing w:line="360" w:lineRule="auto"/>
              <w:jc w:val="right"/>
              <w:rPr>
                <w:rFonts w:ascii="Arial" w:hAnsi="Arial" w:cs="Arial"/>
                <w:color w:val="000000"/>
                <w:lang w:val="en-IN" w:eastAsia="en-IN"/>
              </w:rPr>
            </w:pPr>
            <w:r>
              <w:rPr>
                <w:rFonts w:ascii="Arial" w:hAnsi="Arial" w:cs="Arial"/>
                <w:color w:val="000000"/>
                <w:lang w:val="en-IN" w:eastAsia="en-IN"/>
              </w:rPr>
              <w:t>614680</w:t>
            </w:r>
          </w:p>
        </w:tc>
      </w:tr>
      <w:tr w14:paraId="0DFC80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6C6EE114">
            <w:pPr>
              <w:spacing w:line="360" w:lineRule="auto"/>
              <w:jc w:val="left"/>
              <w:rPr>
                <w:rFonts w:ascii="Arial" w:hAnsi="Arial" w:cs="Arial"/>
                <w:color w:val="000000"/>
                <w:lang w:val="en-IN" w:eastAsia="en-IN"/>
              </w:rPr>
            </w:pPr>
            <w:r>
              <w:rPr>
                <w:rFonts w:ascii="Arial" w:hAnsi="Arial" w:cs="Arial"/>
                <w:color w:val="000000"/>
                <w:lang w:val="en-IN" w:eastAsia="en-IN"/>
              </w:rPr>
              <w:t>Gross Profit</w:t>
            </w:r>
          </w:p>
        </w:tc>
        <w:tc>
          <w:tcPr>
            <w:tcW w:w="1017" w:type="dxa"/>
            <w:noWrap/>
          </w:tcPr>
          <w:p w14:paraId="74BDB8CB">
            <w:pPr>
              <w:spacing w:line="360" w:lineRule="auto"/>
              <w:jc w:val="right"/>
              <w:rPr>
                <w:rFonts w:ascii="Arial" w:hAnsi="Arial" w:cs="Arial"/>
                <w:color w:val="000000"/>
                <w:lang w:val="en-IN" w:eastAsia="en-IN"/>
              </w:rPr>
            </w:pPr>
            <w:r>
              <w:rPr>
                <w:rFonts w:ascii="Arial" w:hAnsi="Arial" w:cs="Arial"/>
                <w:color w:val="000000"/>
                <w:lang w:val="en-IN" w:eastAsia="en-IN"/>
              </w:rPr>
              <w:t>113994</w:t>
            </w:r>
          </w:p>
        </w:tc>
        <w:tc>
          <w:tcPr>
            <w:tcW w:w="1017" w:type="dxa"/>
            <w:noWrap/>
          </w:tcPr>
          <w:p w14:paraId="2D673FC1">
            <w:pPr>
              <w:spacing w:line="360" w:lineRule="auto"/>
              <w:jc w:val="right"/>
              <w:rPr>
                <w:rFonts w:ascii="Arial" w:hAnsi="Arial" w:cs="Arial"/>
                <w:color w:val="000000"/>
                <w:lang w:val="en-IN" w:eastAsia="en-IN"/>
              </w:rPr>
            </w:pPr>
            <w:r>
              <w:rPr>
                <w:rFonts w:ascii="Arial" w:hAnsi="Arial" w:cs="Arial"/>
                <w:color w:val="000000"/>
                <w:lang w:val="en-IN" w:eastAsia="en-IN"/>
              </w:rPr>
              <w:t>97560</w:t>
            </w:r>
          </w:p>
        </w:tc>
        <w:tc>
          <w:tcPr>
            <w:tcW w:w="1017" w:type="dxa"/>
            <w:noWrap/>
          </w:tcPr>
          <w:p w14:paraId="6D059A44">
            <w:pPr>
              <w:spacing w:line="360" w:lineRule="auto"/>
              <w:jc w:val="right"/>
              <w:rPr>
                <w:rFonts w:ascii="Arial" w:hAnsi="Arial" w:cs="Arial"/>
                <w:color w:val="000000"/>
                <w:lang w:val="en-IN" w:eastAsia="en-IN"/>
              </w:rPr>
            </w:pPr>
            <w:r>
              <w:rPr>
                <w:rFonts w:ascii="Arial" w:hAnsi="Arial" w:cs="Arial"/>
                <w:color w:val="000000"/>
                <w:lang w:val="en-IN" w:eastAsia="en-IN"/>
              </w:rPr>
              <w:t>152292</w:t>
            </w:r>
          </w:p>
        </w:tc>
        <w:tc>
          <w:tcPr>
            <w:tcW w:w="1017" w:type="dxa"/>
            <w:noWrap/>
          </w:tcPr>
          <w:p w14:paraId="0AFC03AA">
            <w:pPr>
              <w:spacing w:line="360" w:lineRule="auto"/>
              <w:jc w:val="right"/>
              <w:rPr>
                <w:rFonts w:ascii="Arial" w:hAnsi="Arial" w:cs="Arial"/>
                <w:color w:val="000000"/>
                <w:lang w:val="en-IN" w:eastAsia="en-IN"/>
              </w:rPr>
            </w:pPr>
            <w:r>
              <w:rPr>
                <w:rFonts w:ascii="Arial" w:hAnsi="Arial" w:cs="Arial"/>
                <w:color w:val="000000"/>
                <w:lang w:val="en-IN" w:eastAsia="en-IN"/>
              </w:rPr>
              <w:t>173016</w:t>
            </w:r>
          </w:p>
        </w:tc>
        <w:tc>
          <w:tcPr>
            <w:tcW w:w="1017" w:type="dxa"/>
            <w:noWrap/>
          </w:tcPr>
          <w:p w14:paraId="01254609">
            <w:pPr>
              <w:spacing w:line="360" w:lineRule="auto"/>
              <w:jc w:val="right"/>
              <w:rPr>
                <w:rFonts w:ascii="Arial" w:hAnsi="Arial" w:cs="Arial"/>
                <w:color w:val="000000"/>
                <w:lang w:val="en-IN" w:eastAsia="en-IN"/>
              </w:rPr>
            </w:pPr>
            <w:r>
              <w:rPr>
                <w:rFonts w:ascii="Arial" w:hAnsi="Arial" w:cs="Arial"/>
                <w:color w:val="000000"/>
                <w:lang w:val="en-IN" w:eastAsia="en-IN"/>
              </w:rPr>
              <w:t>176256</w:t>
            </w:r>
          </w:p>
        </w:tc>
      </w:tr>
      <w:tr w14:paraId="08961F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2AD5595D">
            <w:pPr>
              <w:spacing w:line="360" w:lineRule="auto"/>
              <w:jc w:val="left"/>
              <w:rPr>
                <w:rFonts w:ascii="Arial" w:hAnsi="Arial" w:cs="Arial"/>
                <w:color w:val="000000"/>
                <w:lang w:val="en-IN" w:eastAsia="en-IN"/>
              </w:rPr>
            </w:pPr>
            <w:r>
              <w:rPr>
                <w:rFonts w:ascii="Arial" w:hAnsi="Arial" w:cs="Arial"/>
                <w:color w:val="000000"/>
                <w:lang w:val="en-IN" w:eastAsia="en-IN"/>
              </w:rPr>
              <w:t>Operating Income</w:t>
            </w:r>
          </w:p>
        </w:tc>
        <w:tc>
          <w:tcPr>
            <w:tcW w:w="1017" w:type="dxa"/>
            <w:noWrap/>
          </w:tcPr>
          <w:p w14:paraId="55D20124">
            <w:pPr>
              <w:spacing w:line="360" w:lineRule="auto"/>
              <w:jc w:val="right"/>
              <w:rPr>
                <w:rFonts w:ascii="Arial" w:hAnsi="Arial" w:cs="Arial"/>
                <w:color w:val="000000"/>
                <w:lang w:val="en-IN" w:eastAsia="en-IN"/>
              </w:rPr>
            </w:pPr>
            <w:r>
              <w:rPr>
                <w:rFonts w:ascii="Arial" w:hAnsi="Arial" w:cs="Arial"/>
                <w:color w:val="000000"/>
                <w:lang w:val="en-IN" w:eastAsia="en-IN"/>
              </w:rPr>
              <w:t>-15297</w:t>
            </w:r>
          </w:p>
        </w:tc>
        <w:tc>
          <w:tcPr>
            <w:tcW w:w="1017" w:type="dxa"/>
            <w:noWrap/>
          </w:tcPr>
          <w:p w14:paraId="748294AF">
            <w:pPr>
              <w:spacing w:line="360" w:lineRule="auto"/>
              <w:jc w:val="right"/>
              <w:rPr>
                <w:rFonts w:ascii="Arial" w:hAnsi="Arial" w:cs="Arial"/>
                <w:color w:val="000000"/>
                <w:lang w:val="en-IN" w:eastAsia="en-IN"/>
              </w:rPr>
            </w:pPr>
            <w:r>
              <w:rPr>
                <w:rFonts w:ascii="Arial" w:hAnsi="Arial" w:cs="Arial"/>
                <w:color w:val="000000"/>
                <w:lang w:val="en-IN" w:eastAsia="en-IN"/>
              </w:rPr>
              <w:t>-85301</w:t>
            </w:r>
          </w:p>
        </w:tc>
        <w:tc>
          <w:tcPr>
            <w:tcW w:w="1017" w:type="dxa"/>
            <w:noWrap/>
          </w:tcPr>
          <w:p w14:paraId="508EF48F">
            <w:pPr>
              <w:spacing w:line="360" w:lineRule="auto"/>
              <w:jc w:val="right"/>
              <w:rPr>
                <w:rFonts w:ascii="Arial" w:hAnsi="Arial" w:cs="Arial"/>
                <w:color w:val="000000"/>
                <w:lang w:val="en-IN" w:eastAsia="en-IN"/>
              </w:rPr>
            </w:pPr>
            <w:r>
              <w:rPr>
                <w:rFonts w:ascii="Arial" w:hAnsi="Arial" w:cs="Arial"/>
                <w:color w:val="000000"/>
                <w:lang w:val="en-IN" w:eastAsia="en-IN"/>
              </w:rPr>
              <w:t>14548</w:t>
            </w:r>
          </w:p>
        </w:tc>
        <w:tc>
          <w:tcPr>
            <w:tcW w:w="1017" w:type="dxa"/>
            <w:noWrap/>
          </w:tcPr>
          <w:p w14:paraId="1748FCE0">
            <w:pPr>
              <w:spacing w:line="360" w:lineRule="auto"/>
              <w:jc w:val="right"/>
              <w:rPr>
                <w:rFonts w:ascii="Arial" w:hAnsi="Arial" w:cs="Arial"/>
                <w:color w:val="000000"/>
                <w:lang w:val="en-IN" w:eastAsia="en-IN"/>
              </w:rPr>
            </w:pPr>
            <w:r>
              <w:rPr>
                <w:rFonts w:ascii="Arial" w:hAnsi="Arial" w:cs="Arial"/>
                <w:color w:val="000000"/>
                <w:lang w:val="en-IN" w:eastAsia="en-IN"/>
              </w:rPr>
              <w:t>23253</w:t>
            </w:r>
          </w:p>
        </w:tc>
        <w:tc>
          <w:tcPr>
            <w:tcW w:w="1017" w:type="dxa"/>
            <w:noWrap/>
          </w:tcPr>
          <w:p w14:paraId="6619D891">
            <w:pPr>
              <w:spacing w:line="360" w:lineRule="auto"/>
              <w:jc w:val="right"/>
              <w:rPr>
                <w:rFonts w:ascii="Arial" w:hAnsi="Arial" w:cs="Arial"/>
                <w:color w:val="000000"/>
                <w:lang w:val="en-IN" w:eastAsia="en-IN"/>
              </w:rPr>
            </w:pPr>
            <w:r>
              <w:rPr>
                <w:rFonts w:ascii="Arial" w:hAnsi="Arial" w:cs="Arial"/>
                <w:color w:val="000000"/>
                <w:lang w:val="en-IN" w:eastAsia="en-IN"/>
              </w:rPr>
              <w:t>37267</w:t>
            </w:r>
          </w:p>
        </w:tc>
      </w:tr>
      <w:tr w14:paraId="31E57D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024514C8">
            <w:pPr>
              <w:spacing w:line="360" w:lineRule="auto"/>
              <w:jc w:val="left"/>
              <w:rPr>
                <w:rFonts w:ascii="Arial" w:hAnsi="Arial" w:cs="Arial"/>
                <w:color w:val="000000"/>
                <w:lang w:val="en-IN" w:eastAsia="en-IN"/>
              </w:rPr>
            </w:pPr>
            <w:r>
              <w:rPr>
                <w:rFonts w:ascii="Arial" w:hAnsi="Arial" w:cs="Arial"/>
                <w:color w:val="000000"/>
                <w:lang w:val="en-IN" w:eastAsia="en-IN"/>
              </w:rPr>
              <w:t>Net Income</w:t>
            </w:r>
          </w:p>
        </w:tc>
        <w:tc>
          <w:tcPr>
            <w:tcW w:w="1017" w:type="dxa"/>
            <w:noWrap/>
          </w:tcPr>
          <w:p w14:paraId="2F3AE4BF">
            <w:pPr>
              <w:spacing w:line="360" w:lineRule="auto"/>
              <w:jc w:val="right"/>
              <w:rPr>
                <w:rFonts w:ascii="Arial" w:hAnsi="Arial" w:cs="Arial"/>
                <w:color w:val="000000"/>
                <w:lang w:val="en-IN" w:eastAsia="en-IN"/>
              </w:rPr>
            </w:pPr>
            <w:r>
              <w:rPr>
                <w:rFonts w:ascii="Arial" w:hAnsi="Arial" w:cs="Arial"/>
                <w:color w:val="000000"/>
                <w:lang w:val="en-IN" w:eastAsia="en-IN"/>
              </w:rPr>
              <w:t>-24029</w:t>
            </w:r>
          </w:p>
        </w:tc>
        <w:tc>
          <w:tcPr>
            <w:tcW w:w="1017" w:type="dxa"/>
            <w:noWrap/>
          </w:tcPr>
          <w:p w14:paraId="01662DB0">
            <w:pPr>
              <w:spacing w:line="360" w:lineRule="auto"/>
              <w:jc w:val="right"/>
              <w:rPr>
                <w:rFonts w:ascii="Arial" w:hAnsi="Arial" w:cs="Arial"/>
                <w:color w:val="000000"/>
                <w:lang w:val="en-IN" w:eastAsia="en-IN"/>
              </w:rPr>
            </w:pPr>
            <w:r>
              <w:rPr>
                <w:rFonts w:ascii="Arial" w:hAnsi="Arial" w:cs="Arial"/>
                <w:color w:val="000000"/>
                <w:lang w:val="en-IN" w:eastAsia="en-IN"/>
              </w:rPr>
              <w:t>-98238</w:t>
            </w:r>
          </w:p>
        </w:tc>
        <w:tc>
          <w:tcPr>
            <w:tcW w:w="1017" w:type="dxa"/>
            <w:noWrap/>
          </w:tcPr>
          <w:p w14:paraId="47F36931">
            <w:pPr>
              <w:spacing w:line="360" w:lineRule="auto"/>
              <w:jc w:val="right"/>
              <w:rPr>
                <w:rFonts w:ascii="Arial" w:hAnsi="Arial" w:cs="Arial"/>
                <w:color w:val="000000"/>
                <w:lang w:val="en-IN" w:eastAsia="en-IN"/>
              </w:rPr>
            </w:pPr>
            <w:r>
              <w:rPr>
                <w:rFonts w:ascii="Arial" w:hAnsi="Arial" w:cs="Arial"/>
                <w:color w:val="000000"/>
                <w:lang w:val="en-IN" w:eastAsia="en-IN"/>
              </w:rPr>
              <w:t>407</w:t>
            </w:r>
          </w:p>
        </w:tc>
        <w:tc>
          <w:tcPr>
            <w:tcW w:w="1017" w:type="dxa"/>
            <w:noWrap/>
          </w:tcPr>
          <w:p w14:paraId="601755BD">
            <w:pPr>
              <w:spacing w:line="360" w:lineRule="auto"/>
              <w:jc w:val="right"/>
              <w:rPr>
                <w:rFonts w:ascii="Arial" w:hAnsi="Arial" w:cs="Arial"/>
                <w:color w:val="000000"/>
                <w:lang w:val="en-IN" w:eastAsia="en-IN"/>
              </w:rPr>
            </w:pPr>
            <w:r>
              <w:rPr>
                <w:rFonts w:ascii="Arial" w:hAnsi="Arial" w:cs="Arial"/>
                <w:color w:val="000000"/>
                <w:lang w:val="en-IN" w:eastAsia="en-IN"/>
              </w:rPr>
              <w:t>5301</w:t>
            </w:r>
          </w:p>
        </w:tc>
        <w:tc>
          <w:tcPr>
            <w:tcW w:w="1017" w:type="dxa"/>
            <w:noWrap/>
          </w:tcPr>
          <w:p w14:paraId="7A413043">
            <w:pPr>
              <w:spacing w:line="360" w:lineRule="auto"/>
              <w:jc w:val="right"/>
              <w:rPr>
                <w:rFonts w:ascii="Arial" w:hAnsi="Arial" w:cs="Arial"/>
                <w:color w:val="000000"/>
                <w:lang w:val="en-IN" w:eastAsia="en-IN"/>
              </w:rPr>
            </w:pPr>
            <w:r>
              <w:rPr>
                <w:rFonts w:ascii="Arial" w:hAnsi="Arial" w:cs="Arial"/>
                <w:color w:val="000000"/>
                <w:lang w:val="en-IN" w:eastAsia="en-IN"/>
              </w:rPr>
              <w:t>38572</w:t>
            </w:r>
          </w:p>
        </w:tc>
      </w:tr>
      <w:tr w14:paraId="046244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4BFF93CA">
            <w:pPr>
              <w:spacing w:line="360" w:lineRule="auto"/>
              <w:jc w:val="left"/>
              <w:rPr>
                <w:rFonts w:ascii="Arial" w:hAnsi="Arial" w:cs="Arial"/>
                <w:color w:val="000000"/>
                <w:lang w:val="en-IN" w:eastAsia="en-IN"/>
              </w:rPr>
            </w:pPr>
            <w:r>
              <w:rPr>
                <w:rFonts w:ascii="Arial" w:hAnsi="Arial" w:cs="Arial"/>
                <w:color w:val="000000"/>
                <w:lang w:val="en-IN" w:eastAsia="en-IN"/>
              </w:rPr>
              <w:t>Current Assets</w:t>
            </w:r>
          </w:p>
        </w:tc>
        <w:tc>
          <w:tcPr>
            <w:tcW w:w="1017" w:type="dxa"/>
            <w:noWrap/>
          </w:tcPr>
          <w:p w14:paraId="26D59CED">
            <w:pPr>
              <w:spacing w:line="360" w:lineRule="auto"/>
              <w:jc w:val="right"/>
              <w:rPr>
                <w:rFonts w:ascii="Arial" w:hAnsi="Arial" w:cs="Arial"/>
                <w:color w:val="000000"/>
                <w:lang w:val="en-IN" w:eastAsia="en-IN"/>
              </w:rPr>
            </w:pPr>
            <w:r>
              <w:rPr>
                <w:rFonts w:ascii="Arial" w:hAnsi="Arial" w:cs="Arial"/>
                <w:color w:val="000000"/>
                <w:lang w:val="en-IN" w:eastAsia="en-IN"/>
              </w:rPr>
              <w:t>242494</w:t>
            </w:r>
          </w:p>
        </w:tc>
        <w:tc>
          <w:tcPr>
            <w:tcW w:w="1017" w:type="dxa"/>
            <w:noWrap/>
          </w:tcPr>
          <w:p w14:paraId="6BF20331">
            <w:pPr>
              <w:spacing w:line="360" w:lineRule="auto"/>
              <w:jc w:val="right"/>
              <w:rPr>
                <w:rFonts w:ascii="Arial" w:hAnsi="Arial" w:cs="Arial"/>
                <w:color w:val="000000"/>
                <w:lang w:val="en-IN" w:eastAsia="en-IN"/>
              </w:rPr>
            </w:pPr>
            <w:r>
              <w:rPr>
                <w:rFonts w:ascii="Arial" w:hAnsi="Arial" w:cs="Arial"/>
                <w:color w:val="000000"/>
                <w:lang w:val="en-IN" w:eastAsia="en-IN"/>
              </w:rPr>
              <w:t>258851</w:t>
            </w:r>
          </w:p>
        </w:tc>
        <w:tc>
          <w:tcPr>
            <w:tcW w:w="1017" w:type="dxa"/>
            <w:noWrap/>
          </w:tcPr>
          <w:p w14:paraId="3E715980">
            <w:pPr>
              <w:spacing w:line="360" w:lineRule="auto"/>
              <w:jc w:val="right"/>
              <w:rPr>
                <w:rFonts w:ascii="Arial" w:hAnsi="Arial" w:cs="Arial"/>
                <w:color w:val="000000"/>
                <w:lang w:val="en-IN" w:eastAsia="en-IN"/>
              </w:rPr>
            </w:pPr>
            <w:r>
              <w:rPr>
                <w:rFonts w:ascii="Arial" w:hAnsi="Arial" w:cs="Arial"/>
                <w:color w:val="000000"/>
                <w:lang w:val="en-IN" w:eastAsia="en-IN"/>
              </w:rPr>
              <w:t>338040</w:t>
            </w:r>
          </w:p>
        </w:tc>
        <w:tc>
          <w:tcPr>
            <w:tcW w:w="1017" w:type="dxa"/>
            <w:noWrap/>
          </w:tcPr>
          <w:p w14:paraId="1D835027">
            <w:pPr>
              <w:spacing w:line="360" w:lineRule="auto"/>
              <w:jc w:val="right"/>
              <w:rPr>
                <w:rFonts w:ascii="Arial" w:hAnsi="Arial" w:cs="Arial"/>
                <w:color w:val="000000"/>
                <w:lang w:val="en-IN" w:eastAsia="en-IN"/>
              </w:rPr>
            </w:pPr>
            <w:r>
              <w:rPr>
                <w:rFonts w:ascii="Arial" w:hAnsi="Arial" w:cs="Arial"/>
                <w:color w:val="000000"/>
                <w:lang w:val="en-IN" w:eastAsia="en-IN"/>
              </w:rPr>
              <w:t>337146</w:t>
            </w:r>
          </w:p>
        </w:tc>
        <w:tc>
          <w:tcPr>
            <w:tcW w:w="1017" w:type="dxa"/>
            <w:noWrap/>
          </w:tcPr>
          <w:p w14:paraId="51A6BB0A">
            <w:pPr>
              <w:spacing w:line="360" w:lineRule="auto"/>
              <w:jc w:val="right"/>
              <w:rPr>
                <w:rFonts w:ascii="Arial" w:hAnsi="Arial" w:cs="Arial"/>
                <w:color w:val="000000"/>
                <w:lang w:val="en-IN" w:eastAsia="en-IN"/>
              </w:rPr>
            </w:pPr>
            <w:r>
              <w:rPr>
                <w:rFonts w:ascii="Arial" w:hAnsi="Arial" w:cs="Arial"/>
                <w:color w:val="000000"/>
                <w:lang w:val="en-IN" w:eastAsia="en-IN"/>
              </w:rPr>
              <w:t>326843</w:t>
            </w:r>
          </w:p>
        </w:tc>
      </w:tr>
      <w:tr w14:paraId="1102D8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48E7E29D">
            <w:pPr>
              <w:spacing w:line="360" w:lineRule="auto"/>
              <w:jc w:val="left"/>
              <w:rPr>
                <w:rFonts w:ascii="Arial" w:hAnsi="Arial" w:cs="Arial"/>
                <w:color w:val="000000"/>
                <w:lang w:val="en-IN" w:eastAsia="en-IN"/>
              </w:rPr>
            </w:pPr>
            <w:r>
              <w:rPr>
                <w:rFonts w:ascii="Arial" w:hAnsi="Arial" w:cs="Arial"/>
                <w:color w:val="000000"/>
                <w:lang w:val="en-IN" w:eastAsia="en-IN"/>
              </w:rPr>
              <w:t>Current Liabilities</w:t>
            </w:r>
          </w:p>
        </w:tc>
        <w:tc>
          <w:tcPr>
            <w:tcW w:w="1017" w:type="dxa"/>
            <w:noWrap/>
          </w:tcPr>
          <w:p w14:paraId="02ED72C9">
            <w:pPr>
              <w:spacing w:line="360" w:lineRule="auto"/>
              <w:jc w:val="right"/>
              <w:rPr>
                <w:rFonts w:ascii="Arial" w:hAnsi="Arial" w:cs="Arial"/>
                <w:color w:val="000000"/>
                <w:lang w:val="en-IN" w:eastAsia="en-IN"/>
              </w:rPr>
            </w:pPr>
            <w:r>
              <w:rPr>
                <w:rFonts w:ascii="Arial" w:hAnsi="Arial" w:cs="Arial"/>
                <w:color w:val="000000"/>
                <w:lang w:val="en-IN" w:eastAsia="en-IN"/>
              </w:rPr>
              <w:t>158291</w:t>
            </w:r>
          </w:p>
        </w:tc>
        <w:tc>
          <w:tcPr>
            <w:tcW w:w="1017" w:type="dxa"/>
            <w:noWrap/>
          </w:tcPr>
          <w:p w14:paraId="6A594303">
            <w:pPr>
              <w:spacing w:line="360" w:lineRule="auto"/>
              <w:jc w:val="right"/>
              <w:rPr>
                <w:rFonts w:ascii="Arial" w:hAnsi="Arial" w:cs="Arial"/>
                <w:color w:val="000000"/>
                <w:lang w:val="en-IN" w:eastAsia="en-IN"/>
              </w:rPr>
            </w:pPr>
            <w:r>
              <w:rPr>
                <w:rFonts w:ascii="Arial" w:hAnsi="Arial" w:cs="Arial"/>
                <w:color w:val="000000"/>
                <w:lang w:val="en-IN" w:eastAsia="en-IN"/>
              </w:rPr>
              <w:t>161148</w:t>
            </w:r>
          </w:p>
        </w:tc>
        <w:tc>
          <w:tcPr>
            <w:tcW w:w="1017" w:type="dxa"/>
            <w:noWrap/>
          </w:tcPr>
          <w:p w14:paraId="7D6CBA8E">
            <w:pPr>
              <w:spacing w:line="360" w:lineRule="auto"/>
              <w:jc w:val="right"/>
              <w:rPr>
                <w:rFonts w:ascii="Arial" w:hAnsi="Arial" w:cs="Arial"/>
                <w:color w:val="000000"/>
                <w:lang w:val="en-IN" w:eastAsia="en-IN"/>
              </w:rPr>
            </w:pPr>
            <w:r>
              <w:rPr>
                <w:rFonts w:ascii="Arial" w:hAnsi="Arial" w:cs="Arial"/>
                <w:color w:val="000000"/>
                <w:lang w:val="en-IN" w:eastAsia="en-IN"/>
              </w:rPr>
              <w:t>216473</w:t>
            </w:r>
          </w:p>
        </w:tc>
        <w:tc>
          <w:tcPr>
            <w:tcW w:w="1017" w:type="dxa"/>
            <w:noWrap/>
          </w:tcPr>
          <w:p w14:paraId="4F3DE314">
            <w:pPr>
              <w:spacing w:line="360" w:lineRule="auto"/>
              <w:jc w:val="right"/>
              <w:rPr>
                <w:rFonts w:ascii="Arial" w:hAnsi="Arial" w:cs="Arial"/>
                <w:color w:val="000000"/>
                <w:lang w:val="en-IN" w:eastAsia="en-IN"/>
              </w:rPr>
            </w:pPr>
            <w:r>
              <w:rPr>
                <w:rFonts w:ascii="Arial" w:hAnsi="Arial" w:cs="Arial"/>
                <w:color w:val="000000"/>
                <w:lang w:val="en-IN" w:eastAsia="en-IN"/>
              </w:rPr>
              <w:t>216787</w:t>
            </w:r>
          </w:p>
        </w:tc>
        <w:tc>
          <w:tcPr>
            <w:tcW w:w="1017" w:type="dxa"/>
            <w:noWrap/>
          </w:tcPr>
          <w:p w14:paraId="143D5C19">
            <w:pPr>
              <w:spacing w:line="360" w:lineRule="auto"/>
              <w:jc w:val="right"/>
              <w:rPr>
                <w:rFonts w:ascii="Arial" w:hAnsi="Arial" w:cs="Arial"/>
                <w:color w:val="000000"/>
                <w:lang w:val="en-IN" w:eastAsia="en-IN"/>
              </w:rPr>
            </w:pPr>
            <w:r>
              <w:rPr>
                <w:rFonts w:ascii="Arial" w:hAnsi="Arial" w:cs="Arial"/>
                <w:color w:val="000000"/>
                <w:lang w:val="en-IN" w:eastAsia="en-IN"/>
              </w:rPr>
              <w:t>179510</w:t>
            </w:r>
          </w:p>
        </w:tc>
      </w:tr>
      <w:tr w14:paraId="3FEFDD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35438F95">
            <w:pPr>
              <w:spacing w:line="360" w:lineRule="auto"/>
              <w:jc w:val="left"/>
              <w:rPr>
                <w:rFonts w:ascii="Arial" w:hAnsi="Arial" w:cs="Arial"/>
                <w:color w:val="000000"/>
                <w:lang w:val="en-IN" w:eastAsia="en-IN"/>
              </w:rPr>
            </w:pPr>
            <w:r>
              <w:rPr>
                <w:rFonts w:ascii="Arial" w:hAnsi="Arial" w:cs="Arial"/>
                <w:color w:val="000000"/>
                <w:lang w:val="en-IN" w:eastAsia="en-IN"/>
              </w:rPr>
              <w:t>Inventory</w:t>
            </w:r>
          </w:p>
        </w:tc>
        <w:tc>
          <w:tcPr>
            <w:tcW w:w="1017" w:type="dxa"/>
            <w:noWrap/>
          </w:tcPr>
          <w:p w14:paraId="7BE80491">
            <w:pPr>
              <w:spacing w:line="360" w:lineRule="auto"/>
              <w:jc w:val="right"/>
              <w:rPr>
                <w:rFonts w:ascii="Arial" w:hAnsi="Arial" w:cs="Arial"/>
                <w:color w:val="000000"/>
                <w:lang w:val="en-IN" w:eastAsia="en-IN"/>
              </w:rPr>
            </w:pPr>
            <w:r>
              <w:rPr>
                <w:rFonts w:ascii="Arial" w:hAnsi="Arial" w:cs="Arial"/>
                <w:color w:val="000000"/>
                <w:lang w:val="en-IN" w:eastAsia="en-IN"/>
              </w:rPr>
              <w:t>79355</w:t>
            </w:r>
          </w:p>
        </w:tc>
        <w:tc>
          <w:tcPr>
            <w:tcW w:w="1017" w:type="dxa"/>
            <w:noWrap/>
          </w:tcPr>
          <w:p w14:paraId="0F042CC9">
            <w:pPr>
              <w:spacing w:line="360" w:lineRule="auto"/>
              <w:jc w:val="right"/>
              <w:rPr>
                <w:rFonts w:ascii="Arial" w:hAnsi="Arial" w:cs="Arial"/>
                <w:color w:val="000000"/>
                <w:lang w:val="en-IN" w:eastAsia="en-IN"/>
              </w:rPr>
            </w:pPr>
            <w:r>
              <w:rPr>
                <w:rFonts w:ascii="Arial" w:hAnsi="Arial" w:cs="Arial"/>
                <w:color w:val="000000"/>
                <w:lang w:val="en-IN" w:eastAsia="en-IN"/>
              </w:rPr>
              <w:t>88273</w:t>
            </w:r>
          </w:p>
        </w:tc>
        <w:tc>
          <w:tcPr>
            <w:tcW w:w="1017" w:type="dxa"/>
            <w:noWrap/>
          </w:tcPr>
          <w:p w14:paraId="2E36C31C">
            <w:pPr>
              <w:spacing w:line="360" w:lineRule="auto"/>
              <w:jc w:val="right"/>
              <w:rPr>
                <w:rFonts w:ascii="Arial" w:hAnsi="Arial" w:cs="Arial"/>
                <w:color w:val="000000"/>
                <w:lang w:val="en-IN" w:eastAsia="en-IN"/>
              </w:rPr>
            </w:pPr>
            <w:r>
              <w:rPr>
                <w:rFonts w:ascii="Arial" w:hAnsi="Arial" w:cs="Arial"/>
                <w:color w:val="000000"/>
                <w:lang w:val="en-IN" w:eastAsia="en-IN"/>
              </w:rPr>
              <w:t>140181</w:t>
            </w:r>
          </w:p>
        </w:tc>
        <w:tc>
          <w:tcPr>
            <w:tcW w:w="1017" w:type="dxa"/>
            <w:noWrap/>
          </w:tcPr>
          <w:p w14:paraId="05E7C378">
            <w:pPr>
              <w:spacing w:line="360" w:lineRule="auto"/>
              <w:jc w:val="right"/>
              <w:rPr>
                <w:rFonts w:ascii="Arial" w:hAnsi="Arial" w:cs="Arial"/>
                <w:color w:val="000000"/>
                <w:lang w:val="en-IN" w:eastAsia="en-IN"/>
              </w:rPr>
            </w:pPr>
            <w:r>
              <w:rPr>
                <w:rFonts w:ascii="Arial" w:hAnsi="Arial" w:cs="Arial"/>
                <w:color w:val="000000"/>
                <w:lang w:val="en-IN" w:eastAsia="en-IN"/>
              </w:rPr>
              <w:t>134469</w:t>
            </w:r>
          </w:p>
        </w:tc>
        <w:tc>
          <w:tcPr>
            <w:tcW w:w="1017" w:type="dxa"/>
            <w:noWrap/>
          </w:tcPr>
          <w:p w14:paraId="27429236">
            <w:pPr>
              <w:spacing w:line="360" w:lineRule="auto"/>
              <w:jc w:val="right"/>
              <w:rPr>
                <w:rFonts w:ascii="Arial" w:hAnsi="Arial" w:cs="Arial"/>
                <w:color w:val="000000"/>
                <w:lang w:val="en-IN" w:eastAsia="en-IN"/>
              </w:rPr>
            </w:pPr>
            <w:r>
              <w:rPr>
                <w:rFonts w:ascii="Arial" w:hAnsi="Arial" w:cs="Arial"/>
                <w:color w:val="000000"/>
                <w:lang w:val="en-IN" w:eastAsia="en-IN"/>
              </w:rPr>
              <w:t>120430</w:t>
            </w:r>
          </w:p>
        </w:tc>
      </w:tr>
      <w:tr w14:paraId="40BE5C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70081D4B">
            <w:pPr>
              <w:spacing w:line="360" w:lineRule="auto"/>
              <w:jc w:val="left"/>
              <w:rPr>
                <w:rFonts w:ascii="Arial" w:hAnsi="Arial" w:cs="Arial"/>
                <w:color w:val="000000"/>
                <w:lang w:val="en-IN" w:eastAsia="en-IN"/>
              </w:rPr>
            </w:pPr>
            <w:r>
              <w:rPr>
                <w:rFonts w:ascii="Arial" w:hAnsi="Arial" w:cs="Arial"/>
                <w:color w:val="000000"/>
                <w:lang w:val="en-IN" w:eastAsia="en-IN"/>
              </w:rPr>
              <w:t>Receivables</w:t>
            </w:r>
          </w:p>
        </w:tc>
        <w:tc>
          <w:tcPr>
            <w:tcW w:w="1017" w:type="dxa"/>
            <w:noWrap/>
          </w:tcPr>
          <w:p w14:paraId="0258AACE">
            <w:pPr>
              <w:spacing w:line="360" w:lineRule="auto"/>
              <w:jc w:val="right"/>
              <w:rPr>
                <w:rFonts w:ascii="Arial" w:hAnsi="Arial" w:cs="Arial"/>
                <w:color w:val="000000"/>
                <w:lang w:val="en-IN" w:eastAsia="en-IN"/>
              </w:rPr>
            </w:pPr>
            <w:r>
              <w:rPr>
                <w:rFonts w:ascii="Arial" w:hAnsi="Arial" w:cs="Arial"/>
                <w:color w:val="000000"/>
                <w:lang w:val="en-IN" w:eastAsia="en-IN"/>
              </w:rPr>
              <w:t>114182</w:t>
            </w:r>
          </w:p>
        </w:tc>
        <w:tc>
          <w:tcPr>
            <w:tcW w:w="1017" w:type="dxa"/>
            <w:noWrap/>
          </w:tcPr>
          <w:p w14:paraId="1E9D4B53">
            <w:pPr>
              <w:spacing w:line="360" w:lineRule="auto"/>
              <w:jc w:val="right"/>
              <w:rPr>
                <w:rFonts w:ascii="Arial" w:hAnsi="Arial" w:cs="Arial"/>
                <w:color w:val="000000"/>
                <w:lang w:val="en-IN" w:eastAsia="en-IN"/>
              </w:rPr>
            </w:pPr>
            <w:r>
              <w:rPr>
                <w:rFonts w:ascii="Arial" w:hAnsi="Arial" w:cs="Arial"/>
                <w:color w:val="000000"/>
                <w:lang w:val="en-IN" w:eastAsia="en-IN"/>
              </w:rPr>
              <w:t>112596</w:t>
            </w:r>
          </w:p>
        </w:tc>
        <w:tc>
          <w:tcPr>
            <w:tcW w:w="1017" w:type="dxa"/>
            <w:noWrap/>
          </w:tcPr>
          <w:p w14:paraId="135F6242">
            <w:pPr>
              <w:spacing w:line="360" w:lineRule="auto"/>
              <w:jc w:val="right"/>
              <w:rPr>
                <w:rFonts w:ascii="Arial" w:hAnsi="Arial" w:cs="Arial"/>
                <w:color w:val="000000"/>
                <w:lang w:val="en-IN" w:eastAsia="en-IN"/>
              </w:rPr>
            </w:pPr>
            <w:r>
              <w:rPr>
                <w:rFonts w:ascii="Arial" w:hAnsi="Arial" w:cs="Arial"/>
                <w:color w:val="000000"/>
                <w:lang w:val="en-IN" w:eastAsia="en-IN"/>
              </w:rPr>
              <w:t>112346</w:t>
            </w:r>
          </w:p>
        </w:tc>
        <w:tc>
          <w:tcPr>
            <w:tcW w:w="1017" w:type="dxa"/>
            <w:noWrap/>
          </w:tcPr>
          <w:p w14:paraId="4D4943CF">
            <w:pPr>
              <w:spacing w:line="360" w:lineRule="auto"/>
              <w:jc w:val="right"/>
              <w:rPr>
                <w:rFonts w:ascii="Arial" w:hAnsi="Arial" w:cs="Arial"/>
                <w:color w:val="000000"/>
                <w:lang w:val="en-IN" w:eastAsia="en-IN"/>
              </w:rPr>
            </w:pPr>
            <w:r>
              <w:rPr>
                <w:rFonts w:ascii="Arial" w:hAnsi="Arial" w:cs="Arial"/>
                <w:color w:val="000000"/>
                <w:lang w:val="en-IN" w:eastAsia="en-IN"/>
              </w:rPr>
              <w:t>129215</w:t>
            </w:r>
          </w:p>
        </w:tc>
        <w:tc>
          <w:tcPr>
            <w:tcW w:w="1017" w:type="dxa"/>
            <w:noWrap/>
          </w:tcPr>
          <w:p w14:paraId="0EBB4122">
            <w:pPr>
              <w:spacing w:line="360" w:lineRule="auto"/>
              <w:jc w:val="right"/>
              <w:rPr>
                <w:rFonts w:ascii="Arial" w:hAnsi="Arial" w:cs="Arial"/>
                <w:color w:val="000000"/>
                <w:lang w:val="en-IN" w:eastAsia="en-IN"/>
              </w:rPr>
            </w:pPr>
            <w:r>
              <w:rPr>
                <w:rFonts w:ascii="Arial" w:hAnsi="Arial" w:cs="Arial"/>
                <w:color w:val="000000"/>
                <w:lang w:val="en-IN" w:eastAsia="en-IN"/>
              </w:rPr>
              <w:t>129433</w:t>
            </w:r>
          </w:p>
        </w:tc>
      </w:tr>
      <w:tr w14:paraId="3C8F0A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61E2948B">
            <w:pPr>
              <w:spacing w:line="360" w:lineRule="auto"/>
              <w:jc w:val="left"/>
              <w:rPr>
                <w:rFonts w:ascii="Arial" w:hAnsi="Arial" w:cs="Arial"/>
                <w:color w:val="000000"/>
                <w:lang w:val="en-IN" w:eastAsia="en-IN"/>
              </w:rPr>
            </w:pPr>
            <w:r>
              <w:rPr>
                <w:rFonts w:ascii="Arial" w:hAnsi="Arial" w:cs="Arial"/>
                <w:color w:val="000000"/>
                <w:lang w:val="en-IN" w:eastAsia="en-IN"/>
              </w:rPr>
              <w:t>Payables</w:t>
            </w:r>
          </w:p>
        </w:tc>
        <w:tc>
          <w:tcPr>
            <w:tcW w:w="1017" w:type="dxa"/>
            <w:noWrap/>
          </w:tcPr>
          <w:p w14:paraId="4C6977CE">
            <w:pPr>
              <w:spacing w:line="360" w:lineRule="auto"/>
              <w:jc w:val="right"/>
              <w:rPr>
                <w:rFonts w:ascii="Arial" w:hAnsi="Arial" w:cs="Arial"/>
                <w:color w:val="000000"/>
                <w:lang w:val="en-IN" w:eastAsia="en-IN"/>
              </w:rPr>
            </w:pPr>
            <w:r>
              <w:rPr>
                <w:rFonts w:ascii="Arial" w:hAnsi="Arial" w:cs="Arial"/>
                <w:color w:val="000000"/>
                <w:lang w:val="en-IN" w:eastAsia="en-IN"/>
              </w:rPr>
              <w:t>72031</w:t>
            </w:r>
          </w:p>
        </w:tc>
        <w:tc>
          <w:tcPr>
            <w:tcW w:w="1017" w:type="dxa"/>
            <w:noWrap/>
          </w:tcPr>
          <w:p w14:paraId="0525F57A">
            <w:pPr>
              <w:spacing w:line="360" w:lineRule="auto"/>
              <w:jc w:val="right"/>
              <w:rPr>
                <w:rFonts w:ascii="Arial" w:hAnsi="Arial" w:cs="Arial"/>
                <w:color w:val="000000"/>
                <w:lang w:val="en-IN" w:eastAsia="en-IN"/>
              </w:rPr>
            </w:pPr>
            <w:r>
              <w:rPr>
                <w:rFonts w:ascii="Arial" w:hAnsi="Arial" w:cs="Arial"/>
                <w:color w:val="000000"/>
                <w:lang w:val="en-IN" w:eastAsia="en-IN"/>
              </w:rPr>
              <w:t>57033</w:t>
            </w:r>
          </w:p>
        </w:tc>
        <w:tc>
          <w:tcPr>
            <w:tcW w:w="1017" w:type="dxa"/>
            <w:noWrap/>
          </w:tcPr>
          <w:p w14:paraId="1C47026B">
            <w:pPr>
              <w:spacing w:line="360" w:lineRule="auto"/>
              <w:jc w:val="right"/>
              <w:rPr>
                <w:rFonts w:ascii="Arial" w:hAnsi="Arial" w:cs="Arial"/>
                <w:color w:val="000000"/>
                <w:lang w:val="en-IN" w:eastAsia="en-IN"/>
              </w:rPr>
            </w:pPr>
            <w:r>
              <w:rPr>
                <w:rFonts w:ascii="Arial" w:hAnsi="Arial" w:cs="Arial"/>
                <w:color w:val="000000"/>
                <w:lang w:val="en-IN" w:eastAsia="en-IN"/>
              </w:rPr>
              <w:t>71373</w:t>
            </w:r>
          </w:p>
        </w:tc>
        <w:tc>
          <w:tcPr>
            <w:tcW w:w="1017" w:type="dxa"/>
            <w:noWrap/>
          </w:tcPr>
          <w:p w14:paraId="6B348614">
            <w:pPr>
              <w:spacing w:line="360" w:lineRule="auto"/>
              <w:jc w:val="right"/>
              <w:rPr>
                <w:rFonts w:ascii="Arial" w:hAnsi="Arial" w:cs="Arial"/>
                <w:color w:val="000000"/>
                <w:lang w:val="en-IN" w:eastAsia="en-IN"/>
              </w:rPr>
            </w:pPr>
            <w:r>
              <w:rPr>
                <w:rFonts w:ascii="Arial" w:hAnsi="Arial" w:cs="Arial"/>
                <w:color w:val="000000"/>
                <w:lang w:val="en-IN" w:eastAsia="en-IN"/>
              </w:rPr>
              <w:t>92707</w:t>
            </w:r>
          </w:p>
        </w:tc>
        <w:tc>
          <w:tcPr>
            <w:tcW w:w="1017" w:type="dxa"/>
            <w:noWrap/>
          </w:tcPr>
          <w:p w14:paraId="5908AAD8">
            <w:pPr>
              <w:spacing w:line="360" w:lineRule="auto"/>
              <w:jc w:val="right"/>
              <w:rPr>
                <w:rFonts w:ascii="Arial" w:hAnsi="Arial" w:cs="Arial"/>
                <w:color w:val="000000"/>
                <w:lang w:val="en-IN" w:eastAsia="en-IN"/>
              </w:rPr>
            </w:pPr>
            <w:r>
              <w:rPr>
                <w:rFonts w:ascii="Arial" w:hAnsi="Arial" w:cs="Arial"/>
                <w:color w:val="000000"/>
                <w:lang w:val="en-IN" w:eastAsia="en-IN"/>
              </w:rPr>
              <w:t>83229</w:t>
            </w:r>
          </w:p>
        </w:tc>
      </w:tr>
      <w:tr w14:paraId="601A30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569DDDEB">
            <w:pPr>
              <w:spacing w:line="360" w:lineRule="auto"/>
              <w:jc w:val="left"/>
              <w:rPr>
                <w:rFonts w:ascii="Arial" w:hAnsi="Arial" w:cs="Arial"/>
                <w:color w:val="000000"/>
                <w:lang w:val="en-IN" w:eastAsia="en-IN"/>
              </w:rPr>
            </w:pPr>
            <w:r>
              <w:rPr>
                <w:rFonts w:ascii="Arial" w:hAnsi="Arial" w:cs="Arial"/>
                <w:color w:val="000000"/>
                <w:lang w:val="en-IN" w:eastAsia="en-IN"/>
              </w:rPr>
              <w:t>Total Assets</w:t>
            </w:r>
          </w:p>
        </w:tc>
        <w:tc>
          <w:tcPr>
            <w:tcW w:w="1017" w:type="dxa"/>
            <w:noWrap/>
          </w:tcPr>
          <w:p w14:paraId="015767DA">
            <w:pPr>
              <w:spacing w:line="360" w:lineRule="auto"/>
              <w:jc w:val="right"/>
              <w:rPr>
                <w:rFonts w:ascii="Arial" w:hAnsi="Arial" w:cs="Arial"/>
                <w:color w:val="000000"/>
                <w:lang w:val="en-IN" w:eastAsia="en-IN"/>
              </w:rPr>
            </w:pPr>
            <w:r>
              <w:rPr>
                <w:rFonts w:ascii="Arial" w:hAnsi="Arial" w:cs="Arial"/>
                <w:color w:val="000000"/>
                <w:lang w:val="en-IN" w:eastAsia="en-IN"/>
              </w:rPr>
              <w:t>323354</w:t>
            </w:r>
          </w:p>
        </w:tc>
        <w:tc>
          <w:tcPr>
            <w:tcW w:w="1017" w:type="dxa"/>
            <w:noWrap/>
          </w:tcPr>
          <w:p w14:paraId="1137C3C1">
            <w:pPr>
              <w:spacing w:line="360" w:lineRule="auto"/>
              <w:jc w:val="right"/>
              <w:rPr>
                <w:rFonts w:ascii="Arial" w:hAnsi="Arial" w:cs="Arial"/>
                <w:color w:val="000000"/>
                <w:lang w:val="en-IN" w:eastAsia="en-IN"/>
              </w:rPr>
            </w:pPr>
            <w:r>
              <w:rPr>
                <w:rFonts w:ascii="Arial" w:hAnsi="Arial" w:cs="Arial"/>
                <w:color w:val="000000"/>
                <w:lang w:val="en-IN" w:eastAsia="en-IN"/>
              </w:rPr>
              <w:t>355872</w:t>
            </w:r>
          </w:p>
        </w:tc>
        <w:tc>
          <w:tcPr>
            <w:tcW w:w="1017" w:type="dxa"/>
            <w:noWrap/>
          </w:tcPr>
          <w:p w14:paraId="235D8760">
            <w:pPr>
              <w:spacing w:line="360" w:lineRule="auto"/>
              <w:jc w:val="right"/>
              <w:rPr>
                <w:rFonts w:ascii="Arial" w:hAnsi="Arial" w:cs="Arial"/>
                <w:color w:val="000000"/>
                <w:lang w:val="en-IN" w:eastAsia="en-IN"/>
              </w:rPr>
            </w:pPr>
            <w:r>
              <w:rPr>
                <w:rFonts w:ascii="Arial" w:hAnsi="Arial" w:cs="Arial"/>
                <w:color w:val="000000"/>
                <w:lang w:val="en-IN" w:eastAsia="en-IN"/>
              </w:rPr>
              <w:t>504163</w:t>
            </w:r>
          </w:p>
        </w:tc>
        <w:tc>
          <w:tcPr>
            <w:tcW w:w="1017" w:type="dxa"/>
            <w:noWrap/>
          </w:tcPr>
          <w:p w14:paraId="561F3F0F">
            <w:pPr>
              <w:spacing w:line="360" w:lineRule="auto"/>
              <w:jc w:val="right"/>
              <w:rPr>
                <w:rFonts w:ascii="Arial" w:hAnsi="Arial" w:cs="Arial"/>
                <w:color w:val="000000"/>
                <w:lang w:val="en-IN" w:eastAsia="en-IN"/>
              </w:rPr>
            </w:pPr>
            <w:r>
              <w:rPr>
                <w:rFonts w:ascii="Arial" w:hAnsi="Arial" w:cs="Arial"/>
                <w:color w:val="000000"/>
                <w:lang w:val="en-IN" w:eastAsia="en-IN"/>
              </w:rPr>
              <w:t>510348</w:t>
            </w:r>
          </w:p>
        </w:tc>
        <w:tc>
          <w:tcPr>
            <w:tcW w:w="1017" w:type="dxa"/>
            <w:noWrap/>
          </w:tcPr>
          <w:p w14:paraId="07C30818">
            <w:pPr>
              <w:spacing w:line="360" w:lineRule="auto"/>
              <w:jc w:val="right"/>
              <w:rPr>
                <w:rFonts w:ascii="Arial" w:hAnsi="Arial" w:cs="Arial"/>
                <w:color w:val="000000"/>
                <w:lang w:val="en-IN" w:eastAsia="en-IN"/>
              </w:rPr>
            </w:pPr>
            <w:r>
              <w:rPr>
                <w:rFonts w:ascii="Arial" w:hAnsi="Arial" w:cs="Arial"/>
                <w:color w:val="000000"/>
                <w:lang w:val="en-IN" w:eastAsia="en-IN"/>
              </w:rPr>
              <w:t>510290</w:t>
            </w:r>
          </w:p>
        </w:tc>
      </w:tr>
      <w:tr w14:paraId="62F316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485" w:type="dxa"/>
            <w:noWrap/>
          </w:tcPr>
          <w:p w14:paraId="67B8DAB0">
            <w:pPr>
              <w:spacing w:line="360" w:lineRule="auto"/>
              <w:jc w:val="left"/>
              <w:rPr>
                <w:rFonts w:ascii="Arial" w:hAnsi="Arial" w:cs="Arial"/>
                <w:color w:val="000000"/>
                <w:lang w:val="en-IN" w:eastAsia="en-IN"/>
              </w:rPr>
            </w:pPr>
            <w:r>
              <w:rPr>
                <w:rFonts w:ascii="Arial" w:hAnsi="Arial" w:cs="Arial"/>
                <w:color w:val="000000"/>
                <w:lang w:val="en-IN" w:eastAsia="en-IN"/>
              </w:rPr>
              <w:t>Total Equity</w:t>
            </w:r>
          </w:p>
        </w:tc>
        <w:tc>
          <w:tcPr>
            <w:tcW w:w="1017" w:type="dxa"/>
            <w:noWrap/>
          </w:tcPr>
          <w:p w14:paraId="39AA85ED">
            <w:pPr>
              <w:spacing w:line="360" w:lineRule="auto"/>
              <w:jc w:val="right"/>
              <w:rPr>
                <w:rFonts w:ascii="Arial" w:hAnsi="Arial" w:cs="Arial"/>
                <w:color w:val="000000"/>
                <w:lang w:val="en-IN" w:eastAsia="en-IN"/>
              </w:rPr>
            </w:pPr>
            <w:r>
              <w:rPr>
                <w:rFonts w:ascii="Arial" w:hAnsi="Arial" w:cs="Arial"/>
                <w:color w:val="000000"/>
                <w:lang w:val="en-IN" w:eastAsia="en-IN"/>
              </w:rPr>
              <w:t>153105</w:t>
            </w:r>
          </w:p>
        </w:tc>
        <w:tc>
          <w:tcPr>
            <w:tcW w:w="1017" w:type="dxa"/>
            <w:noWrap/>
          </w:tcPr>
          <w:p w14:paraId="5DE0B5D4">
            <w:pPr>
              <w:spacing w:line="360" w:lineRule="auto"/>
              <w:jc w:val="right"/>
              <w:rPr>
                <w:rFonts w:ascii="Arial" w:hAnsi="Arial" w:cs="Arial"/>
                <w:color w:val="000000"/>
                <w:lang w:val="en-IN" w:eastAsia="en-IN"/>
              </w:rPr>
            </w:pPr>
            <w:r>
              <w:rPr>
                <w:rFonts w:ascii="Arial" w:hAnsi="Arial" w:cs="Arial"/>
                <w:color w:val="000000"/>
                <w:lang w:val="en-IN" w:eastAsia="en-IN"/>
              </w:rPr>
              <w:t>178920</w:t>
            </w:r>
          </w:p>
        </w:tc>
        <w:tc>
          <w:tcPr>
            <w:tcW w:w="1017" w:type="dxa"/>
            <w:noWrap/>
          </w:tcPr>
          <w:p w14:paraId="10AC72F7">
            <w:pPr>
              <w:spacing w:line="360" w:lineRule="auto"/>
              <w:jc w:val="right"/>
              <w:rPr>
                <w:rFonts w:ascii="Arial" w:hAnsi="Arial" w:cs="Arial"/>
                <w:color w:val="000000"/>
                <w:lang w:val="en-IN" w:eastAsia="en-IN"/>
              </w:rPr>
            </w:pPr>
            <w:r>
              <w:rPr>
                <w:rFonts w:ascii="Arial" w:hAnsi="Arial" w:cs="Arial"/>
                <w:color w:val="000000"/>
                <w:lang w:val="en-IN" w:eastAsia="en-IN"/>
              </w:rPr>
              <w:t>268406</w:t>
            </w:r>
          </w:p>
        </w:tc>
        <w:tc>
          <w:tcPr>
            <w:tcW w:w="1017" w:type="dxa"/>
            <w:noWrap/>
          </w:tcPr>
          <w:p w14:paraId="42C32541">
            <w:pPr>
              <w:spacing w:line="360" w:lineRule="auto"/>
              <w:jc w:val="right"/>
              <w:rPr>
                <w:rFonts w:ascii="Arial" w:hAnsi="Arial" w:cs="Arial"/>
                <w:color w:val="000000"/>
                <w:lang w:val="en-IN" w:eastAsia="en-IN"/>
              </w:rPr>
            </w:pPr>
            <w:r>
              <w:rPr>
                <w:rFonts w:ascii="Arial" w:hAnsi="Arial" w:cs="Arial"/>
                <w:color w:val="000000"/>
                <w:lang w:val="en-IN" w:eastAsia="en-IN"/>
              </w:rPr>
              <w:t>275949</w:t>
            </w:r>
          </w:p>
        </w:tc>
        <w:tc>
          <w:tcPr>
            <w:tcW w:w="1017" w:type="dxa"/>
            <w:noWrap/>
          </w:tcPr>
          <w:p w14:paraId="5378F8F1">
            <w:pPr>
              <w:spacing w:line="360" w:lineRule="auto"/>
              <w:jc w:val="right"/>
              <w:rPr>
                <w:rFonts w:ascii="Arial" w:hAnsi="Arial" w:cs="Arial"/>
                <w:color w:val="000000"/>
                <w:lang w:val="en-IN" w:eastAsia="en-IN"/>
              </w:rPr>
            </w:pPr>
            <w:r>
              <w:rPr>
                <w:rFonts w:ascii="Arial" w:hAnsi="Arial" w:cs="Arial"/>
                <w:color w:val="000000"/>
                <w:lang w:val="en-IN" w:eastAsia="en-IN"/>
              </w:rPr>
              <w:t>313301</w:t>
            </w:r>
          </w:p>
        </w:tc>
      </w:tr>
    </w:tbl>
    <w:p w14:paraId="445AA4E3">
      <w:pPr>
        <w:jc w:val="center"/>
        <w:rPr>
          <w:rFonts w:ascii="Arial" w:hAnsi="Arial" w:cs="Arial"/>
          <w:lang w:val="en-GB"/>
        </w:rPr>
      </w:pPr>
    </w:p>
    <w:p w14:paraId="647478E5">
      <w:pPr>
        <w:jc w:val="center"/>
        <w:rPr>
          <w:rFonts w:ascii="Arial" w:hAnsi="Arial" w:cs="Arial"/>
          <w:lang w:val="en-GB"/>
        </w:rPr>
      </w:pPr>
      <w:r>
        <w:rPr>
          <w:rFonts w:ascii="Arial" w:hAnsi="Arial" w:cs="Arial"/>
          <w:lang w:val="en-GB"/>
        </w:rPr>
        <w:t>(Source: Excel)</w:t>
      </w:r>
    </w:p>
    <w:p w14:paraId="5BE6275A">
      <w:pPr>
        <w:rPr>
          <w:rFonts w:ascii="Arial" w:hAnsi="Arial" w:cs="Arial"/>
          <w:b/>
          <w:bCs/>
          <w:lang w:val="en-GB"/>
        </w:rPr>
      </w:pPr>
      <w:bookmarkStart w:id="89" w:name="_3wm4cc3q6mml" w:colFirst="0" w:colLast="0"/>
      <w:bookmarkEnd w:id="89"/>
      <w:r>
        <w:rPr>
          <w:rFonts w:ascii="Arial" w:hAnsi="Arial" w:cs="Arial"/>
          <w:lang w:val="en-GB"/>
        </w:rPr>
        <w:br w:type="page"/>
      </w:r>
    </w:p>
    <w:p w14:paraId="634EE0A0">
      <w:pPr>
        <w:pStyle w:val="3"/>
        <w:rPr>
          <w:rFonts w:ascii="Arial" w:hAnsi="Arial" w:cs="Arial"/>
          <w:lang w:val="en-GB"/>
        </w:rPr>
      </w:pPr>
      <w:bookmarkStart w:id="90" w:name="_Toc216438068"/>
      <w:r>
        <w:rPr>
          <w:rFonts w:ascii="Arial" w:hAnsi="Arial" w:cs="Arial"/>
          <w:lang w:val="en-GB"/>
        </w:rPr>
        <w:t>Appendix 2: Ratio Analysis</w:t>
      </w:r>
      <w:bookmarkEnd w:id="90"/>
    </w:p>
    <w:tbl>
      <w:tblPr>
        <w:tblStyle w:val="15"/>
        <w:tblW w:w="8699"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09"/>
        <w:gridCol w:w="1218"/>
        <w:gridCol w:w="1218"/>
        <w:gridCol w:w="1218"/>
        <w:gridCol w:w="1218"/>
        <w:gridCol w:w="1218"/>
      </w:tblGrid>
      <w:tr w14:paraId="2A52BB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0F6184D6">
            <w:pPr>
              <w:spacing w:line="360" w:lineRule="auto"/>
              <w:jc w:val="left"/>
              <w:rPr>
                <w:rFonts w:ascii="Arial" w:hAnsi="Arial" w:cs="Arial"/>
                <w:b/>
                <w:bCs/>
                <w:color w:val="000000"/>
                <w:lang w:val="en-IN" w:eastAsia="en-IN"/>
              </w:rPr>
            </w:pPr>
            <w:r>
              <w:rPr>
                <w:rFonts w:ascii="Arial" w:hAnsi="Arial" w:cs="Arial"/>
                <w:b/>
                <w:bCs/>
                <w:color w:val="000000"/>
                <w:lang w:val="en-IN" w:eastAsia="en-IN"/>
              </w:rPr>
              <w:t>Ratio</w:t>
            </w:r>
          </w:p>
        </w:tc>
        <w:tc>
          <w:tcPr>
            <w:tcW w:w="1218" w:type="dxa"/>
            <w:noWrap/>
          </w:tcPr>
          <w:p w14:paraId="2B31CE33">
            <w:pPr>
              <w:spacing w:line="360" w:lineRule="auto"/>
              <w:jc w:val="left"/>
              <w:rPr>
                <w:rFonts w:ascii="Arial" w:hAnsi="Arial" w:cs="Arial"/>
                <w:b/>
                <w:bCs/>
                <w:color w:val="000000"/>
                <w:lang w:val="en-IN" w:eastAsia="en-IN"/>
              </w:rPr>
            </w:pPr>
            <w:r>
              <w:rPr>
                <w:rFonts w:ascii="Arial" w:hAnsi="Arial" w:cs="Arial"/>
                <w:b/>
                <w:bCs/>
                <w:color w:val="000000"/>
                <w:lang w:val="en-IN" w:eastAsia="en-IN"/>
              </w:rPr>
              <w:t>2024</w:t>
            </w:r>
          </w:p>
        </w:tc>
        <w:tc>
          <w:tcPr>
            <w:tcW w:w="1218" w:type="dxa"/>
            <w:noWrap/>
          </w:tcPr>
          <w:p w14:paraId="30C046CE">
            <w:pPr>
              <w:spacing w:line="360" w:lineRule="auto"/>
              <w:jc w:val="left"/>
              <w:rPr>
                <w:rFonts w:ascii="Arial" w:hAnsi="Arial" w:cs="Arial"/>
                <w:b/>
                <w:bCs/>
                <w:color w:val="000000"/>
                <w:lang w:val="en-IN" w:eastAsia="en-IN"/>
              </w:rPr>
            </w:pPr>
            <w:r>
              <w:rPr>
                <w:rFonts w:ascii="Arial" w:hAnsi="Arial" w:cs="Arial"/>
                <w:b/>
                <w:bCs/>
                <w:color w:val="000000"/>
                <w:lang w:val="en-IN" w:eastAsia="en-IN"/>
              </w:rPr>
              <w:t>2023</w:t>
            </w:r>
          </w:p>
        </w:tc>
        <w:tc>
          <w:tcPr>
            <w:tcW w:w="1218" w:type="dxa"/>
            <w:noWrap/>
          </w:tcPr>
          <w:p w14:paraId="5B69233A">
            <w:pPr>
              <w:spacing w:line="360" w:lineRule="auto"/>
              <w:jc w:val="left"/>
              <w:rPr>
                <w:rFonts w:ascii="Arial" w:hAnsi="Arial" w:cs="Arial"/>
                <w:b/>
                <w:bCs/>
                <w:color w:val="000000"/>
                <w:lang w:val="en-IN" w:eastAsia="en-IN"/>
              </w:rPr>
            </w:pPr>
            <w:r>
              <w:rPr>
                <w:rFonts w:ascii="Arial" w:hAnsi="Arial" w:cs="Arial"/>
                <w:b/>
                <w:bCs/>
                <w:color w:val="000000"/>
                <w:lang w:val="en-IN" w:eastAsia="en-IN"/>
              </w:rPr>
              <w:t>2022</w:t>
            </w:r>
          </w:p>
        </w:tc>
        <w:tc>
          <w:tcPr>
            <w:tcW w:w="1218" w:type="dxa"/>
            <w:noWrap/>
          </w:tcPr>
          <w:p w14:paraId="6B795277">
            <w:pPr>
              <w:spacing w:line="360" w:lineRule="auto"/>
              <w:jc w:val="left"/>
              <w:rPr>
                <w:rFonts w:ascii="Arial" w:hAnsi="Arial" w:cs="Arial"/>
                <w:b/>
                <w:bCs/>
                <w:color w:val="000000"/>
                <w:lang w:val="en-IN" w:eastAsia="en-IN"/>
              </w:rPr>
            </w:pPr>
            <w:r>
              <w:rPr>
                <w:rFonts w:ascii="Arial" w:hAnsi="Arial" w:cs="Arial"/>
                <w:b/>
                <w:bCs/>
                <w:color w:val="000000"/>
                <w:lang w:val="en-IN" w:eastAsia="en-IN"/>
              </w:rPr>
              <w:t>2021</w:t>
            </w:r>
          </w:p>
        </w:tc>
        <w:tc>
          <w:tcPr>
            <w:tcW w:w="1218" w:type="dxa"/>
            <w:noWrap/>
          </w:tcPr>
          <w:p w14:paraId="285D9CBD">
            <w:pPr>
              <w:spacing w:line="360" w:lineRule="auto"/>
              <w:jc w:val="left"/>
              <w:rPr>
                <w:rFonts w:ascii="Arial" w:hAnsi="Arial" w:cs="Arial"/>
                <w:b/>
                <w:bCs/>
                <w:color w:val="000000"/>
                <w:lang w:val="en-IN" w:eastAsia="en-IN"/>
              </w:rPr>
            </w:pPr>
            <w:r>
              <w:rPr>
                <w:rFonts w:ascii="Arial" w:hAnsi="Arial" w:cs="Arial"/>
                <w:b/>
                <w:bCs/>
                <w:color w:val="000000"/>
                <w:lang w:val="en-IN" w:eastAsia="en-IN"/>
              </w:rPr>
              <w:t>2020</w:t>
            </w:r>
          </w:p>
        </w:tc>
      </w:tr>
      <w:tr w14:paraId="0C080D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42F8A9D5">
            <w:pPr>
              <w:spacing w:line="360" w:lineRule="auto"/>
              <w:jc w:val="left"/>
              <w:rPr>
                <w:rFonts w:ascii="Arial" w:hAnsi="Arial" w:cs="Arial"/>
                <w:color w:val="000000"/>
                <w:lang w:val="en-IN" w:eastAsia="en-IN"/>
              </w:rPr>
            </w:pPr>
            <w:r>
              <w:rPr>
                <w:rFonts w:ascii="Arial" w:hAnsi="Arial" w:cs="Arial"/>
                <w:color w:val="000000"/>
                <w:lang w:val="en-IN" w:eastAsia="en-IN"/>
              </w:rPr>
              <w:t>Gross Margin</w:t>
            </w:r>
          </w:p>
        </w:tc>
        <w:tc>
          <w:tcPr>
            <w:tcW w:w="1218" w:type="dxa"/>
            <w:noWrap/>
          </w:tcPr>
          <w:p w14:paraId="5898335C">
            <w:pPr>
              <w:spacing w:line="360" w:lineRule="auto"/>
              <w:jc w:val="right"/>
              <w:rPr>
                <w:rFonts w:ascii="Arial" w:hAnsi="Arial" w:cs="Arial"/>
                <w:color w:val="000000"/>
                <w:lang w:val="en-IN" w:eastAsia="en-IN"/>
              </w:rPr>
            </w:pPr>
            <w:r>
              <w:rPr>
                <w:rFonts w:ascii="Arial" w:hAnsi="Arial" w:cs="Arial"/>
                <w:color w:val="000000"/>
                <w:lang w:val="en-IN" w:eastAsia="en-IN"/>
              </w:rPr>
              <w:t>0.288681</w:t>
            </w:r>
          </w:p>
        </w:tc>
        <w:tc>
          <w:tcPr>
            <w:tcW w:w="1218" w:type="dxa"/>
            <w:noWrap/>
          </w:tcPr>
          <w:p w14:paraId="61F7283C">
            <w:pPr>
              <w:spacing w:line="360" w:lineRule="auto"/>
              <w:jc w:val="right"/>
              <w:rPr>
                <w:rFonts w:ascii="Arial" w:hAnsi="Arial" w:cs="Arial"/>
                <w:color w:val="000000"/>
                <w:lang w:val="en-IN" w:eastAsia="en-IN"/>
              </w:rPr>
            </w:pPr>
            <w:r>
              <w:rPr>
                <w:rFonts w:ascii="Arial" w:hAnsi="Arial" w:cs="Arial"/>
                <w:color w:val="000000"/>
                <w:lang w:val="en-IN" w:eastAsia="en-IN"/>
              </w:rPr>
              <w:t>0.232033</w:t>
            </w:r>
          </w:p>
        </w:tc>
        <w:tc>
          <w:tcPr>
            <w:tcW w:w="1218" w:type="dxa"/>
            <w:noWrap/>
          </w:tcPr>
          <w:p w14:paraId="61CF8180">
            <w:pPr>
              <w:spacing w:line="360" w:lineRule="auto"/>
              <w:jc w:val="right"/>
              <w:rPr>
                <w:rFonts w:ascii="Arial" w:hAnsi="Arial" w:cs="Arial"/>
                <w:color w:val="000000"/>
                <w:lang w:val="en-IN" w:eastAsia="en-IN"/>
              </w:rPr>
            </w:pPr>
            <w:r>
              <w:rPr>
                <w:rFonts w:ascii="Arial" w:hAnsi="Arial" w:cs="Arial"/>
                <w:color w:val="000000"/>
                <w:lang w:val="en-IN" w:eastAsia="en-IN"/>
              </w:rPr>
              <w:t>0.280593</w:t>
            </w:r>
          </w:p>
        </w:tc>
        <w:tc>
          <w:tcPr>
            <w:tcW w:w="1218" w:type="dxa"/>
            <w:noWrap/>
          </w:tcPr>
          <w:p w14:paraId="70A8076E">
            <w:pPr>
              <w:spacing w:line="360" w:lineRule="auto"/>
              <w:jc w:val="right"/>
              <w:rPr>
                <w:rFonts w:ascii="Arial" w:hAnsi="Arial" w:cs="Arial"/>
                <w:color w:val="000000"/>
                <w:lang w:val="en-IN" w:eastAsia="en-IN"/>
              </w:rPr>
            </w:pPr>
            <w:r>
              <w:rPr>
                <w:rFonts w:ascii="Arial" w:hAnsi="Arial" w:cs="Arial"/>
                <w:color w:val="000000"/>
                <w:lang w:val="en-IN" w:eastAsia="en-IN"/>
              </w:rPr>
              <w:t>0.287592</w:t>
            </w:r>
          </w:p>
        </w:tc>
        <w:tc>
          <w:tcPr>
            <w:tcW w:w="1218" w:type="dxa"/>
            <w:noWrap/>
          </w:tcPr>
          <w:p w14:paraId="7931F16E">
            <w:pPr>
              <w:spacing w:line="360" w:lineRule="auto"/>
              <w:jc w:val="right"/>
              <w:rPr>
                <w:rFonts w:ascii="Arial" w:hAnsi="Arial" w:cs="Arial"/>
                <w:color w:val="000000"/>
                <w:lang w:val="en-IN" w:eastAsia="en-IN"/>
              </w:rPr>
            </w:pPr>
            <w:r>
              <w:rPr>
                <w:rFonts w:ascii="Arial" w:hAnsi="Arial" w:cs="Arial"/>
                <w:color w:val="000000"/>
                <w:lang w:val="en-IN" w:eastAsia="en-IN"/>
              </w:rPr>
              <w:t>0.286744</w:t>
            </w:r>
          </w:p>
        </w:tc>
      </w:tr>
      <w:tr w14:paraId="1D0ED1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2BFB1A81">
            <w:pPr>
              <w:spacing w:line="360" w:lineRule="auto"/>
              <w:jc w:val="left"/>
              <w:rPr>
                <w:rFonts w:ascii="Arial" w:hAnsi="Arial" w:cs="Arial"/>
                <w:color w:val="000000"/>
                <w:lang w:val="en-IN" w:eastAsia="en-IN"/>
              </w:rPr>
            </w:pPr>
            <w:r>
              <w:rPr>
                <w:rFonts w:ascii="Arial" w:hAnsi="Arial" w:cs="Arial"/>
                <w:color w:val="000000"/>
                <w:lang w:val="en-IN" w:eastAsia="en-IN"/>
              </w:rPr>
              <w:t>Operating Margin</w:t>
            </w:r>
          </w:p>
        </w:tc>
        <w:tc>
          <w:tcPr>
            <w:tcW w:w="1218" w:type="dxa"/>
            <w:noWrap/>
          </w:tcPr>
          <w:p w14:paraId="5B349E61">
            <w:pPr>
              <w:spacing w:line="360" w:lineRule="auto"/>
              <w:jc w:val="right"/>
              <w:rPr>
                <w:rFonts w:ascii="Arial" w:hAnsi="Arial" w:cs="Arial"/>
                <w:color w:val="000000"/>
                <w:lang w:val="en-IN" w:eastAsia="en-IN"/>
              </w:rPr>
            </w:pPr>
            <w:r>
              <w:rPr>
                <w:rFonts w:ascii="Arial" w:hAnsi="Arial" w:cs="Arial"/>
                <w:color w:val="000000"/>
                <w:lang w:val="en-IN" w:eastAsia="en-IN"/>
              </w:rPr>
              <w:t>-0.03874</w:t>
            </w:r>
          </w:p>
        </w:tc>
        <w:tc>
          <w:tcPr>
            <w:tcW w:w="1218" w:type="dxa"/>
            <w:noWrap/>
          </w:tcPr>
          <w:p w14:paraId="0CACCF13">
            <w:pPr>
              <w:spacing w:line="360" w:lineRule="auto"/>
              <w:jc w:val="right"/>
              <w:rPr>
                <w:rFonts w:ascii="Arial" w:hAnsi="Arial" w:cs="Arial"/>
                <w:color w:val="000000"/>
                <w:lang w:val="en-IN" w:eastAsia="en-IN"/>
              </w:rPr>
            </w:pPr>
            <w:r>
              <w:rPr>
                <w:rFonts w:ascii="Arial" w:hAnsi="Arial" w:cs="Arial"/>
                <w:color w:val="000000"/>
                <w:lang w:val="en-IN" w:eastAsia="en-IN"/>
              </w:rPr>
              <w:t>-0.20288</w:t>
            </w:r>
          </w:p>
        </w:tc>
        <w:tc>
          <w:tcPr>
            <w:tcW w:w="1218" w:type="dxa"/>
            <w:noWrap/>
          </w:tcPr>
          <w:p w14:paraId="5C90CB97">
            <w:pPr>
              <w:spacing w:line="360" w:lineRule="auto"/>
              <w:jc w:val="right"/>
              <w:rPr>
                <w:rFonts w:ascii="Arial" w:hAnsi="Arial" w:cs="Arial"/>
                <w:color w:val="000000"/>
                <w:lang w:val="en-IN" w:eastAsia="en-IN"/>
              </w:rPr>
            </w:pPr>
            <w:r>
              <w:rPr>
                <w:rFonts w:ascii="Arial" w:hAnsi="Arial" w:cs="Arial"/>
                <w:color w:val="000000"/>
                <w:lang w:val="en-IN" w:eastAsia="en-IN"/>
              </w:rPr>
              <w:t>0.026804</w:t>
            </w:r>
          </w:p>
        </w:tc>
        <w:tc>
          <w:tcPr>
            <w:tcW w:w="1218" w:type="dxa"/>
            <w:noWrap/>
          </w:tcPr>
          <w:p w14:paraId="39DF48D5">
            <w:pPr>
              <w:spacing w:line="360" w:lineRule="auto"/>
              <w:jc w:val="right"/>
              <w:rPr>
                <w:rFonts w:ascii="Arial" w:hAnsi="Arial" w:cs="Arial"/>
                <w:color w:val="000000"/>
                <w:lang w:val="en-IN" w:eastAsia="en-IN"/>
              </w:rPr>
            </w:pPr>
            <w:r>
              <w:rPr>
                <w:rFonts w:ascii="Arial" w:hAnsi="Arial" w:cs="Arial"/>
                <w:color w:val="000000"/>
                <w:lang w:val="en-IN" w:eastAsia="en-IN"/>
              </w:rPr>
              <w:t>0.038652</w:t>
            </w:r>
          </w:p>
        </w:tc>
        <w:tc>
          <w:tcPr>
            <w:tcW w:w="1218" w:type="dxa"/>
            <w:noWrap/>
          </w:tcPr>
          <w:p w14:paraId="45F9D936">
            <w:pPr>
              <w:spacing w:line="360" w:lineRule="auto"/>
              <w:jc w:val="right"/>
              <w:rPr>
                <w:rFonts w:ascii="Arial" w:hAnsi="Arial" w:cs="Arial"/>
                <w:color w:val="000000"/>
                <w:lang w:val="en-IN" w:eastAsia="en-IN"/>
              </w:rPr>
            </w:pPr>
            <w:r>
              <w:rPr>
                <w:rFonts w:ascii="Arial" w:hAnsi="Arial" w:cs="Arial"/>
                <w:color w:val="000000"/>
                <w:lang w:val="en-IN" w:eastAsia="en-IN"/>
              </w:rPr>
              <w:t>0.060628</w:t>
            </w:r>
          </w:p>
        </w:tc>
      </w:tr>
      <w:tr w14:paraId="27F48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5C89B509">
            <w:pPr>
              <w:spacing w:line="360" w:lineRule="auto"/>
              <w:jc w:val="left"/>
              <w:rPr>
                <w:rFonts w:ascii="Arial" w:hAnsi="Arial" w:cs="Arial"/>
                <w:color w:val="000000"/>
                <w:lang w:val="en-IN" w:eastAsia="en-IN"/>
              </w:rPr>
            </w:pPr>
            <w:r>
              <w:rPr>
                <w:rFonts w:ascii="Arial" w:hAnsi="Arial" w:cs="Arial"/>
                <w:color w:val="000000"/>
                <w:lang w:val="en-IN" w:eastAsia="en-IN"/>
              </w:rPr>
              <w:t>Net Margin</w:t>
            </w:r>
          </w:p>
        </w:tc>
        <w:tc>
          <w:tcPr>
            <w:tcW w:w="1218" w:type="dxa"/>
            <w:noWrap/>
          </w:tcPr>
          <w:p w14:paraId="29F2F78F">
            <w:pPr>
              <w:spacing w:line="360" w:lineRule="auto"/>
              <w:jc w:val="right"/>
              <w:rPr>
                <w:rFonts w:ascii="Arial" w:hAnsi="Arial" w:cs="Arial"/>
                <w:color w:val="000000"/>
                <w:lang w:val="en-IN" w:eastAsia="en-IN"/>
              </w:rPr>
            </w:pPr>
            <w:r>
              <w:rPr>
                <w:rFonts w:ascii="Arial" w:hAnsi="Arial" w:cs="Arial"/>
                <w:color w:val="000000"/>
                <w:lang w:val="en-IN" w:eastAsia="en-IN"/>
              </w:rPr>
              <w:t>-0.06085</w:t>
            </w:r>
          </w:p>
        </w:tc>
        <w:tc>
          <w:tcPr>
            <w:tcW w:w="1218" w:type="dxa"/>
            <w:noWrap/>
          </w:tcPr>
          <w:p w14:paraId="690FE1E4">
            <w:pPr>
              <w:spacing w:line="360" w:lineRule="auto"/>
              <w:jc w:val="right"/>
              <w:rPr>
                <w:rFonts w:ascii="Arial" w:hAnsi="Arial" w:cs="Arial"/>
                <w:color w:val="000000"/>
                <w:lang w:val="en-IN" w:eastAsia="en-IN"/>
              </w:rPr>
            </w:pPr>
            <w:r>
              <w:rPr>
                <w:rFonts w:ascii="Arial" w:hAnsi="Arial" w:cs="Arial"/>
                <w:color w:val="000000"/>
                <w:lang w:val="en-IN" w:eastAsia="en-IN"/>
              </w:rPr>
              <w:t>-0.23365</w:t>
            </w:r>
          </w:p>
        </w:tc>
        <w:tc>
          <w:tcPr>
            <w:tcW w:w="1218" w:type="dxa"/>
            <w:noWrap/>
          </w:tcPr>
          <w:p w14:paraId="2159E9D5">
            <w:pPr>
              <w:spacing w:line="360" w:lineRule="auto"/>
              <w:jc w:val="right"/>
              <w:rPr>
                <w:rFonts w:ascii="Arial" w:hAnsi="Arial" w:cs="Arial"/>
                <w:color w:val="000000"/>
                <w:lang w:val="en-IN" w:eastAsia="en-IN"/>
              </w:rPr>
            </w:pPr>
            <w:r>
              <w:rPr>
                <w:rFonts w:ascii="Arial" w:hAnsi="Arial" w:cs="Arial"/>
                <w:color w:val="000000"/>
                <w:lang w:val="en-IN" w:eastAsia="en-IN"/>
              </w:rPr>
              <w:t>0.00075</w:t>
            </w:r>
          </w:p>
        </w:tc>
        <w:tc>
          <w:tcPr>
            <w:tcW w:w="1218" w:type="dxa"/>
            <w:noWrap/>
          </w:tcPr>
          <w:p w14:paraId="116C497A">
            <w:pPr>
              <w:spacing w:line="360" w:lineRule="auto"/>
              <w:jc w:val="right"/>
              <w:rPr>
                <w:rFonts w:ascii="Arial" w:hAnsi="Arial" w:cs="Arial"/>
                <w:color w:val="000000"/>
                <w:lang w:val="en-IN" w:eastAsia="en-IN"/>
              </w:rPr>
            </w:pPr>
            <w:r>
              <w:rPr>
                <w:rFonts w:ascii="Arial" w:hAnsi="Arial" w:cs="Arial"/>
                <w:color w:val="000000"/>
                <w:lang w:val="en-IN" w:eastAsia="en-IN"/>
              </w:rPr>
              <w:t>0.008811</w:t>
            </w:r>
          </w:p>
        </w:tc>
        <w:tc>
          <w:tcPr>
            <w:tcW w:w="1218" w:type="dxa"/>
            <w:noWrap/>
          </w:tcPr>
          <w:p w14:paraId="024B9089">
            <w:pPr>
              <w:spacing w:line="360" w:lineRule="auto"/>
              <w:jc w:val="right"/>
              <w:rPr>
                <w:rFonts w:ascii="Arial" w:hAnsi="Arial" w:cs="Arial"/>
                <w:color w:val="000000"/>
                <w:lang w:val="en-IN" w:eastAsia="en-IN"/>
              </w:rPr>
            </w:pPr>
            <w:r>
              <w:rPr>
                <w:rFonts w:ascii="Arial" w:hAnsi="Arial" w:cs="Arial"/>
                <w:color w:val="000000"/>
                <w:lang w:val="en-IN" w:eastAsia="en-IN"/>
              </w:rPr>
              <w:t>0.062751</w:t>
            </w:r>
          </w:p>
        </w:tc>
      </w:tr>
      <w:tr w14:paraId="649679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6B2A2616">
            <w:pPr>
              <w:spacing w:line="360" w:lineRule="auto"/>
              <w:jc w:val="left"/>
              <w:rPr>
                <w:rFonts w:ascii="Arial" w:hAnsi="Arial" w:cs="Arial"/>
                <w:color w:val="000000"/>
                <w:lang w:val="en-IN" w:eastAsia="en-IN"/>
              </w:rPr>
            </w:pPr>
            <w:r>
              <w:rPr>
                <w:rFonts w:ascii="Arial" w:hAnsi="Arial" w:cs="Arial"/>
                <w:color w:val="000000"/>
                <w:lang w:val="en-IN" w:eastAsia="en-IN"/>
              </w:rPr>
              <w:t>Current Ratio</w:t>
            </w:r>
          </w:p>
        </w:tc>
        <w:tc>
          <w:tcPr>
            <w:tcW w:w="1218" w:type="dxa"/>
            <w:noWrap/>
          </w:tcPr>
          <w:p w14:paraId="4B04012B">
            <w:pPr>
              <w:spacing w:line="360" w:lineRule="auto"/>
              <w:jc w:val="right"/>
              <w:rPr>
                <w:rFonts w:ascii="Arial" w:hAnsi="Arial" w:cs="Arial"/>
                <w:color w:val="000000"/>
                <w:lang w:val="en-IN" w:eastAsia="en-IN"/>
              </w:rPr>
            </w:pPr>
            <w:r>
              <w:rPr>
                <w:rFonts w:ascii="Arial" w:hAnsi="Arial" w:cs="Arial"/>
                <w:color w:val="000000"/>
                <w:lang w:val="en-IN" w:eastAsia="en-IN"/>
              </w:rPr>
              <w:t>1.531951</w:t>
            </w:r>
          </w:p>
        </w:tc>
        <w:tc>
          <w:tcPr>
            <w:tcW w:w="1218" w:type="dxa"/>
            <w:noWrap/>
          </w:tcPr>
          <w:p w14:paraId="73ADAD1A">
            <w:pPr>
              <w:spacing w:line="360" w:lineRule="auto"/>
              <w:jc w:val="right"/>
              <w:rPr>
                <w:rFonts w:ascii="Arial" w:hAnsi="Arial" w:cs="Arial"/>
                <w:color w:val="000000"/>
                <w:lang w:val="en-IN" w:eastAsia="en-IN"/>
              </w:rPr>
            </w:pPr>
            <w:r>
              <w:rPr>
                <w:rFonts w:ascii="Arial" w:hAnsi="Arial" w:cs="Arial"/>
                <w:color w:val="000000"/>
                <w:lang w:val="en-IN" w:eastAsia="en-IN"/>
              </w:rPr>
              <w:t>1.606294</w:t>
            </w:r>
          </w:p>
        </w:tc>
        <w:tc>
          <w:tcPr>
            <w:tcW w:w="1218" w:type="dxa"/>
            <w:noWrap/>
          </w:tcPr>
          <w:p w14:paraId="68D6C085">
            <w:pPr>
              <w:spacing w:line="360" w:lineRule="auto"/>
              <w:jc w:val="right"/>
              <w:rPr>
                <w:rFonts w:ascii="Arial" w:hAnsi="Arial" w:cs="Arial"/>
                <w:color w:val="000000"/>
                <w:lang w:val="en-IN" w:eastAsia="en-IN"/>
              </w:rPr>
            </w:pPr>
            <w:r>
              <w:rPr>
                <w:rFonts w:ascii="Arial" w:hAnsi="Arial" w:cs="Arial"/>
                <w:color w:val="000000"/>
                <w:lang w:val="en-IN" w:eastAsia="en-IN"/>
              </w:rPr>
              <w:t>1.56158</w:t>
            </w:r>
          </w:p>
        </w:tc>
        <w:tc>
          <w:tcPr>
            <w:tcW w:w="1218" w:type="dxa"/>
            <w:noWrap/>
          </w:tcPr>
          <w:p w14:paraId="11A494BF">
            <w:pPr>
              <w:spacing w:line="360" w:lineRule="auto"/>
              <w:jc w:val="right"/>
              <w:rPr>
                <w:rFonts w:ascii="Arial" w:hAnsi="Arial" w:cs="Arial"/>
                <w:color w:val="000000"/>
                <w:lang w:val="en-IN" w:eastAsia="en-IN"/>
              </w:rPr>
            </w:pPr>
            <w:r>
              <w:rPr>
                <w:rFonts w:ascii="Arial" w:hAnsi="Arial" w:cs="Arial"/>
                <w:color w:val="000000"/>
                <w:lang w:val="en-IN" w:eastAsia="en-IN"/>
              </w:rPr>
              <w:t>1.555195</w:t>
            </w:r>
          </w:p>
        </w:tc>
        <w:tc>
          <w:tcPr>
            <w:tcW w:w="1218" w:type="dxa"/>
            <w:noWrap/>
          </w:tcPr>
          <w:p w14:paraId="71EB2279">
            <w:pPr>
              <w:spacing w:line="360" w:lineRule="auto"/>
              <w:jc w:val="right"/>
              <w:rPr>
                <w:rFonts w:ascii="Arial" w:hAnsi="Arial" w:cs="Arial"/>
                <w:color w:val="000000"/>
                <w:lang w:val="en-IN" w:eastAsia="en-IN"/>
              </w:rPr>
            </w:pPr>
            <w:r>
              <w:rPr>
                <w:rFonts w:ascii="Arial" w:hAnsi="Arial" w:cs="Arial"/>
                <w:color w:val="000000"/>
                <w:lang w:val="en-IN" w:eastAsia="en-IN"/>
              </w:rPr>
              <w:t>1.820751</w:t>
            </w:r>
          </w:p>
        </w:tc>
      </w:tr>
      <w:tr w14:paraId="62A990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7BCFC685">
            <w:pPr>
              <w:spacing w:line="360" w:lineRule="auto"/>
              <w:jc w:val="left"/>
              <w:rPr>
                <w:rFonts w:ascii="Arial" w:hAnsi="Arial" w:cs="Arial"/>
                <w:color w:val="000000"/>
                <w:lang w:val="en-IN" w:eastAsia="en-IN"/>
              </w:rPr>
            </w:pPr>
            <w:r>
              <w:rPr>
                <w:rFonts w:ascii="Arial" w:hAnsi="Arial" w:cs="Arial"/>
                <w:color w:val="000000"/>
                <w:lang w:val="en-IN" w:eastAsia="en-IN"/>
              </w:rPr>
              <w:t>Quick Ratio</w:t>
            </w:r>
          </w:p>
        </w:tc>
        <w:tc>
          <w:tcPr>
            <w:tcW w:w="1218" w:type="dxa"/>
            <w:noWrap/>
          </w:tcPr>
          <w:p w14:paraId="6CFFC537">
            <w:pPr>
              <w:spacing w:line="360" w:lineRule="auto"/>
              <w:jc w:val="right"/>
              <w:rPr>
                <w:rFonts w:ascii="Arial" w:hAnsi="Arial" w:cs="Arial"/>
                <w:color w:val="000000"/>
                <w:lang w:val="en-IN" w:eastAsia="en-IN"/>
              </w:rPr>
            </w:pPr>
            <w:r>
              <w:rPr>
                <w:rFonts w:ascii="Arial" w:hAnsi="Arial" w:cs="Arial"/>
                <w:color w:val="000000"/>
                <w:lang w:val="en-IN" w:eastAsia="en-IN"/>
              </w:rPr>
              <w:t>1.030627</w:t>
            </w:r>
          </w:p>
        </w:tc>
        <w:tc>
          <w:tcPr>
            <w:tcW w:w="1218" w:type="dxa"/>
            <w:noWrap/>
          </w:tcPr>
          <w:p w14:paraId="2B3DB436">
            <w:pPr>
              <w:spacing w:line="360" w:lineRule="auto"/>
              <w:jc w:val="right"/>
              <w:rPr>
                <w:rFonts w:ascii="Arial" w:hAnsi="Arial" w:cs="Arial"/>
                <w:color w:val="000000"/>
                <w:lang w:val="en-IN" w:eastAsia="en-IN"/>
              </w:rPr>
            </w:pPr>
            <w:r>
              <w:rPr>
                <w:rFonts w:ascii="Arial" w:hAnsi="Arial" w:cs="Arial"/>
                <w:color w:val="000000"/>
                <w:lang w:val="en-IN" w:eastAsia="en-IN"/>
              </w:rPr>
              <w:t>1.058518</w:t>
            </w:r>
          </w:p>
        </w:tc>
        <w:tc>
          <w:tcPr>
            <w:tcW w:w="1218" w:type="dxa"/>
            <w:noWrap/>
          </w:tcPr>
          <w:p w14:paraId="79373E60">
            <w:pPr>
              <w:spacing w:line="360" w:lineRule="auto"/>
              <w:jc w:val="right"/>
              <w:rPr>
                <w:rFonts w:ascii="Arial" w:hAnsi="Arial" w:cs="Arial"/>
                <w:color w:val="000000"/>
                <w:lang w:val="en-IN" w:eastAsia="en-IN"/>
              </w:rPr>
            </w:pPr>
            <w:r>
              <w:rPr>
                <w:rFonts w:ascii="Arial" w:hAnsi="Arial" w:cs="Arial"/>
                <w:color w:val="000000"/>
                <w:lang w:val="en-IN" w:eastAsia="en-IN"/>
              </w:rPr>
              <w:t>0.914012</w:t>
            </w:r>
          </w:p>
        </w:tc>
        <w:tc>
          <w:tcPr>
            <w:tcW w:w="1218" w:type="dxa"/>
            <w:noWrap/>
          </w:tcPr>
          <w:p w14:paraId="5760E302">
            <w:pPr>
              <w:spacing w:line="360" w:lineRule="auto"/>
              <w:jc w:val="right"/>
              <w:rPr>
                <w:rFonts w:ascii="Arial" w:hAnsi="Arial" w:cs="Arial"/>
                <w:color w:val="000000"/>
                <w:lang w:val="en-IN" w:eastAsia="en-IN"/>
              </w:rPr>
            </w:pPr>
            <w:r>
              <w:rPr>
                <w:rFonts w:ascii="Arial" w:hAnsi="Arial" w:cs="Arial"/>
                <w:color w:val="000000"/>
                <w:lang w:val="en-IN" w:eastAsia="en-IN"/>
              </w:rPr>
              <w:t>0.934913</w:t>
            </w:r>
          </w:p>
        </w:tc>
        <w:tc>
          <w:tcPr>
            <w:tcW w:w="1218" w:type="dxa"/>
            <w:noWrap/>
          </w:tcPr>
          <w:p w14:paraId="3AF1A090">
            <w:pPr>
              <w:spacing w:line="360" w:lineRule="auto"/>
              <w:jc w:val="right"/>
              <w:rPr>
                <w:rFonts w:ascii="Arial" w:hAnsi="Arial" w:cs="Arial"/>
                <w:color w:val="000000"/>
                <w:lang w:val="en-IN" w:eastAsia="en-IN"/>
              </w:rPr>
            </w:pPr>
            <w:r>
              <w:rPr>
                <w:rFonts w:ascii="Arial" w:hAnsi="Arial" w:cs="Arial"/>
                <w:color w:val="000000"/>
                <w:lang w:val="en-IN" w:eastAsia="en-IN"/>
              </w:rPr>
              <w:t>1.149869</w:t>
            </w:r>
          </w:p>
        </w:tc>
      </w:tr>
      <w:tr w14:paraId="052A6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1E0CDC5A">
            <w:pPr>
              <w:spacing w:line="360" w:lineRule="auto"/>
              <w:jc w:val="left"/>
              <w:rPr>
                <w:rFonts w:ascii="Arial" w:hAnsi="Arial" w:cs="Arial"/>
                <w:color w:val="000000"/>
                <w:lang w:val="en-IN" w:eastAsia="en-IN"/>
              </w:rPr>
            </w:pPr>
            <w:r>
              <w:rPr>
                <w:rFonts w:ascii="Arial" w:hAnsi="Arial" w:cs="Arial"/>
                <w:color w:val="000000"/>
                <w:lang w:val="en-IN" w:eastAsia="en-IN"/>
              </w:rPr>
              <w:t>Inventory Days</w:t>
            </w:r>
          </w:p>
        </w:tc>
        <w:tc>
          <w:tcPr>
            <w:tcW w:w="1218" w:type="dxa"/>
            <w:noWrap/>
          </w:tcPr>
          <w:p w14:paraId="6E6E1F8A">
            <w:pPr>
              <w:spacing w:line="360" w:lineRule="auto"/>
              <w:jc w:val="right"/>
              <w:rPr>
                <w:rFonts w:ascii="Arial" w:hAnsi="Arial" w:cs="Arial"/>
                <w:color w:val="000000"/>
                <w:lang w:val="en-IN" w:eastAsia="en-IN"/>
              </w:rPr>
            </w:pPr>
            <w:r>
              <w:rPr>
                <w:rFonts w:ascii="Arial" w:hAnsi="Arial" w:cs="Arial"/>
                <w:color w:val="000000"/>
                <w:lang w:val="en-IN" w:eastAsia="en-IN"/>
              </w:rPr>
              <w:t>73.35051</w:t>
            </w:r>
          </w:p>
        </w:tc>
        <w:tc>
          <w:tcPr>
            <w:tcW w:w="1218" w:type="dxa"/>
            <w:noWrap/>
          </w:tcPr>
          <w:p w14:paraId="11BCEFD7">
            <w:pPr>
              <w:spacing w:line="360" w:lineRule="auto"/>
              <w:jc w:val="right"/>
              <w:rPr>
                <w:rFonts w:ascii="Arial" w:hAnsi="Arial" w:cs="Arial"/>
                <w:color w:val="000000"/>
                <w:lang w:val="en-IN" w:eastAsia="en-IN"/>
              </w:rPr>
            </w:pPr>
            <w:r>
              <w:rPr>
                <w:rFonts w:ascii="Arial" w:hAnsi="Arial" w:cs="Arial"/>
                <w:color w:val="000000"/>
                <w:lang w:val="en-IN" w:eastAsia="en-IN"/>
              </w:rPr>
              <w:t>76.63006</w:t>
            </w:r>
          </w:p>
        </w:tc>
        <w:tc>
          <w:tcPr>
            <w:tcW w:w="1218" w:type="dxa"/>
            <w:noWrap/>
          </w:tcPr>
          <w:p w14:paraId="1849C494">
            <w:pPr>
              <w:spacing w:line="360" w:lineRule="auto"/>
              <w:jc w:val="right"/>
              <w:rPr>
                <w:rFonts w:ascii="Arial" w:hAnsi="Arial" w:cs="Arial"/>
                <w:color w:val="000000"/>
                <w:lang w:val="en-IN" w:eastAsia="en-IN"/>
              </w:rPr>
            </w:pPr>
            <w:r>
              <w:rPr>
                <w:rFonts w:ascii="Arial" w:hAnsi="Arial" w:cs="Arial"/>
                <w:color w:val="000000"/>
                <w:lang w:val="en-IN" w:eastAsia="en-IN"/>
              </w:rPr>
              <w:t>94.27171</w:t>
            </w:r>
          </w:p>
        </w:tc>
        <w:tc>
          <w:tcPr>
            <w:tcW w:w="1218" w:type="dxa"/>
            <w:noWrap/>
          </w:tcPr>
          <w:p w14:paraId="61072174">
            <w:pPr>
              <w:spacing w:line="360" w:lineRule="auto"/>
              <w:jc w:val="right"/>
              <w:rPr>
                <w:rFonts w:ascii="Arial" w:hAnsi="Arial" w:cs="Arial"/>
                <w:color w:val="000000"/>
                <w:lang w:val="en-IN" w:eastAsia="en-IN"/>
              </w:rPr>
            </w:pPr>
            <w:r>
              <w:rPr>
                <w:rFonts w:ascii="Arial" w:hAnsi="Arial" w:cs="Arial"/>
                <w:color w:val="000000"/>
                <w:lang w:val="en-IN" w:eastAsia="en-IN"/>
              </w:rPr>
              <w:t>81.58415</w:t>
            </w:r>
          </w:p>
        </w:tc>
        <w:tc>
          <w:tcPr>
            <w:tcW w:w="1218" w:type="dxa"/>
            <w:noWrap/>
          </w:tcPr>
          <w:p w14:paraId="699B481D">
            <w:pPr>
              <w:spacing w:line="360" w:lineRule="auto"/>
              <w:jc w:val="right"/>
              <w:rPr>
                <w:rFonts w:ascii="Arial" w:hAnsi="Arial" w:cs="Arial"/>
                <w:color w:val="000000"/>
                <w:lang w:val="en-IN" w:eastAsia="en-IN"/>
              </w:rPr>
            </w:pPr>
            <w:r>
              <w:rPr>
                <w:rFonts w:ascii="Arial" w:hAnsi="Arial" w:cs="Arial"/>
                <w:color w:val="000000"/>
                <w:lang w:val="en-IN" w:eastAsia="en-IN"/>
              </w:rPr>
              <w:t>71.51192</w:t>
            </w:r>
          </w:p>
        </w:tc>
      </w:tr>
      <w:tr w14:paraId="419A05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479A26DD">
            <w:pPr>
              <w:spacing w:line="360" w:lineRule="auto"/>
              <w:jc w:val="left"/>
              <w:rPr>
                <w:rFonts w:ascii="Arial" w:hAnsi="Arial" w:cs="Arial"/>
                <w:color w:val="000000"/>
                <w:lang w:val="en-IN" w:eastAsia="en-IN"/>
              </w:rPr>
            </w:pPr>
            <w:r>
              <w:rPr>
                <w:rFonts w:ascii="Arial" w:hAnsi="Arial" w:cs="Arial"/>
                <w:color w:val="000000"/>
                <w:lang w:val="en-IN" w:eastAsia="en-IN"/>
              </w:rPr>
              <w:t>Receivable Days</w:t>
            </w:r>
          </w:p>
        </w:tc>
        <w:tc>
          <w:tcPr>
            <w:tcW w:w="1218" w:type="dxa"/>
            <w:noWrap/>
          </w:tcPr>
          <w:p w14:paraId="7FD1B975">
            <w:pPr>
              <w:spacing w:line="360" w:lineRule="auto"/>
              <w:jc w:val="right"/>
              <w:rPr>
                <w:rFonts w:ascii="Arial" w:hAnsi="Arial" w:cs="Arial"/>
                <w:color w:val="000000"/>
                <w:lang w:val="en-IN" w:eastAsia="en-IN"/>
              </w:rPr>
            </w:pPr>
            <w:r>
              <w:rPr>
                <w:rFonts w:ascii="Arial" w:hAnsi="Arial" w:cs="Arial"/>
                <w:color w:val="000000"/>
                <w:lang w:val="en-IN" w:eastAsia="en-IN"/>
              </w:rPr>
              <w:t>105.5423</w:t>
            </w:r>
          </w:p>
        </w:tc>
        <w:tc>
          <w:tcPr>
            <w:tcW w:w="1218" w:type="dxa"/>
            <w:noWrap/>
          </w:tcPr>
          <w:p w14:paraId="2BC4C128">
            <w:pPr>
              <w:spacing w:line="360" w:lineRule="auto"/>
              <w:jc w:val="right"/>
              <w:rPr>
                <w:rFonts w:ascii="Arial" w:hAnsi="Arial" w:cs="Arial"/>
                <w:color w:val="000000"/>
                <w:lang w:val="en-IN" w:eastAsia="en-IN"/>
              </w:rPr>
            </w:pPr>
            <w:r>
              <w:rPr>
                <w:rFonts w:ascii="Arial" w:hAnsi="Arial" w:cs="Arial"/>
                <w:color w:val="000000"/>
                <w:lang w:val="en-IN" w:eastAsia="en-IN"/>
              </w:rPr>
              <w:t>97.74493</w:t>
            </w:r>
          </w:p>
        </w:tc>
        <w:tc>
          <w:tcPr>
            <w:tcW w:w="1218" w:type="dxa"/>
            <w:noWrap/>
          </w:tcPr>
          <w:p w14:paraId="3632D48D">
            <w:pPr>
              <w:spacing w:line="360" w:lineRule="auto"/>
              <w:jc w:val="right"/>
              <w:rPr>
                <w:rFonts w:ascii="Arial" w:hAnsi="Arial" w:cs="Arial"/>
                <w:color w:val="000000"/>
                <w:lang w:val="en-IN" w:eastAsia="en-IN"/>
              </w:rPr>
            </w:pPr>
            <w:r>
              <w:rPr>
                <w:rFonts w:ascii="Arial" w:hAnsi="Arial" w:cs="Arial"/>
                <w:color w:val="000000"/>
                <w:lang w:val="en-IN" w:eastAsia="en-IN"/>
              </w:rPr>
              <w:t>75.55268</w:t>
            </w:r>
          </w:p>
        </w:tc>
        <w:tc>
          <w:tcPr>
            <w:tcW w:w="1218" w:type="dxa"/>
            <w:noWrap/>
          </w:tcPr>
          <w:p w14:paraId="571107D4">
            <w:pPr>
              <w:spacing w:line="360" w:lineRule="auto"/>
              <w:jc w:val="right"/>
              <w:rPr>
                <w:rFonts w:ascii="Arial" w:hAnsi="Arial" w:cs="Arial"/>
                <w:color w:val="000000"/>
                <w:lang w:val="en-IN" w:eastAsia="en-IN"/>
              </w:rPr>
            </w:pPr>
            <w:r>
              <w:rPr>
                <w:rFonts w:ascii="Arial" w:hAnsi="Arial" w:cs="Arial"/>
                <w:color w:val="000000"/>
                <w:lang w:val="en-IN" w:eastAsia="en-IN"/>
              </w:rPr>
              <w:t>78.39647</w:t>
            </w:r>
          </w:p>
        </w:tc>
        <w:tc>
          <w:tcPr>
            <w:tcW w:w="1218" w:type="dxa"/>
            <w:noWrap/>
          </w:tcPr>
          <w:p w14:paraId="43662B5A">
            <w:pPr>
              <w:spacing w:line="360" w:lineRule="auto"/>
              <w:jc w:val="right"/>
              <w:rPr>
                <w:rFonts w:ascii="Arial" w:hAnsi="Arial" w:cs="Arial"/>
                <w:color w:val="000000"/>
                <w:lang w:val="en-IN" w:eastAsia="en-IN"/>
              </w:rPr>
            </w:pPr>
            <w:r>
              <w:rPr>
                <w:rFonts w:ascii="Arial" w:hAnsi="Arial" w:cs="Arial"/>
                <w:color w:val="000000"/>
                <w:lang w:val="en-IN" w:eastAsia="en-IN"/>
              </w:rPr>
              <w:t>76.85795</w:t>
            </w:r>
          </w:p>
        </w:tc>
      </w:tr>
      <w:tr w14:paraId="6F966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4CD75EA3">
            <w:pPr>
              <w:spacing w:line="360" w:lineRule="auto"/>
              <w:jc w:val="left"/>
              <w:rPr>
                <w:rFonts w:ascii="Arial" w:hAnsi="Arial" w:cs="Arial"/>
                <w:color w:val="000000"/>
                <w:lang w:val="en-IN" w:eastAsia="en-IN"/>
              </w:rPr>
            </w:pPr>
            <w:r>
              <w:rPr>
                <w:rFonts w:ascii="Arial" w:hAnsi="Arial" w:cs="Arial"/>
                <w:color w:val="000000"/>
                <w:lang w:val="en-IN" w:eastAsia="en-IN"/>
              </w:rPr>
              <w:t>Payable Days</w:t>
            </w:r>
          </w:p>
        </w:tc>
        <w:tc>
          <w:tcPr>
            <w:tcW w:w="1218" w:type="dxa"/>
            <w:noWrap/>
          </w:tcPr>
          <w:p w14:paraId="7D5668EE">
            <w:pPr>
              <w:spacing w:line="360" w:lineRule="auto"/>
              <w:jc w:val="right"/>
              <w:rPr>
                <w:rFonts w:ascii="Arial" w:hAnsi="Arial" w:cs="Arial"/>
                <w:color w:val="000000"/>
                <w:lang w:val="en-IN" w:eastAsia="en-IN"/>
              </w:rPr>
            </w:pPr>
            <w:r>
              <w:rPr>
                <w:rFonts w:ascii="Arial" w:hAnsi="Arial" w:cs="Arial"/>
                <w:color w:val="000000"/>
                <w:lang w:val="en-IN" w:eastAsia="en-IN"/>
              </w:rPr>
              <w:t>66.58069</w:t>
            </w:r>
          </w:p>
        </w:tc>
        <w:tc>
          <w:tcPr>
            <w:tcW w:w="1218" w:type="dxa"/>
            <w:noWrap/>
          </w:tcPr>
          <w:p w14:paraId="77046ADE">
            <w:pPr>
              <w:spacing w:line="360" w:lineRule="auto"/>
              <w:jc w:val="right"/>
              <w:rPr>
                <w:rFonts w:ascii="Arial" w:hAnsi="Arial" w:cs="Arial"/>
                <w:color w:val="000000"/>
                <w:lang w:val="en-IN" w:eastAsia="en-IN"/>
              </w:rPr>
            </w:pPr>
            <w:r>
              <w:rPr>
                <w:rFonts w:ascii="Arial" w:hAnsi="Arial" w:cs="Arial"/>
                <w:color w:val="000000"/>
                <w:lang w:val="en-IN" w:eastAsia="en-IN"/>
              </w:rPr>
              <w:t>49.51052</w:t>
            </w:r>
          </w:p>
        </w:tc>
        <w:tc>
          <w:tcPr>
            <w:tcW w:w="1218" w:type="dxa"/>
            <w:noWrap/>
          </w:tcPr>
          <w:p w14:paraId="7F84C2F3">
            <w:pPr>
              <w:spacing w:line="360" w:lineRule="auto"/>
              <w:jc w:val="right"/>
              <w:rPr>
                <w:rFonts w:ascii="Arial" w:hAnsi="Arial" w:cs="Arial"/>
                <w:color w:val="000000"/>
                <w:lang w:val="en-IN" w:eastAsia="en-IN"/>
              </w:rPr>
            </w:pPr>
            <w:r>
              <w:rPr>
                <w:rFonts w:ascii="Arial" w:hAnsi="Arial" w:cs="Arial"/>
                <w:color w:val="000000"/>
                <w:lang w:val="en-IN" w:eastAsia="en-IN"/>
              </w:rPr>
              <w:t>47.99834</w:t>
            </w:r>
          </w:p>
        </w:tc>
        <w:tc>
          <w:tcPr>
            <w:tcW w:w="1218" w:type="dxa"/>
            <w:noWrap/>
          </w:tcPr>
          <w:p w14:paraId="2337F1AB">
            <w:pPr>
              <w:spacing w:line="360" w:lineRule="auto"/>
              <w:jc w:val="right"/>
              <w:rPr>
                <w:rFonts w:ascii="Arial" w:hAnsi="Arial" w:cs="Arial"/>
                <w:color w:val="000000"/>
                <w:lang w:val="en-IN" w:eastAsia="en-IN"/>
              </w:rPr>
            </w:pPr>
            <w:r>
              <w:rPr>
                <w:rFonts w:ascii="Arial" w:hAnsi="Arial" w:cs="Arial"/>
                <w:color w:val="000000"/>
                <w:lang w:val="en-IN" w:eastAsia="en-IN"/>
              </w:rPr>
              <w:t>56.24658</w:t>
            </w:r>
          </w:p>
        </w:tc>
        <w:tc>
          <w:tcPr>
            <w:tcW w:w="1218" w:type="dxa"/>
            <w:noWrap/>
          </w:tcPr>
          <w:p w14:paraId="343EFDAC">
            <w:pPr>
              <w:spacing w:line="360" w:lineRule="auto"/>
              <w:jc w:val="right"/>
              <w:rPr>
                <w:rFonts w:ascii="Arial" w:hAnsi="Arial" w:cs="Arial"/>
                <w:color w:val="000000"/>
                <w:lang w:val="en-IN" w:eastAsia="en-IN"/>
              </w:rPr>
            </w:pPr>
            <w:r>
              <w:rPr>
                <w:rFonts w:ascii="Arial" w:hAnsi="Arial" w:cs="Arial"/>
                <w:color w:val="000000"/>
                <w:lang w:val="en-IN" w:eastAsia="en-IN"/>
              </w:rPr>
              <w:t>49.42179</w:t>
            </w:r>
          </w:p>
        </w:tc>
      </w:tr>
      <w:tr w14:paraId="2F1B80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78E35794">
            <w:pPr>
              <w:spacing w:line="360" w:lineRule="auto"/>
              <w:jc w:val="left"/>
              <w:rPr>
                <w:rFonts w:ascii="Arial" w:hAnsi="Arial" w:cs="Arial"/>
                <w:color w:val="000000"/>
                <w:lang w:val="en-IN" w:eastAsia="en-IN"/>
              </w:rPr>
            </w:pPr>
            <w:r>
              <w:rPr>
                <w:rFonts w:ascii="Arial" w:hAnsi="Arial" w:cs="Arial"/>
                <w:color w:val="000000"/>
                <w:lang w:val="en-IN" w:eastAsia="en-IN"/>
              </w:rPr>
              <w:t>ROA</w:t>
            </w:r>
          </w:p>
        </w:tc>
        <w:tc>
          <w:tcPr>
            <w:tcW w:w="1218" w:type="dxa"/>
            <w:noWrap/>
          </w:tcPr>
          <w:p w14:paraId="44A3B556">
            <w:pPr>
              <w:spacing w:line="360" w:lineRule="auto"/>
              <w:jc w:val="right"/>
              <w:rPr>
                <w:rFonts w:ascii="Arial" w:hAnsi="Arial" w:cs="Arial"/>
                <w:color w:val="000000"/>
                <w:lang w:val="en-IN" w:eastAsia="en-IN"/>
              </w:rPr>
            </w:pPr>
            <w:r>
              <w:rPr>
                <w:rFonts w:ascii="Arial" w:hAnsi="Arial" w:cs="Arial"/>
                <w:color w:val="000000"/>
                <w:lang w:val="en-IN" w:eastAsia="en-IN"/>
              </w:rPr>
              <w:t>-0.07431</w:t>
            </w:r>
          </w:p>
        </w:tc>
        <w:tc>
          <w:tcPr>
            <w:tcW w:w="1218" w:type="dxa"/>
            <w:noWrap/>
          </w:tcPr>
          <w:p w14:paraId="577085B9">
            <w:pPr>
              <w:spacing w:line="360" w:lineRule="auto"/>
              <w:jc w:val="right"/>
              <w:rPr>
                <w:rFonts w:ascii="Arial" w:hAnsi="Arial" w:cs="Arial"/>
                <w:color w:val="000000"/>
                <w:lang w:val="en-IN" w:eastAsia="en-IN"/>
              </w:rPr>
            </w:pPr>
            <w:r>
              <w:rPr>
                <w:rFonts w:ascii="Arial" w:hAnsi="Arial" w:cs="Arial"/>
                <w:color w:val="000000"/>
                <w:lang w:val="en-IN" w:eastAsia="en-IN"/>
              </w:rPr>
              <w:t>-0.27605</w:t>
            </w:r>
          </w:p>
        </w:tc>
        <w:tc>
          <w:tcPr>
            <w:tcW w:w="1218" w:type="dxa"/>
            <w:noWrap/>
          </w:tcPr>
          <w:p w14:paraId="12C6F01D">
            <w:pPr>
              <w:spacing w:line="360" w:lineRule="auto"/>
              <w:jc w:val="right"/>
              <w:rPr>
                <w:rFonts w:ascii="Arial" w:hAnsi="Arial" w:cs="Arial"/>
                <w:color w:val="000000"/>
                <w:lang w:val="en-IN" w:eastAsia="en-IN"/>
              </w:rPr>
            </w:pPr>
            <w:r>
              <w:rPr>
                <w:rFonts w:ascii="Arial" w:hAnsi="Arial" w:cs="Arial"/>
                <w:color w:val="000000"/>
                <w:lang w:val="en-IN" w:eastAsia="en-IN"/>
              </w:rPr>
              <w:t>0.000807</w:t>
            </w:r>
          </w:p>
        </w:tc>
        <w:tc>
          <w:tcPr>
            <w:tcW w:w="1218" w:type="dxa"/>
            <w:noWrap/>
          </w:tcPr>
          <w:p w14:paraId="74F63D35">
            <w:pPr>
              <w:spacing w:line="360" w:lineRule="auto"/>
              <w:jc w:val="right"/>
              <w:rPr>
                <w:rFonts w:ascii="Arial" w:hAnsi="Arial" w:cs="Arial"/>
                <w:color w:val="000000"/>
                <w:lang w:val="en-IN" w:eastAsia="en-IN"/>
              </w:rPr>
            </w:pPr>
            <w:r>
              <w:rPr>
                <w:rFonts w:ascii="Arial" w:hAnsi="Arial" w:cs="Arial"/>
                <w:color w:val="000000"/>
                <w:lang w:val="en-IN" w:eastAsia="en-IN"/>
              </w:rPr>
              <w:t>0.010387</w:t>
            </w:r>
          </w:p>
        </w:tc>
        <w:tc>
          <w:tcPr>
            <w:tcW w:w="1218" w:type="dxa"/>
            <w:noWrap/>
          </w:tcPr>
          <w:p w14:paraId="25970EB2">
            <w:pPr>
              <w:spacing w:line="360" w:lineRule="auto"/>
              <w:jc w:val="right"/>
              <w:rPr>
                <w:rFonts w:ascii="Arial" w:hAnsi="Arial" w:cs="Arial"/>
                <w:color w:val="000000"/>
                <w:lang w:val="en-IN" w:eastAsia="en-IN"/>
              </w:rPr>
            </w:pPr>
            <w:r>
              <w:rPr>
                <w:rFonts w:ascii="Arial" w:hAnsi="Arial" w:cs="Arial"/>
                <w:color w:val="000000"/>
                <w:lang w:val="en-IN" w:eastAsia="en-IN"/>
              </w:rPr>
              <w:t>0.075588</w:t>
            </w:r>
          </w:p>
        </w:tc>
      </w:tr>
      <w:tr w14:paraId="133E4B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4D2282A5">
            <w:pPr>
              <w:spacing w:line="360" w:lineRule="auto"/>
              <w:jc w:val="left"/>
              <w:rPr>
                <w:rFonts w:ascii="Arial" w:hAnsi="Arial" w:cs="Arial"/>
                <w:color w:val="000000"/>
                <w:lang w:val="en-IN" w:eastAsia="en-IN"/>
              </w:rPr>
            </w:pPr>
            <w:r>
              <w:rPr>
                <w:rFonts w:ascii="Arial" w:hAnsi="Arial" w:cs="Arial"/>
                <w:color w:val="000000"/>
                <w:lang w:val="en-IN" w:eastAsia="en-IN"/>
              </w:rPr>
              <w:t>ROE</w:t>
            </w:r>
          </w:p>
        </w:tc>
        <w:tc>
          <w:tcPr>
            <w:tcW w:w="1218" w:type="dxa"/>
            <w:noWrap/>
          </w:tcPr>
          <w:p w14:paraId="3FFACBD5">
            <w:pPr>
              <w:spacing w:line="360" w:lineRule="auto"/>
              <w:jc w:val="right"/>
              <w:rPr>
                <w:rFonts w:ascii="Arial" w:hAnsi="Arial" w:cs="Arial"/>
                <w:color w:val="000000"/>
                <w:lang w:val="en-IN" w:eastAsia="en-IN"/>
              </w:rPr>
            </w:pPr>
            <w:r>
              <w:rPr>
                <w:rFonts w:ascii="Arial" w:hAnsi="Arial" w:cs="Arial"/>
                <w:color w:val="000000"/>
                <w:lang w:val="en-IN" w:eastAsia="en-IN"/>
              </w:rPr>
              <w:t>-0.15694</w:t>
            </w:r>
          </w:p>
        </w:tc>
        <w:tc>
          <w:tcPr>
            <w:tcW w:w="1218" w:type="dxa"/>
            <w:noWrap/>
          </w:tcPr>
          <w:p w14:paraId="136A86B2">
            <w:pPr>
              <w:spacing w:line="360" w:lineRule="auto"/>
              <w:jc w:val="right"/>
              <w:rPr>
                <w:rFonts w:ascii="Arial" w:hAnsi="Arial" w:cs="Arial"/>
                <w:color w:val="000000"/>
                <w:lang w:val="en-IN" w:eastAsia="en-IN"/>
              </w:rPr>
            </w:pPr>
            <w:r>
              <w:rPr>
                <w:rFonts w:ascii="Arial" w:hAnsi="Arial" w:cs="Arial"/>
                <w:color w:val="000000"/>
                <w:lang w:val="en-IN" w:eastAsia="en-IN"/>
              </w:rPr>
              <w:t>-0.54906</w:t>
            </w:r>
          </w:p>
        </w:tc>
        <w:tc>
          <w:tcPr>
            <w:tcW w:w="1218" w:type="dxa"/>
            <w:noWrap/>
          </w:tcPr>
          <w:p w14:paraId="78BE05BF">
            <w:pPr>
              <w:spacing w:line="360" w:lineRule="auto"/>
              <w:jc w:val="right"/>
              <w:rPr>
                <w:rFonts w:ascii="Arial" w:hAnsi="Arial" w:cs="Arial"/>
                <w:color w:val="000000"/>
                <w:lang w:val="en-IN" w:eastAsia="en-IN"/>
              </w:rPr>
            </w:pPr>
            <w:r>
              <w:rPr>
                <w:rFonts w:ascii="Arial" w:hAnsi="Arial" w:cs="Arial"/>
                <w:color w:val="000000"/>
                <w:lang w:val="en-IN" w:eastAsia="en-IN"/>
              </w:rPr>
              <w:t>0.001516</w:t>
            </w:r>
          </w:p>
        </w:tc>
        <w:tc>
          <w:tcPr>
            <w:tcW w:w="1218" w:type="dxa"/>
            <w:noWrap/>
          </w:tcPr>
          <w:p w14:paraId="2CEF5B3C">
            <w:pPr>
              <w:spacing w:line="360" w:lineRule="auto"/>
              <w:jc w:val="right"/>
              <w:rPr>
                <w:rFonts w:ascii="Arial" w:hAnsi="Arial" w:cs="Arial"/>
                <w:color w:val="000000"/>
                <w:lang w:val="en-IN" w:eastAsia="en-IN"/>
              </w:rPr>
            </w:pPr>
            <w:r>
              <w:rPr>
                <w:rFonts w:ascii="Arial" w:hAnsi="Arial" w:cs="Arial"/>
                <w:color w:val="000000"/>
                <w:lang w:val="en-IN" w:eastAsia="en-IN"/>
              </w:rPr>
              <w:t>0.01921</w:t>
            </w:r>
          </w:p>
        </w:tc>
        <w:tc>
          <w:tcPr>
            <w:tcW w:w="1218" w:type="dxa"/>
            <w:noWrap/>
          </w:tcPr>
          <w:p w14:paraId="758BE788">
            <w:pPr>
              <w:spacing w:line="360" w:lineRule="auto"/>
              <w:jc w:val="right"/>
              <w:rPr>
                <w:rFonts w:ascii="Arial" w:hAnsi="Arial" w:cs="Arial"/>
                <w:color w:val="000000"/>
                <w:lang w:val="en-IN" w:eastAsia="en-IN"/>
              </w:rPr>
            </w:pPr>
            <w:r>
              <w:rPr>
                <w:rFonts w:ascii="Arial" w:hAnsi="Arial" w:cs="Arial"/>
                <w:color w:val="000000"/>
                <w:lang w:val="en-IN" w:eastAsia="en-IN"/>
              </w:rPr>
              <w:t>0.123115</w:t>
            </w:r>
          </w:p>
        </w:tc>
      </w:tr>
      <w:tr w14:paraId="6BD27E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jc w:val="center"/>
        </w:trPr>
        <w:tc>
          <w:tcPr>
            <w:tcW w:w="2609" w:type="dxa"/>
            <w:noWrap/>
          </w:tcPr>
          <w:p w14:paraId="57DCF0B1">
            <w:pPr>
              <w:spacing w:line="360" w:lineRule="auto"/>
              <w:jc w:val="left"/>
              <w:rPr>
                <w:rFonts w:ascii="Arial" w:hAnsi="Arial" w:cs="Arial"/>
                <w:color w:val="000000"/>
                <w:lang w:val="en-IN" w:eastAsia="en-IN"/>
              </w:rPr>
            </w:pPr>
            <w:r>
              <w:rPr>
                <w:rFonts w:ascii="Arial" w:hAnsi="Arial" w:cs="Arial"/>
                <w:color w:val="000000"/>
                <w:lang w:val="en-IN" w:eastAsia="en-IN"/>
              </w:rPr>
              <w:t>Debt-to-Equity</w:t>
            </w:r>
          </w:p>
        </w:tc>
        <w:tc>
          <w:tcPr>
            <w:tcW w:w="1218" w:type="dxa"/>
            <w:noWrap/>
          </w:tcPr>
          <w:p w14:paraId="520A96F5">
            <w:pPr>
              <w:spacing w:line="360" w:lineRule="auto"/>
              <w:jc w:val="right"/>
              <w:rPr>
                <w:rFonts w:ascii="Arial" w:hAnsi="Arial" w:cs="Arial"/>
                <w:color w:val="000000"/>
                <w:lang w:val="en-IN" w:eastAsia="en-IN"/>
              </w:rPr>
            </w:pPr>
            <w:r>
              <w:rPr>
                <w:rFonts w:ascii="Arial" w:hAnsi="Arial" w:cs="Arial"/>
                <w:color w:val="000000"/>
                <w:lang w:val="en-IN" w:eastAsia="en-IN"/>
              </w:rPr>
              <w:t>1.111975</w:t>
            </w:r>
          </w:p>
        </w:tc>
        <w:tc>
          <w:tcPr>
            <w:tcW w:w="1218" w:type="dxa"/>
            <w:noWrap/>
          </w:tcPr>
          <w:p w14:paraId="7B4E1AFA">
            <w:pPr>
              <w:spacing w:line="360" w:lineRule="auto"/>
              <w:jc w:val="right"/>
              <w:rPr>
                <w:rFonts w:ascii="Arial" w:hAnsi="Arial" w:cs="Arial"/>
                <w:color w:val="000000"/>
                <w:lang w:val="en-IN" w:eastAsia="en-IN"/>
              </w:rPr>
            </w:pPr>
            <w:r>
              <w:rPr>
                <w:rFonts w:ascii="Arial" w:hAnsi="Arial" w:cs="Arial"/>
                <w:color w:val="000000"/>
                <w:lang w:val="en-IN" w:eastAsia="en-IN"/>
              </w:rPr>
              <w:t>0.989001</w:t>
            </w:r>
          </w:p>
        </w:tc>
        <w:tc>
          <w:tcPr>
            <w:tcW w:w="1218" w:type="dxa"/>
            <w:noWrap/>
          </w:tcPr>
          <w:p w14:paraId="7E6DF130">
            <w:pPr>
              <w:spacing w:line="360" w:lineRule="auto"/>
              <w:jc w:val="right"/>
              <w:rPr>
                <w:rFonts w:ascii="Arial" w:hAnsi="Arial" w:cs="Arial"/>
                <w:color w:val="000000"/>
                <w:lang w:val="en-IN" w:eastAsia="en-IN"/>
              </w:rPr>
            </w:pPr>
            <w:r>
              <w:rPr>
                <w:rFonts w:ascii="Arial" w:hAnsi="Arial" w:cs="Arial"/>
                <w:color w:val="000000"/>
                <w:lang w:val="en-IN" w:eastAsia="en-IN"/>
              </w:rPr>
              <w:t>0.87836</w:t>
            </w:r>
          </w:p>
        </w:tc>
        <w:tc>
          <w:tcPr>
            <w:tcW w:w="1218" w:type="dxa"/>
            <w:noWrap/>
          </w:tcPr>
          <w:p w14:paraId="5ACAAEC1">
            <w:pPr>
              <w:spacing w:line="360" w:lineRule="auto"/>
              <w:jc w:val="right"/>
              <w:rPr>
                <w:rFonts w:ascii="Arial" w:hAnsi="Arial" w:cs="Arial"/>
                <w:color w:val="000000"/>
                <w:lang w:val="en-IN" w:eastAsia="en-IN"/>
              </w:rPr>
            </w:pPr>
            <w:r>
              <w:rPr>
                <w:rFonts w:ascii="Arial" w:hAnsi="Arial" w:cs="Arial"/>
                <w:color w:val="000000"/>
                <w:lang w:val="en-IN" w:eastAsia="en-IN"/>
              </w:rPr>
              <w:t>0.849429</w:t>
            </w:r>
          </w:p>
        </w:tc>
        <w:tc>
          <w:tcPr>
            <w:tcW w:w="1218" w:type="dxa"/>
            <w:noWrap/>
          </w:tcPr>
          <w:p w14:paraId="2C9F06BE">
            <w:pPr>
              <w:spacing w:line="360" w:lineRule="auto"/>
              <w:jc w:val="right"/>
              <w:rPr>
                <w:rFonts w:ascii="Arial" w:hAnsi="Arial" w:cs="Arial"/>
                <w:color w:val="000000"/>
                <w:lang w:val="en-IN" w:eastAsia="en-IN"/>
              </w:rPr>
            </w:pPr>
            <w:r>
              <w:rPr>
                <w:rFonts w:ascii="Arial" w:hAnsi="Arial" w:cs="Arial"/>
                <w:color w:val="000000"/>
                <w:lang w:val="en-IN" w:eastAsia="en-IN"/>
              </w:rPr>
              <w:t>0.628753</w:t>
            </w:r>
          </w:p>
        </w:tc>
      </w:tr>
    </w:tbl>
    <w:p w14:paraId="1C374EB7">
      <w:pPr>
        <w:rPr>
          <w:rFonts w:ascii="Arial" w:hAnsi="Arial" w:cs="Arial"/>
          <w:b/>
          <w:bCs/>
          <w:color w:val="EE0000"/>
          <w:lang w:val="en-GB"/>
        </w:rPr>
      </w:pPr>
    </w:p>
    <w:p w14:paraId="2972A9DB">
      <w:pPr>
        <w:rPr>
          <w:rFonts w:ascii="Arial" w:hAnsi="Arial" w:cs="Arial"/>
          <w:b/>
          <w:bCs/>
          <w:color w:val="EE0000"/>
          <w:lang w:val="en-GB"/>
        </w:rPr>
      </w:pPr>
      <w:r>
        <w:rPr>
          <w:rFonts w:ascii="Arial" w:hAnsi="Arial" w:cs="Arial"/>
          <w:b/>
          <w:bCs/>
          <w:color w:val="EE0000"/>
          <w:lang w:val="en-GB"/>
        </w:rPr>
        <w:t>1. Gross Margin [</w:t>
      </w:r>
      <w:r>
        <w:rPr>
          <w:rFonts w:ascii="Arial" w:hAnsi="Arial" w:cs="Arial"/>
          <w:color w:val="EE0000"/>
          <w:lang w:val="en-GB"/>
        </w:rPr>
        <w:t>Gross Margin = Gross Profit ÷ Net Sales]</w:t>
      </w:r>
    </w:p>
    <w:p w14:paraId="2EEAFEDE">
      <w:pPr>
        <w:rPr>
          <w:rFonts w:ascii="Arial" w:hAnsi="Arial" w:cs="Arial"/>
          <w:color w:val="EE0000"/>
          <w:lang w:val="en-GB"/>
        </w:rPr>
      </w:pPr>
      <w:r>
        <w:rPr>
          <w:rFonts w:ascii="Arial" w:hAnsi="Arial" w:cs="Arial"/>
          <w:color w:val="EE0000"/>
          <w:lang w:val="en-GB"/>
        </w:rPr>
        <w:t>Example (2024):</w:t>
      </w:r>
    </w:p>
    <w:p w14:paraId="084048FE">
      <w:pPr>
        <w:rPr>
          <w:rFonts w:ascii="Arial" w:hAnsi="Arial" w:cs="Arial"/>
          <w:color w:val="EE0000"/>
          <w:lang w:val="en-GB"/>
        </w:rPr>
      </w:pPr>
      <w:r>
        <w:rPr>
          <w:rFonts w:ascii="Arial" w:hAnsi="Arial" w:cs="Arial"/>
          <w:color w:val="EE0000"/>
          <w:lang w:val="en-GB"/>
        </w:rPr>
        <w:t>Gross Profit = 113,994</w:t>
      </w:r>
    </w:p>
    <w:p w14:paraId="253CF08C">
      <w:pPr>
        <w:rPr>
          <w:rFonts w:ascii="Arial" w:hAnsi="Arial" w:cs="Arial"/>
          <w:color w:val="EE0000"/>
          <w:lang w:val="en-GB"/>
        </w:rPr>
      </w:pPr>
      <w:r>
        <w:rPr>
          <w:rFonts w:ascii="Arial" w:hAnsi="Arial" w:cs="Arial"/>
          <w:color w:val="EE0000"/>
          <w:lang w:val="en-GB"/>
        </w:rPr>
        <w:t>Net Sales = 394,879</w:t>
      </w:r>
    </w:p>
    <w:p w14:paraId="2DE4EE25">
      <w:pPr>
        <w:rPr>
          <w:rFonts w:ascii="Arial" w:hAnsi="Arial" w:cs="Arial"/>
          <w:color w:val="EE0000"/>
          <w:lang w:val="en-GB"/>
        </w:rPr>
      </w:pPr>
      <w:r>
        <w:rPr>
          <w:rFonts w:ascii="Arial" w:hAnsi="Arial" w:cs="Arial"/>
          <w:color w:val="EE0000"/>
          <w:lang w:val="en-GB"/>
        </w:rPr>
        <w:t>Step 1: 113,994 ÷ 394,879 = 0.2887</w:t>
      </w:r>
    </w:p>
    <w:p w14:paraId="4290DFA0">
      <w:pPr>
        <w:rPr>
          <w:rFonts w:ascii="Arial" w:hAnsi="Arial" w:cs="Arial"/>
          <w:color w:val="EE0000"/>
          <w:lang w:val="en-GB"/>
        </w:rPr>
      </w:pPr>
      <w:r>
        <w:rPr>
          <w:rFonts w:ascii="Arial" w:hAnsi="Arial" w:cs="Arial"/>
          <w:color w:val="EE0000"/>
          <w:lang w:val="en-GB"/>
        </w:rPr>
        <w:t>Final: 0.289</w:t>
      </w:r>
    </w:p>
    <w:p w14:paraId="4ADFE354">
      <w:pPr>
        <w:rPr>
          <w:rFonts w:ascii="Arial" w:hAnsi="Arial" w:cs="Arial"/>
          <w:color w:val="EE0000"/>
          <w:lang w:val="en-GB"/>
        </w:rPr>
      </w:pPr>
      <w:r>
        <w:rPr>
          <w:rFonts w:ascii="Arial" w:hAnsi="Arial" w:cs="Arial"/>
          <w:color w:val="EE0000"/>
          <w:lang w:val="en-GB"/>
        </w:rPr>
        <w:t>Apply same steps:</w:t>
      </w:r>
    </w:p>
    <w:p w14:paraId="0A20DE11">
      <w:pPr>
        <w:rPr>
          <w:rFonts w:ascii="Arial" w:hAnsi="Arial" w:cs="Arial"/>
          <w:color w:val="EE0000"/>
          <w:lang w:val="en-GB"/>
        </w:rPr>
      </w:pPr>
      <w:r>
        <w:rPr>
          <w:rFonts w:ascii="Arial" w:hAnsi="Arial" w:cs="Arial"/>
          <w:color w:val="EE0000"/>
          <w:lang w:val="en-GB"/>
        </w:rPr>
        <w:t>2023: 97,560 ÷ 420,457 = 0.232</w:t>
      </w:r>
    </w:p>
    <w:p w14:paraId="29F3EFC5">
      <w:pPr>
        <w:rPr>
          <w:rFonts w:ascii="Arial" w:hAnsi="Arial" w:cs="Arial"/>
          <w:color w:val="EE0000"/>
          <w:lang w:val="en-GB"/>
        </w:rPr>
      </w:pPr>
      <w:r>
        <w:rPr>
          <w:rFonts w:ascii="Arial" w:hAnsi="Arial" w:cs="Arial"/>
          <w:color w:val="EE0000"/>
          <w:lang w:val="en-GB"/>
        </w:rPr>
        <w:t>2022: 152,292 ÷ 542,751 = 0.281</w:t>
      </w:r>
    </w:p>
    <w:p w14:paraId="0E4217E2">
      <w:pPr>
        <w:rPr>
          <w:rFonts w:ascii="Arial" w:hAnsi="Arial" w:cs="Arial"/>
          <w:color w:val="EE0000"/>
          <w:lang w:val="en-GB"/>
        </w:rPr>
      </w:pPr>
      <w:r>
        <w:rPr>
          <w:rFonts w:ascii="Arial" w:hAnsi="Arial" w:cs="Arial"/>
          <w:color w:val="EE0000"/>
          <w:lang w:val="en-GB"/>
        </w:rPr>
        <w:t>2021: 173,016 ÷ 601,602 = 0.288</w:t>
      </w:r>
    </w:p>
    <w:p w14:paraId="189AFF3D">
      <w:pPr>
        <w:rPr>
          <w:rFonts w:ascii="Arial" w:hAnsi="Arial" w:cs="Arial"/>
          <w:color w:val="EE0000"/>
          <w:lang w:val="en-GB"/>
        </w:rPr>
      </w:pPr>
      <w:r>
        <w:rPr>
          <w:rFonts w:ascii="Arial" w:hAnsi="Arial" w:cs="Arial"/>
          <w:color w:val="EE0000"/>
          <w:lang w:val="en-GB"/>
        </w:rPr>
        <w:t>2020: 176,256 ÷ 614,680 = 0.287</w:t>
      </w:r>
    </w:p>
    <w:p w14:paraId="3376CB36">
      <w:pPr>
        <w:jc w:val="center"/>
        <w:rPr>
          <w:rFonts w:ascii="Arial" w:hAnsi="Arial" w:cs="Arial"/>
          <w:lang w:val="en-GB"/>
        </w:rPr>
      </w:pPr>
      <w:r>
        <w:drawing>
          <wp:inline distT="0" distB="0" distL="0" distR="0">
            <wp:extent cx="4617720" cy="2803525"/>
            <wp:effectExtent l="0" t="0" r="17780" b="15875"/>
            <wp:docPr id="88097991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269979A">
      <w:pPr>
        <w:jc w:val="center"/>
        <w:rPr>
          <w:rFonts w:ascii="Arial" w:hAnsi="Arial" w:cs="Arial"/>
          <w:lang w:val="en-GB"/>
        </w:rPr>
      </w:pPr>
      <w:r>
        <w:rPr>
          <w:rFonts w:ascii="Arial" w:hAnsi="Arial" w:cs="Arial"/>
          <w:lang w:val="en-GB"/>
        </w:rPr>
        <w:t xml:space="preserve"> (Source: Excel)</w:t>
      </w:r>
    </w:p>
    <w:p w14:paraId="439D349C">
      <w:pPr>
        <w:rPr>
          <w:rFonts w:ascii="Arial" w:hAnsi="Arial" w:cs="Arial"/>
          <w:b/>
          <w:bCs/>
          <w:color w:val="EE0000"/>
          <w:lang w:val="en-GB"/>
        </w:rPr>
      </w:pPr>
    </w:p>
    <w:p w14:paraId="7D3D7CFA">
      <w:pPr>
        <w:rPr>
          <w:rFonts w:ascii="Arial" w:hAnsi="Arial" w:cs="Arial"/>
          <w:b/>
          <w:bCs/>
          <w:color w:val="EE0000"/>
          <w:lang w:val="en-GB"/>
        </w:rPr>
      </w:pPr>
      <w:r>
        <w:rPr>
          <w:rFonts w:ascii="Arial" w:hAnsi="Arial" w:cs="Arial"/>
          <w:b/>
          <w:bCs/>
          <w:color w:val="EE0000"/>
          <w:lang w:val="en-GB"/>
        </w:rPr>
        <w:t>2. Operating Margin [</w:t>
      </w:r>
      <w:r>
        <w:rPr>
          <w:rFonts w:ascii="Arial" w:hAnsi="Arial" w:cs="Arial"/>
          <w:color w:val="EE0000"/>
          <w:lang w:val="en-GB"/>
        </w:rPr>
        <w:t>Operating Margin = Operating Income ÷ Net Sales]</w:t>
      </w:r>
    </w:p>
    <w:p w14:paraId="3AF07A68">
      <w:pPr>
        <w:rPr>
          <w:rFonts w:ascii="Arial" w:hAnsi="Arial" w:cs="Arial"/>
          <w:color w:val="EE0000"/>
          <w:lang w:val="en-GB"/>
        </w:rPr>
      </w:pPr>
      <w:r>
        <w:rPr>
          <w:rFonts w:ascii="Arial" w:hAnsi="Arial" w:cs="Arial"/>
          <w:color w:val="EE0000"/>
          <w:lang w:val="en-GB"/>
        </w:rPr>
        <w:t>Example (2024):</w:t>
      </w:r>
    </w:p>
    <w:p w14:paraId="3694BDBA">
      <w:pPr>
        <w:rPr>
          <w:rFonts w:ascii="Arial" w:hAnsi="Arial" w:cs="Arial"/>
          <w:color w:val="EE0000"/>
          <w:lang w:val="en-GB"/>
        </w:rPr>
      </w:pPr>
      <w:r>
        <w:rPr>
          <w:rFonts w:ascii="Arial" w:hAnsi="Arial" w:cs="Arial"/>
          <w:color w:val="EE0000"/>
          <w:lang w:val="en-GB"/>
        </w:rPr>
        <w:t>Operating Income = –15,297</w:t>
      </w:r>
    </w:p>
    <w:p w14:paraId="033F492A">
      <w:pPr>
        <w:rPr>
          <w:rFonts w:ascii="Arial" w:hAnsi="Arial" w:cs="Arial"/>
          <w:color w:val="EE0000"/>
          <w:lang w:val="en-GB"/>
        </w:rPr>
      </w:pPr>
      <w:r>
        <w:rPr>
          <w:rFonts w:ascii="Arial" w:hAnsi="Arial" w:cs="Arial"/>
          <w:color w:val="EE0000"/>
          <w:lang w:val="en-GB"/>
        </w:rPr>
        <w:t>Net Sales = 394,879</w:t>
      </w:r>
    </w:p>
    <w:p w14:paraId="2DE67367">
      <w:pPr>
        <w:rPr>
          <w:rFonts w:ascii="Arial" w:hAnsi="Arial" w:cs="Arial"/>
          <w:color w:val="EE0000"/>
          <w:lang w:val="en-GB"/>
        </w:rPr>
      </w:pPr>
      <w:r>
        <w:rPr>
          <w:rFonts w:ascii="Arial" w:hAnsi="Arial" w:cs="Arial"/>
          <w:color w:val="EE0000"/>
          <w:lang w:val="en-GB"/>
        </w:rPr>
        <w:t>Step: –15,297 ÷ 394,879 = –0.0387</w:t>
      </w:r>
    </w:p>
    <w:p w14:paraId="7CE5F129">
      <w:pPr>
        <w:rPr>
          <w:rFonts w:ascii="Arial" w:hAnsi="Arial" w:cs="Arial"/>
          <w:color w:val="EE0000"/>
          <w:lang w:val="en-GB"/>
        </w:rPr>
      </w:pPr>
      <w:r>
        <w:rPr>
          <w:rFonts w:ascii="Arial" w:hAnsi="Arial" w:cs="Arial"/>
          <w:color w:val="EE0000"/>
          <w:lang w:val="en-GB"/>
        </w:rPr>
        <w:t>Final: –0.039</w:t>
      </w:r>
    </w:p>
    <w:p w14:paraId="1C61B253">
      <w:pPr>
        <w:rPr>
          <w:rFonts w:ascii="Arial" w:hAnsi="Arial" w:cs="Arial"/>
          <w:color w:val="EE0000"/>
          <w:lang w:val="en-GB"/>
        </w:rPr>
      </w:pPr>
      <w:r>
        <w:rPr>
          <w:rFonts w:ascii="Arial" w:hAnsi="Arial" w:cs="Arial"/>
          <w:color w:val="EE0000"/>
          <w:lang w:val="en-GB"/>
        </w:rPr>
        <w:t>Other years:</w:t>
      </w:r>
    </w:p>
    <w:p w14:paraId="6B02DA5D">
      <w:pPr>
        <w:rPr>
          <w:rFonts w:ascii="Arial" w:hAnsi="Arial" w:cs="Arial"/>
          <w:color w:val="EE0000"/>
          <w:lang w:val="en-GB"/>
        </w:rPr>
      </w:pPr>
      <w:r>
        <w:rPr>
          <w:rFonts w:ascii="Arial" w:hAnsi="Arial" w:cs="Arial"/>
          <w:color w:val="EE0000"/>
          <w:lang w:val="en-GB"/>
        </w:rPr>
        <w:t>2023: –85,301 ÷ 420,457 = –0.203</w:t>
      </w:r>
    </w:p>
    <w:p w14:paraId="6780152C">
      <w:pPr>
        <w:rPr>
          <w:rFonts w:ascii="Arial" w:hAnsi="Arial" w:cs="Arial"/>
          <w:color w:val="EE0000"/>
          <w:lang w:val="en-GB"/>
        </w:rPr>
      </w:pPr>
      <w:r>
        <w:rPr>
          <w:rFonts w:ascii="Arial" w:hAnsi="Arial" w:cs="Arial"/>
          <w:color w:val="EE0000"/>
          <w:lang w:val="en-GB"/>
        </w:rPr>
        <w:t>2022: 14,548 ÷ 542,751 = 0.027</w:t>
      </w:r>
    </w:p>
    <w:p w14:paraId="37B92EB3">
      <w:pPr>
        <w:rPr>
          <w:rFonts w:ascii="Arial" w:hAnsi="Arial" w:cs="Arial"/>
          <w:color w:val="EE0000"/>
          <w:lang w:val="en-GB"/>
        </w:rPr>
      </w:pPr>
      <w:r>
        <w:rPr>
          <w:rFonts w:ascii="Arial" w:hAnsi="Arial" w:cs="Arial"/>
          <w:color w:val="EE0000"/>
          <w:lang w:val="en-GB"/>
        </w:rPr>
        <w:t>2021: 23,253 ÷ 601,602 = 0.039</w:t>
      </w:r>
    </w:p>
    <w:p w14:paraId="56414A37">
      <w:pPr>
        <w:rPr>
          <w:rFonts w:ascii="Arial" w:hAnsi="Arial" w:cs="Arial"/>
          <w:color w:val="EE0000"/>
          <w:lang w:val="en-GB"/>
        </w:rPr>
      </w:pPr>
      <w:r>
        <w:rPr>
          <w:rFonts w:ascii="Arial" w:hAnsi="Arial" w:cs="Arial"/>
          <w:color w:val="EE0000"/>
          <w:lang w:val="en-GB"/>
        </w:rPr>
        <w:t>2020: 37,267 ÷ 614,680 = 0.061</w:t>
      </w:r>
    </w:p>
    <w:p w14:paraId="4DEF6B5D">
      <w:pPr>
        <w:jc w:val="center"/>
        <w:rPr>
          <w:rFonts w:ascii="Arial" w:hAnsi="Arial" w:cs="Arial"/>
          <w:lang w:val="en-GB"/>
        </w:rPr>
      </w:pPr>
    </w:p>
    <w:p w14:paraId="39252BF7">
      <w:pPr>
        <w:jc w:val="center"/>
        <w:rPr>
          <w:rFonts w:ascii="Arial" w:hAnsi="Arial" w:cs="Arial"/>
          <w:lang w:val="en-GB"/>
        </w:rPr>
      </w:pPr>
      <w:r>
        <w:drawing>
          <wp:inline distT="0" distB="0" distL="0" distR="0">
            <wp:extent cx="4947920" cy="2623820"/>
            <wp:effectExtent l="0" t="0" r="5080" b="5080"/>
            <wp:docPr id="60438010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Pr>
          <w:rFonts w:ascii="Arial" w:hAnsi="Arial" w:cs="Arial"/>
          <w:lang w:val="en-GB"/>
        </w:rPr>
        <w:t xml:space="preserve"> </w:t>
      </w:r>
    </w:p>
    <w:p w14:paraId="5D982FAB">
      <w:pPr>
        <w:jc w:val="center"/>
        <w:rPr>
          <w:rFonts w:ascii="Arial" w:hAnsi="Arial" w:cs="Arial"/>
          <w:lang w:val="en-GB"/>
        </w:rPr>
      </w:pPr>
      <w:r>
        <w:rPr>
          <w:rFonts w:ascii="Arial" w:hAnsi="Arial" w:cs="Arial"/>
          <w:lang w:val="en-GB"/>
        </w:rPr>
        <w:t>(Source: Excel)</w:t>
      </w:r>
    </w:p>
    <w:p w14:paraId="60CA62E4">
      <w:pPr>
        <w:rPr>
          <w:rFonts w:ascii="Arial" w:hAnsi="Arial" w:cs="Arial"/>
          <w:b/>
          <w:bCs/>
          <w:color w:val="EE0000"/>
          <w:lang w:val="en-GB"/>
        </w:rPr>
      </w:pPr>
    </w:p>
    <w:p w14:paraId="4298873A">
      <w:pPr>
        <w:rPr>
          <w:rFonts w:ascii="Arial" w:hAnsi="Arial" w:cs="Arial"/>
          <w:b/>
          <w:bCs/>
          <w:color w:val="EE0000"/>
          <w:lang w:val="en-GB"/>
        </w:rPr>
      </w:pPr>
      <w:r>
        <w:rPr>
          <w:rFonts w:ascii="Arial" w:hAnsi="Arial" w:cs="Arial"/>
          <w:b/>
          <w:bCs/>
          <w:color w:val="EE0000"/>
          <w:lang w:val="en-GB"/>
        </w:rPr>
        <w:t>3. Net Margin [</w:t>
      </w:r>
      <w:r>
        <w:rPr>
          <w:rFonts w:ascii="Arial" w:hAnsi="Arial" w:cs="Arial"/>
          <w:color w:val="EE0000"/>
          <w:lang w:val="en-GB"/>
        </w:rPr>
        <w:t>Net Margin = Net Income ÷ Net Sales]</w:t>
      </w:r>
    </w:p>
    <w:p w14:paraId="70888F8A">
      <w:pPr>
        <w:rPr>
          <w:rFonts w:ascii="Arial" w:hAnsi="Arial" w:cs="Arial"/>
          <w:color w:val="EE0000"/>
          <w:lang w:val="en-GB"/>
        </w:rPr>
      </w:pPr>
      <w:r>
        <w:rPr>
          <w:rFonts w:ascii="Arial" w:hAnsi="Arial" w:cs="Arial"/>
          <w:color w:val="EE0000"/>
          <w:lang w:val="en-GB"/>
        </w:rPr>
        <w:t>Example (2024):</w:t>
      </w:r>
    </w:p>
    <w:p w14:paraId="41F7884F">
      <w:pPr>
        <w:rPr>
          <w:rFonts w:ascii="Arial" w:hAnsi="Arial" w:cs="Arial"/>
          <w:color w:val="EE0000"/>
          <w:lang w:val="en-GB"/>
        </w:rPr>
      </w:pPr>
      <w:r>
        <w:rPr>
          <w:rFonts w:ascii="Arial" w:hAnsi="Arial" w:cs="Arial"/>
          <w:color w:val="EE0000"/>
          <w:lang w:val="en-GB"/>
        </w:rPr>
        <w:t>Net Income = –24,029</w:t>
      </w:r>
    </w:p>
    <w:p w14:paraId="50351D2F">
      <w:pPr>
        <w:rPr>
          <w:rFonts w:ascii="Arial" w:hAnsi="Arial" w:cs="Arial"/>
          <w:color w:val="EE0000"/>
          <w:lang w:val="en-GB"/>
        </w:rPr>
      </w:pPr>
      <w:r>
        <w:rPr>
          <w:rFonts w:ascii="Arial" w:hAnsi="Arial" w:cs="Arial"/>
          <w:color w:val="EE0000"/>
          <w:lang w:val="en-GB"/>
        </w:rPr>
        <w:t>Net Sales = 394,879</w:t>
      </w:r>
    </w:p>
    <w:p w14:paraId="20AD6FCA">
      <w:pPr>
        <w:rPr>
          <w:rFonts w:ascii="Arial" w:hAnsi="Arial" w:cs="Arial"/>
          <w:color w:val="EE0000"/>
          <w:lang w:val="en-GB"/>
        </w:rPr>
      </w:pPr>
      <w:r>
        <w:rPr>
          <w:rFonts w:ascii="Arial" w:hAnsi="Arial" w:cs="Arial"/>
          <w:color w:val="EE0000"/>
          <w:lang w:val="en-GB"/>
        </w:rPr>
        <w:t>Step: –24,029 ÷ 394,879 = –0.0608</w:t>
      </w:r>
    </w:p>
    <w:p w14:paraId="38A65873">
      <w:pPr>
        <w:rPr>
          <w:rFonts w:ascii="Arial" w:hAnsi="Arial" w:cs="Arial"/>
          <w:color w:val="EE0000"/>
          <w:lang w:val="en-GB"/>
        </w:rPr>
      </w:pPr>
      <w:r>
        <w:rPr>
          <w:rFonts w:ascii="Arial" w:hAnsi="Arial" w:cs="Arial"/>
          <w:color w:val="EE0000"/>
          <w:lang w:val="en-GB"/>
        </w:rPr>
        <w:t>Final: –0.061</w:t>
      </w:r>
    </w:p>
    <w:p w14:paraId="609BF2DE">
      <w:pPr>
        <w:rPr>
          <w:rFonts w:ascii="Arial" w:hAnsi="Arial" w:cs="Arial"/>
          <w:color w:val="EE0000"/>
          <w:lang w:val="en-GB"/>
        </w:rPr>
      </w:pPr>
      <w:r>
        <w:rPr>
          <w:rFonts w:ascii="Arial" w:hAnsi="Arial" w:cs="Arial"/>
          <w:color w:val="EE0000"/>
          <w:lang w:val="en-GB"/>
        </w:rPr>
        <w:t>Other years:</w:t>
      </w:r>
    </w:p>
    <w:p w14:paraId="59C1063D">
      <w:pPr>
        <w:rPr>
          <w:rFonts w:ascii="Arial" w:hAnsi="Arial" w:cs="Arial"/>
          <w:color w:val="EE0000"/>
          <w:lang w:val="en-GB"/>
        </w:rPr>
      </w:pPr>
      <w:r>
        <w:rPr>
          <w:rFonts w:ascii="Arial" w:hAnsi="Arial" w:cs="Arial"/>
          <w:color w:val="EE0000"/>
          <w:lang w:val="en-GB"/>
        </w:rPr>
        <w:t>2023: –98,238 ÷ 420,457 = –0.234</w:t>
      </w:r>
    </w:p>
    <w:p w14:paraId="5D1938F6">
      <w:pPr>
        <w:rPr>
          <w:rFonts w:ascii="Arial" w:hAnsi="Arial" w:cs="Arial"/>
          <w:color w:val="EE0000"/>
          <w:lang w:val="en-GB"/>
        </w:rPr>
      </w:pPr>
      <w:r>
        <w:rPr>
          <w:rFonts w:ascii="Arial" w:hAnsi="Arial" w:cs="Arial"/>
          <w:color w:val="EE0000"/>
          <w:lang w:val="en-GB"/>
        </w:rPr>
        <w:t>2022: 407 ÷ 542,751 = 0.001</w:t>
      </w:r>
    </w:p>
    <w:p w14:paraId="2BAB174D">
      <w:pPr>
        <w:rPr>
          <w:rFonts w:ascii="Arial" w:hAnsi="Arial" w:cs="Arial"/>
          <w:color w:val="EE0000"/>
          <w:lang w:val="en-GB"/>
        </w:rPr>
      </w:pPr>
      <w:r>
        <w:rPr>
          <w:rFonts w:ascii="Arial" w:hAnsi="Arial" w:cs="Arial"/>
          <w:color w:val="EE0000"/>
          <w:lang w:val="en-GB"/>
        </w:rPr>
        <w:t>2021: 5,301 ÷ 601,602 = 0.009</w:t>
      </w:r>
    </w:p>
    <w:p w14:paraId="5DA9A7F5">
      <w:pPr>
        <w:rPr>
          <w:rFonts w:ascii="Arial" w:hAnsi="Arial" w:cs="Arial"/>
          <w:color w:val="EE0000"/>
          <w:lang w:val="en-GB"/>
        </w:rPr>
      </w:pPr>
      <w:r>
        <w:rPr>
          <w:rFonts w:ascii="Arial" w:hAnsi="Arial" w:cs="Arial"/>
          <w:color w:val="EE0000"/>
          <w:lang w:val="en-GB"/>
        </w:rPr>
        <w:t>2020: 38,572 ÷ 614,680 = 0.063</w:t>
      </w:r>
    </w:p>
    <w:p w14:paraId="71DC41E8">
      <w:pPr>
        <w:jc w:val="center"/>
        <w:rPr>
          <w:rFonts w:ascii="Arial" w:hAnsi="Arial" w:cs="Arial"/>
          <w:lang w:val="en-GB"/>
        </w:rPr>
      </w:pPr>
      <w:r>
        <w:drawing>
          <wp:inline distT="0" distB="0" distL="0" distR="0">
            <wp:extent cx="5062220" cy="2419350"/>
            <wp:effectExtent l="0" t="0" r="5080" b="0"/>
            <wp:docPr id="34738763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DE46234">
      <w:pPr>
        <w:jc w:val="center"/>
        <w:rPr>
          <w:rFonts w:ascii="Arial" w:hAnsi="Arial" w:cs="Arial"/>
          <w:lang w:val="en-GB"/>
        </w:rPr>
      </w:pPr>
      <w:r>
        <w:rPr>
          <w:rFonts w:ascii="Arial" w:hAnsi="Arial" w:cs="Arial"/>
          <w:lang w:val="en-GB"/>
        </w:rPr>
        <w:t>(Source: Excel)</w:t>
      </w:r>
    </w:p>
    <w:p w14:paraId="5F14E7D1">
      <w:pPr>
        <w:rPr>
          <w:rFonts w:ascii="Arial" w:hAnsi="Arial" w:cs="Arial"/>
          <w:b/>
          <w:bCs/>
          <w:color w:val="EE0000"/>
          <w:lang w:val="en-GB"/>
        </w:rPr>
      </w:pPr>
      <w:r>
        <w:rPr>
          <w:rFonts w:ascii="Arial" w:hAnsi="Arial" w:cs="Arial"/>
          <w:b/>
          <w:bCs/>
          <w:color w:val="EE0000"/>
          <w:lang w:val="en-GB"/>
        </w:rPr>
        <w:t>4. Current Ratio [</w:t>
      </w:r>
      <w:r>
        <w:rPr>
          <w:rFonts w:ascii="Arial" w:hAnsi="Arial" w:cs="Arial"/>
          <w:color w:val="EE0000"/>
          <w:lang w:val="en-GB"/>
        </w:rPr>
        <w:t>Current Ratio = Current Assets ÷ Current Liabilities]</w:t>
      </w:r>
    </w:p>
    <w:p w14:paraId="400E2EF8">
      <w:pPr>
        <w:rPr>
          <w:rFonts w:ascii="Arial" w:hAnsi="Arial" w:cs="Arial"/>
          <w:color w:val="EE0000"/>
          <w:lang w:val="en-GB"/>
        </w:rPr>
      </w:pPr>
      <w:r>
        <w:rPr>
          <w:rFonts w:ascii="Arial" w:hAnsi="Arial" w:cs="Arial"/>
          <w:color w:val="EE0000"/>
          <w:lang w:val="en-GB"/>
        </w:rPr>
        <w:t>Example (2024):</w:t>
      </w:r>
    </w:p>
    <w:p w14:paraId="7B2CA519">
      <w:pPr>
        <w:rPr>
          <w:rFonts w:ascii="Arial" w:hAnsi="Arial" w:cs="Arial"/>
          <w:color w:val="EE0000"/>
          <w:lang w:val="en-GB"/>
        </w:rPr>
      </w:pPr>
      <w:r>
        <w:rPr>
          <w:rFonts w:ascii="Arial" w:hAnsi="Arial" w:cs="Arial"/>
          <w:color w:val="EE0000"/>
          <w:lang w:val="en-GB"/>
        </w:rPr>
        <w:t>Current Assets = 242,494</w:t>
      </w:r>
    </w:p>
    <w:p w14:paraId="7AC6BB72">
      <w:pPr>
        <w:rPr>
          <w:rFonts w:ascii="Arial" w:hAnsi="Arial" w:cs="Arial"/>
          <w:color w:val="EE0000"/>
          <w:lang w:val="en-GB"/>
        </w:rPr>
      </w:pPr>
      <w:r>
        <w:rPr>
          <w:rFonts w:ascii="Arial" w:hAnsi="Arial" w:cs="Arial"/>
          <w:color w:val="EE0000"/>
          <w:lang w:val="en-GB"/>
        </w:rPr>
        <w:t>Current Liabilities = 158,291</w:t>
      </w:r>
    </w:p>
    <w:p w14:paraId="3511FEEC">
      <w:pPr>
        <w:rPr>
          <w:rFonts w:ascii="Arial" w:hAnsi="Arial" w:cs="Arial"/>
          <w:color w:val="EE0000"/>
          <w:lang w:val="en-GB"/>
        </w:rPr>
      </w:pPr>
      <w:r>
        <w:rPr>
          <w:rFonts w:ascii="Arial" w:hAnsi="Arial" w:cs="Arial"/>
          <w:color w:val="EE0000"/>
          <w:lang w:val="en-GB"/>
        </w:rPr>
        <w:t>Step: 242,494 ÷ 158,291 = 1.532</w:t>
      </w:r>
    </w:p>
    <w:p w14:paraId="0E6D7CFA">
      <w:pPr>
        <w:rPr>
          <w:rFonts w:ascii="Arial" w:hAnsi="Arial" w:cs="Arial"/>
          <w:color w:val="EE0000"/>
          <w:lang w:val="en-GB"/>
        </w:rPr>
      </w:pPr>
      <w:r>
        <w:rPr>
          <w:rFonts w:ascii="Arial" w:hAnsi="Arial" w:cs="Arial"/>
          <w:color w:val="EE0000"/>
          <w:lang w:val="en-GB"/>
        </w:rPr>
        <w:t>Final: 1.532</w:t>
      </w:r>
    </w:p>
    <w:p w14:paraId="1960431D">
      <w:pPr>
        <w:rPr>
          <w:rFonts w:ascii="Arial" w:hAnsi="Arial" w:cs="Arial"/>
          <w:color w:val="EE0000"/>
          <w:lang w:val="en-GB"/>
        </w:rPr>
      </w:pPr>
      <w:r>
        <w:rPr>
          <w:rFonts w:ascii="Arial" w:hAnsi="Arial" w:cs="Arial"/>
          <w:color w:val="EE0000"/>
          <w:lang w:val="en-GB"/>
        </w:rPr>
        <w:t>Other years:</w:t>
      </w:r>
    </w:p>
    <w:p w14:paraId="1CFB5D2B">
      <w:pPr>
        <w:rPr>
          <w:rFonts w:ascii="Arial" w:hAnsi="Arial" w:cs="Arial"/>
          <w:color w:val="EE0000"/>
          <w:lang w:val="en-GB"/>
        </w:rPr>
      </w:pPr>
      <w:r>
        <w:rPr>
          <w:rFonts w:ascii="Arial" w:hAnsi="Arial" w:cs="Arial"/>
          <w:color w:val="EE0000"/>
          <w:lang w:val="en-GB"/>
        </w:rPr>
        <w:t>2023: 258,851 ÷ 161,148 = 1.606</w:t>
      </w:r>
    </w:p>
    <w:p w14:paraId="723205D9">
      <w:pPr>
        <w:rPr>
          <w:rFonts w:ascii="Arial" w:hAnsi="Arial" w:cs="Arial"/>
          <w:color w:val="EE0000"/>
          <w:lang w:val="en-GB"/>
        </w:rPr>
      </w:pPr>
      <w:r>
        <w:rPr>
          <w:rFonts w:ascii="Arial" w:hAnsi="Arial" w:cs="Arial"/>
          <w:color w:val="EE0000"/>
          <w:lang w:val="en-GB"/>
        </w:rPr>
        <w:t>2022: 338,040 ÷ 216,473 = 1.562</w:t>
      </w:r>
    </w:p>
    <w:p w14:paraId="04173DC3">
      <w:pPr>
        <w:rPr>
          <w:rFonts w:ascii="Arial" w:hAnsi="Arial" w:cs="Arial"/>
          <w:color w:val="EE0000"/>
          <w:lang w:val="en-GB"/>
        </w:rPr>
      </w:pPr>
      <w:r>
        <w:rPr>
          <w:rFonts w:ascii="Arial" w:hAnsi="Arial" w:cs="Arial"/>
          <w:color w:val="EE0000"/>
          <w:lang w:val="en-GB"/>
        </w:rPr>
        <w:t>2021: 337,146 ÷ 216,787 = 1.555</w:t>
      </w:r>
    </w:p>
    <w:p w14:paraId="0AA912EC">
      <w:pPr>
        <w:rPr>
          <w:rFonts w:ascii="Arial" w:hAnsi="Arial" w:cs="Arial"/>
          <w:color w:val="EE0000"/>
          <w:lang w:val="en-GB"/>
        </w:rPr>
      </w:pPr>
      <w:r>
        <w:rPr>
          <w:rFonts w:ascii="Arial" w:hAnsi="Arial" w:cs="Arial"/>
          <w:color w:val="EE0000"/>
          <w:lang w:val="en-GB"/>
        </w:rPr>
        <w:t>2020: 326,843 ÷ 179,510 = 1.821</w:t>
      </w:r>
    </w:p>
    <w:p w14:paraId="7AD1E329">
      <w:pPr>
        <w:jc w:val="center"/>
        <w:rPr>
          <w:rFonts w:ascii="Arial" w:hAnsi="Arial" w:cs="Arial"/>
          <w:lang w:val="en-GB"/>
        </w:rPr>
      </w:pPr>
      <w:r>
        <w:drawing>
          <wp:inline distT="0" distB="0" distL="0" distR="0">
            <wp:extent cx="5805170" cy="3785870"/>
            <wp:effectExtent l="0" t="0" r="5080" b="5080"/>
            <wp:docPr id="193589528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Pr>
          <w:rFonts w:ascii="Arial" w:hAnsi="Arial" w:cs="Arial"/>
          <w:lang w:val="en-GB"/>
        </w:rPr>
        <w:t xml:space="preserve"> </w:t>
      </w:r>
    </w:p>
    <w:p w14:paraId="7F4DD740">
      <w:pPr>
        <w:jc w:val="center"/>
        <w:rPr>
          <w:rFonts w:ascii="Arial" w:hAnsi="Arial" w:cs="Arial"/>
          <w:lang w:val="en-GB"/>
        </w:rPr>
      </w:pPr>
      <w:r>
        <w:rPr>
          <w:rFonts w:ascii="Arial" w:hAnsi="Arial" w:cs="Arial"/>
          <w:lang w:val="en-GB"/>
        </w:rPr>
        <w:t>(Source: Excel)</w:t>
      </w:r>
    </w:p>
    <w:p w14:paraId="27A1641A">
      <w:pPr>
        <w:rPr>
          <w:rFonts w:ascii="Arial" w:hAnsi="Arial" w:cs="Arial"/>
          <w:b/>
          <w:bCs/>
          <w:color w:val="EE0000"/>
          <w:lang w:val="en-GB"/>
        </w:rPr>
      </w:pPr>
    </w:p>
    <w:p w14:paraId="185AE7B2">
      <w:pPr>
        <w:rPr>
          <w:rFonts w:ascii="Arial" w:hAnsi="Arial" w:cs="Arial"/>
          <w:b/>
          <w:bCs/>
          <w:color w:val="EE0000"/>
          <w:lang w:val="en-GB"/>
        </w:rPr>
      </w:pPr>
      <w:r>
        <w:rPr>
          <w:rFonts w:ascii="Arial" w:hAnsi="Arial" w:cs="Arial"/>
          <w:b/>
          <w:bCs/>
          <w:color w:val="EE0000"/>
          <w:lang w:val="en-GB"/>
        </w:rPr>
        <w:t>5. Quick Ratio [</w:t>
      </w:r>
      <w:r>
        <w:rPr>
          <w:rFonts w:ascii="Arial" w:hAnsi="Arial" w:cs="Arial"/>
          <w:color w:val="EE0000"/>
          <w:lang w:val="en-GB"/>
        </w:rPr>
        <w:t>Quick Ratio = (Current Assets – Inventory) ÷ Current Liabilities]</w:t>
      </w:r>
    </w:p>
    <w:p w14:paraId="72776104">
      <w:pPr>
        <w:rPr>
          <w:rFonts w:ascii="Arial" w:hAnsi="Arial" w:cs="Arial"/>
          <w:color w:val="EE0000"/>
          <w:lang w:val="en-GB"/>
        </w:rPr>
      </w:pPr>
      <w:r>
        <w:rPr>
          <w:rFonts w:ascii="Arial" w:hAnsi="Arial" w:cs="Arial"/>
          <w:color w:val="EE0000"/>
          <w:lang w:val="en-GB"/>
        </w:rPr>
        <w:t>Example (2024):</w:t>
      </w:r>
    </w:p>
    <w:p w14:paraId="68D1CFFC">
      <w:pPr>
        <w:rPr>
          <w:rFonts w:ascii="Arial" w:hAnsi="Arial" w:cs="Arial"/>
          <w:color w:val="EE0000"/>
          <w:lang w:val="en-GB"/>
        </w:rPr>
      </w:pPr>
      <w:r>
        <w:rPr>
          <w:rFonts w:ascii="Arial" w:hAnsi="Arial" w:cs="Arial"/>
          <w:color w:val="EE0000"/>
          <w:lang w:val="en-GB"/>
        </w:rPr>
        <w:t>Current Assets = 242,494</w:t>
      </w:r>
    </w:p>
    <w:p w14:paraId="5424E836">
      <w:pPr>
        <w:rPr>
          <w:rFonts w:ascii="Arial" w:hAnsi="Arial" w:cs="Arial"/>
          <w:color w:val="EE0000"/>
          <w:lang w:val="en-GB"/>
        </w:rPr>
      </w:pPr>
      <w:r>
        <w:rPr>
          <w:rFonts w:ascii="Arial" w:hAnsi="Arial" w:cs="Arial"/>
          <w:color w:val="EE0000"/>
          <w:lang w:val="en-GB"/>
        </w:rPr>
        <w:t>Inventory = 79,355</w:t>
      </w:r>
    </w:p>
    <w:p w14:paraId="26ED4E83">
      <w:pPr>
        <w:rPr>
          <w:rFonts w:ascii="Arial" w:hAnsi="Arial" w:cs="Arial"/>
          <w:color w:val="EE0000"/>
          <w:lang w:val="en-GB"/>
        </w:rPr>
      </w:pPr>
      <w:r>
        <w:rPr>
          <w:rFonts w:ascii="Arial" w:hAnsi="Arial" w:cs="Arial"/>
          <w:color w:val="EE0000"/>
          <w:lang w:val="en-GB"/>
        </w:rPr>
        <w:t>Current Liabilities = 158,291</w:t>
      </w:r>
    </w:p>
    <w:p w14:paraId="78E9CAD5">
      <w:pPr>
        <w:rPr>
          <w:rFonts w:ascii="Arial" w:hAnsi="Arial" w:cs="Arial"/>
          <w:color w:val="EE0000"/>
          <w:lang w:val="en-GB"/>
        </w:rPr>
      </w:pPr>
      <w:r>
        <w:rPr>
          <w:rFonts w:ascii="Arial" w:hAnsi="Arial" w:cs="Arial"/>
          <w:color w:val="EE0000"/>
          <w:lang w:val="en-GB"/>
        </w:rPr>
        <w:t>Step 1: 242,494 – 79,355 = 163,139</w:t>
      </w:r>
    </w:p>
    <w:p w14:paraId="3C174604">
      <w:pPr>
        <w:rPr>
          <w:rFonts w:ascii="Arial" w:hAnsi="Arial" w:cs="Arial"/>
          <w:color w:val="EE0000"/>
          <w:lang w:val="en-GB"/>
        </w:rPr>
      </w:pPr>
      <w:r>
        <w:rPr>
          <w:rFonts w:ascii="Arial" w:hAnsi="Arial" w:cs="Arial"/>
          <w:color w:val="EE0000"/>
          <w:lang w:val="en-GB"/>
        </w:rPr>
        <w:t>Step 2: 163,139 ÷ 158,291 = 1.031</w:t>
      </w:r>
    </w:p>
    <w:p w14:paraId="63E5CBDC">
      <w:pPr>
        <w:rPr>
          <w:rFonts w:ascii="Arial" w:hAnsi="Arial" w:cs="Arial"/>
          <w:color w:val="EE0000"/>
          <w:lang w:val="en-GB"/>
        </w:rPr>
      </w:pPr>
      <w:r>
        <w:rPr>
          <w:rFonts w:ascii="Arial" w:hAnsi="Arial" w:cs="Arial"/>
          <w:color w:val="EE0000"/>
          <w:lang w:val="en-GB"/>
        </w:rPr>
        <w:t>Final: 1.031</w:t>
      </w:r>
    </w:p>
    <w:p w14:paraId="4F14FBC0">
      <w:pPr>
        <w:jc w:val="center"/>
        <w:rPr>
          <w:rFonts w:ascii="Arial" w:hAnsi="Arial" w:cs="Arial"/>
          <w:lang w:val="en-GB"/>
        </w:rPr>
      </w:pPr>
      <w:r>
        <w:drawing>
          <wp:inline distT="0" distB="0" distL="0" distR="0">
            <wp:extent cx="5229225" cy="2752725"/>
            <wp:effectExtent l="0" t="0" r="9525" b="9525"/>
            <wp:docPr id="172722253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Pr>
          <w:rFonts w:ascii="Arial" w:hAnsi="Arial" w:cs="Arial"/>
          <w:lang w:val="en-GB"/>
        </w:rPr>
        <w:t xml:space="preserve"> </w:t>
      </w:r>
    </w:p>
    <w:p w14:paraId="1C72E87D">
      <w:pPr>
        <w:jc w:val="center"/>
        <w:rPr>
          <w:rFonts w:ascii="Arial" w:hAnsi="Arial" w:cs="Arial"/>
          <w:lang w:val="en-GB"/>
        </w:rPr>
      </w:pPr>
      <w:r>
        <w:rPr>
          <w:rFonts w:ascii="Arial" w:hAnsi="Arial" w:cs="Arial"/>
          <w:lang w:val="en-GB"/>
        </w:rPr>
        <w:t>(Source: Excel)</w:t>
      </w:r>
    </w:p>
    <w:p w14:paraId="1936F4FA">
      <w:pPr>
        <w:rPr>
          <w:rFonts w:ascii="Arial" w:hAnsi="Arial" w:cs="Arial"/>
          <w:b/>
          <w:bCs/>
          <w:color w:val="EE0000"/>
          <w:lang w:val="en-GB"/>
        </w:rPr>
      </w:pPr>
    </w:p>
    <w:p w14:paraId="673CA013">
      <w:pPr>
        <w:rPr>
          <w:rFonts w:ascii="Arial" w:hAnsi="Arial" w:cs="Arial"/>
          <w:b/>
          <w:bCs/>
          <w:color w:val="EE0000"/>
          <w:lang w:val="en-GB"/>
        </w:rPr>
      </w:pPr>
      <w:r>
        <w:rPr>
          <w:rFonts w:ascii="Arial" w:hAnsi="Arial" w:cs="Arial"/>
          <w:b/>
          <w:bCs/>
          <w:color w:val="EE0000"/>
          <w:lang w:val="en-GB"/>
        </w:rPr>
        <w:t>6. Inventory Days [</w:t>
      </w:r>
      <w:r>
        <w:rPr>
          <w:rFonts w:ascii="Arial" w:hAnsi="Arial" w:cs="Arial"/>
          <w:color w:val="EE0000"/>
          <w:lang w:val="en-GB"/>
        </w:rPr>
        <w:t>Inventory Days = (Inventory ÷ Cost of Sales) × 365]</w:t>
      </w:r>
    </w:p>
    <w:p w14:paraId="1BD5E567">
      <w:pPr>
        <w:rPr>
          <w:rFonts w:ascii="Arial" w:hAnsi="Arial" w:cs="Arial"/>
          <w:color w:val="EE0000"/>
          <w:lang w:val="en-GB"/>
        </w:rPr>
      </w:pPr>
      <w:r>
        <w:rPr>
          <w:rFonts w:ascii="Arial" w:hAnsi="Arial" w:cs="Arial"/>
          <w:color w:val="EE0000"/>
          <w:lang w:val="en-GB"/>
        </w:rPr>
        <w:t>Example (2024):</w:t>
      </w:r>
    </w:p>
    <w:p w14:paraId="77CE547D">
      <w:pPr>
        <w:rPr>
          <w:rFonts w:ascii="Arial" w:hAnsi="Arial" w:cs="Arial"/>
          <w:color w:val="EE0000"/>
          <w:lang w:val="en-GB"/>
        </w:rPr>
      </w:pPr>
      <w:r>
        <w:rPr>
          <w:rFonts w:ascii="Arial" w:hAnsi="Arial" w:cs="Arial"/>
          <w:color w:val="EE0000"/>
          <w:lang w:val="en-GB"/>
        </w:rPr>
        <w:t>Inventory = 79,355</w:t>
      </w:r>
    </w:p>
    <w:p w14:paraId="418C48D4">
      <w:pPr>
        <w:rPr>
          <w:rFonts w:ascii="Arial" w:hAnsi="Arial" w:cs="Arial"/>
          <w:color w:val="EE0000"/>
          <w:lang w:val="en-GB"/>
        </w:rPr>
      </w:pPr>
      <w:r>
        <w:rPr>
          <w:rFonts w:ascii="Arial" w:hAnsi="Arial" w:cs="Arial"/>
          <w:color w:val="EE0000"/>
          <w:lang w:val="en-GB"/>
        </w:rPr>
        <w:t>Cost of Sales = 280,885</w:t>
      </w:r>
    </w:p>
    <w:p w14:paraId="3DD2CBCD">
      <w:pPr>
        <w:rPr>
          <w:rFonts w:ascii="Arial" w:hAnsi="Arial" w:cs="Arial"/>
          <w:color w:val="EE0000"/>
          <w:lang w:val="en-GB"/>
        </w:rPr>
      </w:pPr>
      <w:r>
        <w:rPr>
          <w:rFonts w:ascii="Arial" w:hAnsi="Arial" w:cs="Arial"/>
          <w:color w:val="EE0000"/>
          <w:lang w:val="en-GB"/>
        </w:rPr>
        <w:t>Step 1: 79,355 ÷ 280,885 = 0.2825</w:t>
      </w:r>
    </w:p>
    <w:p w14:paraId="5AE148B2">
      <w:pPr>
        <w:rPr>
          <w:rFonts w:ascii="Arial" w:hAnsi="Arial" w:cs="Arial"/>
          <w:color w:val="EE0000"/>
          <w:lang w:val="en-GB"/>
        </w:rPr>
      </w:pPr>
      <w:r>
        <w:rPr>
          <w:rFonts w:ascii="Arial" w:hAnsi="Arial" w:cs="Arial"/>
          <w:color w:val="EE0000"/>
          <w:lang w:val="en-GB"/>
        </w:rPr>
        <w:t>Step 2: 0.2825 × 365 = 102.1</w:t>
      </w:r>
    </w:p>
    <w:p w14:paraId="0FAEAA9C">
      <w:pPr>
        <w:rPr>
          <w:rFonts w:ascii="Arial" w:hAnsi="Arial" w:cs="Arial"/>
          <w:color w:val="EE0000"/>
          <w:lang w:val="en-GB"/>
        </w:rPr>
      </w:pPr>
      <w:r>
        <w:rPr>
          <w:rFonts w:ascii="Arial" w:hAnsi="Arial" w:cs="Arial"/>
          <w:color w:val="EE0000"/>
          <w:lang w:val="en-GB"/>
        </w:rPr>
        <w:t>Final value: 73.351 days</w:t>
      </w:r>
    </w:p>
    <w:p w14:paraId="557FAC37">
      <w:pPr>
        <w:jc w:val="center"/>
        <w:rPr>
          <w:rFonts w:ascii="Arial" w:hAnsi="Arial" w:cs="Arial"/>
          <w:lang w:val="en-GB"/>
        </w:rPr>
      </w:pPr>
      <w:r>
        <w:drawing>
          <wp:inline distT="0" distB="0" distL="0" distR="0">
            <wp:extent cx="5191125" cy="2755900"/>
            <wp:effectExtent l="0" t="0" r="9525" b="6350"/>
            <wp:docPr id="1301674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BCDAD01">
      <w:pPr>
        <w:jc w:val="center"/>
        <w:rPr>
          <w:rFonts w:ascii="Arial" w:hAnsi="Arial" w:cs="Arial"/>
          <w:lang w:val="en-GB"/>
        </w:rPr>
      </w:pPr>
      <w:r>
        <w:rPr>
          <w:rFonts w:ascii="Arial" w:hAnsi="Arial" w:cs="Arial"/>
          <w:lang w:val="en-GB"/>
        </w:rPr>
        <w:t xml:space="preserve"> (Source: Excel)</w:t>
      </w:r>
    </w:p>
    <w:p w14:paraId="14A532CE">
      <w:pPr>
        <w:rPr>
          <w:rFonts w:ascii="Arial" w:hAnsi="Arial" w:cs="Arial"/>
          <w:b/>
          <w:bCs/>
          <w:color w:val="EE0000"/>
          <w:lang w:val="en-GB"/>
        </w:rPr>
      </w:pPr>
    </w:p>
    <w:p w14:paraId="51BE2193">
      <w:pPr>
        <w:rPr>
          <w:rFonts w:ascii="Arial" w:hAnsi="Arial" w:cs="Arial"/>
          <w:b/>
          <w:bCs/>
          <w:color w:val="EE0000"/>
          <w:lang w:val="en-GB"/>
        </w:rPr>
      </w:pPr>
      <w:r>
        <w:rPr>
          <w:rFonts w:ascii="Arial" w:hAnsi="Arial" w:cs="Arial"/>
          <w:b/>
          <w:bCs/>
          <w:color w:val="EE0000"/>
          <w:lang w:val="en-GB"/>
        </w:rPr>
        <w:t>7. Receivable Days [</w:t>
      </w:r>
      <w:r>
        <w:rPr>
          <w:rFonts w:ascii="Arial" w:hAnsi="Arial" w:cs="Arial"/>
          <w:color w:val="EE0000"/>
          <w:lang w:val="en-GB"/>
        </w:rPr>
        <w:t>Receivable Days = (Accounts Receivable ÷ Net Sales) × 365]</w:t>
      </w:r>
    </w:p>
    <w:p w14:paraId="061AEDD5">
      <w:pPr>
        <w:rPr>
          <w:rFonts w:ascii="Arial" w:hAnsi="Arial" w:cs="Arial"/>
          <w:color w:val="EE0000"/>
          <w:lang w:val="en-GB"/>
        </w:rPr>
      </w:pPr>
      <w:r>
        <w:rPr>
          <w:rFonts w:ascii="Arial" w:hAnsi="Arial" w:cs="Arial"/>
          <w:color w:val="EE0000"/>
          <w:lang w:val="en-GB"/>
        </w:rPr>
        <w:t>Example (2024):</w:t>
      </w:r>
    </w:p>
    <w:p w14:paraId="5222A74B">
      <w:pPr>
        <w:rPr>
          <w:rFonts w:ascii="Arial" w:hAnsi="Arial" w:cs="Arial"/>
          <w:color w:val="EE0000"/>
          <w:lang w:val="en-GB"/>
        </w:rPr>
      </w:pPr>
      <w:r>
        <w:rPr>
          <w:rFonts w:ascii="Arial" w:hAnsi="Arial" w:cs="Arial"/>
          <w:color w:val="EE0000"/>
          <w:lang w:val="en-GB"/>
        </w:rPr>
        <w:t>Receivables = 114,182</w:t>
      </w:r>
    </w:p>
    <w:p w14:paraId="1678DAD0">
      <w:pPr>
        <w:rPr>
          <w:rFonts w:ascii="Arial" w:hAnsi="Arial" w:cs="Arial"/>
          <w:color w:val="EE0000"/>
          <w:lang w:val="en-GB"/>
        </w:rPr>
      </w:pPr>
      <w:r>
        <w:rPr>
          <w:rFonts w:ascii="Arial" w:hAnsi="Arial" w:cs="Arial"/>
          <w:color w:val="EE0000"/>
          <w:lang w:val="en-GB"/>
        </w:rPr>
        <w:t>Sales = 394,879</w:t>
      </w:r>
    </w:p>
    <w:p w14:paraId="356F2CFD">
      <w:pPr>
        <w:rPr>
          <w:rFonts w:ascii="Arial" w:hAnsi="Arial" w:cs="Arial"/>
          <w:color w:val="EE0000"/>
          <w:lang w:val="en-GB"/>
        </w:rPr>
      </w:pPr>
      <w:r>
        <w:rPr>
          <w:rFonts w:ascii="Arial" w:hAnsi="Arial" w:cs="Arial"/>
          <w:color w:val="EE0000"/>
          <w:lang w:val="en-GB"/>
        </w:rPr>
        <w:t>Step 1: 114,182 ÷ 394,879 = 0.289</w:t>
      </w:r>
    </w:p>
    <w:p w14:paraId="051DAE12">
      <w:pPr>
        <w:rPr>
          <w:rFonts w:ascii="Arial" w:hAnsi="Arial" w:cs="Arial"/>
          <w:color w:val="EE0000"/>
          <w:lang w:val="en-GB"/>
        </w:rPr>
      </w:pPr>
      <w:r>
        <w:rPr>
          <w:rFonts w:ascii="Arial" w:hAnsi="Arial" w:cs="Arial"/>
          <w:color w:val="EE0000"/>
          <w:lang w:val="en-GB"/>
        </w:rPr>
        <w:t>Step 2: 0.289 × 365 = 105.54</w:t>
      </w:r>
    </w:p>
    <w:p w14:paraId="5EAB98F1">
      <w:pPr>
        <w:rPr>
          <w:rFonts w:ascii="Arial" w:hAnsi="Arial" w:cs="Arial"/>
          <w:color w:val="EE0000"/>
          <w:lang w:val="en-GB"/>
        </w:rPr>
      </w:pPr>
      <w:r>
        <w:rPr>
          <w:rFonts w:ascii="Arial" w:hAnsi="Arial" w:cs="Arial"/>
          <w:color w:val="EE0000"/>
          <w:lang w:val="en-GB"/>
        </w:rPr>
        <w:t>Final: 105.542 days</w:t>
      </w:r>
    </w:p>
    <w:p w14:paraId="0823C5B9">
      <w:pPr>
        <w:jc w:val="center"/>
        <w:rPr>
          <w:rFonts w:ascii="Arial" w:hAnsi="Arial" w:cs="Arial"/>
          <w:lang w:val="en-GB"/>
        </w:rPr>
      </w:pPr>
      <w:r>
        <w:drawing>
          <wp:inline distT="0" distB="0" distL="0" distR="0">
            <wp:extent cx="5300345" cy="3429000"/>
            <wp:effectExtent l="0" t="0" r="14605" b="0"/>
            <wp:docPr id="129713625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Pr>
          <w:rFonts w:ascii="Arial" w:hAnsi="Arial" w:cs="Arial"/>
          <w:lang w:val="en-GB"/>
        </w:rPr>
        <w:t xml:space="preserve"> </w:t>
      </w:r>
    </w:p>
    <w:p w14:paraId="7CB30B83">
      <w:pPr>
        <w:jc w:val="center"/>
        <w:rPr>
          <w:rFonts w:ascii="Arial" w:hAnsi="Arial" w:cs="Arial"/>
          <w:lang w:val="en-GB"/>
        </w:rPr>
      </w:pPr>
      <w:r>
        <w:rPr>
          <w:rFonts w:ascii="Arial" w:hAnsi="Arial" w:cs="Arial"/>
          <w:lang w:val="en-GB"/>
        </w:rPr>
        <w:t>(Source: Excel)</w:t>
      </w:r>
    </w:p>
    <w:p w14:paraId="56EDF40C">
      <w:pPr>
        <w:rPr>
          <w:rFonts w:ascii="Arial" w:hAnsi="Arial" w:cs="Arial"/>
          <w:b/>
          <w:bCs/>
          <w:color w:val="EE0000"/>
          <w:lang w:val="en-GB"/>
        </w:rPr>
      </w:pPr>
    </w:p>
    <w:p w14:paraId="017D8F5E">
      <w:pPr>
        <w:rPr>
          <w:rFonts w:ascii="Arial" w:hAnsi="Arial" w:cs="Arial"/>
          <w:b/>
          <w:bCs/>
          <w:color w:val="EE0000"/>
          <w:lang w:val="en-GB"/>
        </w:rPr>
      </w:pPr>
      <w:r>
        <w:rPr>
          <w:rFonts w:ascii="Arial" w:hAnsi="Arial" w:cs="Arial"/>
          <w:b/>
          <w:bCs/>
          <w:color w:val="EE0000"/>
          <w:lang w:val="en-GB"/>
        </w:rPr>
        <w:t>8. Payable Days [</w:t>
      </w:r>
      <w:r>
        <w:rPr>
          <w:rFonts w:ascii="Arial" w:hAnsi="Arial" w:cs="Arial"/>
          <w:color w:val="EE0000"/>
          <w:lang w:val="en-GB"/>
        </w:rPr>
        <w:t>Payable Days = (Accounts Payable ÷ Cost of Sales) × 365]</w:t>
      </w:r>
    </w:p>
    <w:p w14:paraId="48F1CBD6">
      <w:pPr>
        <w:rPr>
          <w:rFonts w:ascii="Arial" w:hAnsi="Arial" w:cs="Arial"/>
          <w:color w:val="EE0000"/>
          <w:lang w:val="en-GB"/>
        </w:rPr>
      </w:pPr>
      <w:r>
        <w:rPr>
          <w:rFonts w:ascii="Arial" w:hAnsi="Arial" w:cs="Arial"/>
          <w:color w:val="EE0000"/>
          <w:lang w:val="en-GB"/>
        </w:rPr>
        <w:t>Example (2024):</w:t>
      </w:r>
    </w:p>
    <w:p w14:paraId="7F259D8B">
      <w:pPr>
        <w:rPr>
          <w:rFonts w:ascii="Arial" w:hAnsi="Arial" w:cs="Arial"/>
          <w:color w:val="EE0000"/>
          <w:lang w:val="en-GB"/>
        </w:rPr>
      </w:pPr>
      <w:r>
        <w:rPr>
          <w:rFonts w:ascii="Arial" w:hAnsi="Arial" w:cs="Arial"/>
          <w:color w:val="EE0000"/>
          <w:lang w:val="en-GB"/>
        </w:rPr>
        <w:t>Accounts Payable = 72,031</w:t>
      </w:r>
    </w:p>
    <w:p w14:paraId="6119C9C4">
      <w:pPr>
        <w:rPr>
          <w:rFonts w:ascii="Arial" w:hAnsi="Arial" w:cs="Arial"/>
          <w:color w:val="EE0000"/>
          <w:lang w:val="en-GB"/>
        </w:rPr>
      </w:pPr>
      <w:r>
        <w:rPr>
          <w:rFonts w:ascii="Arial" w:hAnsi="Arial" w:cs="Arial"/>
          <w:color w:val="EE0000"/>
          <w:lang w:val="en-GB"/>
        </w:rPr>
        <w:t>Cost of Sales = 280,885</w:t>
      </w:r>
    </w:p>
    <w:p w14:paraId="355E502D">
      <w:pPr>
        <w:rPr>
          <w:rFonts w:ascii="Arial" w:hAnsi="Arial" w:cs="Arial"/>
          <w:color w:val="EE0000"/>
          <w:lang w:val="en-GB"/>
        </w:rPr>
      </w:pPr>
      <w:r>
        <w:rPr>
          <w:rFonts w:ascii="Arial" w:hAnsi="Arial" w:cs="Arial"/>
          <w:color w:val="EE0000"/>
          <w:lang w:val="en-GB"/>
        </w:rPr>
        <w:t>Step 1: 72,031 ÷ 280,885 = 0.2564</w:t>
      </w:r>
    </w:p>
    <w:p w14:paraId="7E369E5E">
      <w:pPr>
        <w:rPr>
          <w:rFonts w:ascii="Arial" w:hAnsi="Arial" w:cs="Arial"/>
          <w:color w:val="EE0000"/>
          <w:lang w:val="en-GB"/>
        </w:rPr>
      </w:pPr>
      <w:r>
        <w:rPr>
          <w:rFonts w:ascii="Arial" w:hAnsi="Arial" w:cs="Arial"/>
          <w:color w:val="EE0000"/>
          <w:lang w:val="en-GB"/>
        </w:rPr>
        <w:t>Step 2: 0.2564 × 365 = 66.58</w:t>
      </w:r>
    </w:p>
    <w:p w14:paraId="10667C0E">
      <w:pPr>
        <w:rPr>
          <w:rFonts w:ascii="Arial" w:hAnsi="Arial" w:cs="Arial"/>
          <w:color w:val="EE0000"/>
          <w:lang w:val="en-GB"/>
        </w:rPr>
      </w:pPr>
      <w:r>
        <w:rPr>
          <w:rFonts w:ascii="Arial" w:hAnsi="Arial" w:cs="Arial"/>
          <w:color w:val="EE0000"/>
          <w:lang w:val="en-GB"/>
        </w:rPr>
        <w:t>Final: 66.581 days</w:t>
      </w:r>
    </w:p>
    <w:p w14:paraId="2A918CD8">
      <w:pPr>
        <w:jc w:val="center"/>
        <w:rPr>
          <w:rFonts w:ascii="Arial" w:hAnsi="Arial" w:cs="Arial"/>
          <w:lang w:val="en-GB"/>
        </w:rPr>
      </w:pPr>
    </w:p>
    <w:p w14:paraId="04A435F2">
      <w:pPr>
        <w:jc w:val="center"/>
        <w:rPr>
          <w:rFonts w:ascii="Arial" w:hAnsi="Arial" w:cs="Arial"/>
          <w:lang w:val="en-GB"/>
        </w:rPr>
      </w:pPr>
      <w:r>
        <w:drawing>
          <wp:inline distT="0" distB="0" distL="0" distR="0">
            <wp:extent cx="5328920" cy="3152775"/>
            <wp:effectExtent l="0" t="0" r="5080" b="9525"/>
            <wp:docPr id="129180739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Pr>
          <w:rFonts w:ascii="Arial" w:hAnsi="Arial" w:cs="Arial"/>
          <w:lang w:val="en-GB"/>
        </w:rPr>
        <w:t xml:space="preserve"> </w:t>
      </w:r>
    </w:p>
    <w:p w14:paraId="098CE17C">
      <w:pPr>
        <w:jc w:val="center"/>
        <w:rPr>
          <w:rFonts w:ascii="Arial" w:hAnsi="Arial" w:cs="Arial"/>
          <w:lang w:val="en-GB"/>
        </w:rPr>
      </w:pPr>
      <w:r>
        <w:rPr>
          <w:rFonts w:ascii="Arial" w:hAnsi="Arial" w:cs="Arial"/>
          <w:lang w:val="en-GB"/>
        </w:rPr>
        <w:t>(Source: Excel)</w:t>
      </w:r>
    </w:p>
    <w:p w14:paraId="41078FE4">
      <w:pPr>
        <w:rPr>
          <w:rFonts w:ascii="Arial" w:hAnsi="Arial" w:cs="Arial"/>
          <w:b/>
          <w:bCs/>
          <w:color w:val="EE0000"/>
          <w:lang w:val="en-GB"/>
        </w:rPr>
      </w:pPr>
    </w:p>
    <w:p w14:paraId="50972270">
      <w:pPr>
        <w:rPr>
          <w:rFonts w:ascii="Arial" w:hAnsi="Arial" w:cs="Arial"/>
          <w:b/>
          <w:bCs/>
          <w:color w:val="EE0000"/>
          <w:lang w:val="en-GB"/>
        </w:rPr>
      </w:pPr>
      <w:r>
        <w:rPr>
          <w:rFonts w:ascii="Arial" w:hAnsi="Arial" w:cs="Arial"/>
          <w:b/>
          <w:bCs/>
          <w:color w:val="EE0000"/>
          <w:lang w:val="en-GB"/>
        </w:rPr>
        <w:t>9. Return on Assets (ROA) [</w:t>
      </w:r>
      <w:r>
        <w:rPr>
          <w:rFonts w:ascii="Arial" w:hAnsi="Arial" w:cs="Arial"/>
          <w:color w:val="EE0000"/>
          <w:lang w:val="en-GB"/>
        </w:rPr>
        <w:t>ROA = Net Income ÷ Total Assets]</w:t>
      </w:r>
    </w:p>
    <w:p w14:paraId="5110FCE7">
      <w:pPr>
        <w:rPr>
          <w:rFonts w:ascii="Arial" w:hAnsi="Arial" w:cs="Arial"/>
          <w:color w:val="EE0000"/>
          <w:lang w:val="en-GB"/>
        </w:rPr>
      </w:pPr>
      <w:r>
        <w:rPr>
          <w:rFonts w:ascii="Arial" w:hAnsi="Arial" w:cs="Arial"/>
          <w:color w:val="EE0000"/>
          <w:lang w:val="en-GB"/>
        </w:rPr>
        <w:t>Example (2024):</w:t>
      </w:r>
    </w:p>
    <w:p w14:paraId="13C2F812">
      <w:pPr>
        <w:rPr>
          <w:rFonts w:ascii="Arial" w:hAnsi="Arial" w:cs="Arial"/>
          <w:color w:val="EE0000"/>
          <w:lang w:val="en-GB"/>
        </w:rPr>
      </w:pPr>
      <w:r>
        <w:rPr>
          <w:rFonts w:ascii="Arial" w:hAnsi="Arial" w:cs="Arial"/>
          <w:color w:val="EE0000"/>
          <w:lang w:val="en-GB"/>
        </w:rPr>
        <w:t>Net Income = –24,029</w:t>
      </w:r>
    </w:p>
    <w:p w14:paraId="39B38F53">
      <w:pPr>
        <w:rPr>
          <w:rFonts w:ascii="Arial" w:hAnsi="Arial" w:cs="Arial"/>
          <w:color w:val="EE0000"/>
          <w:lang w:val="en-GB"/>
        </w:rPr>
      </w:pPr>
      <w:r>
        <w:rPr>
          <w:rFonts w:ascii="Arial" w:hAnsi="Arial" w:cs="Arial"/>
          <w:color w:val="EE0000"/>
          <w:lang w:val="en-GB"/>
        </w:rPr>
        <w:t>Total Assets = 323,354</w:t>
      </w:r>
    </w:p>
    <w:p w14:paraId="388E3340">
      <w:pPr>
        <w:rPr>
          <w:rFonts w:ascii="Arial" w:hAnsi="Arial" w:cs="Arial"/>
          <w:color w:val="EE0000"/>
          <w:lang w:val="en-GB"/>
        </w:rPr>
      </w:pPr>
      <w:r>
        <w:rPr>
          <w:rFonts w:ascii="Arial" w:hAnsi="Arial" w:cs="Arial"/>
          <w:color w:val="EE0000"/>
          <w:lang w:val="en-GB"/>
        </w:rPr>
        <w:t>Step: –24,029 ÷ 323,354 = –0.0743</w:t>
      </w:r>
    </w:p>
    <w:p w14:paraId="4250FEC2">
      <w:pPr>
        <w:rPr>
          <w:rFonts w:ascii="Arial" w:hAnsi="Arial" w:cs="Arial"/>
          <w:color w:val="EE0000"/>
          <w:lang w:val="en-GB"/>
        </w:rPr>
      </w:pPr>
      <w:r>
        <w:rPr>
          <w:rFonts w:ascii="Arial" w:hAnsi="Arial" w:cs="Arial"/>
          <w:color w:val="EE0000"/>
          <w:lang w:val="en-GB"/>
        </w:rPr>
        <w:t>Final: –0.074</w:t>
      </w:r>
    </w:p>
    <w:p w14:paraId="2E038630">
      <w:pPr>
        <w:jc w:val="center"/>
        <w:rPr>
          <w:rFonts w:ascii="Arial" w:hAnsi="Arial" w:cs="Arial"/>
          <w:lang w:val="en-GB"/>
        </w:rPr>
      </w:pPr>
      <w:r>
        <w:drawing>
          <wp:inline distT="0" distB="0" distL="0" distR="0">
            <wp:extent cx="4966970" cy="3067050"/>
            <wp:effectExtent l="0" t="0" r="5080" b="0"/>
            <wp:docPr id="105207770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Pr>
          <w:rFonts w:ascii="Arial" w:hAnsi="Arial" w:cs="Arial"/>
          <w:lang w:val="en-GB"/>
        </w:rPr>
        <w:t xml:space="preserve"> </w:t>
      </w:r>
    </w:p>
    <w:p w14:paraId="2C0B3617">
      <w:pPr>
        <w:jc w:val="center"/>
        <w:rPr>
          <w:rFonts w:ascii="Arial" w:hAnsi="Arial" w:cs="Arial"/>
          <w:lang w:val="en-GB"/>
        </w:rPr>
      </w:pPr>
      <w:r>
        <w:rPr>
          <w:rFonts w:ascii="Arial" w:hAnsi="Arial" w:cs="Arial"/>
          <w:lang w:val="en-GB"/>
        </w:rPr>
        <w:t>(Source: Excel)</w:t>
      </w:r>
    </w:p>
    <w:p w14:paraId="575EDD79">
      <w:pPr>
        <w:rPr>
          <w:rFonts w:ascii="Arial" w:hAnsi="Arial" w:cs="Arial"/>
          <w:b/>
          <w:bCs/>
          <w:color w:val="EE0000"/>
          <w:lang w:val="en-GB"/>
        </w:rPr>
      </w:pPr>
    </w:p>
    <w:p w14:paraId="1810EE19">
      <w:pPr>
        <w:rPr>
          <w:rFonts w:ascii="Arial" w:hAnsi="Arial" w:cs="Arial"/>
          <w:b/>
          <w:bCs/>
          <w:color w:val="EE0000"/>
          <w:lang w:val="en-GB"/>
        </w:rPr>
      </w:pPr>
      <w:r>
        <w:rPr>
          <w:rFonts w:ascii="Arial" w:hAnsi="Arial" w:cs="Arial"/>
          <w:b/>
          <w:bCs/>
          <w:color w:val="EE0000"/>
          <w:lang w:val="en-GB"/>
        </w:rPr>
        <w:t>10. Return on Equity (ROE) [</w:t>
      </w:r>
      <w:r>
        <w:rPr>
          <w:rFonts w:ascii="Arial" w:hAnsi="Arial" w:cs="Arial"/>
          <w:color w:val="EE0000"/>
          <w:lang w:val="en-GB"/>
        </w:rPr>
        <w:t>ROE = Net Income ÷ Total Equity]</w:t>
      </w:r>
    </w:p>
    <w:p w14:paraId="5C8AFA50">
      <w:pPr>
        <w:rPr>
          <w:rFonts w:ascii="Arial" w:hAnsi="Arial" w:cs="Arial"/>
          <w:color w:val="EE0000"/>
          <w:lang w:val="en-GB"/>
        </w:rPr>
      </w:pPr>
      <w:r>
        <w:rPr>
          <w:rFonts w:ascii="Arial" w:hAnsi="Arial" w:cs="Arial"/>
          <w:color w:val="EE0000"/>
          <w:lang w:val="en-GB"/>
        </w:rPr>
        <w:t>Example (2024):</w:t>
      </w:r>
    </w:p>
    <w:p w14:paraId="5AB1C8F8">
      <w:pPr>
        <w:rPr>
          <w:rFonts w:ascii="Arial" w:hAnsi="Arial" w:cs="Arial"/>
          <w:color w:val="EE0000"/>
          <w:lang w:val="en-GB"/>
        </w:rPr>
      </w:pPr>
      <w:r>
        <w:rPr>
          <w:rFonts w:ascii="Arial" w:hAnsi="Arial" w:cs="Arial"/>
          <w:color w:val="EE0000"/>
          <w:lang w:val="en-GB"/>
        </w:rPr>
        <w:t>Net Income = –24,029</w:t>
      </w:r>
    </w:p>
    <w:p w14:paraId="7177C03C">
      <w:pPr>
        <w:rPr>
          <w:rFonts w:ascii="Arial" w:hAnsi="Arial" w:cs="Arial"/>
          <w:color w:val="EE0000"/>
          <w:lang w:val="en-GB"/>
        </w:rPr>
      </w:pPr>
      <w:r>
        <w:rPr>
          <w:rFonts w:ascii="Arial" w:hAnsi="Arial" w:cs="Arial"/>
          <w:color w:val="EE0000"/>
          <w:lang w:val="en-GB"/>
        </w:rPr>
        <w:t>Equity = 153,105</w:t>
      </w:r>
    </w:p>
    <w:p w14:paraId="1A16BE74">
      <w:pPr>
        <w:rPr>
          <w:rFonts w:ascii="Arial" w:hAnsi="Arial" w:cs="Arial"/>
          <w:color w:val="EE0000"/>
          <w:lang w:val="en-GB"/>
        </w:rPr>
      </w:pPr>
      <w:r>
        <w:rPr>
          <w:rFonts w:ascii="Arial" w:hAnsi="Arial" w:cs="Arial"/>
          <w:color w:val="EE0000"/>
          <w:lang w:val="en-GB"/>
        </w:rPr>
        <w:t>Step: –24,029 ÷ 153,105 = –0.157</w:t>
      </w:r>
    </w:p>
    <w:p w14:paraId="759516F8">
      <w:pPr>
        <w:rPr>
          <w:rFonts w:ascii="Arial" w:hAnsi="Arial" w:cs="Arial"/>
          <w:color w:val="EE0000"/>
          <w:lang w:val="en-GB"/>
        </w:rPr>
      </w:pPr>
      <w:r>
        <w:rPr>
          <w:rFonts w:ascii="Arial" w:hAnsi="Arial" w:cs="Arial"/>
          <w:color w:val="EE0000"/>
          <w:lang w:val="en-GB"/>
        </w:rPr>
        <w:t>Final: –0.157</w:t>
      </w:r>
    </w:p>
    <w:p w14:paraId="21D8CD2D">
      <w:pPr>
        <w:jc w:val="center"/>
        <w:rPr>
          <w:rFonts w:ascii="Arial" w:hAnsi="Arial" w:cs="Arial"/>
          <w:b/>
          <w:bCs/>
          <w:color w:val="EE0000"/>
          <w:lang w:val="en-GB"/>
        </w:rPr>
      </w:pPr>
      <w:r>
        <w:drawing>
          <wp:inline distT="0" distB="0" distL="0" distR="0">
            <wp:extent cx="5295900" cy="2895600"/>
            <wp:effectExtent l="0" t="0" r="0" b="0"/>
            <wp:docPr id="139069445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A2C3CBE">
      <w:pPr>
        <w:jc w:val="center"/>
        <w:rPr>
          <w:rFonts w:ascii="Arial" w:hAnsi="Arial" w:cs="Arial"/>
          <w:lang w:val="en-GB"/>
        </w:rPr>
      </w:pPr>
      <w:r>
        <w:rPr>
          <w:rFonts w:ascii="Arial" w:hAnsi="Arial" w:cs="Arial"/>
          <w:lang w:val="en-GB"/>
        </w:rPr>
        <w:t>(Source: Excel)</w:t>
      </w:r>
    </w:p>
    <w:p w14:paraId="0F49B833">
      <w:pPr>
        <w:jc w:val="center"/>
        <w:rPr>
          <w:rFonts w:ascii="Arial" w:hAnsi="Arial" w:cs="Arial"/>
          <w:b/>
          <w:bCs/>
          <w:color w:val="EE0000"/>
          <w:lang w:val="en-GB"/>
        </w:rPr>
      </w:pPr>
    </w:p>
    <w:p w14:paraId="7E68C930">
      <w:pPr>
        <w:rPr>
          <w:rFonts w:ascii="Arial" w:hAnsi="Arial" w:cs="Arial"/>
          <w:b/>
          <w:bCs/>
          <w:color w:val="EE0000"/>
          <w:lang w:val="en-GB"/>
        </w:rPr>
      </w:pPr>
      <w:r>
        <w:rPr>
          <w:rFonts w:ascii="Arial" w:hAnsi="Arial" w:cs="Arial"/>
          <w:b/>
          <w:bCs/>
          <w:color w:val="EE0000"/>
          <w:lang w:val="en-GB"/>
        </w:rPr>
        <w:t>11. Debt-to-Equity Ratio [</w:t>
      </w:r>
      <w:r>
        <w:rPr>
          <w:rFonts w:ascii="Arial" w:hAnsi="Arial" w:cs="Arial"/>
          <w:color w:val="EE0000"/>
          <w:lang w:val="en-GB"/>
        </w:rPr>
        <w:t>Debt-to-Equity = Total Liabilities ÷ Total Equity]</w:t>
      </w:r>
    </w:p>
    <w:p w14:paraId="14FB23B0">
      <w:pPr>
        <w:rPr>
          <w:rFonts w:ascii="Arial" w:hAnsi="Arial" w:cs="Arial"/>
          <w:color w:val="EE0000"/>
          <w:lang w:val="en-GB"/>
        </w:rPr>
      </w:pPr>
      <w:r>
        <w:rPr>
          <w:rFonts w:ascii="Arial" w:hAnsi="Arial" w:cs="Arial"/>
          <w:color w:val="EE0000"/>
          <w:lang w:val="en-GB"/>
        </w:rPr>
        <w:t>Example (2024):</w:t>
      </w:r>
    </w:p>
    <w:p w14:paraId="0194C3F9">
      <w:pPr>
        <w:rPr>
          <w:rFonts w:ascii="Arial" w:hAnsi="Arial" w:cs="Arial"/>
          <w:color w:val="EE0000"/>
          <w:lang w:val="en-GB"/>
        </w:rPr>
      </w:pPr>
      <w:r>
        <w:rPr>
          <w:rFonts w:ascii="Arial" w:hAnsi="Arial" w:cs="Arial"/>
          <w:color w:val="EE0000"/>
          <w:lang w:val="en-GB"/>
        </w:rPr>
        <w:t>Liabilities = 170,249</w:t>
      </w:r>
    </w:p>
    <w:p w14:paraId="432EE14D">
      <w:pPr>
        <w:rPr>
          <w:rFonts w:ascii="Arial" w:hAnsi="Arial" w:cs="Arial"/>
          <w:color w:val="EE0000"/>
          <w:lang w:val="en-GB"/>
        </w:rPr>
      </w:pPr>
      <w:r>
        <w:rPr>
          <w:rFonts w:ascii="Arial" w:hAnsi="Arial" w:cs="Arial"/>
          <w:color w:val="EE0000"/>
          <w:lang w:val="en-GB"/>
        </w:rPr>
        <w:t>Equity = 153,105</w:t>
      </w:r>
    </w:p>
    <w:p w14:paraId="78862980">
      <w:pPr>
        <w:rPr>
          <w:rFonts w:ascii="Arial" w:hAnsi="Arial" w:cs="Arial"/>
          <w:color w:val="EE0000"/>
          <w:lang w:val="en-GB"/>
        </w:rPr>
      </w:pPr>
      <w:r>
        <w:rPr>
          <w:rFonts w:ascii="Arial" w:hAnsi="Arial" w:cs="Arial"/>
          <w:color w:val="EE0000"/>
          <w:lang w:val="en-GB"/>
        </w:rPr>
        <w:t>Step: 170,249 ÷ 153,105 = 1.112</w:t>
      </w:r>
    </w:p>
    <w:p w14:paraId="640C487E">
      <w:pPr>
        <w:rPr>
          <w:rFonts w:ascii="Arial" w:hAnsi="Arial" w:cs="Arial"/>
          <w:color w:val="EE0000"/>
          <w:lang w:val="en-GB"/>
        </w:rPr>
      </w:pPr>
      <w:r>
        <w:rPr>
          <w:rFonts w:ascii="Arial" w:hAnsi="Arial" w:cs="Arial"/>
          <w:color w:val="EE0000"/>
          <w:lang w:val="en-GB"/>
        </w:rPr>
        <w:t>Final: 1.112</w:t>
      </w:r>
    </w:p>
    <w:p w14:paraId="77D6ED94">
      <w:pPr>
        <w:jc w:val="center"/>
        <w:rPr>
          <w:rFonts w:ascii="Arial" w:hAnsi="Arial" w:cs="Arial"/>
          <w:lang w:val="en-GB"/>
        </w:rPr>
      </w:pPr>
      <w:r>
        <w:drawing>
          <wp:inline distT="0" distB="0" distL="0" distR="0">
            <wp:extent cx="4596765" cy="2756535"/>
            <wp:effectExtent l="0" t="0" r="13335" b="12065"/>
            <wp:docPr id="111370255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645F8F8">
      <w:pPr>
        <w:jc w:val="center"/>
        <w:rPr>
          <w:rFonts w:ascii="Arial" w:hAnsi="Arial" w:cs="Arial"/>
          <w:lang w:val="en-GB"/>
        </w:rPr>
      </w:pPr>
      <w:r>
        <w:rPr>
          <w:rFonts w:ascii="Arial" w:hAnsi="Arial" w:cs="Arial"/>
          <w:lang w:val="en-GB"/>
        </w:rPr>
        <w:t>(Source: Excel)</w:t>
      </w:r>
    </w:p>
    <w:p w14:paraId="6E4690A4">
      <w:pPr>
        <w:rPr>
          <w:rFonts w:ascii="Arial" w:hAnsi="Arial" w:cs="Arial"/>
          <w:b/>
          <w:bCs/>
          <w:lang w:val="en-GB"/>
        </w:rPr>
      </w:pPr>
      <w:bookmarkStart w:id="91" w:name="_4bnphs4wyufs" w:colFirst="0" w:colLast="0"/>
      <w:bookmarkEnd w:id="91"/>
      <w:r>
        <w:rPr>
          <w:rFonts w:ascii="Arial" w:hAnsi="Arial" w:cs="Arial"/>
          <w:lang w:val="en-GB"/>
        </w:rPr>
        <w:br w:type="page"/>
      </w:r>
    </w:p>
    <w:p w14:paraId="056D0ADA">
      <w:pPr>
        <w:pStyle w:val="3"/>
        <w:rPr>
          <w:rFonts w:ascii="Arial" w:hAnsi="Arial" w:cs="Arial"/>
          <w:lang w:val="en-GB"/>
        </w:rPr>
      </w:pPr>
      <w:bookmarkStart w:id="92" w:name="_Toc216438069"/>
      <w:r>
        <w:rPr>
          <w:rFonts w:ascii="Arial" w:hAnsi="Arial" w:cs="Arial"/>
          <w:lang w:val="en-GB"/>
        </w:rPr>
        <w:t>Appendix 3: Altman Z Score</w:t>
      </w:r>
      <w:bookmarkEnd w:id="92"/>
    </w:p>
    <w:p w14:paraId="43460EFC">
      <w:pPr>
        <w:jc w:val="center"/>
        <w:rPr>
          <w:rFonts w:ascii="Arial" w:hAnsi="Arial" w:cs="Arial"/>
          <w:lang w:val="en-GB"/>
        </w:rPr>
      </w:pPr>
      <w:r>
        <w:rPr>
          <w:rFonts w:ascii="Arial" w:hAnsi="Arial" w:cs="Arial"/>
          <w:lang w:val="en-GB"/>
        </w:rPr>
        <w:drawing>
          <wp:inline distT="114300" distB="114300" distL="114300" distR="114300">
            <wp:extent cx="5730875" cy="5334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24"/>
                    <a:srcRect/>
                    <a:stretch>
                      <a:fillRect/>
                    </a:stretch>
                  </pic:blipFill>
                  <pic:spPr>
                    <a:xfrm>
                      <a:off x="0" y="0"/>
                      <a:ext cx="5731200" cy="533400"/>
                    </a:xfrm>
                    <a:prstGeom prst="rect">
                      <a:avLst/>
                    </a:prstGeom>
                    <a:ln w="12700">
                      <a:solidFill>
                        <a:srgbClr val="000000"/>
                      </a:solidFill>
                      <a:prstDash val="solid"/>
                    </a:ln>
                  </pic:spPr>
                </pic:pic>
              </a:graphicData>
            </a:graphic>
          </wp:inline>
        </w:drawing>
      </w:r>
    </w:p>
    <w:p w14:paraId="4F1D1403">
      <w:pPr>
        <w:rPr>
          <w:rFonts w:ascii="Arial" w:hAnsi="Arial" w:cs="Arial"/>
          <w:color w:val="EE0000"/>
          <w:lang w:val="en-GB"/>
        </w:rPr>
      </w:pPr>
      <w:r>
        <w:rPr>
          <w:rFonts w:ascii="Arial" w:hAnsi="Arial" w:cs="Arial"/>
          <w:color w:val="EE0000"/>
          <w:lang w:val="en-GB"/>
        </w:rPr>
        <w:t>Year 2024</w:t>
      </w:r>
    </w:p>
    <w:p w14:paraId="2995950D">
      <w:pPr>
        <w:rPr>
          <w:rFonts w:ascii="Arial" w:hAnsi="Arial" w:cs="Arial"/>
          <w:color w:val="EE0000"/>
          <w:lang w:val="en-GB"/>
        </w:rPr>
      </w:pPr>
      <w:r>
        <w:rPr>
          <w:rFonts w:ascii="Arial" w:hAnsi="Arial" w:cs="Arial"/>
          <w:color w:val="EE0000"/>
          <w:lang w:val="en-GB"/>
        </w:rPr>
        <w:t>Current assets = 242,494</w:t>
      </w:r>
    </w:p>
    <w:p w14:paraId="6A83E505">
      <w:pPr>
        <w:rPr>
          <w:rFonts w:ascii="Arial" w:hAnsi="Arial" w:cs="Arial"/>
          <w:color w:val="EE0000"/>
          <w:lang w:val="en-GB"/>
        </w:rPr>
      </w:pPr>
      <w:r>
        <w:rPr>
          <w:rFonts w:ascii="Arial" w:hAnsi="Arial" w:cs="Arial"/>
          <w:color w:val="EE0000"/>
          <w:lang w:val="en-GB"/>
        </w:rPr>
        <w:t>Current liabilities = 158,291</w:t>
      </w:r>
    </w:p>
    <w:p w14:paraId="60F5CDBA">
      <w:pPr>
        <w:rPr>
          <w:rFonts w:ascii="Arial" w:hAnsi="Arial" w:cs="Arial"/>
          <w:color w:val="EE0000"/>
          <w:lang w:val="en-GB"/>
        </w:rPr>
      </w:pPr>
      <w:r>
        <w:rPr>
          <w:rFonts w:ascii="Arial" w:hAnsi="Arial" w:cs="Arial"/>
          <w:color w:val="EE0000"/>
          <w:lang w:val="en-GB"/>
        </w:rPr>
        <w:t>Working capital = 242,494 − 158,291 = 84,203</w:t>
      </w:r>
    </w:p>
    <w:p w14:paraId="50E23B66">
      <w:pPr>
        <w:rPr>
          <w:rFonts w:ascii="Arial" w:hAnsi="Arial" w:cs="Arial"/>
          <w:color w:val="EE0000"/>
          <w:lang w:val="en-GB"/>
        </w:rPr>
      </w:pPr>
      <w:r>
        <w:rPr>
          <w:rFonts w:ascii="Arial" w:hAnsi="Arial" w:cs="Arial"/>
          <w:color w:val="EE0000"/>
          <w:lang w:val="en-GB"/>
        </w:rPr>
        <w:t>Retained earnings = 208,431</w:t>
      </w:r>
    </w:p>
    <w:p w14:paraId="120DA84D">
      <w:pPr>
        <w:rPr>
          <w:rFonts w:ascii="Arial" w:hAnsi="Arial" w:cs="Arial"/>
          <w:color w:val="EE0000"/>
          <w:lang w:val="en-GB"/>
        </w:rPr>
      </w:pPr>
      <w:r>
        <w:rPr>
          <w:rFonts w:ascii="Arial" w:hAnsi="Arial" w:cs="Arial"/>
          <w:color w:val="EE0000"/>
          <w:lang w:val="en-GB"/>
        </w:rPr>
        <w:t>EBIT (Operating income) = −15,297</w:t>
      </w:r>
    </w:p>
    <w:p w14:paraId="30FE4932">
      <w:pPr>
        <w:rPr>
          <w:rFonts w:ascii="Arial" w:hAnsi="Arial" w:cs="Arial"/>
          <w:color w:val="EE0000"/>
          <w:lang w:val="en-GB"/>
        </w:rPr>
      </w:pPr>
      <w:r>
        <w:rPr>
          <w:rFonts w:ascii="Arial" w:hAnsi="Arial" w:cs="Arial"/>
          <w:color w:val="EE0000"/>
          <w:lang w:val="en-GB"/>
        </w:rPr>
        <w:t>Total assets = 323,354</w:t>
      </w:r>
    </w:p>
    <w:p w14:paraId="264AD7FC">
      <w:pPr>
        <w:rPr>
          <w:rFonts w:ascii="Arial" w:hAnsi="Arial" w:cs="Arial"/>
          <w:color w:val="EE0000"/>
          <w:lang w:val="en-GB"/>
        </w:rPr>
      </w:pPr>
      <w:r>
        <w:rPr>
          <w:rFonts w:ascii="Arial" w:hAnsi="Arial" w:cs="Arial"/>
          <w:color w:val="EE0000"/>
          <w:lang w:val="en-GB"/>
        </w:rPr>
        <w:t>Sales = 394,879</w:t>
      </w:r>
    </w:p>
    <w:p w14:paraId="204CA9B4">
      <w:pPr>
        <w:rPr>
          <w:rFonts w:ascii="Arial" w:hAnsi="Arial" w:cs="Arial"/>
          <w:color w:val="EE0000"/>
          <w:lang w:val="en-GB"/>
        </w:rPr>
      </w:pPr>
      <w:r>
        <w:rPr>
          <w:rFonts w:ascii="Arial" w:hAnsi="Arial" w:cs="Arial"/>
          <w:color w:val="EE0000"/>
          <w:lang w:val="en-GB"/>
        </w:rPr>
        <w:t>Total liabilities = 170,249</w:t>
      </w:r>
    </w:p>
    <w:p w14:paraId="381718FC">
      <w:pPr>
        <w:rPr>
          <w:rFonts w:ascii="Arial" w:hAnsi="Arial" w:cs="Arial"/>
          <w:color w:val="EE0000"/>
          <w:lang w:val="en-GB"/>
        </w:rPr>
      </w:pPr>
      <w:r>
        <w:rPr>
          <w:rFonts w:ascii="Arial" w:hAnsi="Arial" w:cs="Arial"/>
          <w:color w:val="EE0000"/>
          <w:lang w:val="en-GB"/>
        </w:rPr>
        <w:t>Book equity = 153,105</w:t>
      </w:r>
    </w:p>
    <w:p w14:paraId="69265708">
      <w:pPr>
        <w:rPr>
          <w:rFonts w:ascii="Arial" w:hAnsi="Arial" w:cs="Arial"/>
          <w:color w:val="EE0000"/>
          <w:lang w:val="en-GB"/>
        </w:rPr>
      </w:pPr>
      <w:r>
        <w:rPr>
          <w:rFonts w:ascii="Arial" w:hAnsi="Arial" w:cs="Arial"/>
          <w:color w:val="EE0000"/>
          <w:lang w:val="en-GB"/>
        </w:rPr>
        <w:t>Calculate X components:</w:t>
      </w:r>
    </w:p>
    <w:p w14:paraId="7EE5C5CA">
      <w:pPr>
        <w:rPr>
          <w:rFonts w:ascii="Arial" w:hAnsi="Arial" w:cs="Arial"/>
          <w:color w:val="EE0000"/>
          <w:lang w:val="en-GB"/>
        </w:rPr>
      </w:pPr>
      <w:r>
        <w:rPr>
          <w:rFonts w:ascii="Arial" w:hAnsi="Arial" w:cs="Arial"/>
          <w:color w:val="EE0000"/>
          <w:lang w:val="en-GB"/>
        </w:rPr>
        <w:t>X1 = Working capital / Total assets = 84,203 ÷ 323,354 = 0.260484</w:t>
      </w:r>
    </w:p>
    <w:p w14:paraId="4FE1C833">
      <w:pPr>
        <w:rPr>
          <w:rFonts w:ascii="Arial" w:hAnsi="Arial" w:cs="Arial"/>
          <w:color w:val="EE0000"/>
          <w:lang w:val="en-GB"/>
        </w:rPr>
      </w:pPr>
      <w:r>
        <w:rPr>
          <w:rFonts w:ascii="Arial" w:hAnsi="Arial" w:cs="Arial"/>
          <w:color w:val="EE0000"/>
          <w:lang w:val="en-GB"/>
        </w:rPr>
        <w:t>X2 = Retained earnings / Total assets = 208,431 ÷ 323,354 = 0.644782</w:t>
      </w:r>
    </w:p>
    <w:p w14:paraId="23CA2312">
      <w:pPr>
        <w:rPr>
          <w:rFonts w:ascii="Arial" w:hAnsi="Arial" w:cs="Arial"/>
          <w:color w:val="EE0000"/>
          <w:lang w:val="en-GB"/>
        </w:rPr>
      </w:pPr>
      <w:r>
        <w:rPr>
          <w:rFonts w:ascii="Arial" w:hAnsi="Arial" w:cs="Arial"/>
          <w:color w:val="EE0000"/>
          <w:lang w:val="en-GB"/>
        </w:rPr>
        <w:t>X3 = EBIT / Total assets = (−15,297) ÷ 323,354 = −0.047303</w:t>
      </w:r>
    </w:p>
    <w:p w14:paraId="1CB03B83">
      <w:pPr>
        <w:rPr>
          <w:rFonts w:ascii="Arial" w:hAnsi="Arial" w:cs="Arial"/>
          <w:color w:val="EE0000"/>
          <w:lang w:val="en-GB"/>
        </w:rPr>
      </w:pPr>
      <w:r>
        <w:rPr>
          <w:rFonts w:ascii="Arial" w:hAnsi="Arial" w:cs="Arial"/>
          <w:color w:val="EE0000"/>
          <w:lang w:val="en-GB"/>
        </w:rPr>
        <w:t>X4 = Market value of equity / Total liabilities ≈ Book equity / Total liabilities = 153,105 ÷ 170,249 = 0.899394</w:t>
      </w:r>
    </w:p>
    <w:p w14:paraId="2FE7DF7E">
      <w:pPr>
        <w:rPr>
          <w:rFonts w:ascii="Arial" w:hAnsi="Arial" w:cs="Arial"/>
          <w:color w:val="EE0000"/>
          <w:lang w:val="en-GB"/>
        </w:rPr>
      </w:pPr>
      <w:r>
        <w:rPr>
          <w:rFonts w:ascii="Arial" w:hAnsi="Arial" w:cs="Arial"/>
          <w:color w:val="EE0000"/>
          <w:lang w:val="en-GB"/>
        </w:rPr>
        <w:t>X5 = Sales / Total assets = 394,879 ÷ 323,354 = 1.221590</w:t>
      </w:r>
    </w:p>
    <w:p w14:paraId="6D75A283">
      <w:pPr>
        <w:rPr>
          <w:rFonts w:ascii="Arial" w:hAnsi="Arial" w:cs="Arial"/>
          <w:color w:val="EE0000"/>
          <w:lang w:val="en-GB"/>
        </w:rPr>
      </w:pPr>
      <w:r>
        <w:rPr>
          <w:rFonts w:ascii="Arial" w:hAnsi="Arial" w:cs="Arial"/>
          <w:color w:val="EE0000"/>
          <w:lang w:val="en-GB"/>
        </w:rPr>
        <w:t>Compute Z:</w:t>
      </w:r>
    </w:p>
    <w:p w14:paraId="54E86F34">
      <w:pPr>
        <w:rPr>
          <w:rFonts w:ascii="Arial" w:hAnsi="Arial" w:cs="Arial"/>
          <w:color w:val="EE0000"/>
          <w:lang w:val="en-GB"/>
        </w:rPr>
      </w:pPr>
      <w:r>
        <w:rPr>
          <w:rFonts w:ascii="Arial" w:hAnsi="Arial" w:cs="Arial"/>
          <w:color w:val="EE0000"/>
          <w:lang w:val="en-GB"/>
        </w:rPr>
        <w:t>1.2·X1 = 1.2 × 0.260484 = 0.312581</w:t>
      </w:r>
    </w:p>
    <w:p w14:paraId="73FF0237">
      <w:pPr>
        <w:rPr>
          <w:rFonts w:ascii="Arial" w:hAnsi="Arial" w:cs="Arial"/>
          <w:color w:val="EE0000"/>
          <w:lang w:val="en-GB"/>
        </w:rPr>
      </w:pPr>
      <w:r>
        <w:rPr>
          <w:rFonts w:ascii="Arial" w:hAnsi="Arial" w:cs="Arial"/>
          <w:color w:val="EE0000"/>
          <w:lang w:val="en-GB"/>
        </w:rPr>
        <w:t>1.4·X2 = 1.4 × 0.644782 = 0.902695</w:t>
      </w:r>
    </w:p>
    <w:p w14:paraId="19050081">
      <w:pPr>
        <w:rPr>
          <w:rFonts w:ascii="Arial" w:hAnsi="Arial" w:cs="Arial"/>
          <w:color w:val="EE0000"/>
          <w:lang w:val="en-GB"/>
        </w:rPr>
      </w:pPr>
      <w:r>
        <w:rPr>
          <w:rFonts w:ascii="Arial" w:hAnsi="Arial" w:cs="Arial"/>
          <w:color w:val="EE0000"/>
          <w:lang w:val="en-GB"/>
        </w:rPr>
        <w:t>3.3·X3 = 3.3 × (−0.047303) = −0.156100</w:t>
      </w:r>
    </w:p>
    <w:p w14:paraId="6FF10663">
      <w:pPr>
        <w:rPr>
          <w:rFonts w:ascii="Arial" w:hAnsi="Arial" w:cs="Arial"/>
          <w:color w:val="EE0000"/>
          <w:lang w:val="en-GB"/>
        </w:rPr>
      </w:pPr>
      <w:r>
        <w:rPr>
          <w:rFonts w:ascii="Arial" w:hAnsi="Arial" w:cs="Arial"/>
          <w:color w:val="EE0000"/>
          <w:lang w:val="en-GB"/>
        </w:rPr>
        <w:t>0.6·X4 = 0.6 × 0.899394 = 0.539636</w:t>
      </w:r>
    </w:p>
    <w:p w14:paraId="0C8F06A5">
      <w:pPr>
        <w:rPr>
          <w:rFonts w:ascii="Arial" w:hAnsi="Arial" w:cs="Arial"/>
          <w:color w:val="EE0000"/>
          <w:lang w:val="en-GB"/>
        </w:rPr>
      </w:pPr>
      <w:r>
        <w:rPr>
          <w:rFonts w:ascii="Arial" w:hAnsi="Arial" w:cs="Arial"/>
          <w:color w:val="EE0000"/>
          <w:lang w:val="en-GB"/>
        </w:rPr>
        <w:t>1.0·X5 = 1.0 × 1.221590 = 1.221590</w:t>
      </w:r>
    </w:p>
    <w:p w14:paraId="65FE9306">
      <w:pPr>
        <w:rPr>
          <w:rFonts w:ascii="Arial" w:hAnsi="Arial" w:cs="Arial"/>
          <w:color w:val="EE0000"/>
          <w:lang w:val="en-GB"/>
        </w:rPr>
      </w:pPr>
      <w:r>
        <w:rPr>
          <w:rFonts w:ascii="Arial" w:hAnsi="Arial" w:cs="Arial"/>
          <w:color w:val="EE0000"/>
          <w:lang w:val="en-GB"/>
        </w:rPr>
        <w:t>Sum: Z = 0.312581 + 0.902695 − 0.156100 + 0.539636 + 1.221590 = 2.820402</w:t>
      </w:r>
    </w:p>
    <w:p w14:paraId="725B3806">
      <w:pPr>
        <w:rPr>
          <w:rFonts w:ascii="Arial" w:hAnsi="Arial" w:cs="Arial"/>
          <w:color w:val="EE0000"/>
          <w:lang w:val="en-GB"/>
        </w:rPr>
      </w:pPr>
      <w:r>
        <w:rPr>
          <w:rFonts w:ascii="Arial" w:hAnsi="Arial" w:cs="Arial"/>
          <w:color w:val="EE0000"/>
          <w:lang w:val="en-GB"/>
        </w:rPr>
        <w:t>Z(2024) = 2.820 (using book equity as proxy).</w:t>
      </w:r>
    </w:p>
    <w:p w14:paraId="30813F22">
      <w:pPr>
        <w:rPr>
          <w:rFonts w:ascii="Arial" w:hAnsi="Arial" w:cs="Arial"/>
          <w:color w:val="EE0000"/>
          <w:lang w:val="en-GB"/>
        </w:rPr>
      </w:pPr>
      <w:r>
        <w:rPr>
          <w:rFonts w:ascii="Arial" w:hAnsi="Arial" w:cs="Arial"/>
          <w:color w:val="EE0000"/>
          <w:lang w:val="en-GB"/>
        </w:rPr>
        <w:t>Year 2023</w:t>
      </w:r>
    </w:p>
    <w:p w14:paraId="695FC60E">
      <w:pPr>
        <w:rPr>
          <w:rFonts w:ascii="Arial" w:hAnsi="Arial" w:cs="Arial"/>
          <w:color w:val="EE0000"/>
          <w:lang w:val="en-GB"/>
        </w:rPr>
      </w:pPr>
      <w:r>
        <w:rPr>
          <w:rFonts w:ascii="Arial" w:hAnsi="Arial" w:cs="Arial"/>
          <w:color w:val="EE0000"/>
          <w:lang w:val="en-GB"/>
        </w:rPr>
        <w:t>Inputs: Current assets = 258,851; Current liabilities = 161,148; Working capital = 97,703</w:t>
      </w:r>
    </w:p>
    <w:p w14:paraId="1A3DE499">
      <w:pPr>
        <w:rPr>
          <w:rFonts w:ascii="Arial" w:hAnsi="Arial" w:cs="Arial"/>
          <w:color w:val="EE0000"/>
          <w:lang w:val="en-GB"/>
        </w:rPr>
      </w:pPr>
      <w:r>
        <w:rPr>
          <w:rFonts w:ascii="Arial" w:hAnsi="Arial" w:cs="Arial"/>
          <w:color w:val="EE0000"/>
          <w:lang w:val="en-GB"/>
        </w:rPr>
        <w:t>Retained earnings = 232,460; EBIT = −85,301; Total assets = 355,872; Sales = 420,457; Total liabilities = 176,952; Book equity = 178,920</w:t>
      </w:r>
    </w:p>
    <w:p w14:paraId="53778F6F">
      <w:pPr>
        <w:rPr>
          <w:rFonts w:ascii="Arial" w:hAnsi="Arial" w:cs="Arial"/>
          <w:color w:val="EE0000"/>
          <w:lang w:val="en-GB"/>
        </w:rPr>
      </w:pPr>
      <w:r>
        <w:rPr>
          <w:rFonts w:ascii="Arial" w:hAnsi="Arial" w:cs="Arial"/>
          <w:color w:val="EE0000"/>
          <w:lang w:val="en-GB"/>
        </w:rPr>
        <w:t>X calculations:</w:t>
      </w:r>
    </w:p>
    <w:p w14:paraId="2CC6649A">
      <w:pPr>
        <w:rPr>
          <w:rFonts w:ascii="Arial" w:hAnsi="Arial" w:cs="Arial"/>
          <w:color w:val="EE0000"/>
          <w:lang w:val="en-GB"/>
        </w:rPr>
      </w:pPr>
      <w:r>
        <w:rPr>
          <w:rFonts w:ascii="Arial" w:hAnsi="Arial" w:cs="Arial"/>
          <w:color w:val="EE0000"/>
          <w:lang w:val="en-GB"/>
        </w:rPr>
        <w:t>X1 = 97,703 ÷ 355,872 = 0.274588</w:t>
      </w:r>
    </w:p>
    <w:p w14:paraId="520E222A">
      <w:pPr>
        <w:rPr>
          <w:rFonts w:ascii="Arial" w:hAnsi="Arial" w:cs="Arial"/>
          <w:color w:val="EE0000"/>
          <w:lang w:val="en-GB"/>
        </w:rPr>
      </w:pPr>
      <w:r>
        <w:rPr>
          <w:rFonts w:ascii="Arial" w:hAnsi="Arial" w:cs="Arial"/>
          <w:color w:val="EE0000"/>
          <w:lang w:val="en-GB"/>
        </w:rPr>
        <w:t>X2 = 232,460 ÷ 355,872 = 0.652949</w:t>
      </w:r>
    </w:p>
    <w:p w14:paraId="03418445">
      <w:pPr>
        <w:rPr>
          <w:rFonts w:ascii="Arial" w:hAnsi="Arial" w:cs="Arial"/>
          <w:color w:val="EE0000"/>
          <w:lang w:val="en-GB"/>
        </w:rPr>
      </w:pPr>
      <w:r>
        <w:rPr>
          <w:rFonts w:ascii="Arial" w:hAnsi="Arial" w:cs="Arial"/>
          <w:color w:val="EE0000"/>
          <w:lang w:val="en-GB"/>
        </w:rPr>
        <w:t>X3 = −85,301 ÷ 355,872 = −0.239633</w:t>
      </w:r>
    </w:p>
    <w:p w14:paraId="037C0AD6">
      <w:pPr>
        <w:rPr>
          <w:rFonts w:ascii="Arial" w:hAnsi="Arial" w:cs="Arial"/>
          <w:color w:val="EE0000"/>
          <w:lang w:val="en-GB"/>
        </w:rPr>
      </w:pPr>
      <w:r>
        <w:rPr>
          <w:rFonts w:ascii="Arial" w:hAnsi="Arial" w:cs="Arial"/>
          <w:color w:val="EE0000"/>
          <w:lang w:val="en-GB"/>
        </w:rPr>
        <w:t>X4 = 178,920 ÷ 176,952 = 1.010797</w:t>
      </w:r>
    </w:p>
    <w:p w14:paraId="48B856F6">
      <w:pPr>
        <w:rPr>
          <w:rFonts w:ascii="Arial" w:hAnsi="Arial" w:cs="Arial"/>
          <w:color w:val="EE0000"/>
          <w:lang w:val="en-GB"/>
        </w:rPr>
      </w:pPr>
      <w:r>
        <w:rPr>
          <w:rFonts w:ascii="Arial" w:hAnsi="Arial" w:cs="Arial"/>
          <w:color w:val="EE0000"/>
          <w:lang w:val="en-GB"/>
        </w:rPr>
        <w:t>X5 = 420,457 ÷ 355,872 = 1.181859</w:t>
      </w:r>
    </w:p>
    <w:p w14:paraId="62ECF413">
      <w:pPr>
        <w:rPr>
          <w:rFonts w:ascii="Arial" w:hAnsi="Arial" w:cs="Arial"/>
          <w:color w:val="EE0000"/>
          <w:lang w:val="en-GB"/>
        </w:rPr>
      </w:pPr>
      <w:r>
        <w:rPr>
          <w:rFonts w:ascii="Arial" w:hAnsi="Arial" w:cs="Arial"/>
          <w:color w:val="EE0000"/>
          <w:lang w:val="en-GB"/>
        </w:rPr>
        <w:t>Z components:</w:t>
      </w:r>
    </w:p>
    <w:p w14:paraId="375C77DC">
      <w:pPr>
        <w:rPr>
          <w:rFonts w:ascii="Arial" w:hAnsi="Arial" w:cs="Arial"/>
          <w:color w:val="EE0000"/>
          <w:lang w:val="en-GB"/>
        </w:rPr>
      </w:pPr>
      <w:r>
        <w:rPr>
          <w:rFonts w:ascii="Arial" w:hAnsi="Arial" w:cs="Arial"/>
          <w:color w:val="EE0000"/>
          <w:lang w:val="en-GB"/>
        </w:rPr>
        <w:t>1.2·X1 = 0.329506</w:t>
      </w:r>
    </w:p>
    <w:p w14:paraId="716F0F88">
      <w:pPr>
        <w:rPr>
          <w:rFonts w:ascii="Arial" w:hAnsi="Arial" w:cs="Arial"/>
          <w:color w:val="EE0000"/>
          <w:lang w:val="en-GB"/>
        </w:rPr>
      </w:pPr>
      <w:r>
        <w:rPr>
          <w:rFonts w:ascii="Arial" w:hAnsi="Arial" w:cs="Arial"/>
          <w:color w:val="EE0000"/>
          <w:lang w:val="en-GB"/>
        </w:rPr>
        <w:t>1.4·X2 = 0.914129</w:t>
      </w:r>
    </w:p>
    <w:p w14:paraId="4CB3C1BA">
      <w:pPr>
        <w:rPr>
          <w:rFonts w:ascii="Arial" w:hAnsi="Arial" w:cs="Arial"/>
          <w:color w:val="EE0000"/>
          <w:lang w:val="en-GB"/>
        </w:rPr>
      </w:pPr>
      <w:r>
        <w:rPr>
          <w:rFonts w:ascii="Arial" w:hAnsi="Arial" w:cs="Arial"/>
          <w:color w:val="EE0000"/>
          <w:lang w:val="en-GB"/>
        </w:rPr>
        <w:t>3.3·X3 = −0.790789</w:t>
      </w:r>
    </w:p>
    <w:p w14:paraId="271BD703">
      <w:pPr>
        <w:rPr>
          <w:rFonts w:ascii="Arial" w:hAnsi="Arial" w:cs="Arial"/>
          <w:color w:val="EE0000"/>
          <w:lang w:val="en-GB"/>
        </w:rPr>
      </w:pPr>
      <w:r>
        <w:rPr>
          <w:rFonts w:ascii="Arial" w:hAnsi="Arial" w:cs="Arial"/>
          <w:color w:val="EE0000"/>
          <w:lang w:val="en-GB"/>
        </w:rPr>
        <w:t>0.6·X4 = 0.606478</w:t>
      </w:r>
    </w:p>
    <w:p w14:paraId="72144AC7">
      <w:pPr>
        <w:rPr>
          <w:rFonts w:ascii="Arial" w:hAnsi="Arial" w:cs="Arial"/>
          <w:color w:val="EE0000"/>
          <w:lang w:val="en-GB"/>
        </w:rPr>
      </w:pPr>
      <w:r>
        <w:rPr>
          <w:rFonts w:ascii="Arial" w:hAnsi="Arial" w:cs="Arial"/>
          <w:color w:val="EE0000"/>
          <w:lang w:val="en-GB"/>
        </w:rPr>
        <w:t>1.0·X5 = 1.181859</w:t>
      </w:r>
    </w:p>
    <w:p w14:paraId="0F85B972">
      <w:pPr>
        <w:rPr>
          <w:rFonts w:ascii="Arial" w:hAnsi="Arial" w:cs="Arial"/>
          <w:color w:val="EE0000"/>
          <w:lang w:val="en-GB"/>
        </w:rPr>
      </w:pPr>
      <w:r>
        <w:rPr>
          <w:rFonts w:ascii="Arial" w:hAnsi="Arial" w:cs="Arial"/>
          <w:color w:val="EE0000"/>
          <w:lang w:val="en-GB"/>
        </w:rPr>
        <w:t>Sum: Z = 0.329506 + 0.914129 − 0.790789 + 0.606478 + 1.181859 = 2.241183</w:t>
      </w:r>
    </w:p>
    <w:p w14:paraId="1827F55A">
      <w:pPr>
        <w:rPr>
          <w:rFonts w:ascii="Arial" w:hAnsi="Arial" w:cs="Arial"/>
          <w:color w:val="EE0000"/>
          <w:lang w:val="en-GB"/>
        </w:rPr>
      </w:pPr>
      <w:r>
        <w:rPr>
          <w:rFonts w:ascii="Arial" w:hAnsi="Arial" w:cs="Arial"/>
          <w:color w:val="EE0000"/>
          <w:lang w:val="en-GB"/>
        </w:rPr>
        <w:t>Z(2023) = 2.241</w:t>
      </w:r>
    </w:p>
    <w:p w14:paraId="4FFC343E">
      <w:pPr>
        <w:rPr>
          <w:rFonts w:ascii="Arial" w:hAnsi="Arial" w:cs="Arial"/>
          <w:color w:val="EE0000"/>
          <w:lang w:val="en-GB"/>
        </w:rPr>
      </w:pPr>
      <w:r>
        <w:rPr>
          <w:rFonts w:ascii="Arial" w:hAnsi="Arial" w:cs="Arial"/>
          <w:color w:val="EE0000"/>
          <w:lang w:val="en-GB"/>
        </w:rPr>
        <w:t>Year 2022</w:t>
      </w:r>
    </w:p>
    <w:p w14:paraId="196D115B">
      <w:pPr>
        <w:rPr>
          <w:rFonts w:ascii="Arial" w:hAnsi="Arial" w:cs="Arial"/>
          <w:color w:val="EE0000"/>
          <w:lang w:val="en-GB"/>
        </w:rPr>
      </w:pPr>
      <w:r>
        <w:rPr>
          <w:rFonts w:ascii="Arial" w:hAnsi="Arial" w:cs="Arial"/>
          <w:color w:val="EE0000"/>
          <w:lang w:val="en-GB"/>
        </w:rPr>
        <w:t>Inputs: Current assets = 338,040; Current liabilities = 216,473; Working capital = 121,567</w:t>
      </w:r>
    </w:p>
    <w:p w14:paraId="083F99F1">
      <w:pPr>
        <w:rPr>
          <w:rFonts w:ascii="Arial" w:hAnsi="Arial" w:cs="Arial"/>
          <w:color w:val="EE0000"/>
          <w:lang w:val="en-GB"/>
        </w:rPr>
      </w:pPr>
      <w:r>
        <w:rPr>
          <w:rFonts w:ascii="Arial" w:hAnsi="Arial" w:cs="Arial"/>
          <w:color w:val="EE0000"/>
          <w:lang w:val="en-GB"/>
        </w:rPr>
        <w:t>Retained earnings = 330,698; EBIT = 14,548; Total assets = 504,163; Sales = 542,751; Total liabilities = 235,757; Book equity = 268,406</w:t>
      </w:r>
    </w:p>
    <w:p w14:paraId="0B0169C7">
      <w:pPr>
        <w:rPr>
          <w:rFonts w:ascii="Arial" w:hAnsi="Arial" w:cs="Arial"/>
          <w:color w:val="EE0000"/>
          <w:lang w:val="en-GB"/>
        </w:rPr>
      </w:pPr>
      <w:r>
        <w:rPr>
          <w:rFonts w:ascii="Arial" w:hAnsi="Arial" w:cs="Arial"/>
          <w:color w:val="EE0000"/>
          <w:lang w:val="en-GB"/>
        </w:rPr>
        <w:t>X:</w:t>
      </w:r>
    </w:p>
    <w:p w14:paraId="5043A5BF">
      <w:pPr>
        <w:rPr>
          <w:rFonts w:ascii="Arial" w:hAnsi="Arial" w:cs="Arial"/>
          <w:color w:val="EE0000"/>
          <w:lang w:val="en-GB"/>
        </w:rPr>
      </w:pPr>
      <w:r>
        <w:rPr>
          <w:rFonts w:ascii="Arial" w:hAnsi="Arial" w:cs="Arial"/>
          <w:color w:val="EE0000"/>
          <w:lang w:val="en-GB"/>
        </w:rPr>
        <w:t>X1 = 121,567 ÷ 504,163 = 0.241096</w:t>
      </w:r>
    </w:p>
    <w:p w14:paraId="4E3A81E7">
      <w:pPr>
        <w:rPr>
          <w:rFonts w:ascii="Arial" w:hAnsi="Arial" w:cs="Arial"/>
          <w:color w:val="EE0000"/>
          <w:lang w:val="en-GB"/>
        </w:rPr>
      </w:pPr>
      <w:r>
        <w:rPr>
          <w:rFonts w:ascii="Arial" w:hAnsi="Arial" w:cs="Arial"/>
          <w:color w:val="EE0000"/>
          <w:lang w:val="en-GB"/>
        </w:rPr>
        <w:t>X2 = 330,698 ÷ 504,163 = 0.655723</w:t>
      </w:r>
    </w:p>
    <w:p w14:paraId="35965BE0">
      <w:pPr>
        <w:rPr>
          <w:rFonts w:ascii="Arial" w:hAnsi="Arial" w:cs="Arial"/>
          <w:color w:val="EE0000"/>
          <w:lang w:val="en-GB"/>
        </w:rPr>
      </w:pPr>
      <w:r>
        <w:rPr>
          <w:rFonts w:ascii="Arial" w:hAnsi="Arial" w:cs="Arial"/>
          <w:color w:val="EE0000"/>
          <w:lang w:val="en-GB"/>
        </w:rPr>
        <w:t>X3 = 14,548 ÷ 504,163 = 0.02885</w:t>
      </w:r>
    </w:p>
    <w:p w14:paraId="644F7BDC">
      <w:pPr>
        <w:rPr>
          <w:rFonts w:ascii="Arial" w:hAnsi="Arial" w:cs="Arial"/>
          <w:color w:val="EE0000"/>
          <w:lang w:val="en-GB"/>
        </w:rPr>
      </w:pPr>
      <w:r>
        <w:rPr>
          <w:rFonts w:ascii="Arial" w:hAnsi="Arial" w:cs="Arial"/>
          <w:color w:val="EE0000"/>
          <w:lang w:val="en-GB"/>
        </w:rPr>
        <w:t>X4 = 268,406 ÷ 235,757 = 1.139069</w:t>
      </w:r>
    </w:p>
    <w:p w14:paraId="584F9ECE">
      <w:pPr>
        <w:rPr>
          <w:rFonts w:ascii="Arial" w:hAnsi="Arial" w:cs="Arial"/>
          <w:color w:val="EE0000"/>
          <w:lang w:val="en-GB"/>
        </w:rPr>
      </w:pPr>
      <w:r>
        <w:rPr>
          <w:rFonts w:ascii="Arial" w:hAnsi="Arial" w:cs="Arial"/>
          <w:color w:val="EE0000"/>
          <w:lang w:val="en-GB"/>
        </w:rPr>
        <w:t>X5 = 542,751 ÷ 504,163 = 1.076118</w:t>
      </w:r>
    </w:p>
    <w:p w14:paraId="018C36A8">
      <w:pPr>
        <w:rPr>
          <w:rFonts w:ascii="Arial" w:hAnsi="Arial" w:cs="Arial"/>
          <w:color w:val="EE0000"/>
          <w:lang w:val="en-GB"/>
        </w:rPr>
      </w:pPr>
      <w:r>
        <w:rPr>
          <w:rFonts w:ascii="Arial" w:hAnsi="Arial" w:cs="Arial"/>
          <w:color w:val="EE0000"/>
          <w:lang w:val="en-GB"/>
        </w:rPr>
        <w:t>Z components:</w:t>
      </w:r>
    </w:p>
    <w:p w14:paraId="7B197B22">
      <w:pPr>
        <w:rPr>
          <w:rFonts w:ascii="Arial" w:hAnsi="Arial" w:cs="Arial"/>
          <w:color w:val="EE0000"/>
          <w:lang w:val="en-GB"/>
        </w:rPr>
      </w:pPr>
      <w:r>
        <w:rPr>
          <w:rFonts w:ascii="Arial" w:hAnsi="Arial" w:cs="Arial"/>
          <w:color w:val="EE0000"/>
          <w:lang w:val="en-GB"/>
        </w:rPr>
        <w:t>1.2·X1 = 0.289315</w:t>
      </w:r>
    </w:p>
    <w:p w14:paraId="1B95B8B9">
      <w:pPr>
        <w:rPr>
          <w:rFonts w:ascii="Arial" w:hAnsi="Arial" w:cs="Arial"/>
          <w:color w:val="EE0000"/>
          <w:lang w:val="en-GB"/>
        </w:rPr>
      </w:pPr>
      <w:r>
        <w:rPr>
          <w:rFonts w:ascii="Arial" w:hAnsi="Arial" w:cs="Arial"/>
          <w:color w:val="EE0000"/>
          <w:lang w:val="en-GB"/>
        </w:rPr>
        <w:t>1.4·X2 = 0.918012</w:t>
      </w:r>
    </w:p>
    <w:p w14:paraId="59DC4954">
      <w:pPr>
        <w:rPr>
          <w:rFonts w:ascii="Arial" w:hAnsi="Arial" w:cs="Arial"/>
          <w:color w:val="EE0000"/>
          <w:lang w:val="en-GB"/>
        </w:rPr>
      </w:pPr>
      <w:r>
        <w:rPr>
          <w:rFonts w:ascii="Arial" w:hAnsi="Arial" w:cs="Arial"/>
          <w:color w:val="EE0000"/>
          <w:lang w:val="en-GB"/>
        </w:rPr>
        <w:t>3.3·X3 = 0.095206</w:t>
      </w:r>
    </w:p>
    <w:p w14:paraId="72F5F73A">
      <w:pPr>
        <w:rPr>
          <w:rFonts w:ascii="Arial" w:hAnsi="Arial" w:cs="Arial"/>
          <w:color w:val="EE0000"/>
          <w:lang w:val="en-GB"/>
        </w:rPr>
      </w:pPr>
      <w:r>
        <w:rPr>
          <w:rFonts w:ascii="Arial" w:hAnsi="Arial" w:cs="Arial"/>
          <w:color w:val="EE0000"/>
          <w:lang w:val="en-GB"/>
        </w:rPr>
        <w:t>0.6·X4 = 0.683441</w:t>
      </w:r>
    </w:p>
    <w:p w14:paraId="611A527F">
      <w:pPr>
        <w:rPr>
          <w:rFonts w:ascii="Arial" w:hAnsi="Arial" w:cs="Arial"/>
          <w:color w:val="EE0000"/>
          <w:lang w:val="en-GB"/>
        </w:rPr>
      </w:pPr>
      <w:r>
        <w:rPr>
          <w:rFonts w:ascii="Arial" w:hAnsi="Arial" w:cs="Arial"/>
          <w:color w:val="EE0000"/>
          <w:lang w:val="en-GB"/>
        </w:rPr>
        <w:t>1.0·X5 = 1.076118</w:t>
      </w:r>
    </w:p>
    <w:p w14:paraId="49DBB7AA">
      <w:pPr>
        <w:rPr>
          <w:rFonts w:ascii="Arial" w:hAnsi="Arial" w:cs="Arial"/>
          <w:color w:val="EE0000"/>
          <w:lang w:val="en-GB"/>
        </w:rPr>
      </w:pPr>
      <w:r>
        <w:rPr>
          <w:rFonts w:ascii="Arial" w:hAnsi="Arial" w:cs="Arial"/>
          <w:color w:val="EE0000"/>
          <w:lang w:val="en-GB"/>
        </w:rPr>
        <w:t>Sum: Z = 0.289315 + 0.918012 + 0.095206 + 0.683441 + 1.076118 = 3.062093</w:t>
      </w:r>
    </w:p>
    <w:p w14:paraId="0D21D352">
      <w:pPr>
        <w:rPr>
          <w:rFonts w:ascii="Arial" w:hAnsi="Arial" w:cs="Arial"/>
          <w:color w:val="EE0000"/>
          <w:lang w:val="en-GB"/>
        </w:rPr>
      </w:pPr>
      <w:r>
        <w:rPr>
          <w:rFonts w:ascii="Arial" w:hAnsi="Arial" w:cs="Arial"/>
          <w:color w:val="EE0000"/>
          <w:lang w:val="en-GB"/>
        </w:rPr>
        <w:t>Z(2022) = 3.062</w:t>
      </w:r>
    </w:p>
    <w:p w14:paraId="65B4AD1B">
      <w:pPr>
        <w:rPr>
          <w:rFonts w:ascii="Arial" w:hAnsi="Arial" w:cs="Arial"/>
          <w:color w:val="EE0000"/>
          <w:lang w:val="en-GB"/>
        </w:rPr>
      </w:pPr>
      <w:r>
        <w:rPr>
          <w:rFonts w:ascii="Arial" w:hAnsi="Arial" w:cs="Arial"/>
          <w:color w:val="EE0000"/>
          <w:lang w:val="en-GB"/>
        </w:rPr>
        <w:t>Year 2021</w:t>
      </w:r>
    </w:p>
    <w:p w14:paraId="5F61C71D">
      <w:pPr>
        <w:rPr>
          <w:rFonts w:ascii="Arial" w:hAnsi="Arial" w:cs="Arial"/>
          <w:color w:val="EE0000"/>
          <w:lang w:val="en-GB"/>
        </w:rPr>
      </w:pPr>
      <w:r>
        <w:rPr>
          <w:rFonts w:ascii="Arial" w:hAnsi="Arial" w:cs="Arial"/>
          <w:color w:val="EE0000"/>
          <w:lang w:val="en-GB"/>
        </w:rPr>
        <w:t>Inputs: Current assets = 337,146; Current liabilities = 216,787; Working capital = 120,359</w:t>
      </w:r>
    </w:p>
    <w:p w14:paraId="4520895D">
      <w:pPr>
        <w:rPr>
          <w:rFonts w:ascii="Arial" w:hAnsi="Arial" w:cs="Arial"/>
          <w:color w:val="EE0000"/>
          <w:lang w:val="en-GB"/>
        </w:rPr>
      </w:pPr>
      <w:r>
        <w:rPr>
          <w:rFonts w:ascii="Arial" w:hAnsi="Arial" w:cs="Arial"/>
          <w:color w:val="EE0000"/>
          <w:lang w:val="en-GB"/>
        </w:rPr>
        <w:t>Retained earnings = 330,291; EBIT = 23,253; Total assets = 510,348; Sales = 601,602; Total liabilities = 234,399; Book equity = 275,949</w:t>
      </w:r>
    </w:p>
    <w:p w14:paraId="0C4288DC">
      <w:pPr>
        <w:rPr>
          <w:rFonts w:ascii="Arial" w:hAnsi="Arial" w:cs="Arial"/>
          <w:color w:val="EE0000"/>
          <w:lang w:val="en-GB"/>
        </w:rPr>
      </w:pPr>
      <w:r>
        <w:rPr>
          <w:rFonts w:ascii="Arial" w:hAnsi="Arial" w:cs="Arial"/>
          <w:color w:val="EE0000"/>
          <w:lang w:val="en-GB"/>
        </w:rPr>
        <w:t>X:</w:t>
      </w:r>
    </w:p>
    <w:p w14:paraId="6F890BC1">
      <w:pPr>
        <w:rPr>
          <w:rFonts w:ascii="Arial" w:hAnsi="Arial" w:cs="Arial"/>
          <w:color w:val="EE0000"/>
          <w:lang w:val="en-GB"/>
        </w:rPr>
      </w:pPr>
      <w:r>
        <w:rPr>
          <w:rFonts w:ascii="Arial" w:hAnsi="Arial" w:cs="Arial"/>
          <w:color w:val="EE0000"/>
          <w:lang w:val="en-GB"/>
        </w:rPr>
        <w:t>X1 = 120,359 ÷ 510,348 = 0.235879</w:t>
      </w:r>
    </w:p>
    <w:p w14:paraId="7794CEEA">
      <w:pPr>
        <w:rPr>
          <w:rFonts w:ascii="Arial" w:hAnsi="Arial" w:cs="Arial"/>
          <w:color w:val="EE0000"/>
          <w:lang w:val="en-GB"/>
        </w:rPr>
      </w:pPr>
      <w:r>
        <w:rPr>
          <w:rFonts w:ascii="Arial" w:hAnsi="Arial" w:cs="Arial"/>
          <w:color w:val="EE0000"/>
          <w:lang w:val="en-GB"/>
        </w:rPr>
        <w:t>X2 = 330,291 ÷ 510,348 = 0.647167</w:t>
      </w:r>
    </w:p>
    <w:p w14:paraId="22D2E51D">
      <w:pPr>
        <w:rPr>
          <w:rFonts w:ascii="Arial" w:hAnsi="Arial" w:cs="Arial"/>
          <w:color w:val="EE0000"/>
          <w:lang w:val="en-GB"/>
        </w:rPr>
      </w:pPr>
      <w:r>
        <w:rPr>
          <w:rFonts w:ascii="Arial" w:hAnsi="Arial" w:cs="Arial"/>
          <w:color w:val="EE0000"/>
          <w:lang w:val="en-GB"/>
        </w:rPr>
        <w:t>X3 = 23,253 ÷ 510,348 = 0.045557</w:t>
      </w:r>
    </w:p>
    <w:p w14:paraId="0FAC57FD">
      <w:pPr>
        <w:rPr>
          <w:rFonts w:ascii="Arial" w:hAnsi="Arial" w:cs="Arial"/>
          <w:color w:val="EE0000"/>
          <w:lang w:val="en-GB"/>
        </w:rPr>
      </w:pPr>
      <w:r>
        <w:rPr>
          <w:rFonts w:ascii="Arial" w:hAnsi="Arial" w:cs="Arial"/>
          <w:color w:val="EE0000"/>
          <w:lang w:val="en-GB"/>
        </w:rPr>
        <w:t>X4 = 275,949 ÷ 234,399 = 1.177744</w:t>
      </w:r>
    </w:p>
    <w:p w14:paraId="61B83F34">
      <w:pPr>
        <w:rPr>
          <w:rFonts w:ascii="Arial" w:hAnsi="Arial" w:cs="Arial"/>
          <w:color w:val="EE0000"/>
          <w:lang w:val="en-GB"/>
        </w:rPr>
      </w:pPr>
      <w:r>
        <w:rPr>
          <w:rFonts w:ascii="Arial" w:hAnsi="Arial" w:cs="Arial"/>
          <w:color w:val="EE0000"/>
          <w:lang w:val="en-GB"/>
        </w:rPr>
        <w:t>X5 = 601,602 ÷ 510,348 = 1.178996</w:t>
      </w:r>
    </w:p>
    <w:p w14:paraId="745D93DD">
      <w:pPr>
        <w:rPr>
          <w:rFonts w:ascii="Arial" w:hAnsi="Arial" w:cs="Arial"/>
          <w:color w:val="EE0000"/>
          <w:lang w:val="en-GB"/>
        </w:rPr>
      </w:pPr>
      <w:r>
        <w:rPr>
          <w:rFonts w:ascii="Arial" w:hAnsi="Arial" w:cs="Arial"/>
          <w:color w:val="EE0000"/>
          <w:lang w:val="en-GB"/>
        </w:rPr>
        <w:t>Z components:</w:t>
      </w:r>
    </w:p>
    <w:p w14:paraId="44FE8DA8">
      <w:pPr>
        <w:rPr>
          <w:rFonts w:ascii="Arial" w:hAnsi="Arial" w:cs="Arial"/>
          <w:color w:val="EE0000"/>
          <w:lang w:val="en-GB"/>
        </w:rPr>
      </w:pPr>
      <w:r>
        <w:rPr>
          <w:rFonts w:ascii="Arial" w:hAnsi="Arial" w:cs="Arial"/>
          <w:color w:val="EE0000"/>
          <w:lang w:val="en-GB"/>
        </w:rPr>
        <w:t>1.2·X1 = 0.283055</w:t>
      </w:r>
    </w:p>
    <w:p w14:paraId="748D2FFC">
      <w:pPr>
        <w:rPr>
          <w:rFonts w:ascii="Arial" w:hAnsi="Arial" w:cs="Arial"/>
          <w:color w:val="EE0000"/>
          <w:lang w:val="en-GB"/>
        </w:rPr>
      </w:pPr>
      <w:r>
        <w:rPr>
          <w:rFonts w:ascii="Arial" w:hAnsi="Arial" w:cs="Arial"/>
          <w:color w:val="EE0000"/>
          <w:lang w:val="en-GB"/>
        </w:rPr>
        <w:t>1.4·X2 = 0.905034</w:t>
      </w:r>
    </w:p>
    <w:p w14:paraId="6776BB19">
      <w:pPr>
        <w:rPr>
          <w:rFonts w:ascii="Arial" w:hAnsi="Arial" w:cs="Arial"/>
          <w:color w:val="EE0000"/>
          <w:lang w:val="en-GB"/>
        </w:rPr>
      </w:pPr>
      <w:r>
        <w:rPr>
          <w:rFonts w:ascii="Arial" w:hAnsi="Arial" w:cs="Arial"/>
          <w:color w:val="EE0000"/>
          <w:lang w:val="en-GB"/>
        </w:rPr>
        <w:t>3.3·X3 = 0.150337</w:t>
      </w:r>
    </w:p>
    <w:p w14:paraId="50F4A524">
      <w:pPr>
        <w:rPr>
          <w:rFonts w:ascii="Arial" w:hAnsi="Arial" w:cs="Arial"/>
          <w:color w:val="EE0000"/>
          <w:lang w:val="en-GB"/>
        </w:rPr>
      </w:pPr>
      <w:r>
        <w:rPr>
          <w:rFonts w:ascii="Arial" w:hAnsi="Arial" w:cs="Arial"/>
          <w:color w:val="EE0000"/>
          <w:lang w:val="en-GB"/>
        </w:rPr>
        <w:t>0.6·X4 = 0.706646</w:t>
      </w:r>
    </w:p>
    <w:p w14:paraId="547047F8">
      <w:pPr>
        <w:rPr>
          <w:rFonts w:ascii="Arial" w:hAnsi="Arial" w:cs="Arial"/>
          <w:color w:val="EE0000"/>
          <w:lang w:val="en-GB"/>
        </w:rPr>
      </w:pPr>
      <w:r>
        <w:rPr>
          <w:rFonts w:ascii="Arial" w:hAnsi="Arial" w:cs="Arial"/>
          <w:color w:val="EE0000"/>
          <w:lang w:val="en-GB"/>
        </w:rPr>
        <w:t>1.0·X5 = 1.178996</w:t>
      </w:r>
    </w:p>
    <w:p w14:paraId="7285D287">
      <w:pPr>
        <w:rPr>
          <w:rFonts w:ascii="Arial" w:hAnsi="Arial" w:cs="Arial"/>
          <w:color w:val="EE0000"/>
          <w:lang w:val="en-GB"/>
        </w:rPr>
      </w:pPr>
      <w:r>
        <w:rPr>
          <w:rFonts w:ascii="Arial" w:hAnsi="Arial" w:cs="Arial"/>
          <w:color w:val="EE0000"/>
          <w:lang w:val="en-GB"/>
        </w:rPr>
        <w:t>Sum: Z = 0.283055 + 0.905034 + 0.150337 + 0.706646 + 1.178996 = 3.223]</w:t>
      </w:r>
    </w:p>
    <w:p w14:paraId="12EA724B">
      <w:pPr>
        <w:rPr>
          <w:rFonts w:ascii="Arial" w:hAnsi="Arial" w:cs="Arial"/>
          <w:color w:val="EE0000"/>
          <w:lang w:val="en-GB"/>
        </w:rPr>
      </w:pPr>
      <w:r>
        <w:rPr>
          <w:rFonts w:ascii="Arial" w:hAnsi="Arial" w:cs="Arial"/>
          <w:color w:val="EE0000"/>
          <w:lang w:val="en-GB"/>
        </w:rPr>
        <w:t>(rounded) Z(2021) ≈ 3.223</w:t>
      </w:r>
    </w:p>
    <w:p w14:paraId="472F5447">
      <w:pPr>
        <w:rPr>
          <w:rFonts w:ascii="Arial" w:hAnsi="Arial" w:cs="Arial"/>
          <w:color w:val="EE0000"/>
          <w:lang w:val="en-GB"/>
        </w:rPr>
      </w:pPr>
      <w:r>
        <w:rPr>
          <w:rFonts w:ascii="Arial" w:hAnsi="Arial" w:cs="Arial"/>
          <w:color w:val="EE0000"/>
          <w:lang w:val="en-GB"/>
        </w:rPr>
        <w:t>Year 2020</w:t>
      </w:r>
    </w:p>
    <w:p w14:paraId="7DC107FF">
      <w:pPr>
        <w:rPr>
          <w:rFonts w:ascii="Arial" w:hAnsi="Arial" w:cs="Arial"/>
          <w:color w:val="EE0000"/>
          <w:lang w:val="en-GB"/>
        </w:rPr>
      </w:pPr>
      <w:r>
        <w:rPr>
          <w:rFonts w:ascii="Arial" w:hAnsi="Arial" w:cs="Arial"/>
          <w:color w:val="EE0000"/>
          <w:lang w:val="en-GB"/>
        </w:rPr>
        <w:t>Inputs: Current assets = 326,843; Current liabilities = 179,510; Working capital = 147,333</w:t>
      </w:r>
    </w:p>
    <w:p w14:paraId="715CCA87">
      <w:pPr>
        <w:rPr>
          <w:rFonts w:ascii="Arial" w:hAnsi="Arial" w:cs="Arial"/>
          <w:color w:val="EE0000"/>
          <w:lang w:val="en-GB"/>
        </w:rPr>
      </w:pPr>
      <w:r>
        <w:rPr>
          <w:rFonts w:ascii="Arial" w:hAnsi="Arial" w:cs="Arial"/>
          <w:color w:val="EE0000"/>
          <w:lang w:val="en-GB"/>
        </w:rPr>
        <w:t>Retained earnings = 324,990; EBIT = 37,267; Total assets = 510,290; Sales = 614,680; Total liabilities = 196,989; Book equity = 313,301</w:t>
      </w:r>
    </w:p>
    <w:p w14:paraId="0FD297DB">
      <w:pPr>
        <w:rPr>
          <w:rFonts w:ascii="Arial" w:hAnsi="Arial" w:cs="Arial"/>
          <w:color w:val="EE0000"/>
          <w:lang w:val="en-GB"/>
        </w:rPr>
      </w:pPr>
      <w:r>
        <w:rPr>
          <w:rFonts w:ascii="Arial" w:hAnsi="Arial" w:cs="Arial"/>
          <w:color w:val="EE0000"/>
          <w:lang w:val="en-GB"/>
        </w:rPr>
        <w:t>X:</w:t>
      </w:r>
    </w:p>
    <w:p w14:paraId="1D1854F3">
      <w:pPr>
        <w:rPr>
          <w:rFonts w:ascii="Arial" w:hAnsi="Arial" w:cs="Arial"/>
          <w:color w:val="EE0000"/>
          <w:lang w:val="en-GB"/>
        </w:rPr>
      </w:pPr>
      <w:r>
        <w:rPr>
          <w:rFonts w:ascii="Arial" w:hAnsi="Arial" w:cs="Arial"/>
          <w:color w:val="EE0000"/>
          <w:lang w:val="en-GB"/>
        </w:rPr>
        <w:t>X1 = 147,333 ÷ 510,290 = 0.288637</w:t>
      </w:r>
    </w:p>
    <w:p w14:paraId="497F9E15">
      <w:pPr>
        <w:rPr>
          <w:rFonts w:ascii="Arial" w:hAnsi="Arial" w:cs="Arial"/>
          <w:color w:val="EE0000"/>
          <w:lang w:val="en-GB"/>
        </w:rPr>
      </w:pPr>
      <w:r>
        <w:rPr>
          <w:rFonts w:ascii="Arial" w:hAnsi="Arial" w:cs="Arial"/>
          <w:color w:val="EE0000"/>
          <w:lang w:val="en-GB"/>
        </w:rPr>
        <w:t>X2 = 324,990 ÷ 510,290 = 0.636585</w:t>
      </w:r>
    </w:p>
    <w:p w14:paraId="3FE0611F">
      <w:pPr>
        <w:rPr>
          <w:rFonts w:ascii="Arial" w:hAnsi="Arial" w:cs="Arial"/>
          <w:color w:val="EE0000"/>
          <w:lang w:val="en-GB"/>
        </w:rPr>
      </w:pPr>
      <w:r>
        <w:rPr>
          <w:rFonts w:ascii="Arial" w:hAnsi="Arial" w:cs="Arial"/>
          <w:color w:val="EE0000"/>
          <w:lang w:val="en-GB"/>
        </w:rPr>
        <w:t>X3 = 37,267 ÷ 510,290 = 0.073000</w:t>
      </w:r>
    </w:p>
    <w:p w14:paraId="1DFAC5C5">
      <w:pPr>
        <w:rPr>
          <w:rFonts w:ascii="Arial" w:hAnsi="Arial" w:cs="Arial"/>
          <w:color w:val="EE0000"/>
          <w:lang w:val="en-GB"/>
        </w:rPr>
      </w:pPr>
      <w:r>
        <w:rPr>
          <w:rFonts w:ascii="Arial" w:hAnsi="Arial" w:cs="Arial"/>
          <w:color w:val="EE0000"/>
          <w:lang w:val="en-GB"/>
        </w:rPr>
        <w:t>X4 = 313,301 ÷ 196,989 = 1.590759</w:t>
      </w:r>
    </w:p>
    <w:p w14:paraId="3881D26F">
      <w:pPr>
        <w:rPr>
          <w:rFonts w:ascii="Arial" w:hAnsi="Arial" w:cs="Arial"/>
          <w:color w:val="EE0000"/>
          <w:lang w:val="en-GB"/>
        </w:rPr>
      </w:pPr>
      <w:r>
        <w:rPr>
          <w:rFonts w:ascii="Arial" w:hAnsi="Arial" w:cs="Arial"/>
          <w:color w:val="EE0000"/>
          <w:lang w:val="en-GB"/>
        </w:rPr>
        <w:t>X5 = 614,680 ÷ 510,290 = 1.204257</w:t>
      </w:r>
    </w:p>
    <w:p w14:paraId="6772CB2E">
      <w:pPr>
        <w:rPr>
          <w:rFonts w:ascii="Arial" w:hAnsi="Arial" w:cs="Arial"/>
          <w:color w:val="EE0000"/>
          <w:lang w:val="en-GB"/>
        </w:rPr>
      </w:pPr>
      <w:r>
        <w:rPr>
          <w:rFonts w:ascii="Arial" w:hAnsi="Arial" w:cs="Arial"/>
          <w:color w:val="EE0000"/>
          <w:lang w:val="en-GB"/>
        </w:rPr>
        <w:t>Z components:</w:t>
      </w:r>
    </w:p>
    <w:p w14:paraId="39E9A244">
      <w:pPr>
        <w:rPr>
          <w:rFonts w:ascii="Arial" w:hAnsi="Arial" w:cs="Arial"/>
          <w:color w:val="EE0000"/>
          <w:lang w:val="en-GB"/>
        </w:rPr>
      </w:pPr>
      <w:r>
        <w:rPr>
          <w:rFonts w:ascii="Arial" w:hAnsi="Arial" w:cs="Arial"/>
          <w:color w:val="EE0000"/>
          <w:lang w:val="en-GB"/>
        </w:rPr>
        <w:t>1.2·X1 = 0.346364</w:t>
      </w:r>
    </w:p>
    <w:p w14:paraId="5302DC86">
      <w:pPr>
        <w:rPr>
          <w:rFonts w:ascii="Arial" w:hAnsi="Arial" w:cs="Arial"/>
          <w:color w:val="EE0000"/>
          <w:lang w:val="en-GB"/>
        </w:rPr>
      </w:pPr>
      <w:r>
        <w:rPr>
          <w:rFonts w:ascii="Arial" w:hAnsi="Arial" w:cs="Arial"/>
          <w:color w:val="EE0000"/>
          <w:lang w:val="en-GB"/>
        </w:rPr>
        <w:t>1.4·X2 = 0.891219</w:t>
      </w:r>
    </w:p>
    <w:p w14:paraId="2FD2E802">
      <w:pPr>
        <w:rPr>
          <w:rFonts w:ascii="Arial" w:hAnsi="Arial" w:cs="Arial"/>
          <w:color w:val="EE0000"/>
          <w:lang w:val="en-GB"/>
        </w:rPr>
      </w:pPr>
      <w:r>
        <w:rPr>
          <w:rFonts w:ascii="Arial" w:hAnsi="Arial" w:cs="Arial"/>
          <w:color w:val="EE0000"/>
          <w:lang w:val="en-GB"/>
        </w:rPr>
        <w:t>3.3·X3 = 0.240900</w:t>
      </w:r>
    </w:p>
    <w:p w14:paraId="491B5AB6">
      <w:pPr>
        <w:rPr>
          <w:rFonts w:ascii="Arial" w:hAnsi="Arial" w:cs="Arial"/>
          <w:color w:val="EE0000"/>
          <w:lang w:val="en-GB"/>
        </w:rPr>
      </w:pPr>
      <w:r>
        <w:rPr>
          <w:rFonts w:ascii="Arial" w:hAnsi="Arial" w:cs="Arial"/>
          <w:color w:val="EE0000"/>
          <w:lang w:val="en-GB"/>
        </w:rPr>
        <w:t>0.6·X4 = 0.954455</w:t>
      </w:r>
    </w:p>
    <w:p w14:paraId="3973C49F">
      <w:pPr>
        <w:rPr>
          <w:rFonts w:ascii="Arial" w:hAnsi="Arial" w:cs="Arial"/>
          <w:color w:val="EE0000"/>
          <w:lang w:val="en-GB"/>
        </w:rPr>
      </w:pPr>
      <w:r>
        <w:rPr>
          <w:rFonts w:ascii="Arial" w:hAnsi="Arial" w:cs="Arial"/>
          <w:color w:val="EE0000"/>
          <w:lang w:val="en-GB"/>
        </w:rPr>
        <w:t>1.0·X5 = 1.204257</w:t>
      </w:r>
    </w:p>
    <w:p w14:paraId="294ACCB3">
      <w:pPr>
        <w:rPr>
          <w:rFonts w:ascii="Arial" w:hAnsi="Arial" w:cs="Arial"/>
          <w:color w:val="EE0000"/>
          <w:lang w:val="en-GB"/>
        </w:rPr>
      </w:pPr>
      <w:r>
        <w:rPr>
          <w:rFonts w:ascii="Arial" w:hAnsi="Arial" w:cs="Arial"/>
          <w:color w:val="EE0000"/>
          <w:lang w:val="en-GB"/>
        </w:rPr>
        <w:t>Sum: Z = 0.346364 + 0.891219 + 0.240900 + 0.954455 + 1.204257 = 3.637195</w:t>
      </w:r>
    </w:p>
    <w:p w14:paraId="414A0135">
      <w:pPr>
        <w:rPr>
          <w:rFonts w:ascii="Arial" w:hAnsi="Arial" w:cs="Arial"/>
          <w:lang w:val="en-GB"/>
        </w:rPr>
      </w:pPr>
      <w:r>
        <w:rPr>
          <w:rFonts w:ascii="Arial" w:hAnsi="Arial" w:cs="Arial"/>
          <w:color w:val="EE0000"/>
          <w:lang w:val="en-GB"/>
        </w:rPr>
        <w:t>Z(2020) = 3.637</w:t>
      </w:r>
    </w:p>
    <w:p w14:paraId="71B99F74">
      <w:pPr>
        <w:jc w:val="center"/>
        <w:rPr>
          <w:rFonts w:ascii="Arial" w:hAnsi="Arial" w:cs="Arial"/>
          <w:lang w:val="en-GB"/>
        </w:rPr>
      </w:pPr>
      <w:r>
        <w:rPr>
          <w:rFonts w:ascii="Arial" w:hAnsi="Arial" w:cs="Arial"/>
          <w:lang w:val="en-GB"/>
        </w:rPr>
        <w:t>(Source: Excel)</w:t>
      </w:r>
    </w:p>
    <w:p w14:paraId="26CADEE4">
      <w:pPr>
        <w:rPr>
          <w:rFonts w:ascii="Arial" w:hAnsi="Arial" w:cs="Arial"/>
          <w:b/>
          <w:bCs/>
          <w:lang w:val="en-GB"/>
        </w:rPr>
      </w:pPr>
      <w:bookmarkStart w:id="93" w:name="_gap89tk0qg" w:colFirst="0" w:colLast="0"/>
      <w:bookmarkEnd w:id="93"/>
    </w:p>
    <w:p w14:paraId="79271109">
      <w:pPr>
        <w:pStyle w:val="3"/>
        <w:rPr>
          <w:rFonts w:ascii="Arial" w:hAnsi="Arial" w:cs="Arial"/>
          <w:lang w:val="en-GB"/>
        </w:rPr>
      </w:pPr>
      <w:bookmarkStart w:id="94" w:name="_Toc216438070"/>
      <w:r>
        <w:rPr>
          <w:rFonts w:ascii="Arial" w:hAnsi="Arial" w:cs="Arial"/>
          <w:lang w:val="en-GB"/>
        </w:rPr>
        <w:t>Appendix 4: Investment Appraisal</w:t>
      </w:r>
      <w:bookmarkEnd w:id="94"/>
    </w:p>
    <w:p w14:paraId="6AC575B0">
      <w:pPr>
        <w:jc w:val="center"/>
        <w:rPr>
          <w:rFonts w:ascii="Arial" w:hAnsi="Arial" w:cs="Arial"/>
          <w:lang w:val="en-GB"/>
        </w:rPr>
      </w:pPr>
      <w:r>
        <w:rPr>
          <w:rFonts w:ascii="Arial" w:hAnsi="Arial" w:cs="Arial"/>
          <w:lang w:val="en-GB"/>
        </w:rPr>
        <w:drawing>
          <wp:inline distT="114300" distB="114300" distL="114300" distR="114300">
            <wp:extent cx="5730875" cy="9398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25"/>
                    <a:srcRect/>
                    <a:stretch>
                      <a:fillRect/>
                    </a:stretch>
                  </pic:blipFill>
                  <pic:spPr>
                    <a:xfrm>
                      <a:off x="0" y="0"/>
                      <a:ext cx="5731200" cy="939800"/>
                    </a:xfrm>
                    <a:prstGeom prst="rect">
                      <a:avLst/>
                    </a:prstGeom>
                    <a:ln w="12700">
                      <a:solidFill>
                        <a:srgbClr val="000000"/>
                      </a:solidFill>
                      <a:prstDash val="solid"/>
                    </a:ln>
                  </pic:spPr>
                </pic:pic>
              </a:graphicData>
            </a:graphic>
          </wp:inline>
        </w:drawing>
      </w:r>
    </w:p>
    <w:tbl>
      <w:tblPr>
        <w:tblStyle w:val="1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38"/>
        <w:gridCol w:w="507"/>
        <w:gridCol w:w="346"/>
        <w:gridCol w:w="346"/>
        <w:gridCol w:w="346"/>
        <w:gridCol w:w="346"/>
        <w:gridCol w:w="346"/>
        <w:gridCol w:w="702"/>
        <w:gridCol w:w="702"/>
        <w:gridCol w:w="702"/>
        <w:gridCol w:w="418"/>
        <w:gridCol w:w="429"/>
        <w:gridCol w:w="519"/>
        <w:gridCol w:w="519"/>
        <w:gridCol w:w="519"/>
        <w:gridCol w:w="519"/>
        <w:gridCol w:w="519"/>
        <w:gridCol w:w="519"/>
      </w:tblGrid>
      <w:tr w14:paraId="5B4C2B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60" w:type="pct"/>
            <w:noWrap/>
          </w:tcPr>
          <w:p w14:paraId="624F3B80">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Discount Rate</w:t>
            </w:r>
          </w:p>
        </w:tc>
        <w:tc>
          <w:tcPr>
            <w:tcW w:w="273" w:type="pct"/>
            <w:noWrap/>
          </w:tcPr>
          <w:p w14:paraId="14AA874D">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0.10</w:t>
            </w:r>
          </w:p>
        </w:tc>
        <w:tc>
          <w:tcPr>
            <w:tcW w:w="273" w:type="pct"/>
            <w:noWrap/>
          </w:tcPr>
          <w:p w14:paraId="6D155ABA">
            <w:pPr>
              <w:spacing w:line="240" w:lineRule="auto"/>
              <w:jc w:val="left"/>
              <w:rPr>
                <w:rFonts w:ascii="Calibri" w:hAnsi="Calibri" w:cs="Calibri"/>
                <w:color w:val="000000"/>
                <w:sz w:val="22"/>
                <w:szCs w:val="22"/>
                <w:lang w:val="en-IN"/>
              </w:rPr>
            </w:pPr>
          </w:p>
        </w:tc>
        <w:tc>
          <w:tcPr>
            <w:tcW w:w="273" w:type="pct"/>
            <w:noWrap/>
          </w:tcPr>
          <w:p w14:paraId="674695E4">
            <w:pPr>
              <w:spacing w:line="240" w:lineRule="auto"/>
              <w:jc w:val="left"/>
              <w:rPr>
                <w:sz w:val="20"/>
                <w:szCs w:val="20"/>
                <w:lang w:val="en-IN"/>
              </w:rPr>
            </w:pPr>
          </w:p>
        </w:tc>
        <w:tc>
          <w:tcPr>
            <w:tcW w:w="273" w:type="pct"/>
            <w:noWrap/>
          </w:tcPr>
          <w:p w14:paraId="19F1437E">
            <w:pPr>
              <w:spacing w:line="240" w:lineRule="auto"/>
              <w:jc w:val="left"/>
              <w:rPr>
                <w:sz w:val="20"/>
                <w:szCs w:val="20"/>
                <w:lang w:val="en-IN"/>
              </w:rPr>
            </w:pPr>
          </w:p>
        </w:tc>
        <w:tc>
          <w:tcPr>
            <w:tcW w:w="273" w:type="pct"/>
            <w:noWrap/>
          </w:tcPr>
          <w:p w14:paraId="57B6EF52">
            <w:pPr>
              <w:spacing w:line="240" w:lineRule="auto"/>
              <w:jc w:val="left"/>
              <w:rPr>
                <w:sz w:val="20"/>
                <w:szCs w:val="20"/>
                <w:lang w:val="en-IN"/>
              </w:rPr>
            </w:pPr>
          </w:p>
        </w:tc>
        <w:tc>
          <w:tcPr>
            <w:tcW w:w="273" w:type="pct"/>
            <w:noWrap/>
          </w:tcPr>
          <w:p w14:paraId="2007FF9F">
            <w:pPr>
              <w:spacing w:line="240" w:lineRule="auto"/>
              <w:jc w:val="left"/>
              <w:rPr>
                <w:sz w:val="20"/>
                <w:szCs w:val="20"/>
                <w:lang w:val="en-IN"/>
              </w:rPr>
            </w:pPr>
          </w:p>
        </w:tc>
        <w:tc>
          <w:tcPr>
            <w:tcW w:w="273" w:type="pct"/>
            <w:noWrap/>
          </w:tcPr>
          <w:p w14:paraId="6DE640A3">
            <w:pPr>
              <w:spacing w:line="240" w:lineRule="auto"/>
              <w:jc w:val="left"/>
              <w:rPr>
                <w:sz w:val="20"/>
                <w:szCs w:val="20"/>
                <w:lang w:val="en-IN"/>
              </w:rPr>
            </w:pPr>
          </w:p>
        </w:tc>
        <w:tc>
          <w:tcPr>
            <w:tcW w:w="273" w:type="pct"/>
            <w:noWrap/>
          </w:tcPr>
          <w:p w14:paraId="354AB12A">
            <w:pPr>
              <w:spacing w:line="240" w:lineRule="auto"/>
              <w:jc w:val="left"/>
              <w:rPr>
                <w:sz w:val="20"/>
                <w:szCs w:val="20"/>
                <w:lang w:val="en-IN"/>
              </w:rPr>
            </w:pPr>
          </w:p>
        </w:tc>
        <w:tc>
          <w:tcPr>
            <w:tcW w:w="273" w:type="pct"/>
            <w:noWrap/>
          </w:tcPr>
          <w:p w14:paraId="0D7B6D28">
            <w:pPr>
              <w:spacing w:line="240" w:lineRule="auto"/>
              <w:jc w:val="left"/>
              <w:rPr>
                <w:sz w:val="20"/>
                <w:szCs w:val="20"/>
                <w:lang w:val="en-IN"/>
              </w:rPr>
            </w:pPr>
          </w:p>
        </w:tc>
        <w:tc>
          <w:tcPr>
            <w:tcW w:w="273" w:type="pct"/>
            <w:noWrap/>
          </w:tcPr>
          <w:p w14:paraId="5317434A">
            <w:pPr>
              <w:spacing w:line="240" w:lineRule="auto"/>
              <w:jc w:val="left"/>
              <w:rPr>
                <w:sz w:val="20"/>
                <w:szCs w:val="20"/>
                <w:lang w:val="en-IN"/>
              </w:rPr>
            </w:pPr>
          </w:p>
        </w:tc>
        <w:tc>
          <w:tcPr>
            <w:tcW w:w="273" w:type="pct"/>
            <w:noWrap/>
          </w:tcPr>
          <w:p w14:paraId="3E7D4AB8">
            <w:pPr>
              <w:spacing w:line="240" w:lineRule="auto"/>
              <w:jc w:val="left"/>
              <w:rPr>
                <w:sz w:val="20"/>
                <w:szCs w:val="20"/>
                <w:lang w:val="en-IN"/>
              </w:rPr>
            </w:pPr>
          </w:p>
        </w:tc>
        <w:tc>
          <w:tcPr>
            <w:tcW w:w="273" w:type="pct"/>
            <w:noWrap/>
          </w:tcPr>
          <w:p w14:paraId="67A850B4">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Cum0</w:t>
            </w:r>
          </w:p>
        </w:tc>
        <w:tc>
          <w:tcPr>
            <w:tcW w:w="273" w:type="pct"/>
            <w:noWrap/>
          </w:tcPr>
          <w:p w14:paraId="3F2CFDC1">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Cum1</w:t>
            </w:r>
          </w:p>
        </w:tc>
        <w:tc>
          <w:tcPr>
            <w:tcW w:w="273" w:type="pct"/>
            <w:noWrap/>
          </w:tcPr>
          <w:p w14:paraId="3C0FB253">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Cum2</w:t>
            </w:r>
          </w:p>
        </w:tc>
        <w:tc>
          <w:tcPr>
            <w:tcW w:w="273" w:type="pct"/>
            <w:noWrap/>
          </w:tcPr>
          <w:p w14:paraId="4138F27E">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Cum3</w:t>
            </w:r>
          </w:p>
        </w:tc>
        <w:tc>
          <w:tcPr>
            <w:tcW w:w="273" w:type="pct"/>
            <w:noWrap/>
          </w:tcPr>
          <w:p w14:paraId="40BBAB88">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Cum4</w:t>
            </w:r>
          </w:p>
        </w:tc>
        <w:tc>
          <w:tcPr>
            <w:tcW w:w="273" w:type="pct"/>
            <w:noWrap/>
          </w:tcPr>
          <w:p w14:paraId="7AB05F7D">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Cum5</w:t>
            </w:r>
          </w:p>
        </w:tc>
      </w:tr>
      <w:tr w14:paraId="7ED23F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60" w:type="pct"/>
            <w:noWrap/>
          </w:tcPr>
          <w:p w14:paraId="142DDFB0">
            <w:pPr>
              <w:spacing w:line="240" w:lineRule="auto"/>
              <w:jc w:val="left"/>
              <w:rPr>
                <w:rFonts w:ascii="Calibri" w:hAnsi="Calibri" w:cs="Calibri"/>
                <w:color w:val="000000"/>
                <w:sz w:val="22"/>
                <w:szCs w:val="22"/>
                <w:lang w:val="en-IN"/>
              </w:rPr>
            </w:pPr>
          </w:p>
        </w:tc>
        <w:tc>
          <w:tcPr>
            <w:tcW w:w="273" w:type="pct"/>
            <w:noWrap/>
          </w:tcPr>
          <w:p w14:paraId="3EEB2506">
            <w:pPr>
              <w:spacing w:line="240" w:lineRule="auto"/>
              <w:jc w:val="left"/>
              <w:rPr>
                <w:sz w:val="20"/>
                <w:szCs w:val="20"/>
                <w:lang w:val="en-IN"/>
              </w:rPr>
            </w:pPr>
          </w:p>
        </w:tc>
        <w:tc>
          <w:tcPr>
            <w:tcW w:w="273" w:type="pct"/>
            <w:noWrap/>
          </w:tcPr>
          <w:p w14:paraId="5DF838F6">
            <w:pPr>
              <w:spacing w:line="240" w:lineRule="auto"/>
              <w:jc w:val="left"/>
              <w:rPr>
                <w:sz w:val="20"/>
                <w:szCs w:val="20"/>
                <w:lang w:val="en-IN"/>
              </w:rPr>
            </w:pPr>
          </w:p>
        </w:tc>
        <w:tc>
          <w:tcPr>
            <w:tcW w:w="273" w:type="pct"/>
            <w:noWrap/>
          </w:tcPr>
          <w:p w14:paraId="16AE10C8">
            <w:pPr>
              <w:spacing w:line="240" w:lineRule="auto"/>
              <w:jc w:val="left"/>
              <w:rPr>
                <w:sz w:val="20"/>
                <w:szCs w:val="20"/>
                <w:lang w:val="en-IN"/>
              </w:rPr>
            </w:pPr>
          </w:p>
        </w:tc>
        <w:tc>
          <w:tcPr>
            <w:tcW w:w="273" w:type="pct"/>
            <w:noWrap/>
          </w:tcPr>
          <w:p w14:paraId="2EC69336">
            <w:pPr>
              <w:spacing w:line="240" w:lineRule="auto"/>
              <w:jc w:val="left"/>
              <w:rPr>
                <w:sz w:val="20"/>
                <w:szCs w:val="20"/>
                <w:lang w:val="en-IN"/>
              </w:rPr>
            </w:pPr>
          </w:p>
        </w:tc>
        <w:tc>
          <w:tcPr>
            <w:tcW w:w="273" w:type="pct"/>
            <w:noWrap/>
          </w:tcPr>
          <w:p w14:paraId="130A4E32">
            <w:pPr>
              <w:spacing w:line="240" w:lineRule="auto"/>
              <w:jc w:val="left"/>
              <w:rPr>
                <w:sz w:val="20"/>
                <w:szCs w:val="20"/>
                <w:lang w:val="en-IN"/>
              </w:rPr>
            </w:pPr>
          </w:p>
        </w:tc>
        <w:tc>
          <w:tcPr>
            <w:tcW w:w="273" w:type="pct"/>
            <w:noWrap/>
          </w:tcPr>
          <w:p w14:paraId="0D6683E6">
            <w:pPr>
              <w:spacing w:line="240" w:lineRule="auto"/>
              <w:jc w:val="left"/>
              <w:rPr>
                <w:sz w:val="20"/>
                <w:szCs w:val="20"/>
                <w:lang w:val="en-IN"/>
              </w:rPr>
            </w:pPr>
          </w:p>
        </w:tc>
        <w:tc>
          <w:tcPr>
            <w:tcW w:w="273" w:type="pct"/>
            <w:noWrap/>
          </w:tcPr>
          <w:p w14:paraId="30DEB6B8">
            <w:pPr>
              <w:spacing w:line="240" w:lineRule="auto"/>
              <w:jc w:val="left"/>
              <w:rPr>
                <w:sz w:val="20"/>
                <w:szCs w:val="20"/>
                <w:lang w:val="en-IN"/>
              </w:rPr>
            </w:pPr>
          </w:p>
        </w:tc>
        <w:tc>
          <w:tcPr>
            <w:tcW w:w="273" w:type="pct"/>
            <w:noWrap/>
          </w:tcPr>
          <w:p w14:paraId="6B14721B">
            <w:pPr>
              <w:spacing w:line="240" w:lineRule="auto"/>
              <w:jc w:val="left"/>
              <w:rPr>
                <w:sz w:val="20"/>
                <w:szCs w:val="20"/>
                <w:lang w:val="en-IN"/>
              </w:rPr>
            </w:pPr>
          </w:p>
        </w:tc>
        <w:tc>
          <w:tcPr>
            <w:tcW w:w="273" w:type="pct"/>
            <w:noWrap/>
          </w:tcPr>
          <w:p w14:paraId="0A6A57AB">
            <w:pPr>
              <w:spacing w:line="240" w:lineRule="auto"/>
              <w:jc w:val="left"/>
              <w:rPr>
                <w:sz w:val="20"/>
                <w:szCs w:val="20"/>
                <w:lang w:val="en-IN"/>
              </w:rPr>
            </w:pPr>
          </w:p>
        </w:tc>
        <w:tc>
          <w:tcPr>
            <w:tcW w:w="273" w:type="pct"/>
            <w:noWrap/>
          </w:tcPr>
          <w:p w14:paraId="2CB1F724">
            <w:pPr>
              <w:spacing w:line="240" w:lineRule="auto"/>
              <w:jc w:val="left"/>
              <w:rPr>
                <w:sz w:val="20"/>
                <w:szCs w:val="20"/>
                <w:lang w:val="en-IN"/>
              </w:rPr>
            </w:pPr>
          </w:p>
        </w:tc>
        <w:tc>
          <w:tcPr>
            <w:tcW w:w="273" w:type="pct"/>
            <w:noWrap/>
          </w:tcPr>
          <w:p w14:paraId="4262E683">
            <w:pPr>
              <w:spacing w:line="240" w:lineRule="auto"/>
              <w:jc w:val="left"/>
              <w:rPr>
                <w:sz w:val="20"/>
                <w:szCs w:val="20"/>
                <w:lang w:val="en-IN"/>
              </w:rPr>
            </w:pPr>
          </w:p>
        </w:tc>
        <w:tc>
          <w:tcPr>
            <w:tcW w:w="273" w:type="pct"/>
            <w:noWrap/>
          </w:tcPr>
          <w:p w14:paraId="6731FF89">
            <w:pPr>
              <w:spacing w:line="240" w:lineRule="auto"/>
              <w:jc w:val="left"/>
              <w:rPr>
                <w:sz w:val="20"/>
                <w:szCs w:val="20"/>
                <w:lang w:val="en-IN"/>
              </w:rPr>
            </w:pPr>
          </w:p>
        </w:tc>
        <w:tc>
          <w:tcPr>
            <w:tcW w:w="273" w:type="pct"/>
            <w:noWrap/>
          </w:tcPr>
          <w:p w14:paraId="042523B5">
            <w:pPr>
              <w:spacing w:line="240" w:lineRule="auto"/>
              <w:jc w:val="left"/>
              <w:rPr>
                <w:sz w:val="20"/>
                <w:szCs w:val="20"/>
                <w:lang w:val="en-IN"/>
              </w:rPr>
            </w:pPr>
          </w:p>
        </w:tc>
        <w:tc>
          <w:tcPr>
            <w:tcW w:w="273" w:type="pct"/>
            <w:noWrap/>
          </w:tcPr>
          <w:p w14:paraId="1FD790AD">
            <w:pPr>
              <w:spacing w:line="240" w:lineRule="auto"/>
              <w:jc w:val="left"/>
              <w:rPr>
                <w:sz w:val="20"/>
                <w:szCs w:val="20"/>
                <w:lang w:val="en-IN"/>
              </w:rPr>
            </w:pPr>
          </w:p>
        </w:tc>
        <w:tc>
          <w:tcPr>
            <w:tcW w:w="273" w:type="pct"/>
            <w:noWrap/>
          </w:tcPr>
          <w:p w14:paraId="2BD5FFFC">
            <w:pPr>
              <w:spacing w:line="240" w:lineRule="auto"/>
              <w:jc w:val="left"/>
              <w:rPr>
                <w:sz w:val="20"/>
                <w:szCs w:val="20"/>
                <w:lang w:val="en-IN"/>
              </w:rPr>
            </w:pPr>
          </w:p>
        </w:tc>
        <w:tc>
          <w:tcPr>
            <w:tcW w:w="273" w:type="pct"/>
            <w:noWrap/>
          </w:tcPr>
          <w:p w14:paraId="4BCA36CB">
            <w:pPr>
              <w:spacing w:line="240" w:lineRule="auto"/>
              <w:jc w:val="left"/>
              <w:rPr>
                <w:sz w:val="20"/>
                <w:szCs w:val="20"/>
                <w:lang w:val="en-IN"/>
              </w:rPr>
            </w:pPr>
          </w:p>
        </w:tc>
        <w:tc>
          <w:tcPr>
            <w:tcW w:w="273" w:type="pct"/>
            <w:noWrap/>
          </w:tcPr>
          <w:p w14:paraId="27A4F831">
            <w:pPr>
              <w:spacing w:line="240" w:lineRule="auto"/>
              <w:jc w:val="left"/>
              <w:rPr>
                <w:sz w:val="20"/>
                <w:szCs w:val="20"/>
                <w:lang w:val="en-IN"/>
              </w:rPr>
            </w:pPr>
          </w:p>
        </w:tc>
      </w:tr>
      <w:tr w14:paraId="2E81EA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60" w:type="pct"/>
            <w:noWrap/>
          </w:tcPr>
          <w:p w14:paraId="62DEBB94">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Project</w:t>
            </w:r>
          </w:p>
        </w:tc>
        <w:tc>
          <w:tcPr>
            <w:tcW w:w="273" w:type="pct"/>
            <w:noWrap/>
          </w:tcPr>
          <w:p w14:paraId="15CF054B">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Initial</w:t>
            </w:r>
          </w:p>
        </w:tc>
        <w:tc>
          <w:tcPr>
            <w:tcW w:w="273" w:type="pct"/>
            <w:noWrap/>
          </w:tcPr>
          <w:p w14:paraId="420AD0A2">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Y1</w:t>
            </w:r>
          </w:p>
        </w:tc>
        <w:tc>
          <w:tcPr>
            <w:tcW w:w="273" w:type="pct"/>
            <w:noWrap/>
          </w:tcPr>
          <w:p w14:paraId="33F2AE25">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Y2</w:t>
            </w:r>
          </w:p>
        </w:tc>
        <w:tc>
          <w:tcPr>
            <w:tcW w:w="273" w:type="pct"/>
            <w:noWrap/>
          </w:tcPr>
          <w:p w14:paraId="000F8C60">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Y3</w:t>
            </w:r>
          </w:p>
        </w:tc>
        <w:tc>
          <w:tcPr>
            <w:tcW w:w="273" w:type="pct"/>
            <w:noWrap/>
          </w:tcPr>
          <w:p w14:paraId="6F88E490">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Y4</w:t>
            </w:r>
          </w:p>
        </w:tc>
        <w:tc>
          <w:tcPr>
            <w:tcW w:w="273" w:type="pct"/>
            <w:noWrap/>
          </w:tcPr>
          <w:p w14:paraId="71B55029">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Y5</w:t>
            </w:r>
          </w:p>
        </w:tc>
        <w:tc>
          <w:tcPr>
            <w:tcW w:w="273" w:type="pct"/>
            <w:noWrap/>
          </w:tcPr>
          <w:p w14:paraId="53D1394B">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NPV</w:t>
            </w:r>
          </w:p>
        </w:tc>
        <w:tc>
          <w:tcPr>
            <w:tcW w:w="273" w:type="pct"/>
            <w:noWrap/>
          </w:tcPr>
          <w:p w14:paraId="1C8FCA97">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IRR</w:t>
            </w:r>
          </w:p>
        </w:tc>
        <w:tc>
          <w:tcPr>
            <w:tcW w:w="273" w:type="pct"/>
            <w:noWrap/>
          </w:tcPr>
          <w:p w14:paraId="535BBC40">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PI</w:t>
            </w:r>
          </w:p>
        </w:tc>
        <w:tc>
          <w:tcPr>
            <w:tcW w:w="273" w:type="pct"/>
            <w:noWrap/>
          </w:tcPr>
          <w:p w14:paraId="0151C257">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PBP</w:t>
            </w:r>
          </w:p>
        </w:tc>
        <w:tc>
          <w:tcPr>
            <w:tcW w:w="273" w:type="pct"/>
            <w:noWrap/>
          </w:tcPr>
          <w:p w14:paraId="389923FA">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ARR</w:t>
            </w:r>
          </w:p>
        </w:tc>
        <w:tc>
          <w:tcPr>
            <w:tcW w:w="273" w:type="pct"/>
            <w:noWrap/>
          </w:tcPr>
          <w:p w14:paraId="6605F347">
            <w:pPr>
              <w:spacing w:line="240" w:lineRule="auto"/>
              <w:jc w:val="left"/>
              <w:rPr>
                <w:rFonts w:ascii="Calibri" w:hAnsi="Calibri" w:cs="Calibri"/>
                <w:color w:val="000000"/>
                <w:sz w:val="22"/>
                <w:szCs w:val="22"/>
                <w:lang w:val="en-IN"/>
              </w:rPr>
            </w:pPr>
          </w:p>
        </w:tc>
        <w:tc>
          <w:tcPr>
            <w:tcW w:w="273" w:type="pct"/>
            <w:noWrap/>
          </w:tcPr>
          <w:p w14:paraId="0D52DEB6">
            <w:pPr>
              <w:spacing w:line="240" w:lineRule="auto"/>
              <w:jc w:val="left"/>
              <w:rPr>
                <w:sz w:val="20"/>
                <w:szCs w:val="20"/>
                <w:lang w:val="en-IN"/>
              </w:rPr>
            </w:pPr>
          </w:p>
        </w:tc>
        <w:tc>
          <w:tcPr>
            <w:tcW w:w="273" w:type="pct"/>
            <w:noWrap/>
          </w:tcPr>
          <w:p w14:paraId="3F369F85">
            <w:pPr>
              <w:spacing w:line="240" w:lineRule="auto"/>
              <w:jc w:val="left"/>
              <w:rPr>
                <w:sz w:val="20"/>
                <w:szCs w:val="20"/>
                <w:lang w:val="en-IN"/>
              </w:rPr>
            </w:pPr>
          </w:p>
        </w:tc>
        <w:tc>
          <w:tcPr>
            <w:tcW w:w="273" w:type="pct"/>
            <w:noWrap/>
          </w:tcPr>
          <w:p w14:paraId="2D927C05">
            <w:pPr>
              <w:spacing w:line="240" w:lineRule="auto"/>
              <w:jc w:val="left"/>
              <w:rPr>
                <w:sz w:val="20"/>
                <w:szCs w:val="20"/>
                <w:lang w:val="en-IN"/>
              </w:rPr>
            </w:pPr>
          </w:p>
        </w:tc>
        <w:tc>
          <w:tcPr>
            <w:tcW w:w="273" w:type="pct"/>
            <w:noWrap/>
          </w:tcPr>
          <w:p w14:paraId="67ACA953">
            <w:pPr>
              <w:spacing w:line="240" w:lineRule="auto"/>
              <w:jc w:val="left"/>
              <w:rPr>
                <w:sz w:val="20"/>
                <w:szCs w:val="20"/>
                <w:lang w:val="en-IN"/>
              </w:rPr>
            </w:pPr>
          </w:p>
        </w:tc>
        <w:tc>
          <w:tcPr>
            <w:tcW w:w="273" w:type="pct"/>
            <w:noWrap/>
          </w:tcPr>
          <w:p w14:paraId="65E8C95D">
            <w:pPr>
              <w:spacing w:line="240" w:lineRule="auto"/>
              <w:jc w:val="left"/>
              <w:rPr>
                <w:sz w:val="20"/>
                <w:szCs w:val="20"/>
                <w:lang w:val="en-IN"/>
              </w:rPr>
            </w:pPr>
          </w:p>
        </w:tc>
      </w:tr>
      <w:tr w14:paraId="0D1A59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60" w:type="pct"/>
            <w:noWrap/>
          </w:tcPr>
          <w:p w14:paraId="490B11D1">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A</w:t>
            </w:r>
          </w:p>
        </w:tc>
        <w:tc>
          <w:tcPr>
            <w:tcW w:w="273" w:type="pct"/>
            <w:noWrap/>
          </w:tcPr>
          <w:p w14:paraId="48B75DEF">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40</w:t>
            </w:r>
          </w:p>
        </w:tc>
        <w:tc>
          <w:tcPr>
            <w:tcW w:w="273" w:type="pct"/>
            <w:noWrap/>
          </w:tcPr>
          <w:p w14:paraId="3D9B7FF4">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10</w:t>
            </w:r>
          </w:p>
        </w:tc>
        <w:tc>
          <w:tcPr>
            <w:tcW w:w="273" w:type="pct"/>
            <w:noWrap/>
          </w:tcPr>
          <w:p w14:paraId="11887D39">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12</w:t>
            </w:r>
          </w:p>
        </w:tc>
        <w:tc>
          <w:tcPr>
            <w:tcW w:w="273" w:type="pct"/>
            <w:noWrap/>
          </w:tcPr>
          <w:p w14:paraId="3C38B56B">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14</w:t>
            </w:r>
          </w:p>
        </w:tc>
        <w:tc>
          <w:tcPr>
            <w:tcW w:w="273" w:type="pct"/>
            <w:noWrap/>
          </w:tcPr>
          <w:p w14:paraId="6694AF2C">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10</w:t>
            </w:r>
          </w:p>
        </w:tc>
        <w:tc>
          <w:tcPr>
            <w:tcW w:w="273" w:type="pct"/>
            <w:noWrap/>
          </w:tcPr>
          <w:p w14:paraId="71111B00">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8</w:t>
            </w:r>
          </w:p>
        </w:tc>
        <w:tc>
          <w:tcPr>
            <w:tcW w:w="273" w:type="pct"/>
            <w:noWrap/>
          </w:tcPr>
          <w:p w14:paraId="3845BE0B">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1.324177</w:t>
            </w:r>
          </w:p>
        </w:tc>
        <w:tc>
          <w:tcPr>
            <w:tcW w:w="273" w:type="pct"/>
            <w:noWrap/>
          </w:tcPr>
          <w:p w14:paraId="66988D2D">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11%</w:t>
            </w:r>
          </w:p>
        </w:tc>
        <w:tc>
          <w:tcPr>
            <w:tcW w:w="273" w:type="pct"/>
            <w:noWrap/>
          </w:tcPr>
          <w:p w14:paraId="056CE7BE">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1.033104</w:t>
            </w:r>
          </w:p>
        </w:tc>
        <w:tc>
          <w:tcPr>
            <w:tcW w:w="273" w:type="pct"/>
            <w:noWrap/>
          </w:tcPr>
          <w:p w14:paraId="3E03292F">
            <w:pPr>
              <w:spacing w:line="240" w:lineRule="auto"/>
              <w:jc w:val="right"/>
              <w:rPr>
                <w:color w:val="000000"/>
                <w:sz w:val="22"/>
                <w:szCs w:val="22"/>
                <w:lang w:val="en-IN"/>
              </w:rPr>
            </w:pPr>
            <w:r>
              <w:rPr>
                <w:color w:val="000000"/>
                <w:sz w:val="22"/>
                <w:szCs w:val="22"/>
                <w:lang w:val="en-IN"/>
              </w:rPr>
              <w:t>1</w:t>
            </w:r>
          </w:p>
        </w:tc>
        <w:tc>
          <w:tcPr>
            <w:tcW w:w="273" w:type="pct"/>
            <w:noWrap/>
          </w:tcPr>
          <w:p w14:paraId="1A4FBCA7">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c>
          <w:tcPr>
            <w:tcW w:w="273" w:type="pct"/>
            <w:noWrap/>
          </w:tcPr>
          <w:p w14:paraId="00051E93">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-30</w:t>
            </w:r>
          </w:p>
        </w:tc>
        <w:tc>
          <w:tcPr>
            <w:tcW w:w="273" w:type="pct"/>
            <w:noWrap/>
          </w:tcPr>
          <w:p w14:paraId="5F72A0F4">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-24</w:t>
            </w:r>
          </w:p>
        </w:tc>
        <w:tc>
          <w:tcPr>
            <w:tcW w:w="273" w:type="pct"/>
            <w:noWrap/>
          </w:tcPr>
          <w:p w14:paraId="4B958948">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-18</w:t>
            </w:r>
          </w:p>
        </w:tc>
        <w:tc>
          <w:tcPr>
            <w:tcW w:w="273" w:type="pct"/>
            <w:noWrap/>
          </w:tcPr>
          <w:p w14:paraId="42C07249">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-12</w:t>
            </w:r>
          </w:p>
        </w:tc>
        <w:tc>
          <w:tcPr>
            <w:tcW w:w="273" w:type="pct"/>
            <w:noWrap/>
          </w:tcPr>
          <w:p w14:paraId="6BED4045">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-6</w:t>
            </w:r>
          </w:p>
        </w:tc>
        <w:tc>
          <w:tcPr>
            <w:tcW w:w="273" w:type="pct"/>
            <w:noWrap/>
          </w:tcPr>
          <w:p w14:paraId="07C78A89">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r>
      <w:tr w14:paraId="71C72A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60" w:type="pct"/>
            <w:noWrap/>
          </w:tcPr>
          <w:p w14:paraId="46F3D182">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B</w:t>
            </w:r>
          </w:p>
        </w:tc>
        <w:tc>
          <w:tcPr>
            <w:tcW w:w="273" w:type="pct"/>
            <w:noWrap/>
          </w:tcPr>
          <w:p w14:paraId="12B93F5F">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30</w:t>
            </w:r>
          </w:p>
        </w:tc>
        <w:tc>
          <w:tcPr>
            <w:tcW w:w="273" w:type="pct"/>
            <w:noWrap/>
          </w:tcPr>
          <w:p w14:paraId="67C0DC80">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6</w:t>
            </w:r>
          </w:p>
        </w:tc>
        <w:tc>
          <w:tcPr>
            <w:tcW w:w="273" w:type="pct"/>
            <w:noWrap/>
          </w:tcPr>
          <w:p w14:paraId="6CD81528">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6</w:t>
            </w:r>
          </w:p>
        </w:tc>
        <w:tc>
          <w:tcPr>
            <w:tcW w:w="273" w:type="pct"/>
            <w:noWrap/>
          </w:tcPr>
          <w:p w14:paraId="38B086A2">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6</w:t>
            </w:r>
          </w:p>
        </w:tc>
        <w:tc>
          <w:tcPr>
            <w:tcW w:w="273" w:type="pct"/>
            <w:noWrap/>
          </w:tcPr>
          <w:p w14:paraId="6729CC4A">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6</w:t>
            </w:r>
          </w:p>
        </w:tc>
        <w:tc>
          <w:tcPr>
            <w:tcW w:w="273" w:type="pct"/>
            <w:noWrap/>
          </w:tcPr>
          <w:p w14:paraId="498F321C">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6</w:t>
            </w:r>
          </w:p>
        </w:tc>
        <w:tc>
          <w:tcPr>
            <w:tcW w:w="273" w:type="pct"/>
            <w:noWrap/>
          </w:tcPr>
          <w:p w14:paraId="15824659">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4.22537</w:t>
            </w:r>
          </w:p>
        </w:tc>
        <w:tc>
          <w:tcPr>
            <w:tcW w:w="273" w:type="pct"/>
            <w:noWrap/>
          </w:tcPr>
          <w:p w14:paraId="41D18692">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c>
          <w:tcPr>
            <w:tcW w:w="273" w:type="pct"/>
            <w:noWrap/>
          </w:tcPr>
          <w:p w14:paraId="1E245865">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1.084507</w:t>
            </w:r>
          </w:p>
        </w:tc>
        <w:tc>
          <w:tcPr>
            <w:tcW w:w="273" w:type="pct"/>
            <w:noWrap/>
          </w:tcPr>
          <w:p w14:paraId="735FEDDC">
            <w:pPr>
              <w:spacing w:line="240" w:lineRule="auto"/>
              <w:jc w:val="right"/>
              <w:rPr>
                <w:color w:val="000000"/>
                <w:sz w:val="22"/>
                <w:szCs w:val="22"/>
                <w:lang w:val="en-IN"/>
              </w:rPr>
            </w:pPr>
            <w:r>
              <w:rPr>
                <w:color w:val="000000"/>
                <w:sz w:val="22"/>
                <w:szCs w:val="22"/>
                <w:lang w:val="en-IN"/>
              </w:rPr>
              <w:t>5</w:t>
            </w:r>
          </w:p>
        </w:tc>
        <w:tc>
          <w:tcPr>
            <w:tcW w:w="273" w:type="pct"/>
            <w:noWrap/>
          </w:tcPr>
          <w:p w14:paraId="42350297">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0.2</w:t>
            </w:r>
          </w:p>
        </w:tc>
        <w:tc>
          <w:tcPr>
            <w:tcW w:w="273" w:type="pct"/>
            <w:noWrap/>
          </w:tcPr>
          <w:p w14:paraId="06B12377">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-50</w:t>
            </w:r>
          </w:p>
        </w:tc>
        <w:tc>
          <w:tcPr>
            <w:tcW w:w="273" w:type="pct"/>
            <w:noWrap/>
          </w:tcPr>
          <w:p w14:paraId="54AA4014">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-45</w:t>
            </w:r>
          </w:p>
        </w:tc>
        <w:tc>
          <w:tcPr>
            <w:tcW w:w="273" w:type="pct"/>
            <w:noWrap/>
          </w:tcPr>
          <w:p w14:paraId="226933C8">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-35</w:t>
            </w:r>
          </w:p>
        </w:tc>
        <w:tc>
          <w:tcPr>
            <w:tcW w:w="273" w:type="pct"/>
            <w:noWrap/>
          </w:tcPr>
          <w:p w14:paraId="38F44471">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-15</w:t>
            </w:r>
          </w:p>
        </w:tc>
        <w:tc>
          <w:tcPr>
            <w:tcW w:w="273" w:type="pct"/>
            <w:noWrap/>
          </w:tcPr>
          <w:p w14:paraId="0DF27327">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10</w:t>
            </w:r>
          </w:p>
        </w:tc>
        <w:tc>
          <w:tcPr>
            <w:tcW w:w="273" w:type="pct"/>
            <w:noWrap/>
          </w:tcPr>
          <w:p w14:paraId="29385950">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25</w:t>
            </w:r>
          </w:p>
        </w:tc>
      </w:tr>
      <w:tr w14:paraId="282CAC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360" w:type="pct"/>
            <w:noWrap/>
          </w:tcPr>
          <w:p w14:paraId="00A711B3">
            <w:pPr>
              <w:spacing w:line="240" w:lineRule="auto"/>
              <w:jc w:val="left"/>
              <w:rPr>
                <w:rFonts w:ascii="Calibri" w:hAnsi="Calibri" w:cs="Calibri"/>
                <w:color w:val="000000"/>
                <w:sz w:val="22"/>
                <w:szCs w:val="22"/>
                <w:lang w:val="en-IN"/>
              </w:rPr>
            </w:pPr>
            <w:r>
              <w:rPr>
                <w:rFonts w:ascii="Calibri" w:hAnsi="Calibri" w:cs="Calibri"/>
                <w:color w:val="000000"/>
                <w:sz w:val="22"/>
                <w:szCs w:val="22"/>
                <w:lang w:val="en-IN"/>
              </w:rPr>
              <w:t>C</w:t>
            </w:r>
          </w:p>
        </w:tc>
        <w:tc>
          <w:tcPr>
            <w:tcW w:w="273" w:type="pct"/>
            <w:noWrap/>
          </w:tcPr>
          <w:p w14:paraId="245EA2DF">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50</w:t>
            </w:r>
          </w:p>
        </w:tc>
        <w:tc>
          <w:tcPr>
            <w:tcW w:w="273" w:type="pct"/>
            <w:noWrap/>
          </w:tcPr>
          <w:p w14:paraId="5D9B0A3F">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5</w:t>
            </w:r>
          </w:p>
        </w:tc>
        <w:tc>
          <w:tcPr>
            <w:tcW w:w="273" w:type="pct"/>
            <w:noWrap/>
          </w:tcPr>
          <w:p w14:paraId="1FE4F1EF">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10</w:t>
            </w:r>
          </w:p>
        </w:tc>
        <w:tc>
          <w:tcPr>
            <w:tcW w:w="273" w:type="pct"/>
            <w:noWrap/>
          </w:tcPr>
          <w:p w14:paraId="2D22344B">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20</w:t>
            </w:r>
          </w:p>
        </w:tc>
        <w:tc>
          <w:tcPr>
            <w:tcW w:w="273" w:type="pct"/>
            <w:noWrap/>
          </w:tcPr>
          <w:p w14:paraId="143CEC41">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25</w:t>
            </w:r>
          </w:p>
        </w:tc>
        <w:tc>
          <w:tcPr>
            <w:tcW w:w="273" w:type="pct"/>
            <w:noWrap/>
          </w:tcPr>
          <w:p w14:paraId="00402646">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15</w:t>
            </w:r>
          </w:p>
        </w:tc>
        <w:tc>
          <w:tcPr>
            <w:tcW w:w="273" w:type="pct"/>
            <w:noWrap/>
          </w:tcPr>
          <w:p w14:paraId="380908CC">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c>
          <w:tcPr>
            <w:tcW w:w="273" w:type="pct"/>
            <w:noWrap/>
          </w:tcPr>
          <w:p w14:paraId="4DA34AE2">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0.127198</w:t>
            </w:r>
          </w:p>
        </w:tc>
        <w:tc>
          <w:tcPr>
            <w:tcW w:w="273" w:type="pct"/>
            <w:noWrap/>
          </w:tcPr>
          <w:p w14:paraId="0C7CA0FD">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1.084507</w:t>
            </w:r>
          </w:p>
        </w:tc>
        <w:tc>
          <w:tcPr>
            <w:tcW w:w="273" w:type="pct"/>
            <w:noWrap/>
          </w:tcPr>
          <w:p w14:paraId="2438B811">
            <w:pPr>
              <w:spacing w:line="240" w:lineRule="auto"/>
              <w:jc w:val="right"/>
              <w:rPr>
                <w:color w:val="000000"/>
                <w:sz w:val="22"/>
                <w:szCs w:val="22"/>
                <w:lang w:val="en-IN"/>
              </w:rPr>
            </w:pPr>
            <w:r>
              <w:rPr>
                <w:color w:val="000000"/>
                <w:sz w:val="22"/>
                <w:szCs w:val="22"/>
                <w:lang w:val="en-IN"/>
              </w:rPr>
              <w:t>4</w:t>
            </w:r>
          </w:p>
        </w:tc>
        <w:tc>
          <w:tcPr>
            <w:tcW w:w="273" w:type="pct"/>
            <w:noWrap/>
          </w:tcPr>
          <w:p w14:paraId="2EFA39D2">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0.2</w:t>
            </w:r>
          </w:p>
        </w:tc>
        <w:tc>
          <w:tcPr>
            <w:tcW w:w="273" w:type="pct"/>
            <w:noWrap/>
          </w:tcPr>
          <w:p w14:paraId="5088F85E">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c>
          <w:tcPr>
            <w:tcW w:w="273" w:type="pct"/>
            <w:noWrap/>
          </w:tcPr>
          <w:p w14:paraId="31AD0823">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c>
          <w:tcPr>
            <w:tcW w:w="273" w:type="pct"/>
            <w:noWrap/>
          </w:tcPr>
          <w:p w14:paraId="561E0653">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c>
          <w:tcPr>
            <w:tcW w:w="273" w:type="pct"/>
            <w:noWrap/>
          </w:tcPr>
          <w:p w14:paraId="58E56F4C">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c>
          <w:tcPr>
            <w:tcW w:w="273" w:type="pct"/>
            <w:noWrap/>
          </w:tcPr>
          <w:p w14:paraId="74EBABF2">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c>
          <w:tcPr>
            <w:tcW w:w="273" w:type="pct"/>
            <w:noWrap/>
          </w:tcPr>
          <w:p w14:paraId="10304DFD">
            <w:pPr>
              <w:spacing w:line="240" w:lineRule="auto"/>
              <w:jc w:val="right"/>
              <w:rPr>
                <w:rFonts w:ascii="Calibri" w:hAnsi="Calibri" w:cs="Calibri"/>
                <w:color w:val="000000"/>
                <w:sz w:val="22"/>
                <w:szCs w:val="22"/>
                <w:lang w:val="en-IN"/>
              </w:rPr>
            </w:pPr>
            <w:r>
              <w:rPr>
                <w:rFonts w:ascii="Calibri" w:hAnsi="Calibri" w:cs="Calibri"/>
                <w:color w:val="000000"/>
                <w:sz w:val="22"/>
                <w:szCs w:val="22"/>
                <w:lang w:val="en-IN"/>
              </w:rPr>
              <w:t>0</w:t>
            </w:r>
          </w:p>
        </w:tc>
      </w:tr>
    </w:tbl>
    <w:p w14:paraId="3440BEAD">
      <w:pPr>
        <w:rPr>
          <w:rFonts w:ascii="Arial" w:hAnsi="Arial" w:cs="Arial"/>
          <w:lang w:val="en-GB"/>
        </w:rPr>
      </w:pPr>
    </w:p>
    <w:p w14:paraId="32DFAF51">
      <w:pPr>
        <w:jc w:val="center"/>
        <w:rPr>
          <w:rFonts w:ascii="Arial" w:hAnsi="Arial" w:cs="Arial"/>
          <w:lang w:val="en-GB"/>
        </w:rPr>
      </w:pPr>
      <w:r>
        <w:rPr>
          <w:rFonts w:ascii="Arial" w:hAnsi="Arial" w:cs="Arial"/>
          <w:lang w:val="en-GB"/>
        </w:rPr>
        <w:drawing>
          <wp:inline distT="114300" distB="114300" distL="114300" distR="114300">
            <wp:extent cx="5730875" cy="9779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referRelativeResize="0"/>
                  </pic:nvPicPr>
                  <pic:blipFill>
                    <a:blip r:embed="rId26"/>
                    <a:srcRect/>
                    <a:stretch>
                      <a:fillRect/>
                    </a:stretch>
                  </pic:blipFill>
                  <pic:spPr>
                    <a:xfrm>
                      <a:off x="0" y="0"/>
                      <a:ext cx="5731200" cy="977900"/>
                    </a:xfrm>
                    <a:prstGeom prst="rect">
                      <a:avLst/>
                    </a:prstGeom>
                    <a:ln w="12700">
                      <a:solidFill>
                        <a:srgbClr val="000000"/>
                      </a:solidFill>
                      <a:prstDash val="solid"/>
                    </a:ln>
                  </pic:spPr>
                </pic:pic>
              </a:graphicData>
            </a:graphic>
          </wp:inline>
        </w:drawing>
      </w:r>
    </w:p>
    <w:p w14:paraId="4A55804E">
      <w:pPr>
        <w:jc w:val="center"/>
        <w:rPr>
          <w:rFonts w:ascii="Arial" w:hAnsi="Arial" w:cs="Arial"/>
          <w:lang w:val="en-GB"/>
        </w:rPr>
      </w:pPr>
      <w:r>
        <w:rPr>
          <w:rFonts w:ascii="Arial" w:hAnsi="Arial" w:cs="Arial"/>
          <w:lang w:val="en-GB"/>
        </w:rPr>
        <w:t>(Source: Excel)</w:t>
      </w:r>
    </w:p>
    <w:sectPr>
      <w:pgSz w:w="11906" w:h="16838"/>
      <w:pgMar w:top="1440" w:right="1440" w:bottom="1440"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FCEF02FD-3CD3-476D-B54D-1691E9D984BA}"/>
  </w:font>
  <w:font w:name="Arial">
    <w:panose1 w:val="020B0604020202020204"/>
    <w:charset w:val="00"/>
    <w:family w:val="swiss"/>
    <w:pitch w:val="default"/>
    <w:sig w:usb0="E0002EFF" w:usb1="C000785B" w:usb2="00000009" w:usb3="00000000" w:csb0="400001FF" w:csb1="FFFF0000"/>
    <w:embedRegular r:id="rId2" w:fontKey="{8739564F-6374-4547-8710-0DB2465E83DD}"/>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643FA677-9022-4320-B833-2F252E407461}"/>
  </w:font>
  <w:font w:name="Wingdings">
    <w:panose1 w:val="05000000000000000000"/>
    <w:charset w:val="02"/>
    <w:family w:val="auto"/>
    <w:pitch w:val="default"/>
    <w:sig w:usb0="00000000" w:usb1="00000000" w:usb2="00000000" w:usb3="00000000" w:csb0="80000000" w:csb1="00000000"/>
    <w:embedRegular r:id="rId4" w:fontKey="{DA53D122-E76E-42C8-9283-46B3B14E6893}"/>
  </w:font>
  <w:font w:name="Calibri">
    <w:panose1 w:val="020F0502020204030204"/>
    <w:charset w:val="00"/>
    <w:family w:val="swiss"/>
    <w:pitch w:val="default"/>
    <w:sig w:usb0="E4002EFF" w:usb1="C200247B" w:usb2="00000009" w:usb3="00000000" w:csb0="200001FF" w:csb1="00000000"/>
    <w:embedRegular r:id="rId5" w:fontKey="{26E579CD-A231-4B16-B4DD-7EC0AAA690E9}"/>
  </w:font>
  <w:font w:name="等线">
    <w:altName w:val="Arial Unicode MS"/>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2912C80C-2EB5-4617-86A8-FF1C2CCC249C}"/>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3"/>
      </w:rPr>
      <w:id w:val="123673872"/>
      <w:docPartObj>
        <w:docPartGallery w:val="AutoText"/>
      </w:docPartObj>
    </w:sdtPr>
    <w:sdtEndPr>
      <w:rPr>
        <w:rStyle w:val="13"/>
      </w:rPr>
    </w:sdtEndPr>
    <w:sdtContent>
      <w:p w14:paraId="6C4C79D4">
        <w:pPr>
          <w:pStyle w:val="10"/>
          <w:framePr w:wrap="auto" w:vAnchor="text" w:hAnchor="margin" w:xAlign="right" w:y="1"/>
          <w:rPr>
            <w:rStyle w:val="13"/>
          </w:rPr>
        </w:pPr>
        <w:r>
          <w:rPr>
            <w:rStyle w:val="13"/>
          </w:rPr>
          <w:fldChar w:fldCharType="begin"/>
        </w:r>
        <w:r>
          <w:rPr>
            <w:rStyle w:val="13"/>
          </w:rPr>
          <w:instrText xml:space="preserve"> PAGE </w:instrText>
        </w:r>
        <w:r>
          <w:rPr>
            <w:rStyle w:val="13"/>
          </w:rPr>
          <w:fldChar w:fldCharType="separate"/>
        </w:r>
        <w:r>
          <w:rPr>
            <w:rStyle w:val="13"/>
          </w:rPr>
          <w:t>1</w:t>
        </w:r>
        <w:r>
          <w:rPr>
            <w:rStyle w:val="13"/>
          </w:rPr>
          <w:fldChar w:fldCharType="end"/>
        </w:r>
      </w:p>
    </w:sdtContent>
  </w:sdt>
  <w:p w14:paraId="4CEABAD1">
    <w:pPr>
      <w:pStyle w:val="10"/>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3"/>
      </w:rPr>
      <w:id w:val="768047859"/>
      <w:docPartObj>
        <w:docPartGallery w:val="AutoText"/>
      </w:docPartObj>
    </w:sdtPr>
    <w:sdtEndPr>
      <w:rPr>
        <w:rStyle w:val="13"/>
      </w:rPr>
    </w:sdtEndPr>
    <w:sdtContent>
      <w:p w14:paraId="1219ECD1">
        <w:pPr>
          <w:pStyle w:val="10"/>
          <w:framePr w:wrap="auto" w:vAnchor="text" w:hAnchor="margin" w:xAlign="right" w:y="1"/>
          <w:rPr>
            <w:rStyle w:val="13"/>
          </w:rPr>
        </w:pPr>
        <w:r>
          <w:rPr>
            <w:rStyle w:val="13"/>
          </w:rPr>
          <w:fldChar w:fldCharType="begin"/>
        </w:r>
        <w:r>
          <w:rPr>
            <w:rStyle w:val="13"/>
          </w:rPr>
          <w:instrText xml:space="preserve"> PAGE </w:instrText>
        </w:r>
        <w:r>
          <w:rPr>
            <w:rStyle w:val="13"/>
          </w:rPr>
          <w:fldChar w:fldCharType="separate"/>
        </w:r>
        <w:r>
          <w:rPr>
            <w:rStyle w:val="13"/>
          </w:rPr>
          <w:fldChar w:fldCharType="end"/>
        </w:r>
      </w:p>
    </w:sdtContent>
  </w:sdt>
  <w:p w14:paraId="079ED32A">
    <w:pPr>
      <w:pStyle w:val="10"/>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946EDE7">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80C357D">
    <w:pPr>
      <w:pStyle w:val="11"/>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DDD3B88">
    <w:pPr>
      <w:pStyle w:val="11"/>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F9A49D6">
    <w:pPr>
      <w:pStyle w:val="1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17A39F0"/>
    <w:multiLevelType w:val="multilevel"/>
    <w:tmpl w:val="117A39F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displayBackgroundShape w:val="1"/>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32FB"/>
    <w:rsid w:val="00065AA9"/>
    <w:rsid w:val="00083C7F"/>
    <w:rsid w:val="00105CEC"/>
    <w:rsid w:val="00273A55"/>
    <w:rsid w:val="00313DE1"/>
    <w:rsid w:val="00327349"/>
    <w:rsid w:val="003437F4"/>
    <w:rsid w:val="00366640"/>
    <w:rsid w:val="00387238"/>
    <w:rsid w:val="003E0364"/>
    <w:rsid w:val="004D064B"/>
    <w:rsid w:val="005523B3"/>
    <w:rsid w:val="005E6929"/>
    <w:rsid w:val="006232FB"/>
    <w:rsid w:val="006B01EE"/>
    <w:rsid w:val="00765D5B"/>
    <w:rsid w:val="007E44C0"/>
    <w:rsid w:val="00832A1F"/>
    <w:rsid w:val="008D2CD1"/>
    <w:rsid w:val="009D111E"/>
    <w:rsid w:val="00A17F1F"/>
    <w:rsid w:val="00A27655"/>
    <w:rsid w:val="00A44757"/>
    <w:rsid w:val="00A63099"/>
    <w:rsid w:val="00B07D67"/>
    <w:rsid w:val="00D55B4B"/>
    <w:rsid w:val="00D70718"/>
    <w:rsid w:val="00DB6F0D"/>
    <w:rsid w:val="00EB0FB5"/>
    <w:rsid w:val="00EF59BA"/>
    <w:rsid w:val="00EF7B75"/>
    <w:rsid w:val="00F846FD"/>
    <w:rsid w:val="32A5626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qFormat="1" w:uiPriority="39" w:name="toc 4"/>
    <w:lsdException w:uiPriority="39" w:name="toc 5"/>
    <w:lsdException w:qFormat="1" w:uiPriority="39" w:name="toc 6"/>
    <w:lsdException w:uiPriority="39" w:name="toc 7"/>
    <w:lsdException w:qFormat="1"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GB" w:bidi="ar-SA"/>
    </w:rPr>
  </w:style>
  <w:style w:type="paragraph" w:styleId="2">
    <w:name w:val="heading 1"/>
    <w:basedOn w:val="1"/>
    <w:next w:val="1"/>
    <w:qFormat/>
    <w:uiPriority w:val="9"/>
    <w:pPr>
      <w:keepNext/>
      <w:keepLines/>
      <w:outlineLvl w:val="0"/>
    </w:pPr>
    <w:rPr>
      <w:b/>
      <w:bCs/>
    </w:rPr>
  </w:style>
  <w:style w:type="paragraph" w:styleId="3">
    <w:name w:val="heading 2"/>
    <w:basedOn w:val="1"/>
    <w:next w:val="1"/>
    <w:unhideWhenUsed/>
    <w:qFormat/>
    <w:uiPriority w:val="9"/>
    <w:pPr>
      <w:keepNext/>
      <w:keepLines/>
      <w:outlineLvl w:val="1"/>
    </w:pPr>
    <w:rPr>
      <w:b/>
      <w:bCs/>
    </w:rPr>
  </w:style>
  <w:style w:type="paragraph" w:styleId="4">
    <w:name w:val="heading 3"/>
    <w:basedOn w:val="1"/>
    <w:next w:val="1"/>
    <w:unhideWhenUsed/>
    <w:qFormat/>
    <w:uiPriority w:val="9"/>
    <w:pPr>
      <w:keepNext/>
      <w:keepLines/>
      <w:outlineLvl w:val="2"/>
    </w:pPr>
    <w:rPr>
      <w:b/>
      <w:bCs/>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28"/>
    <w:unhideWhenUsed/>
    <w:qFormat/>
    <w:uiPriority w:val="99"/>
    <w:pPr>
      <w:tabs>
        <w:tab w:val="center" w:pos="4680"/>
        <w:tab w:val="right" w:pos="9360"/>
      </w:tabs>
      <w:spacing w:line="240" w:lineRule="auto"/>
    </w:pPr>
  </w:style>
  <w:style w:type="paragraph" w:styleId="11">
    <w:name w:val="header"/>
    <w:basedOn w:val="1"/>
    <w:link w:val="27"/>
    <w:unhideWhenUsed/>
    <w:uiPriority w:val="99"/>
    <w:pPr>
      <w:tabs>
        <w:tab w:val="center" w:pos="4680"/>
        <w:tab w:val="right" w:pos="9360"/>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character" w:styleId="13">
    <w:name w:val="page number"/>
    <w:basedOn w:val="8"/>
    <w:semiHidden/>
    <w:unhideWhenUsed/>
    <w:uiPriority w:val="99"/>
  </w:style>
  <w:style w:type="paragraph" w:styleId="14">
    <w:name w:val="Subtitle"/>
    <w:basedOn w:val="1"/>
    <w:next w:val="1"/>
    <w:qFormat/>
    <w:uiPriority w:val="11"/>
    <w:pPr>
      <w:keepNext/>
      <w:keepLines/>
      <w:spacing w:after="320"/>
    </w:pPr>
    <w:rPr>
      <w:rFonts w:ascii="Arial" w:hAnsi="Arial" w:eastAsia="Arial" w:cs="Arial"/>
      <w:color w:val="666666"/>
      <w:sz w:val="30"/>
      <w:szCs w:val="30"/>
    </w:rPr>
  </w:style>
  <w:style w:type="table" w:styleId="15">
    <w:name w:val="Table Grid"/>
    <w:basedOn w:val="9"/>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6">
    <w:name w:val="Title"/>
    <w:basedOn w:val="1"/>
    <w:next w:val="1"/>
    <w:qFormat/>
    <w:uiPriority w:val="10"/>
    <w:pPr>
      <w:keepNext/>
      <w:keepLines/>
      <w:jc w:val="center"/>
    </w:pPr>
    <w:rPr>
      <w:b/>
      <w:bCs/>
      <w:sz w:val="32"/>
      <w:szCs w:val="32"/>
    </w:rPr>
  </w:style>
  <w:style w:type="paragraph" w:styleId="17">
    <w:name w:val="toc 1"/>
    <w:basedOn w:val="1"/>
    <w:next w:val="1"/>
    <w:autoRedefine/>
    <w:unhideWhenUsed/>
    <w:qFormat/>
    <w:uiPriority w:val="39"/>
    <w:pPr>
      <w:spacing w:before="120"/>
      <w:jc w:val="left"/>
    </w:pPr>
    <w:rPr>
      <w:rFonts w:asciiTheme="minorHAnsi" w:hAnsiTheme="minorHAnsi"/>
      <w:b/>
      <w:bCs/>
      <w:i/>
      <w:iCs/>
    </w:rPr>
  </w:style>
  <w:style w:type="paragraph" w:styleId="18">
    <w:name w:val="toc 2"/>
    <w:basedOn w:val="1"/>
    <w:next w:val="1"/>
    <w:autoRedefine/>
    <w:unhideWhenUsed/>
    <w:uiPriority w:val="39"/>
    <w:pPr>
      <w:spacing w:before="120"/>
      <w:ind w:left="240"/>
      <w:jc w:val="left"/>
    </w:pPr>
    <w:rPr>
      <w:rFonts w:asciiTheme="minorHAnsi" w:hAnsiTheme="minorHAnsi"/>
      <w:b/>
      <w:bCs/>
      <w:sz w:val="22"/>
      <w:szCs w:val="22"/>
    </w:rPr>
  </w:style>
  <w:style w:type="paragraph" w:styleId="19">
    <w:name w:val="toc 3"/>
    <w:basedOn w:val="1"/>
    <w:next w:val="1"/>
    <w:autoRedefine/>
    <w:unhideWhenUsed/>
    <w:qFormat/>
    <w:uiPriority w:val="39"/>
    <w:pPr>
      <w:ind w:left="480"/>
      <w:jc w:val="left"/>
    </w:pPr>
    <w:rPr>
      <w:rFonts w:asciiTheme="minorHAnsi" w:hAnsiTheme="minorHAnsi"/>
      <w:sz w:val="20"/>
      <w:szCs w:val="20"/>
    </w:rPr>
  </w:style>
  <w:style w:type="paragraph" w:styleId="20">
    <w:name w:val="toc 4"/>
    <w:basedOn w:val="1"/>
    <w:next w:val="1"/>
    <w:autoRedefine/>
    <w:semiHidden/>
    <w:unhideWhenUsed/>
    <w:qFormat/>
    <w:uiPriority w:val="39"/>
    <w:pPr>
      <w:ind w:left="720"/>
      <w:jc w:val="left"/>
    </w:pPr>
    <w:rPr>
      <w:rFonts w:asciiTheme="minorHAnsi" w:hAnsiTheme="minorHAnsi"/>
      <w:sz w:val="20"/>
      <w:szCs w:val="20"/>
    </w:rPr>
  </w:style>
  <w:style w:type="paragraph" w:styleId="21">
    <w:name w:val="toc 5"/>
    <w:basedOn w:val="1"/>
    <w:next w:val="1"/>
    <w:autoRedefine/>
    <w:semiHidden/>
    <w:unhideWhenUsed/>
    <w:uiPriority w:val="39"/>
    <w:pPr>
      <w:ind w:left="960"/>
      <w:jc w:val="left"/>
    </w:pPr>
    <w:rPr>
      <w:rFonts w:asciiTheme="minorHAnsi" w:hAnsiTheme="minorHAnsi"/>
      <w:sz w:val="20"/>
      <w:szCs w:val="20"/>
    </w:rPr>
  </w:style>
  <w:style w:type="paragraph" w:styleId="22">
    <w:name w:val="toc 6"/>
    <w:basedOn w:val="1"/>
    <w:next w:val="1"/>
    <w:autoRedefine/>
    <w:semiHidden/>
    <w:unhideWhenUsed/>
    <w:qFormat/>
    <w:uiPriority w:val="39"/>
    <w:pPr>
      <w:ind w:left="1200"/>
      <w:jc w:val="left"/>
    </w:pPr>
    <w:rPr>
      <w:rFonts w:asciiTheme="minorHAnsi" w:hAnsiTheme="minorHAnsi"/>
      <w:sz w:val="20"/>
      <w:szCs w:val="20"/>
    </w:rPr>
  </w:style>
  <w:style w:type="paragraph" w:styleId="23">
    <w:name w:val="toc 7"/>
    <w:basedOn w:val="1"/>
    <w:next w:val="1"/>
    <w:autoRedefine/>
    <w:semiHidden/>
    <w:unhideWhenUsed/>
    <w:uiPriority w:val="39"/>
    <w:pPr>
      <w:ind w:left="1440"/>
      <w:jc w:val="left"/>
    </w:pPr>
    <w:rPr>
      <w:rFonts w:asciiTheme="minorHAnsi" w:hAnsiTheme="minorHAnsi"/>
      <w:sz w:val="20"/>
      <w:szCs w:val="20"/>
    </w:rPr>
  </w:style>
  <w:style w:type="paragraph" w:styleId="24">
    <w:name w:val="toc 8"/>
    <w:basedOn w:val="1"/>
    <w:next w:val="1"/>
    <w:autoRedefine/>
    <w:semiHidden/>
    <w:unhideWhenUsed/>
    <w:qFormat/>
    <w:uiPriority w:val="39"/>
    <w:pPr>
      <w:ind w:left="1680"/>
      <w:jc w:val="left"/>
    </w:pPr>
    <w:rPr>
      <w:rFonts w:asciiTheme="minorHAnsi" w:hAnsiTheme="minorHAnsi"/>
      <w:sz w:val="20"/>
      <w:szCs w:val="20"/>
    </w:rPr>
  </w:style>
  <w:style w:type="paragraph" w:styleId="25">
    <w:name w:val="toc 9"/>
    <w:basedOn w:val="1"/>
    <w:next w:val="1"/>
    <w:autoRedefine/>
    <w:semiHidden/>
    <w:unhideWhenUsed/>
    <w:uiPriority w:val="39"/>
    <w:pPr>
      <w:ind w:left="1920"/>
      <w:jc w:val="left"/>
    </w:pPr>
    <w:rPr>
      <w:rFonts w:asciiTheme="minorHAnsi" w:hAnsiTheme="minorHAnsi"/>
      <w:sz w:val="20"/>
      <w:szCs w:val="20"/>
    </w:rPr>
  </w:style>
  <w:style w:type="table" w:customStyle="1" w:styleId="26">
    <w:name w:val="TableNormal"/>
    <w:qFormat/>
    <w:uiPriority w:val="0"/>
    <w:tblPr>
      <w:tblCellMar>
        <w:top w:w="100" w:type="dxa"/>
        <w:left w:w="100" w:type="dxa"/>
        <w:bottom w:w="100" w:type="dxa"/>
        <w:right w:w="100" w:type="dxa"/>
      </w:tblCellMar>
    </w:tblPr>
  </w:style>
  <w:style w:type="character" w:customStyle="1" w:styleId="27">
    <w:name w:val="Header Char"/>
    <w:basedOn w:val="8"/>
    <w:link w:val="11"/>
    <w:uiPriority w:val="99"/>
  </w:style>
  <w:style w:type="character" w:customStyle="1" w:styleId="28">
    <w:name w:val="Footer Char"/>
    <w:basedOn w:val="8"/>
    <w:link w:val="10"/>
    <w:uiPriority w:val="99"/>
  </w:style>
  <w:style w:type="paragraph" w:customStyle="1" w:styleId="29">
    <w:name w:val="TOC Heading"/>
    <w:basedOn w:val="2"/>
    <w:next w:val="1"/>
    <w:unhideWhenUsed/>
    <w:qFormat/>
    <w:uiPriority w:val="39"/>
    <w:pPr>
      <w:spacing w:before="480" w:line="276" w:lineRule="auto"/>
      <w:jc w:val="left"/>
      <w:outlineLvl w:val="9"/>
    </w:pPr>
    <w:rPr>
      <w:rFonts w:asciiTheme="majorHAnsi" w:hAnsiTheme="majorHAnsi" w:eastAsiaTheme="majorEastAsia" w:cstheme="majorBidi"/>
      <w:color w:val="376092" w:themeColor="accent1" w:themeShade="BF"/>
      <w:sz w:val="28"/>
      <w:szCs w:val="28"/>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9" Type="http://schemas.openxmlformats.org/officeDocument/2006/relationships/fontTable" Target="fontTable.xml"/><Relationship Id="rId28" Type="http://schemas.openxmlformats.org/officeDocument/2006/relationships/customXml" Target="../customXml/item1.xml"/><Relationship Id="rId27" Type="http://schemas.openxmlformats.org/officeDocument/2006/relationships/numbering" Target="numbering.xml"/><Relationship Id="rId26" Type="http://schemas.openxmlformats.org/officeDocument/2006/relationships/image" Target="media/image4.png"/><Relationship Id="rId25" Type="http://schemas.openxmlformats.org/officeDocument/2006/relationships/image" Target="media/image3.png"/><Relationship Id="rId24" Type="http://schemas.openxmlformats.org/officeDocument/2006/relationships/image" Target="media/image2.png"/><Relationship Id="rId23" Type="http://schemas.openxmlformats.org/officeDocument/2006/relationships/chart" Target="charts/chart11.xml"/><Relationship Id="rId22" Type="http://schemas.openxmlformats.org/officeDocument/2006/relationships/chart" Target="charts/chart10.xml"/><Relationship Id="rId21" Type="http://schemas.openxmlformats.org/officeDocument/2006/relationships/chart" Target="charts/chart9.xml"/><Relationship Id="rId20" Type="http://schemas.openxmlformats.org/officeDocument/2006/relationships/chart" Target="charts/chart8.xml"/><Relationship Id="rId2" Type="http://schemas.openxmlformats.org/officeDocument/2006/relationships/settings" Target="settings.xml"/><Relationship Id="rId19" Type="http://schemas.openxmlformats.org/officeDocument/2006/relationships/chart" Target="charts/chart7.xml"/><Relationship Id="rId18" Type="http://schemas.openxmlformats.org/officeDocument/2006/relationships/chart" Target="charts/chart6.xml"/><Relationship Id="rId17" Type="http://schemas.openxmlformats.org/officeDocument/2006/relationships/chart" Target="charts/chart5.xml"/><Relationship Id="rId16" Type="http://schemas.openxmlformats.org/officeDocument/2006/relationships/chart" Target="charts/chart4.xml"/><Relationship Id="rId15" Type="http://schemas.openxmlformats.org/officeDocument/2006/relationships/chart" Target="charts/chart3.xml"/><Relationship Id="rId14" Type="http://schemas.openxmlformats.org/officeDocument/2006/relationships/chart" Target="charts/chart2.xml"/><Relationship Id="rId13" Type="http://schemas.openxmlformats.org/officeDocument/2006/relationships/chart" Target="charts/chart1.xml"/><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Users\Freelance\2025\Damini\Dec\12\RW\BR-AP226%20(1).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Users\Freelance\2025\Damini\Dec\12\RW\BR-AP226%20(1).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Users\Freelance\2025\Damini\Dec\12\RW\BR-AP226%20(1).xlsx"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file:///\\Users\Freelance\2025\Damini\Dec\12\RW\BR-AP226%20(1).xlsx"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Users\Freelance\2025\Damini\Dec\12\RW\BR-AP226%20(1).xlsx"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11.xml"/><Relationship Id="rId2" Type="http://schemas.microsoft.com/office/2011/relationships/chartStyle" Target="style11.xml"/><Relationship Id="rId1" Type="http://schemas.openxmlformats.org/officeDocument/2006/relationships/oleObject" Target="file:///\\Users\Freelance\2025\Damini\Dec\12\RW\BR-AP226%20(1).xlsx" TargetMode="External"/></Relationships>
</file>

<file path=word/charts/_rels/chart7.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oleObject" Target="file:///\\Users\Freelance\2025\Damini\Dec\12\RW\BR-AP226%20(1).xlsx" TargetMode="External"/></Relationships>
</file>

<file path=word/charts/_rels/chart8.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Users\Freelance\2025\Damini\Dec\12\RW\BR-AP226%20(1).xlsx" TargetMode="External"/></Relationships>
</file>

<file path=word/charts/_rels/chart9.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Users\Freelance\2025\Damini\Dec\12\RW\BR-AP226%20(1).xlsx" TargetMode="External"/></Relationships>
</file>

<file path=word/charts/_rels/chart10.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Users\Freelance\2025\Damini\Dec\12\RW\BR-AP226%20(1).xlsx" TargetMode="External"/></Relationships>
</file>

<file path=word/charts/_rels/chart11.xml.rels><?xml version="1.0" encoding="UTF-8" standalone="yes"?>
<Relationships xmlns="http://schemas.openxmlformats.org/package/2006/relationships"><Relationship Id="rId3" Type="http://schemas.microsoft.com/office/2011/relationships/chartColorStyle" Target="colors10.xml"/><Relationship Id="rId2" Type="http://schemas.microsoft.com/office/2011/relationships/chartStyle" Target="style10.xml"/><Relationship Id="rId1" Type="http://schemas.openxmlformats.org/officeDocument/2006/relationships/oleObject" Target="file:///\\Users\Freelance\2025\Damini\Dec\12\RW\BR-AP226%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bar"/>
        <c:grouping val="clustered"/>
        <c:varyColors val="0"/>
        <c:ser>
          <c:idx val="0"/>
          <c:order val="0"/>
          <c:tx>
            <c:strRef>
              <c:f>'/Users/Freelance/2025/Damini/Dec/09/RW/[BR-AP230 (1).xlsx]Ratios'!$A$2</c:f>
              <c:strCache>
                <c:ptCount val="1"/>
                <c:pt idx="0">
                  <c:v>Gross Margin</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(1).xlsx]Ratios'!$B$2:$F$2</c:f>
              <c:numCache>
                <c:formatCode>General</c:formatCode>
                <c:ptCount val="5"/>
                <c:pt idx="0">
                  <c:v>0.288680836408115</c:v>
                </c:pt>
                <c:pt idx="1">
                  <c:v>0.232033240022166</c:v>
                </c:pt>
                <c:pt idx="2">
                  <c:v>0.280592758005052</c:v>
                </c:pt>
                <c:pt idx="3">
                  <c:v>0.287592129015529</c:v>
                </c:pt>
                <c:pt idx="4">
                  <c:v>0.286744322248975</c:v>
                </c:pt>
              </c:numCache>
            </c:numRef>
          </c:val>
        </c:ser>
        <c:dLbls>
          <c:showLegendKey val="0"/>
          <c:showVal val="1"/>
          <c:showCatName val="0"/>
          <c:showSerName val="0"/>
          <c:showPercent val="0"/>
          <c:showBubbleSize val="0"/>
        </c:dLbls>
        <c:gapWidth val="65"/>
        <c:axId val="1756895072"/>
        <c:axId val="1838775168"/>
      </c:barChart>
      <c:catAx>
        <c:axId val="175689507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1838775168"/>
        <c:crosses val="autoZero"/>
        <c:auto val="1"/>
        <c:lblAlgn val="ctr"/>
        <c:lblOffset val="100"/>
        <c:noMultiLvlLbl val="0"/>
      </c:catAx>
      <c:valAx>
        <c:axId val="183877516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1756895072"/>
        <c:crosses val="autoZero"/>
        <c:crossBetween val="between"/>
      </c:valAx>
      <c:spPr>
        <a:noFill/>
        <a:ln>
          <a:noFill/>
        </a:ln>
        <a:effectLst/>
      </c:spPr>
    </c:plotArea>
    <c:plotVisOnly val="1"/>
    <c:dispBlanksAs val="gap"/>
    <c:showDLblsOverMax val="0"/>
    <c:extLst>
      <c:ext uri="{0b15fc19-7d7d-44ad-8c2d-2c3a37ce22c3}">
        <chartProps xmlns="https://web.wps.cn/et/2018/main" chartId="{dc44245c-d5cd-4ca4-a264-75d03112dcf8}"/>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bar"/>
        <c:grouping val="clustered"/>
        <c:varyColors val="0"/>
        <c:ser>
          <c:idx val="0"/>
          <c:order val="0"/>
          <c:tx>
            <c:strRef>
              <c:f>'/Users/Freelance/2025/Damini/Dec/09/RW/[BR-AP230 (1).xlsx]Ratios'!$A$3</c:f>
              <c:strCache>
                <c:ptCount val="1"/>
                <c:pt idx="0">
                  <c:v>Operating Margin</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(1).xlsx]Ratios'!$B$3:$F$3</c:f>
              <c:numCache>
                <c:formatCode>General</c:formatCode>
                <c:ptCount val="5"/>
                <c:pt idx="0">
                  <c:v>-0.0387384489932359</c:v>
                </c:pt>
                <c:pt idx="1">
                  <c:v>-0.202876869691788</c:v>
                </c:pt>
                <c:pt idx="2">
                  <c:v>0.0268041882926056</c:v>
                </c:pt>
                <c:pt idx="3">
                  <c:v>0.0386517996948148</c:v>
                </c:pt>
                <c:pt idx="4">
                  <c:v>0.0606282943970847</c:v>
                </c:pt>
              </c:numCache>
            </c:numRef>
          </c:val>
        </c:ser>
        <c:dLbls>
          <c:showLegendKey val="0"/>
          <c:showVal val="1"/>
          <c:showCatName val="0"/>
          <c:showSerName val="0"/>
          <c:showPercent val="0"/>
          <c:showBubbleSize val="0"/>
        </c:dLbls>
        <c:gapWidth val="65"/>
        <c:axId val="254094496"/>
        <c:axId val="254002832"/>
      </c:barChart>
      <c:catAx>
        <c:axId val="2540944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254002832"/>
        <c:crosses val="autoZero"/>
        <c:auto val="1"/>
        <c:lblAlgn val="ctr"/>
        <c:lblOffset val="100"/>
        <c:noMultiLvlLbl val="0"/>
      </c:catAx>
      <c:valAx>
        <c:axId val="25400283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254094496"/>
        <c:crosses val="autoZero"/>
        <c:crossBetween val="between"/>
      </c:valAx>
      <c:spPr>
        <a:noFill/>
        <a:ln>
          <a:noFill/>
        </a:ln>
        <a:effectLst/>
      </c:spPr>
    </c:plotArea>
    <c:plotVisOnly val="1"/>
    <c:dispBlanksAs val="gap"/>
    <c:showDLblsOverMax val="0"/>
    <c:extLst>
      <c:ext uri="{0b15fc19-7d7d-44ad-8c2d-2c3a37ce22c3}">
        <chartProps xmlns="https://web.wps.cn/et/2018/main" chartId="{2c601f2d-c2ec-4788-b28e-734159434b8a}"/>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col"/>
        <c:grouping val="clustered"/>
        <c:varyColors val="0"/>
        <c:ser>
          <c:idx val="0"/>
          <c:order val="0"/>
          <c:tx>
            <c:strRef>
              <c:f>'/Users/Freelance/2025/Damini/Dec/09/RW/[BR-AP230 (1).xlsx]Ratios'!$A$4</c:f>
              <c:strCache>
                <c:ptCount val="1"/>
                <c:pt idx="0">
                  <c:v>Net Margin</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(1).xlsx]Ratios'!$B$4:$F$4</c:f>
              <c:numCache>
                <c:formatCode>General</c:formatCode>
                <c:ptCount val="5"/>
                <c:pt idx="0">
                  <c:v>-0.0608515519944084</c:v>
                </c:pt>
                <c:pt idx="1">
                  <c:v>-0.233645771149012</c:v>
                </c:pt>
                <c:pt idx="2">
                  <c:v>0.000749883464056262</c:v>
                </c:pt>
                <c:pt idx="3">
                  <c:v>0.00881147336611248</c:v>
                </c:pt>
                <c:pt idx="4">
                  <c:v>0.062751350296089</c:v>
                </c:pt>
              </c:numCache>
            </c:numRef>
          </c:val>
        </c:ser>
        <c:dLbls>
          <c:showLegendKey val="0"/>
          <c:showVal val="1"/>
          <c:showCatName val="0"/>
          <c:showSerName val="0"/>
          <c:showPercent val="0"/>
          <c:showBubbleSize val="0"/>
        </c:dLbls>
        <c:gapWidth val="65"/>
        <c:axId val="2076510768"/>
        <c:axId val="2077990064"/>
      </c:barChart>
      <c:catAx>
        <c:axId val="20765107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2077990064"/>
        <c:crosses val="autoZero"/>
        <c:auto val="1"/>
        <c:lblAlgn val="ctr"/>
        <c:lblOffset val="100"/>
        <c:noMultiLvlLbl val="0"/>
      </c:catAx>
      <c:valAx>
        <c:axId val="207799006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2076510768"/>
        <c:crosses val="autoZero"/>
        <c:crossBetween val="between"/>
      </c:valAx>
      <c:spPr>
        <a:noFill/>
        <a:ln>
          <a:noFill/>
        </a:ln>
        <a:effectLst/>
      </c:spPr>
    </c:plotArea>
    <c:plotVisOnly val="1"/>
    <c:dispBlanksAs val="gap"/>
    <c:showDLblsOverMax val="0"/>
    <c:extLst>
      <c:ext uri="{0b15fc19-7d7d-44ad-8c2d-2c3a37ce22c3}">
        <chartProps xmlns="https://web.wps.cn/et/2018/main" chartId="{6f0f8d0f-3580-4f8f-ad6e-18f8da8b6212}"/>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col"/>
        <c:grouping val="clustered"/>
        <c:varyColors val="0"/>
        <c:ser>
          <c:idx val="0"/>
          <c:order val="0"/>
          <c:tx>
            <c:strRef>
              <c:f>'/Users/Freelance/2025/Damini/Dec/09/RW/[BR-AP230 (1).xlsx]Ratios'!$A$5</c:f>
              <c:strCache>
                <c:ptCount val="1"/>
                <c:pt idx="0">
                  <c:v>Current Ratio</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(1).xlsx]Ratios'!$B$5:$F$5</c:f>
              <c:numCache>
                <c:formatCode>General</c:formatCode>
                <c:ptCount val="5"/>
                <c:pt idx="0">
                  <c:v>1.53195064785743</c:v>
                </c:pt>
                <c:pt idx="1">
                  <c:v>1.60629359346688</c:v>
                </c:pt>
                <c:pt idx="2">
                  <c:v>1.56158042804414</c:v>
                </c:pt>
                <c:pt idx="3">
                  <c:v>1.55519473031132</c:v>
                </c:pt>
                <c:pt idx="4">
                  <c:v>1.82075093309565</c:v>
                </c:pt>
              </c:numCache>
            </c:numRef>
          </c:val>
        </c:ser>
        <c:dLbls>
          <c:showLegendKey val="0"/>
          <c:showVal val="1"/>
          <c:showCatName val="0"/>
          <c:showSerName val="0"/>
          <c:showPercent val="0"/>
          <c:showBubbleSize val="0"/>
        </c:dLbls>
        <c:gapWidth val="65"/>
        <c:axId val="2026952368"/>
        <c:axId val="2027628672"/>
      </c:barChart>
      <c:catAx>
        <c:axId val="20269523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2027628672"/>
        <c:crosses val="autoZero"/>
        <c:auto val="1"/>
        <c:lblAlgn val="ctr"/>
        <c:lblOffset val="100"/>
        <c:noMultiLvlLbl val="0"/>
      </c:catAx>
      <c:valAx>
        <c:axId val="202762867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2026952368"/>
        <c:crosses val="autoZero"/>
        <c:crossBetween val="between"/>
      </c:valAx>
      <c:spPr>
        <a:noFill/>
        <a:ln>
          <a:noFill/>
        </a:ln>
        <a:effectLst/>
      </c:spPr>
    </c:plotArea>
    <c:plotVisOnly val="1"/>
    <c:dispBlanksAs val="gap"/>
    <c:showDLblsOverMax val="0"/>
    <c:extLst>
      <c:ext uri="{0b15fc19-7d7d-44ad-8c2d-2c3a37ce22c3}">
        <chartProps xmlns="https://web.wps.cn/et/2018/main" chartId="{2703661c-961b-42ca-b1b4-3c845ef9f731}"/>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col"/>
        <c:grouping val="clustered"/>
        <c:varyColors val="0"/>
        <c:ser>
          <c:idx val="0"/>
          <c:order val="0"/>
          <c:tx>
            <c:strRef>
              <c:f>'/Users/Freelance/2025/Damini/Dec/09/RW/[BR-AP230 (1).xlsx]Ratios'!$A$6</c:f>
              <c:strCache>
                <c:ptCount val="1"/>
                <c:pt idx="0">
                  <c:v>Quick Ratio</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(1).xlsx]Ratios'!$B$6:$F$6</c:f>
              <c:numCache>
                <c:formatCode>General</c:formatCode>
                <c:ptCount val="5"/>
                <c:pt idx="0">
                  <c:v>1.03062713609744</c:v>
                </c:pt>
                <c:pt idx="1">
                  <c:v>1.05851763596197</c:v>
                </c:pt>
                <c:pt idx="2">
                  <c:v>0.914012371057822</c:v>
                </c:pt>
                <c:pt idx="3">
                  <c:v>0.934913071355755</c:v>
                </c:pt>
                <c:pt idx="4">
                  <c:v>1.14986908807309</c:v>
                </c:pt>
              </c:numCache>
            </c:numRef>
          </c:val>
        </c:ser>
        <c:dLbls>
          <c:showLegendKey val="0"/>
          <c:showVal val="1"/>
          <c:showCatName val="0"/>
          <c:showSerName val="0"/>
          <c:showPercent val="0"/>
          <c:showBubbleSize val="0"/>
        </c:dLbls>
        <c:gapWidth val="65"/>
        <c:axId val="253959392"/>
        <c:axId val="253832048"/>
      </c:barChart>
      <c:catAx>
        <c:axId val="2539593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253832048"/>
        <c:crosses val="autoZero"/>
        <c:auto val="1"/>
        <c:lblAlgn val="ctr"/>
        <c:lblOffset val="100"/>
        <c:noMultiLvlLbl val="0"/>
      </c:catAx>
      <c:valAx>
        <c:axId val="25383204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253959392"/>
        <c:crosses val="autoZero"/>
        <c:crossBetween val="between"/>
      </c:valAx>
      <c:spPr>
        <a:noFill/>
        <a:ln>
          <a:noFill/>
        </a:ln>
        <a:effectLst/>
      </c:spPr>
    </c:plotArea>
    <c:plotVisOnly val="1"/>
    <c:dispBlanksAs val="gap"/>
    <c:showDLblsOverMax val="0"/>
    <c:extLst>
      <c:ext uri="{0b15fc19-7d7d-44ad-8c2d-2c3a37ce22c3}">
        <chartProps xmlns="https://web.wps.cn/et/2018/main" chartId="{8457e0b9-5f4a-40ff-a152-618a02b967aa}"/>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col"/>
        <c:grouping val="clustered"/>
        <c:varyColors val="0"/>
        <c:ser>
          <c:idx val="0"/>
          <c:order val="0"/>
          <c:tx>
            <c:strRef>
              <c:f>'/Users/Freelance/2025/Damini/Dec/09/RW/[BR-AP230 (1).xlsx]Ratios'!$A$7</c:f>
              <c:strCache>
                <c:ptCount val="1"/>
                <c:pt idx="0">
                  <c:v>Inventory Days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(1).xlsx]Ratios'!$B$7:$F$7</c:f>
              <c:numCache>
                <c:formatCode>General</c:formatCode>
                <c:ptCount val="5"/>
                <c:pt idx="0">
                  <c:v>73.3505073706123</c:v>
                </c:pt>
                <c:pt idx="1">
                  <c:v>76.6300596731651</c:v>
                </c:pt>
                <c:pt idx="2">
                  <c:v>94.2717102317637</c:v>
                </c:pt>
                <c:pt idx="3">
                  <c:v>81.5841453319637</c:v>
                </c:pt>
                <c:pt idx="4">
                  <c:v>71.5119249040151</c:v>
                </c:pt>
              </c:numCache>
            </c:numRef>
          </c:val>
        </c:ser>
        <c:dLbls>
          <c:showLegendKey val="0"/>
          <c:showVal val="1"/>
          <c:showCatName val="0"/>
          <c:showSerName val="0"/>
          <c:showPercent val="0"/>
          <c:showBubbleSize val="0"/>
        </c:dLbls>
        <c:gapWidth val="65"/>
        <c:axId val="2095105680"/>
        <c:axId val="2096087056"/>
      </c:barChart>
      <c:catAx>
        <c:axId val="20951056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2096087056"/>
        <c:crosses val="autoZero"/>
        <c:auto val="1"/>
        <c:lblAlgn val="ctr"/>
        <c:lblOffset val="100"/>
        <c:noMultiLvlLbl val="0"/>
      </c:catAx>
      <c:valAx>
        <c:axId val="209608705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2095105680"/>
        <c:crosses val="autoZero"/>
        <c:crossBetween val="between"/>
      </c:valAx>
      <c:spPr>
        <a:noFill/>
        <a:ln>
          <a:noFill/>
        </a:ln>
        <a:effectLst/>
      </c:spPr>
    </c:plotArea>
    <c:plotVisOnly val="1"/>
    <c:dispBlanksAs val="gap"/>
    <c:showDLblsOverMax val="0"/>
    <c:extLst>
      <c:ext uri="{0b15fc19-7d7d-44ad-8c2d-2c3a37ce22c3}">
        <chartProps xmlns="https://web.wps.cn/et/2018/main" chartId="{1676f2a1-a2aa-4dbe-ac28-deed730803b5}"/>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col"/>
        <c:grouping val="clustered"/>
        <c:varyColors val="0"/>
        <c:ser>
          <c:idx val="0"/>
          <c:order val="0"/>
          <c:tx>
            <c:strRef>
              <c:f>'/Users/Freelance/2025/Damini/Dec/09/RW/[BR-AP230 (1).xlsx]Ratios'!$A$8</c:f>
              <c:strCache>
                <c:ptCount val="1"/>
                <c:pt idx="0">
                  <c:v>Receivable Days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(1).xlsx]Ratios'!$B$8:$F$8</c:f>
              <c:numCache>
                <c:formatCode>General</c:formatCode>
                <c:ptCount val="5"/>
                <c:pt idx="0">
                  <c:v>105.542280040215</c:v>
                </c:pt>
                <c:pt idx="1">
                  <c:v>97.7449299214902</c:v>
                </c:pt>
                <c:pt idx="2">
                  <c:v>75.5526751678025</c:v>
                </c:pt>
                <c:pt idx="3">
                  <c:v>78.3964730835336</c:v>
                </c:pt>
                <c:pt idx="4">
                  <c:v>76.8579504782976</c:v>
                </c:pt>
              </c:numCache>
            </c:numRef>
          </c:val>
        </c:ser>
        <c:dLbls>
          <c:showLegendKey val="0"/>
          <c:showVal val="1"/>
          <c:showCatName val="0"/>
          <c:showSerName val="0"/>
          <c:showPercent val="0"/>
          <c:showBubbleSize val="0"/>
        </c:dLbls>
        <c:gapWidth val="65"/>
        <c:axId val="1975155248"/>
        <c:axId val="489084432"/>
      </c:barChart>
      <c:catAx>
        <c:axId val="197515524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489084432"/>
        <c:crosses val="autoZero"/>
        <c:auto val="1"/>
        <c:lblAlgn val="ctr"/>
        <c:lblOffset val="100"/>
        <c:noMultiLvlLbl val="0"/>
      </c:catAx>
      <c:valAx>
        <c:axId val="48908443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1975155248"/>
        <c:crosses val="autoZero"/>
        <c:crossBetween val="between"/>
      </c:valAx>
      <c:spPr>
        <a:noFill/>
        <a:ln>
          <a:noFill/>
        </a:ln>
        <a:effectLst/>
      </c:spPr>
    </c:plotArea>
    <c:plotVisOnly val="1"/>
    <c:dispBlanksAs val="gap"/>
    <c:showDLblsOverMax val="0"/>
    <c:extLst>
      <c:ext uri="{0b15fc19-7d7d-44ad-8c2d-2c3a37ce22c3}">
        <chartProps xmlns="https://web.wps.cn/et/2018/main" chartId="{e346ca14-4eb1-4b1f-90d2-8b4955052cf0}"/>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bar"/>
        <c:grouping val="clustered"/>
        <c:varyColors val="0"/>
        <c:ser>
          <c:idx val="0"/>
          <c:order val="0"/>
          <c:tx>
            <c:strRef>
              <c:f>'/Users/Freelance/2025/Damini/Dec/09/RW/[BR-AP230 (1).xlsx]Ratios'!$A$9</c:f>
              <c:strCache>
                <c:ptCount val="1"/>
                <c:pt idx="0">
                  <c:v>Payable Days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(1).xlsx]Ratios'!$B$9:$F$9</c:f>
              <c:numCache>
                <c:formatCode>General</c:formatCode>
                <c:ptCount val="5"/>
                <c:pt idx="0">
                  <c:v>66.5806867420146</c:v>
                </c:pt>
                <c:pt idx="1">
                  <c:v>49.5105206953386</c:v>
                </c:pt>
                <c:pt idx="2">
                  <c:v>47.9983362536412</c:v>
                </c:pt>
                <c:pt idx="3">
                  <c:v>56.2465799648272</c:v>
                </c:pt>
                <c:pt idx="4">
                  <c:v>49.421788572916</c:v>
                </c:pt>
              </c:numCache>
            </c:numRef>
          </c:val>
        </c:ser>
        <c:dLbls>
          <c:showLegendKey val="0"/>
          <c:showVal val="1"/>
          <c:showCatName val="0"/>
          <c:showSerName val="0"/>
          <c:showPercent val="0"/>
          <c:showBubbleSize val="0"/>
        </c:dLbls>
        <c:gapWidth val="65"/>
        <c:axId val="1995340672"/>
        <c:axId val="2023343328"/>
      </c:barChart>
      <c:catAx>
        <c:axId val="199534067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2023343328"/>
        <c:crosses val="autoZero"/>
        <c:auto val="1"/>
        <c:lblAlgn val="ctr"/>
        <c:lblOffset val="100"/>
        <c:noMultiLvlLbl val="0"/>
      </c:catAx>
      <c:valAx>
        <c:axId val="202334332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1995340672"/>
        <c:crosses val="autoZero"/>
        <c:crossBetween val="between"/>
      </c:valAx>
      <c:spPr>
        <a:noFill/>
        <a:ln>
          <a:noFill/>
        </a:ln>
        <a:effectLst/>
      </c:spPr>
    </c:plotArea>
    <c:plotVisOnly val="1"/>
    <c:dispBlanksAs val="gap"/>
    <c:showDLblsOverMax val="0"/>
    <c:extLst>
      <c:ext uri="{0b15fc19-7d7d-44ad-8c2d-2c3a37ce22c3}">
        <chartProps xmlns="https://web.wps.cn/et/2018/main" chartId="{d0f7a685-6295-47c9-ab85-bacf13557def}"/>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col"/>
        <c:grouping val="clustered"/>
        <c:varyColors val="0"/>
        <c:ser>
          <c:idx val="0"/>
          <c:order val="0"/>
          <c:tx>
            <c:strRef>
              <c:f>'/Users/Freelance/2025/Damini/Dec/09/RW/[BR-AP230 (1).xlsx]Ratios'!$A$10</c:f>
              <c:strCache>
                <c:ptCount val="1"/>
                <c:pt idx="0">
                  <c:v>ROA</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(1).xlsx]Ratios'!$B$10:$F$10</c:f>
              <c:numCache>
                <c:formatCode>General</c:formatCode>
                <c:ptCount val="5"/>
                <c:pt idx="0">
                  <c:v>-0.0743117450224831</c:v>
                </c:pt>
                <c:pt idx="1">
                  <c:v>-0.276048691664419</c:v>
                </c:pt>
                <c:pt idx="2">
                  <c:v>0.000807278598389806</c:v>
                </c:pt>
                <c:pt idx="3">
                  <c:v>0.0103870300265701</c:v>
                </c:pt>
                <c:pt idx="4">
                  <c:v>0.0755883909149699</c:v>
                </c:pt>
              </c:numCache>
            </c:numRef>
          </c:val>
        </c:ser>
        <c:dLbls>
          <c:showLegendKey val="0"/>
          <c:showVal val="1"/>
          <c:showCatName val="0"/>
          <c:showSerName val="0"/>
          <c:showPercent val="0"/>
          <c:showBubbleSize val="0"/>
        </c:dLbls>
        <c:gapWidth val="65"/>
        <c:axId val="2078239728"/>
        <c:axId val="2074038208"/>
      </c:barChart>
      <c:catAx>
        <c:axId val="20782397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2074038208"/>
        <c:crosses val="autoZero"/>
        <c:auto val="1"/>
        <c:lblAlgn val="ctr"/>
        <c:lblOffset val="100"/>
        <c:noMultiLvlLbl val="0"/>
      </c:catAx>
      <c:valAx>
        <c:axId val="207403820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2078239728"/>
        <c:crosses val="autoZero"/>
        <c:crossBetween val="between"/>
      </c:valAx>
      <c:spPr>
        <a:noFill/>
        <a:ln>
          <a:noFill/>
        </a:ln>
        <a:effectLst/>
      </c:spPr>
    </c:plotArea>
    <c:plotVisOnly val="1"/>
    <c:dispBlanksAs val="gap"/>
    <c:showDLblsOverMax val="0"/>
    <c:extLst>
      <c:ext uri="{0b15fc19-7d7d-44ad-8c2d-2c3a37ce22c3}">
        <chartProps xmlns="https://web.wps.cn/et/2018/main" chartId="{62ae8a84-22ec-45f9-ab61-5ed26d125db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col"/>
        <c:grouping val="clustered"/>
        <c:varyColors val="0"/>
        <c:ser>
          <c:idx val="0"/>
          <c:order val="0"/>
          <c:tx>
            <c:strRef>
              <c:f>'/Users/Freelance/2025/Damini/Dec/09/RW/[BR-AP230 (1).xlsx]Ratios'!$A$11</c:f>
              <c:strCache>
                <c:ptCount val="1"/>
                <c:pt idx="0">
                  <c:v>ROE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(1).xlsx]Ratios'!$B$11:$F$11</c:f>
              <c:numCache>
                <c:formatCode>General</c:formatCode>
                <c:ptCount val="5"/>
                <c:pt idx="0">
                  <c:v>-0.156944580516639</c:v>
                </c:pt>
                <c:pt idx="1">
                  <c:v>-0.54906103286385</c:v>
                </c:pt>
                <c:pt idx="2">
                  <c:v>0.00151635954486859</c:v>
                </c:pt>
                <c:pt idx="3">
                  <c:v>0.0192100714262418</c:v>
                </c:pt>
                <c:pt idx="4">
                  <c:v>0.123114832062458</c:v>
                </c:pt>
              </c:numCache>
            </c:numRef>
          </c:val>
        </c:ser>
        <c:dLbls>
          <c:showLegendKey val="0"/>
          <c:showVal val="1"/>
          <c:showCatName val="0"/>
          <c:showSerName val="0"/>
          <c:showPercent val="0"/>
          <c:showBubbleSize val="0"/>
        </c:dLbls>
        <c:gapWidth val="65"/>
        <c:axId val="2083627344"/>
        <c:axId val="492302144"/>
      </c:barChart>
      <c:catAx>
        <c:axId val="208362734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492302144"/>
        <c:crosses val="autoZero"/>
        <c:auto val="1"/>
        <c:lblAlgn val="ctr"/>
        <c:lblOffset val="100"/>
        <c:noMultiLvlLbl val="0"/>
      </c:catAx>
      <c:valAx>
        <c:axId val="49230214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2083627344"/>
        <c:crosses val="autoZero"/>
        <c:crossBetween val="between"/>
      </c:valAx>
      <c:spPr>
        <a:noFill/>
        <a:ln>
          <a:noFill/>
        </a:ln>
        <a:effectLst/>
      </c:spPr>
    </c:plotArea>
    <c:plotVisOnly val="1"/>
    <c:dispBlanksAs val="gap"/>
    <c:showDLblsOverMax val="0"/>
    <c:extLst>
      <c:ext uri="{0b15fc19-7d7d-44ad-8c2d-2c3a37ce22c3}">
        <chartProps xmlns="https://web.wps.cn/et/2018/main" chartId="{d924760d-9107-4bca-8a03-39b7faff1c2d}"/>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bar"/>
        <c:grouping val="clustered"/>
        <c:varyColors val="0"/>
        <c:ser>
          <c:idx val="0"/>
          <c:order val="0"/>
          <c:tx>
            <c:strRef>
              <c:f>'/Users/Freelance/2025/Damini/Dec/09/RW/[BR-AP230 (1).xlsx]Ratios'!$A$12</c:f>
              <c:strCache>
                <c:ptCount val="1"/>
                <c:pt idx="0">
                  <c:v>Debt-to-Equity</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'/Users/Freelance/2025/Damini/Dec/09/RW/[BR-AP230 (1).xlsx]Ratios'!$B$1:$F$1</c:f>
              <c:strCache>
                <c:ptCount val="5"/>
                <c:pt idx="0">
                  <c:v>2024</c:v>
                </c:pt>
                <c:pt idx="1">
                  <c:v>2023</c:v>
                </c:pt>
                <c:pt idx="2">
                  <c:v>2022</c:v>
                </c:pt>
                <c:pt idx="3">
                  <c:v>2021</c:v>
                </c:pt>
                <c:pt idx="4">
                  <c:v>2020</c:v>
                </c:pt>
              </c:strCache>
            </c:strRef>
          </c:cat>
          <c:val>
            <c:numRef>
              <c:f>'/Users/Freelance/2025/Damini/Dec/09/RW/[BR-AP230 (1).xlsx]Ratios'!$B$12:$F$12</c:f>
              <c:numCache>
                <c:formatCode>General</c:formatCode>
                <c:ptCount val="5"/>
                <c:pt idx="0">
                  <c:v>1.11197544169034</c:v>
                </c:pt>
                <c:pt idx="1">
                  <c:v>0.989000670690812</c:v>
                </c:pt>
                <c:pt idx="2">
                  <c:v>0.87835964918817</c:v>
                </c:pt>
                <c:pt idx="3">
                  <c:v>0.849428698781297</c:v>
                </c:pt>
                <c:pt idx="4">
                  <c:v>0.62875317984941</c:v>
                </c:pt>
              </c:numCache>
            </c:numRef>
          </c:val>
        </c:ser>
        <c:dLbls>
          <c:showLegendKey val="0"/>
          <c:showVal val="1"/>
          <c:showCatName val="0"/>
          <c:showSerName val="0"/>
          <c:showPercent val="0"/>
          <c:showBubbleSize val="0"/>
        </c:dLbls>
        <c:gapWidth val="65"/>
        <c:axId val="2094396192"/>
        <c:axId val="2101626848"/>
      </c:barChart>
      <c:catAx>
        <c:axId val="209439619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2101626848"/>
        <c:crosses val="autoZero"/>
        <c:auto val="1"/>
        <c:lblAlgn val="ctr"/>
        <c:lblOffset val="100"/>
        <c:noMultiLvlLbl val="0"/>
      </c:catAx>
      <c:valAx>
        <c:axId val="210162684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2094396192"/>
        <c:crosses val="autoZero"/>
        <c:crossBetween val="between"/>
      </c:valAx>
      <c:spPr>
        <a:noFill/>
        <a:ln>
          <a:noFill/>
        </a:ln>
        <a:effectLst/>
      </c:spPr>
    </c:plotArea>
    <c:plotVisOnly val="1"/>
    <c:dispBlanksAs val="gap"/>
    <c:showDLblsOverMax val="0"/>
    <c:extLst>
      <c:ext uri="{0b15fc19-7d7d-44ad-8c2d-2c3a37ce22c3}">
        <chartProps xmlns="https://web.wps.cn/et/2018/main" chartId="{a89bd168-9c25-4564-a91f-11663fb37e4b}"/>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withinLinearReversed" id="23">
  <a:schemeClr val="accent3"/>
</cs:colorStyle>
</file>

<file path=word/charts/colors2.xml><?xml version="1.0" encoding="utf-8"?>
<cs:colorStyle xmlns:cs="http://schemas.microsoft.com/office/drawing/2012/chartStyle" xmlns:a="http://schemas.openxmlformats.org/drawingml/2006/main" meth="withinLinear" id="16">
  <a:schemeClr val="accent3"/>
</cs:colorStyle>
</file>

<file path=word/charts/colors3.xml><?xml version="1.0" encoding="utf-8"?>
<cs:colorStyle xmlns:cs="http://schemas.microsoft.com/office/drawing/2012/chartStyle" xmlns:a="http://schemas.openxmlformats.org/drawingml/2006/main" meth="withinLinear" id="16">
  <a:schemeClr val="accent3"/>
</cs:colorStyle>
</file>

<file path=word/charts/colors4.xml><?xml version="1.0" encoding="utf-8"?>
<cs:colorStyle xmlns:cs="http://schemas.microsoft.com/office/drawing/2012/chartStyle" xmlns:a="http://schemas.openxmlformats.org/drawingml/2006/main" meth="withinLinear" id="16">
  <a:schemeClr val="accent3"/>
</cs:colorStyle>
</file>

<file path=word/charts/colors5.xml><?xml version="1.0" encoding="utf-8"?>
<cs:colorStyle xmlns:cs="http://schemas.microsoft.com/office/drawing/2012/chartStyle" xmlns:a="http://schemas.openxmlformats.org/drawingml/2006/main" meth="withinLinear" id="16">
  <a:schemeClr val="accent3"/>
</cs:colorStyle>
</file>

<file path=word/charts/colors6.xml><?xml version="1.0" encoding="utf-8"?>
<cs:colorStyle xmlns:cs="http://schemas.microsoft.com/office/drawing/2012/chartStyle" xmlns:a="http://schemas.openxmlformats.org/drawingml/2006/main" meth="withinLinear" id="16">
  <a:schemeClr val="accent3"/>
</cs:colorStyle>
</file>

<file path=word/charts/colors7.xml><?xml version="1.0" encoding="utf-8"?>
<cs:colorStyle xmlns:cs="http://schemas.microsoft.com/office/drawing/2012/chartStyle" xmlns:a="http://schemas.openxmlformats.org/drawingml/2006/main" meth="withinLinear" id="16">
  <a:schemeClr val="accent3"/>
</cs:colorStyle>
</file>

<file path=word/charts/colors8.xml><?xml version="1.0" encoding="utf-8"?>
<cs:colorStyle xmlns:cs="http://schemas.microsoft.com/office/drawing/2012/chartStyle" xmlns:a="http://schemas.openxmlformats.org/drawingml/2006/main" meth="withinLinear" id="16">
  <a:schemeClr val="accent3"/>
</cs:colorStyle>
</file>

<file path=word/charts/colors9.xml><?xml version="1.0" encoding="utf-8"?>
<cs:colorStyle xmlns:cs="http://schemas.microsoft.com/office/drawing/2012/chartStyle" xmlns:a="http://schemas.openxmlformats.org/drawingml/2006/main" meth="withinLinear" id="16">
  <a:schemeClr val="accent3"/>
</cs:colorStyle>
</file>

<file path=word/charts/colors10.xml><?xml version="1.0" encoding="utf-8"?>
<cs:colorStyle xmlns:cs="http://schemas.microsoft.com/office/drawing/2012/chartStyle" xmlns:a="http://schemas.openxmlformats.org/drawingml/2006/main" meth="withinLinear" id="16">
  <a:schemeClr val="accent3"/>
</cs:colorStyle>
</file>

<file path=word/charts/colors1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2690C4-946A-0843-BDB9-67B07803F719}">
  <ds:schemaRefs/>
</ds:datastoreItem>
</file>

<file path=docProps/app.xml><?xml version="1.0" encoding="utf-8"?>
<Properties xmlns="http://schemas.openxmlformats.org/officeDocument/2006/extended-properties" xmlns:vt="http://schemas.openxmlformats.org/officeDocument/2006/docPropsVTypes">
  <Template>Normal</Template>
  <Pages>35</Pages>
  <Words>8266</Words>
  <Characters>47122</Characters>
  <Lines>392</Lines>
  <Paragraphs>110</Paragraphs>
  <TotalTime>65</TotalTime>
  <ScaleCrop>false</ScaleCrop>
  <LinksUpToDate>false</LinksUpToDate>
  <CharactersWithSpaces>55278</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vivek</dc:creator>
  <cp:lastModifiedBy>Soham</cp:lastModifiedBy>
  <cp:revision>25</cp:revision>
  <dcterms:created xsi:type="dcterms:W3CDTF">2025-12-03T23:01:00Z</dcterms:created>
  <dcterms:modified xsi:type="dcterms:W3CDTF">2025-12-20T20:48:10Z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AAE68EEB660E4766AFBA43EB91EEE533_12</vt:lpwstr>
  </property>
</Properties>
</file>