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6734F24" w:rsidR="007D1947" w:rsidRDefault="0075646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 principles and approaches</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75B7674" w14:textId="10629470" w:rsidR="007D1947" w:rsidRDefault="00756466">
              <w:pPr>
                <w:pStyle w:val="NoSpacing"/>
                <w:jc w:val="center"/>
                <w:rPr>
                  <w:color w:val="5B9BD5" w:themeColor="accent1"/>
                  <w:sz w:val="28"/>
                  <w:szCs w:val="28"/>
                </w:rPr>
              </w:pPr>
              <w:r>
                <w:rPr>
                  <w:color w:val="5B9BD5" w:themeColor="accent1"/>
                  <w:sz w:val="28"/>
                  <w:szCs w:val="28"/>
                </w:rPr>
                <w:t xml:space="preserve">     </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7T00:00:00Z">
                                    <w:dateFormat w:val="MMMM d, yyyy"/>
                                    <w:lid w:val="en-US"/>
                                    <w:storeMappedDataAs w:val="dateTime"/>
                                    <w:calendar w:val="gregorian"/>
                                  </w:date>
                                </w:sdtPr>
                                <w:sdtContent>
                                  <w:p w14:paraId="52BAF8D9" w14:textId="4830D760" w:rsidR="007D1947" w:rsidRDefault="00756466">
                                    <w:pPr>
                                      <w:pStyle w:val="NoSpacing"/>
                                      <w:spacing w:after="40"/>
                                      <w:jc w:val="center"/>
                                      <w:rPr>
                                        <w:caps/>
                                        <w:color w:val="5B9BD5" w:themeColor="accent1"/>
                                        <w:sz w:val="28"/>
                                        <w:szCs w:val="28"/>
                                      </w:rPr>
                                    </w:pPr>
                                    <w:r>
                                      <w:rPr>
                                        <w:caps/>
                                        <w:color w:val="5B9BD5" w:themeColor="accent1"/>
                                        <w:sz w:val="28"/>
                                        <w:szCs w:val="28"/>
                                      </w:rPr>
                                      <w:t>March 27,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7T00:00:00Z">
                              <w:dateFormat w:val="MMMM d, yyyy"/>
                              <w:lid w:val="en-US"/>
                              <w:storeMappedDataAs w:val="dateTime"/>
                              <w:calendar w:val="gregorian"/>
                            </w:date>
                          </w:sdtPr>
                          <w:sdtContent>
                            <w:p w14:paraId="52BAF8D9" w14:textId="4830D760" w:rsidR="007D1947" w:rsidRDefault="00756466">
                              <w:pPr>
                                <w:pStyle w:val="NoSpacing"/>
                                <w:spacing w:after="40"/>
                                <w:jc w:val="center"/>
                                <w:rPr>
                                  <w:caps/>
                                  <w:color w:val="5B9BD5" w:themeColor="accent1"/>
                                  <w:sz w:val="28"/>
                                  <w:szCs w:val="28"/>
                                </w:rPr>
                              </w:pPr>
                              <w:r>
                                <w:rPr>
                                  <w:caps/>
                                  <w:color w:val="5B9BD5" w:themeColor="accent1"/>
                                  <w:sz w:val="28"/>
                                  <w:szCs w:val="28"/>
                                </w:rPr>
                                <w:t>March 27,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15682910"/>
          <w:r>
            <w:lastRenderedPageBreak/>
            <w:t>Executive Summary</w:t>
          </w:r>
          <w:bookmarkEnd w:id="0"/>
        </w:p>
        <w:p w14:paraId="60A372D9" w14:textId="77777777" w:rsidR="007D1947" w:rsidRDefault="007D1947">
          <w:r>
            <w:t>The purpose of this report is to analyse…</w:t>
          </w:r>
          <w:proofErr w:type="gramStart"/>
          <w:r>
            <w:t>…..</w:t>
          </w:r>
          <w:proofErr w:type="gramEnd"/>
        </w:p>
        <w:p w14:paraId="7979DD93" w14:textId="77777777" w:rsidR="007D1947" w:rsidRDefault="00D854A5">
          <w:r>
            <w:t>DO THIS SECTION LAST!!!!!!</w:t>
          </w:r>
        </w:p>
        <w:p w14:paraId="53363C13" w14:textId="5C86D9BC" w:rsidR="00D854A5" w:rsidRDefault="00D854A5">
          <w:r>
            <w:t>NOT INCLUDED IN WORD COUNT</w:t>
          </w:r>
          <w:r w:rsidR="00931CAA">
            <w:t xml:space="preserve"> – this section should be around ¾ of a page in length for a </w:t>
          </w:r>
          <w:proofErr w:type="gramStart"/>
          <w:r w:rsidR="008F4B79">
            <w:t>3</w:t>
          </w:r>
          <w:r w:rsidR="00931CAA">
            <w:t>500 word</w:t>
          </w:r>
          <w:proofErr w:type="gramEnd"/>
          <w:r w:rsidR="00931CAA">
            <w:t xml:space="preserve"> report.  </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E37C27B" w14:textId="6809672E" w:rsidR="00084E65"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15682910" w:history="1">
                <w:r w:rsidR="00084E65" w:rsidRPr="00FD33D0">
                  <w:rPr>
                    <w:rStyle w:val="Hyperlink"/>
                    <w:noProof/>
                  </w:rPr>
                  <w:t>Executive Summary</w:t>
                </w:r>
                <w:r w:rsidR="00084E65">
                  <w:rPr>
                    <w:noProof/>
                    <w:webHidden/>
                  </w:rPr>
                  <w:tab/>
                </w:r>
                <w:r w:rsidR="00084E65">
                  <w:rPr>
                    <w:noProof/>
                    <w:webHidden/>
                  </w:rPr>
                  <w:fldChar w:fldCharType="begin"/>
                </w:r>
                <w:r w:rsidR="00084E65">
                  <w:rPr>
                    <w:noProof/>
                    <w:webHidden/>
                  </w:rPr>
                  <w:instrText xml:space="preserve"> PAGEREF _Toc115682910 \h </w:instrText>
                </w:r>
                <w:r w:rsidR="00084E65">
                  <w:rPr>
                    <w:noProof/>
                    <w:webHidden/>
                  </w:rPr>
                </w:r>
                <w:r w:rsidR="00084E65">
                  <w:rPr>
                    <w:noProof/>
                    <w:webHidden/>
                  </w:rPr>
                  <w:fldChar w:fldCharType="separate"/>
                </w:r>
                <w:r w:rsidR="00084E65">
                  <w:rPr>
                    <w:noProof/>
                    <w:webHidden/>
                  </w:rPr>
                  <w:t>1</w:t>
                </w:r>
                <w:r w:rsidR="00084E65">
                  <w:rPr>
                    <w:noProof/>
                    <w:webHidden/>
                  </w:rPr>
                  <w:fldChar w:fldCharType="end"/>
                </w:r>
              </w:hyperlink>
            </w:p>
            <w:p w14:paraId="5C2CA2FA" w14:textId="20043334" w:rsidR="00084E65" w:rsidRDefault="00000000">
              <w:pPr>
                <w:pStyle w:val="TOC1"/>
                <w:tabs>
                  <w:tab w:val="right" w:leader="dot" w:pos="9016"/>
                </w:tabs>
                <w:rPr>
                  <w:rFonts w:eastAsiaTheme="minorEastAsia"/>
                  <w:noProof/>
                  <w:lang w:eastAsia="zh-CN"/>
                </w:rPr>
              </w:pPr>
              <w:hyperlink w:anchor="_Toc115682911" w:history="1">
                <w:r w:rsidR="00084E65" w:rsidRPr="00FD33D0">
                  <w:rPr>
                    <w:rStyle w:val="Hyperlink"/>
                    <w:noProof/>
                  </w:rPr>
                  <w:t>Introduction (average of 10% of the word count)</w:t>
                </w:r>
                <w:r w:rsidR="00084E65">
                  <w:rPr>
                    <w:noProof/>
                    <w:webHidden/>
                  </w:rPr>
                  <w:tab/>
                </w:r>
                <w:r w:rsidR="00084E65">
                  <w:rPr>
                    <w:noProof/>
                    <w:webHidden/>
                  </w:rPr>
                  <w:fldChar w:fldCharType="begin"/>
                </w:r>
                <w:r w:rsidR="00084E65">
                  <w:rPr>
                    <w:noProof/>
                    <w:webHidden/>
                  </w:rPr>
                  <w:instrText xml:space="preserve"> PAGEREF _Toc115682911 \h </w:instrText>
                </w:r>
                <w:r w:rsidR="00084E65">
                  <w:rPr>
                    <w:noProof/>
                    <w:webHidden/>
                  </w:rPr>
                </w:r>
                <w:r w:rsidR="00084E65">
                  <w:rPr>
                    <w:noProof/>
                    <w:webHidden/>
                  </w:rPr>
                  <w:fldChar w:fldCharType="separate"/>
                </w:r>
                <w:r w:rsidR="00084E65">
                  <w:rPr>
                    <w:noProof/>
                    <w:webHidden/>
                  </w:rPr>
                  <w:t>2</w:t>
                </w:r>
                <w:r w:rsidR="00084E65">
                  <w:rPr>
                    <w:noProof/>
                    <w:webHidden/>
                  </w:rPr>
                  <w:fldChar w:fldCharType="end"/>
                </w:r>
              </w:hyperlink>
            </w:p>
            <w:p w14:paraId="377536CC" w14:textId="2E94E1B8" w:rsidR="00084E65" w:rsidRDefault="00000000">
              <w:pPr>
                <w:pStyle w:val="TOC1"/>
                <w:tabs>
                  <w:tab w:val="right" w:leader="dot" w:pos="9016"/>
                </w:tabs>
                <w:rPr>
                  <w:rFonts w:eastAsiaTheme="minorEastAsia"/>
                  <w:noProof/>
                  <w:lang w:eastAsia="zh-CN"/>
                </w:rPr>
              </w:pPr>
              <w:hyperlink w:anchor="_Toc115682912" w:history="1">
                <w:r w:rsidR="00084E65" w:rsidRPr="00FD33D0">
                  <w:rPr>
                    <w:rStyle w:val="Hyperlink"/>
                    <w:noProof/>
                  </w:rPr>
                  <w:t>Main Findings</w:t>
                </w:r>
                <w:r w:rsidR="00084E65">
                  <w:rPr>
                    <w:noProof/>
                    <w:webHidden/>
                  </w:rPr>
                  <w:tab/>
                </w:r>
                <w:r w:rsidR="00084E65">
                  <w:rPr>
                    <w:noProof/>
                    <w:webHidden/>
                  </w:rPr>
                  <w:fldChar w:fldCharType="begin"/>
                </w:r>
                <w:r w:rsidR="00084E65">
                  <w:rPr>
                    <w:noProof/>
                    <w:webHidden/>
                  </w:rPr>
                  <w:instrText xml:space="preserve"> PAGEREF _Toc115682912 \h </w:instrText>
                </w:r>
                <w:r w:rsidR="00084E65">
                  <w:rPr>
                    <w:noProof/>
                    <w:webHidden/>
                  </w:rPr>
                </w:r>
                <w:r w:rsidR="00084E65">
                  <w:rPr>
                    <w:noProof/>
                    <w:webHidden/>
                  </w:rPr>
                  <w:fldChar w:fldCharType="separate"/>
                </w:r>
                <w:r w:rsidR="00084E65">
                  <w:rPr>
                    <w:noProof/>
                    <w:webHidden/>
                  </w:rPr>
                  <w:t>4</w:t>
                </w:r>
                <w:r w:rsidR="00084E65">
                  <w:rPr>
                    <w:noProof/>
                    <w:webHidden/>
                  </w:rPr>
                  <w:fldChar w:fldCharType="end"/>
                </w:r>
              </w:hyperlink>
            </w:p>
            <w:p w14:paraId="26C4121E" w14:textId="384C760A" w:rsidR="00084E65" w:rsidRDefault="00000000">
              <w:pPr>
                <w:pStyle w:val="TOC2"/>
                <w:tabs>
                  <w:tab w:val="right" w:leader="dot" w:pos="9016"/>
                </w:tabs>
                <w:rPr>
                  <w:rFonts w:eastAsiaTheme="minorEastAsia"/>
                  <w:noProof/>
                  <w:lang w:eastAsia="zh-CN"/>
                </w:rPr>
              </w:pPr>
              <w:hyperlink w:anchor="_Toc115682913" w:history="1">
                <w:r w:rsidR="00084E65" w:rsidRPr="00FD33D0">
                  <w:rPr>
                    <w:rStyle w:val="Hyperlink"/>
                    <w:noProof/>
                  </w:rPr>
                  <w:t>Sub Headings can be included</w:t>
                </w:r>
                <w:r w:rsidR="00084E65">
                  <w:rPr>
                    <w:noProof/>
                    <w:webHidden/>
                  </w:rPr>
                  <w:tab/>
                </w:r>
                <w:r w:rsidR="00084E65">
                  <w:rPr>
                    <w:noProof/>
                    <w:webHidden/>
                  </w:rPr>
                  <w:fldChar w:fldCharType="begin"/>
                </w:r>
                <w:r w:rsidR="00084E65">
                  <w:rPr>
                    <w:noProof/>
                    <w:webHidden/>
                  </w:rPr>
                  <w:instrText xml:space="preserve"> PAGEREF _Toc115682913 \h </w:instrText>
                </w:r>
                <w:r w:rsidR="00084E65">
                  <w:rPr>
                    <w:noProof/>
                    <w:webHidden/>
                  </w:rPr>
                </w:r>
                <w:r w:rsidR="00084E65">
                  <w:rPr>
                    <w:noProof/>
                    <w:webHidden/>
                  </w:rPr>
                  <w:fldChar w:fldCharType="separate"/>
                </w:r>
                <w:r w:rsidR="00084E65">
                  <w:rPr>
                    <w:noProof/>
                    <w:webHidden/>
                  </w:rPr>
                  <w:t>4</w:t>
                </w:r>
                <w:r w:rsidR="00084E65">
                  <w:rPr>
                    <w:noProof/>
                    <w:webHidden/>
                  </w:rPr>
                  <w:fldChar w:fldCharType="end"/>
                </w:r>
              </w:hyperlink>
            </w:p>
            <w:p w14:paraId="4AF7D2DA" w14:textId="324FB24F" w:rsidR="00084E65" w:rsidRDefault="00000000">
              <w:pPr>
                <w:pStyle w:val="TOC1"/>
                <w:tabs>
                  <w:tab w:val="right" w:leader="dot" w:pos="9016"/>
                </w:tabs>
                <w:rPr>
                  <w:rFonts w:eastAsiaTheme="minorEastAsia"/>
                  <w:noProof/>
                  <w:lang w:eastAsia="zh-CN"/>
                </w:rPr>
              </w:pPr>
              <w:hyperlink w:anchor="_Toc115682914" w:history="1">
                <w:r w:rsidR="00084E65" w:rsidRPr="00FD33D0">
                  <w:rPr>
                    <w:rStyle w:val="Hyperlink"/>
                    <w:noProof/>
                  </w:rPr>
                  <w:t>Conclusion (average of 10% of word count)</w:t>
                </w:r>
                <w:r w:rsidR="00084E65">
                  <w:rPr>
                    <w:noProof/>
                    <w:webHidden/>
                  </w:rPr>
                  <w:tab/>
                </w:r>
                <w:r w:rsidR="00084E65">
                  <w:rPr>
                    <w:noProof/>
                    <w:webHidden/>
                  </w:rPr>
                  <w:fldChar w:fldCharType="begin"/>
                </w:r>
                <w:r w:rsidR="00084E65">
                  <w:rPr>
                    <w:noProof/>
                    <w:webHidden/>
                  </w:rPr>
                  <w:instrText xml:space="preserve"> PAGEREF _Toc115682914 \h </w:instrText>
                </w:r>
                <w:r w:rsidR="00084E65">
                  <w:rPr>
                    <w:noProof/>
                    <w:webHidden/>
                  </w:rPr>
                </w:r>
                <w:r w:rsidR="00084E65">
                  <w:rPr>
                    <w:noProof/>
                    <w:webHidden/>
                  </w:rPr>
                  <w:fldChar w:fldCharType="separate"/>
                </w:r>
                <w:r w:rsidR="00084E65">
                  <w:rPr>
                    <w:noProof/>
                    <w:webHidden/>
                  </w:rPr>
                  <w:t>5</w:t>
                </w:r>
                <w:r w:rsidR="00084E65">
                  <w:rPr>
                    <w:noProof/>
                    <w:webHidden/>
                  </w:rPr>
                  <w:fldChar w:fldCharType="end"/>
                </w:r>
              </w:hyperlink>
            </w:p>
            <w:p w14:paraId="2060D9C0" w14:textId="5ACDD7CA" w:rsidR="00084E65" w:rsidRDefault="00000000">
              <w:pPr>
                <w:pStyle w:val="TOC1"/>
                <w:tabs>
                  <w:tab w:val="right" w:leader="dot" w:pos="9016"/>
                </w:tabs>
                <w:rPr>
                  <w:rFonts w:eastAsiaTheme="minorEastAsia"/>
                  <w:noProof/>
                  <w:lang w:eastAsia="zh-CN"/>
                </w:rPr>
              </w:pPr>
              <w:hyperlink w:anchor="_Toc115682915" w:history="1">
                <w:r w:rsidR="00084E65" w:rsidRPr="00FD33D0">
                  <w:rPr>
                    <w:rStyle w:val="Hyperlink"/>
                    <w:noProof/>
                  </w:rPr>
                  <w:t>Bibliography</w:t>
                </w:r>
                <w:r w:rsidR="00084E65">
                  <w:rPr>
                    <w:noProof/>
                    <w:webHidden/>
                  </w:rPr>
                  <w:tab/>
                </w:r>
                <w:r w:rsidR="00084E65">
                  <w:rPr>
                    <w:noProof/>
                    <w:webHidden/>
                  </w:rPr>
                  <w:fldChar w:fldCharType="begin"/>
                </w:r>
                <w:r w:rsidR="00084E65">
                  <w:rPr>
                    <w:noProof/>
                    <w:webHidden/>
                  </w:rPr>
                  <w:instrText xml:space="preserve"> PAGEREF _Toc115682915 \h </w:instrText>
                </w:r>
                <w:r w:rsidR="00084E65">
                  <w:rPr>
                    <w:noProof/>
                    <w:webHidden/>
                  </w:rPr>
                </w:r>
                <w:r w:rsidR="00084E65">
                  <w:rPr>
                    <w:noProof/>
                    <w:webHidden/>
                  </w:rPr>
                  <w:fldChar w:fldCharType="separate"/>
                </w:r>
                <w:r w:rsidR="00084E65">
                  <w:rPr>
                    <w:noProof/>
                    <w:webHidden/>
                  </w:rPr>
                  <w:t>6</w:t>
                </w:r>
                <w:r w:rsidR="00084E65">
                  <w:rPr>
                    <w:noProof/>
                    <w:webHidden/>
                  </w:rPr>
                  <w:fldChar w:fldCharType="end"/>
                </w:r>
              </w:hyperlink>
            </w:p>
            <w:p w14:paraId="05194699" w14:textId="3E8E6B73"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14B146CF" w:rsidR="007D1947" w:rsidRDefault="007D1947" w:rsidP="00A12B58">
          <w:pPr>
            <w:pStyle w:val="Heading1"/>
          </w:pPr>
          <w:bookmarkStart w:id="1" w:name="_Toc115682911"/>
          <w:r>
            <w:lastRenderedPageBreak/>
            <w:t>Introduction</w:t>
          </w:r>
          <w:r w:rsidR="00480872">
            <w:t xml:space="preserve"> (average of 10% of the word count)</w:t>
          </w:r>
          <w:bookmarkEnd w:id="1"/>
        </w:p>
        <w:p w14:paraId="54C81D2A" w14:textId="77777777" w:rsidR="007D1947" w:rsidRDefault="007D1947" w:rsidP="007D1947"/>
        <w:p w14:paraId="3C9FE902" w14:textId="39D19BBF" w:rsidR="004A11F6" w:rsidRDefault="00480872" w:rsidP="007D1947">
          <w:pPr>
            <w:rPr>
              <w:rFonts w:ascii="Arial" w:hAnsi="Arial" w:cs="Arial"/>
              <w:color w:val="222222"/>
              <w:shd w:val="clear" w:color="auto" w:fill="FFFFFF"/>
            </w:rPr>
          </w:pPr>
          <w:r>
            <w:rPr>
              <w:rFonts w:ascii="Arial" w:hAnsi="Arial" w:cs="Arial"/>
              <w:color w:val="222222"/>
              <w:shd w:val="clear" w:color="auto" w:fill="FFFFFF"/>
            </w:rPr>
            <w:t>The </w:t>
          </w:r>
          <w:r>
            <w:rPr>
              <w:rFonts w:ascii="Arial" w:hAnsi="Arial" w:cs="Arial"/>
              <w:b/>
              <w:bCs/>
              <w:color w:val="222222"/>
              <w:shd w:val="clear" w:color="auto" w:fill="FFFFFF"/>
            </w:rPr>
            <w:t>Introduction</w:t>
          </w:r>
          <w:r>
            <w:rPr>
              <w:rFonts w:ascii="Arial" w:hAnsi="Arial" w:cs="Arial"/>
              <w:color w:val="222222"/>
              <w:shd w:val="clear" w:color="auto" w:fill="FFFFFF"/>
            </w:rPr>
            <w:t> tells the reader what the </w:t>
          </w:r>
          <w:r>
            <w:rPr>
              <w:rFonts w:ascii="Arial" w:hAnsi="Arial" w:cs="Arial"/>
              <w:b/>
              <w:bCs/>
              <w:color w:val="222222"/>
              <w:shd w:val="clear" w:color="auto" w:fill="FFFFFF"/>
            </w:rPr>
            <w:t>report</w:t>
          </w:r>
          <w:r>
            <w:rPr>
              <w:rFonts w:ascii="Arial" w:hAnsi="Arial" w:cs="Arial"/>
              <w:color w:val="222222"/>
              <w:shd w:val="clear" w:color="auto" w:fill="FFFFFF"/>
            </w:rPr>
            <w:t xml:space="preserve"> is about (but not its purpose). It sets the project in its wider </w:t>
          </w:r>
          <w:proofErr w:type="gramStart"/>
          <w:r>
            <w:rPr>
              <w:rFonts w:ascii="Arial" w:hAnsi="Arial" w:cs="Arial"/>
              <w:color w:val="222222"/>
              <w:shd w:val="clear" w:color="auto" w:fill="FFFFFF"/>
            </w:rPr>
            <w:t>context, and</w:t>
          </w:r>
          <w:proofErr w:type="gramEnd"/>
          <w:r>
            <w:rPr>
              <w:rFonts w:ascii="Arial" w:hAnsi="Arial" w:cs="Arial"/>
              <w:color w:val="222222"/>
              <w:shd w:val="clear" w:color="auto" w:fill="FFFFFF"/>
            </w:rPr>
            <w:t xml:space="preserve"> provides the background information the reader needs to understand the </w:t>
          </w:r>
          <w:r>
            <w:rPr>
              <w:rFonts w:ascii="Arial" w:hAnsi="Arial" w:cs="Arial"/>
              <w:b/>
              <w:bCs/>
              <w:color w:val="222222"/>
              <w:shd w:val="clear" w:color="auto" w:fill="FFFFFF"/>
            </w:rPr>
            <w:t>report</w:t>
          </w:r>
          <w:r>
            <w:rPr>
              <w:rFonts w:ascii="Arial" w:hAnsi="Arial" w:cs="Arial"/>
              <w:color w:val="222222"/>
              <w:shd w:val="clear" w:color="auto" w:fill="FFFFFF"/>
            </w:rPr>
            <w:t>. The </w:t>
          </w:r>
          <w:r>
            <w:rPr>
              <w:rFonts w:ascii="Arial" w:hAnsi="Arial" w:cs="Arial"/>
              <w:b/>
              <w:bCs/>
              <w:color w:val="222222"/>
              <w:shd w:val="clear" w:color="auto" w:fill="FFFFFF"/>
            </w:rPr>
            <w:t>Introduction</w:t>
          </w:r>
          <w:r>
            <w:rPr>
              <w:rFonts w:ascii="Arial" w:hAnsi="Arial" w:cs="Arial"/>
              <w:color w:val="222222"/>
              <w:shd w:val="clear" w:color="auto" w:fill="FFFFFF"/>
            </w:rPr>
            <w:t>: introduces the topic of the </w:t>
          </w:r>
          <w:r>
            <w:rPr>
              <w:rFonts w:ascii="Arial" w:hAnsi="Arial" w:cs="Arial"/>
              <w:b/>
              <w:bCs/>
              <w:color w:val="222222"/>
              <w:shd w:val="clear" w:color="auto" w:fill="FFFFFF"/>
            </w:rPr>
            <w:t>report</w:t>
          </w:r>
          <w:r>
            <w:rPr>
              <w:rFonts w:ascii="Arial" w:hAnsi="Arial" w:cs="Arial"/>
              <w:color w:val="222222"/>
              <w:shd w:val="clear" w:color="auto" w:fill="FFFFFF"/>
            </w:rPr>
            <w:t> in context.</w:t>
          </w:r>
        </w:p>
        <w:p w14:paraId="3950CA53" w14:textId="6B6EA71E" w:rsidR="0021440C" w:rsidRDefault="0021440C" w:rsidP="007D1947">
          <w:pPr>
            <w:rPr>
              <w:rFonts w:ascii="Arial" w:hAnsi="Arial" w:cs="Arial"/>
              <w:color w:val="222222"/>
              <w:shd w:val="clear" w:color="auto" w:fill="FFFFFF"/>
            </w:rPr>
          </w:pPr>
        </w:p>
        <w:p w14:paraId="0F0E295B" w14:textId="79D61A42" w:rsidR="0021440C" w:rsidRDefault="0021440C" w:rsidP="007D1947">
          <w:pPr>
            <w:rPr>
              <w:rFonts w:ascii="Arial" w:hAnsi="Arial" w:cs="Arial"/>
              <w:color w:val="222222"/>
              <w:shd w:val="clear" w:color="auto" w:fill="FFFFFF"/>
            </w:rPr>
          </w:pPr>
          <w:r>
            <w:rPr>
              <w:rFonts w:ascii="Arial" w:hAnsi="Arial" w:cs="Arial"/>
              <w:color w:val="222222"/>
              <w:shd w:val="clear" w:color="auto" w:fill="FFFFFF"/>
            </w:rPr>
            <w:t xml:space="preserve">Budgeting </w:t>
          </w:r>
          <w:r w:rsidR="002A6551">
            <w:rPr>
              <w:rFonts w:ascii="Arial" w:hAnsi="Arial" w:cs="Arial"/>
              <w:color w:val="222222"/>
              <w:shd w:val="clear" w:color="auto" w:fill="FFFFFF"/>
            </w:rPr>
            <w:t xml:space="preserve">has become an essential part of </w:t>
          </w:r>
          <w:r w:rsidR="00F64B54">
            <w:rPr>
              <w:rFonts w:ascii="Arial" w:hAnsi="Arial" w:cs="Arial"/>
              <w:color w:val="222222"/>
              <w:shd w:val="clear" w:color="auto" w:fill="FFFFFF"/>
            </w:rPr>
            <w:t>sustainably</w:t>
          </w:r>
          <w:r w:rsidR="002A6551">
            <w:rPr>
              <w:rFonts w:ascii="Arial" w:hAnsi="Arial" w:cs="Arial"/>
              <w:color w:val="222222"/>
              <w:shd w:val="clear" w:color="auto" w:fill="FFFFFF"/>
            </w:rPr>
            <w:t xml:space="preserve"> running not only businesses and companies but households, public funds and even governments (</w:t>
          </w:r>
          <w:proofErr w:type="spellStart"/>
          <w:r w:rsidR="002A6551">
            <w:rPr>
              <w:rFonts w:ascii="Arial" w:hAnsi="Arial" w:cs="Arial"/>
              <w:color w:val="222222"/>
              <w:shd w:val="clear" w:color="auto" w:fill="FFFFFF"/>
            </w:rPr>
            <w:t>Tuovila</w:t>
          </w:r>
          <w:proofErr w:type="spellEnd"/>
          <w:r w:rsidR="002A6551">
            <w:rPr>
              <w:rFonts w:ascii="Arial" w:hAnsi="Arial" w:cs="Arial"/>
              <w:color w:val="222222"/>
              <w:shd w:val="clear" w:color="auto" w:fill="FFFFFF"/>
            </w:rPr>
            <w:t xml:space="preserve">, 2021; </w:t>
          </w:r>
          <w:r w:rsidR="00046D3F">
            <w:rPr>
              <w:rFonts w:ascii="Arial" w:hAnsi="Arial" w:cs="Arial"/>
              <w:color w:val="222222"/>
              <w:shd w:val="clear" w:color="auto" w:fill="FFFFFF"/>
            </w:rPr>
            <w:t>Kay et. Al, 2019; Lewis, 2019</w:t>
          </w:r>
          <w:r w:rsidR="002A6551">
            <w:rPr>
              <w:rFonts w:ascii="Arial" w:hAnsi="Arial" w:cs="Arial"/>
              <w:color w:val="222222"/>
              <w:shd w:val="clear" w:color="auto" w:fill="FFFFFF"/>
            </w:rPr>
            <w:t>). It is suggested that it was firstly introduces as means of combating mismanaging funds and fraudulent activities by keeping track of spendings</w:t>
          </w:r>
          <w:r w:rsidR="00046D3F">
            <w:rPr>
              <w:rFonts w:ascii="Arial" w:hAnsi="Arial" w:cs="Arial"/>
              <w:color w:val="222222"/>
              <w:shd w:val="clear" w:color="auto" w:fill="FFFFFF"/>
            </w:rPr>
            <w:t xml:space="preserve"> and</w:t>
          </w:r>
          <w:r w:rsidR="002A6551">
            <w:rPr>
              <w:rFonts w:ascii="Arial" w:hAnsi="Arial" w:cs="Arial"/>
              <w:color w:val="222222"/>
              <w:shd w:val="clear" w:color="auto" w:fill="FFFFFF"/>
            </w:rPr>
            <w:t xml:space="preserve"> incomes in a detailed fashion. </w:t>
          </w:r>
          <w:r w:rsidR="00046D3F">
            <w:rPr>
              <w:rFonts w:ascii="Arial" w:hAnsi="Arial" w:cs="Arial"/>
              <w:color w:val="222222"/>
              <w:shd w:val="clear" w:color="auto" w:fill="FFFFFF"/>
            </w:rPr>
            <w:t>It is suggested that a</w:t>
          </w:r>
          <w:r w:rsidR="006F35B7">
            <w:rPr>
              <w:rFonts w:ascii="Arial" w:hAnsi="Arial" w:cs="Arial"/>
              <w:color w:val="222222"/>
              <w:shd w:val="clear" w:color="auto" w:fill="FFFFFF"/>
            </w:rPr>
            <w:t xml:space="preserve"> working budgetary control system could reduce monetary </w:t>
          </w:r>
          <w:r w:rsidR="00F64B54">
            <w:rPr>
              <w:rFonts w:ascii="Arial" w:hAnsi="Arial" w:cs="Arial"/>
              <w:color w:val="222222"/>
              <w:shd w:val="clear" w:color="auto" w:fill="FFFFFF"/>
            </w:rPr>
            <w:t>outgoings</w:t>
          </w:r>
          <w:r w:rsidR="006F35B7">
            <w:rPr>
              <w:rFonts w:ascii="Arial" w:hAnsi="Arial" w:cs="Arial"/>
              <w:color w:val="222222"/>
              <w:shd w:val="clear" w:color="auto" w:fill="FFFFFF"/>
            </w:rPr>
            <w:t xml:space="preserve"> (or funnel them to a more productive section of the </w:t>
          </w:r>
          <w:r w:rsidR="00F64B54">
            <w:rPr>
              <w:rFonts w:ascii="Arial" w:hAnsi="Arial" w:cs="Arial"/>
              <w:color w:val="222222"/>
              <w:shd w:val="clear" w:color="auto" w:fill="FFFFFF"/>
            </w:rPr>
            <w:t>business</w:t>
          </w:r>
          <w:r w:rsidR="006F35B7">
            <w:rPr>
              <w:rFonts w:ascii="Arial" w:hAnsi="Arial" w:cs="Arial"/>
              <w:color w:val="222222"/>
              <w:shd w:val="clear" w:color="auto" w:fill="FFFFFF"/>
            </w:rPr>
            <w:t>), improve brand image and attract investors’ attention, help with pricing strategy choice, increase in productiveness and sales, and in terms in revenue and profits (Indeed, 2021; Bell, 2020</w:t>
          </w:r>
          <w:r w:rsidR="00F64B54">
            <w:rPr>
              <w:rFonts w:ascii="Arial" w:hAnsi="Arial" w:cs="Arial"/>
              <w:color w:val="222222"/>
              <w:shd w:val="clear" w:color="auto" w:fill="FFFFFF"/>
            </w:rPr>
            <w:t>; Cote, 2022</w:t>
          </w:r>
          <w:r w:rsidR="006F35B7">
            <w:rPr>
              <w:rFonts w:ascii="Arial" w:hAnsi="Arial" w:cs="Arial"/>
              <w:color w:val="222222"/>
              <w:shd w:val="clear" w:color="auto" w:fill="FFFFFF"/>
            </w:rPr>
            <w:t>).</w:t>
          </w:r>
          <w:r w:rsidR="00F64B54">
            <w:rPr>
              <w:rFonts w:ascii="Arial" w:hAnsi="Arial" w:cs="Arial"/>
              <w:color w:val="222222"/>
              <w:shd w:val="clear" w:color="auto" w:fill="FFFFFF"/>
            </w:rPr>
            <w:t xml:space="preserve"> </w:t>
          </w:r>
        </w:p>
        <w:p w14:paraId="25BA4ED6" w14:textId="2CDBA928" w:rsidR="00F64B54" w:rsidRDefault="00F64B54" w:rsidP="007D1947">
          <w:pPr>
            <w:rPr>
              <w:rFonts w:ascii="Arial" w:hAnsi="Arial" w:cs="Arial"/>
              <w:color w:val="222222"/>
              <w:shd w:val="clear" w:color="auto" w:fill="FFFFFF"/>
            </w:rPr>
          </w:pPr>
          <w:r>
            <w:rPr>
              <w:rFonts w:ascii="Arial" w:hAnsi="Arial" w:cs="Arial"/>
              <w:color w:val="222222"/>
              <w:shd w:val="clear" w:color="auto" w:fill="FFFFFF"/>
            </w:rPr>
            <w:t xml:space="preserve">Over the years budgeting (and accounting </w:t>
          </w:r>
          <w:r w:rsidR="00461121">
            <w:rPr>
              <w:rFonts w:ascii="Arial" w:hAnsi="Arial" w:cs="Arial"/>
              <w:color w:val="222222"/>
              <w:shd w:val="clear" w:color="auto" w:fill="FFFFFF"/>
            </w:rPr>
            <w:t>in</w:t>
          </w:r>
          <w:r>
            <w:rPr>
              <w:rFonts w:ascii="Arial" w:hAnsi="Arial" w:cs="Arial"/>
              <w:color w:val="222222"/>
              <w:shd w:val="clear" w:color="auto" w:fill="FFFFFF"/>
            </w:rPr>
            <w:t xml:space="preserve"> general) has moved from being made on paper to digital with the help of accounting software and nowadays the vast majority of anyone doing any type of budgeting does it digitally (</w:t>
          </w:r>
          <w:r w:rsidR="00477E49">
            <w:rPr>
              <w:rFonts w:ascii="Arial" w:hAnsi="Arial" w:cs="Arial"/>
              <w:color w:val="222222"/>
              <w:shd w:val="clear" w:color="auto" w:fill="FFFFFF"/>
            </w:rPr>
            <w:t>….</w:t>
          </w:r>
          <w:r>
            <w:rPr>
              <w:rFonts w:ascii="Arial" w:hAnsi="Arial" w:cs="Arial"/>
              <w:color w:val="222222"/>
              <w:shd w:val="clear" w:color="auto" w:fill="FFFFFF"/>
            </w:rPr>
            <w:t>).</w:t>
          </w:r>
          <w:r w:rsidR="00922ED9">
            <w:rPr>
              <w:rFonts w:ascii="Arial" w:hAnsi="Arial" w:cs="Arial"/>
              <w:color w:val="222222"/>
              <w:shd w:val="clear" w:color="auto" w:fill="FFFFFF"/>
            </w:rPr>
            <w:t xml:space="preserve"> Budgeting has been evolving for many years now and new, more modern types of budgeting have emerged. Although, many researchers suggest that the traditional budgeting is enough to sustain a business, this type of budgeting faces strong criticism from the modern financial experts</w:t>
          </w:r>
          <w:r w:rsidR="00220526">
            <w:rPr>
              <w:rFonts w:ascii="Arial" w:hAnsi="Arial" w:cs="Arial"/>
              <w:color w:val="222222"/>
              <w:shd w:val="clear" w:color="auto" w:fill="FFFFFF"/>
            </w:rPr>
            <w:t xml:space="preserve"> in favour of more recent models such as Beyond Budgeting, Agile Budgeting, and Zero-Based budgeting</w:t>
          </w:r>
          <w:r w:rsidR="00922ED9">
            <w:rPr>
              <w:rFonts w:ascii="Arial" w:hAnsi="Arial" w:cs="Arial"/>
              <w:color w:val="222222"/>
              <w:shd w:val="clear" w:color="auto" w:fill="FFFFFF"/>
            </w:rPr>
            <w:t xml:space="preserve">. Even though most if not all researchers agree that a budgetary control system is imperative for every business of any size, many of them disagree on the type that should be used. The different approaches in budgetary control will be explored in detail further in this report, along with their distinct advantages and </w:t>
          </w:r>
          <w:r w:rsidR="001B34C0">
            <w:rPr>
              <w:rFonts w:ascii="Arial" w:hAnsi="Arial" w:cs="Arial"/>
              <w:color w:val="222222"/>
              <w:shd w:val="clear" w:color="auto" w:fill="FFFFFF"/>
            </w:rPr>
            <w:t>limitation</w:t>
          </w:r>
          <w:r w:rsidR="00922ED9">
            <w:rPr>
              <w:rFonts w:ascii="Arial" w:hAnsi="Arial" w:cs="Arial"/>
              <w:color w:val="222222"/>
              <w:shd w:val="clear" w:color="auto" w:fill="FFFFFF"/>
            </w:rPr>
            <w:t xml:space="preserve">. </w:t>
          </w:r>
        </w:p>
        <w:p w14:paraId="7742D860" w14:textId="59C5D732" w:rsidR="001B34C0" w:rsidRDefault="001B34C0" w:rsidP="007D1947">
          <w:pPr>
            <w:rPr>
              <w:rFonts w:ascii="Arial" w:hAnsi="Arial" w:cs="Arial"/>
              <w:color w:val="222222"/>
              <w:shd w:val="clear" w:color="auto" w:fill="FFFFFF"/>
            </w:rPr>
          </w:pPr>
          <w:r>
            <w:rPr>
              <w:rFonts w:ascii="Arial" w:hAnsi="Arial" w:cs="Arial"/>
              <w:color w:val="222222"/>
              <w:shd w:val="clear" w:color="auto" w:fill="FFFFFF"/>
            </w:rPr>
            <w:t xml:space="preserve">A budget needs not only be made to keep track and record of spendings and revenues, but it must be properly analysed </w:t>
          </w:r>
          <w:proofErr w:type="gramStart"/>
          <w:r>
            <w:rPr>
              <w:rFonts w:ascii="Arial" w:hAnsi="Arial" w:cs="Arial"/>
              <w:color w:val="222222"/>
              <w:shd w:val="clear" w:color="auto" w:fill="FFFFFF"/>
            </w:rPr>
            <w:t>in order to</w:t>
          </w:r>
          <w:proofErr w:type="gramEnd"/>
          <w:r>
            <w:rPr>
              <w:rFonts w:ascii="Arial" w:hAnsi="Arial" w:cs="Arial"/>
              <w:color w:val="222222"/>
              <w:shd w:val="clear" w:color="auto" w:fill="FFFFFF"/>
            </w:rPr>
            <w:t xml:space="preserve"> permit evidence-based decision making. The proper analysis of a budget with the proper tools allows for the identification of trends and repeating patterns when it comes to all thing’s money. Within the report the author will examine an example of the budget of a company and provide the reader with in-depth analysis of their results along with some suggestions for dealing with the potential problems they might be facing. </w:t>
          </w:r>
        </w:p>
        <w:p w14:paraId="75B98B19" w14:textId="77777777" w:rsidR="00477E49" w:rsidRPr="00046D3F" w:rsidRDefault="00477E49" w:rsidP="007D1947">
          <w:pPr>
            <w:rPr>
              <w:rFonts w:ascii="Arial" w:hAnsi="Arial" w:cs="Arial"/>
              <w:color w:val="222222"/>
              <w:shd w:val="clear" w:color="auto" w:fill="FFFFFF"/>
            </w:rPr>
          </w:pP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7C657C89" w14:textId="77777777" w:rsidR="00AA2A91" w:rsidRDefault="00AA2A91" w:rsidP="004D519C"/>
        <w:p w14:paraId="2E293EB9" w14:textId="13D59F1B" w:rsidR="00480872" w:rsidRDefault="00480872" w:rsidP="00AA2A91">
          <w:pPr>
            <w:pStyle w:val="Heading1"/>
          </w:pPr>
          <w:bookmarkStart w:id="2" w:name="_Toc115682912"/>
          <w:r>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53417A56" w:rsidR="008F4B79" w:rsidRDefault="006C6B47" w:rsidP="00097CA9">
                <w:pPr>
                  <w:jc w:val="right"/>
                  <w:rPr>
                    <w:rFonts w:ascii="Arial" w:hAnsi="Arial" w:cs="Arial"/>
                  </w:rPr>
                </w:pPr>
                <w:r w:rsidRPr="00D61835">
                  <w:rPr>
                    <w:rFonts w:ascii="Arial" w:hAnsi="Arial" w:cs="Arial"/>
                  </w:rPr>
                  <w:t>105</w:t>
                </w:r>
                <w:r w:rsidR="008F4B79" w:rsidRPr="00D61835">
                  <w:rPr>
                    <w:rFonts w:ascii="Arial" w:hAnsi="Arial" w:cs="Arial"/>
                  </w:rPr>
                  <w:t xml:space="preserve"> </w:t>
                </w:r>
              </w:p>
            </w:tc>
            <w:tc>
              <w:tcPr>
                <w:tcW w:w="992" w:type="dxa"/>
              </w:tcPr>
              <w:p w14:paraId="26FCFE01" w14:textId="6B9BB1FD" w:rsidR="008F4B79" w:rsidRDefault="009F47E4" w:rsidP="00097CA9">
                <w:pPr>
                  <w:jc w:val="right"/>
                  <w:rPr>
                    <w:rFonts w:ascii="Arial" w:hAnsi="Arial" w:cs="Arial"/>
                  </w:rPr>
                </w:pPr>
                <w:r>
                  <w:rPr>
                    <w:rFonts w:ascii="Arial" w:hAnsi="Arial" w:cs="Arial"/>
                  </w:rPr>
                  <w:t>124</w:t>
                </w:r>
                <w:r w:rsidR="008F4B79">
                  <w:rPr>
                    <w:rFonts w:ascii="Arial" w:hAnsi="Arial" w:cs="Arial"/>
                  </w:rPr>
                  <w:t xml:space="preserve"> </w:t>
                </w:r>
              </w:p>
            </w:tc>
            <w:tc>
              <w:tcPr>
                <w:tcW w:w="964" w:type="dxa"/>
              </w:tcPr>
              <w:p w14:paraId="52A93B90" w14:textId="547FF8AB" w:rsidR="008F4B79" w:rsidRDefault="009F47E4" w:rsidP="00097CA9">
                <w:pPr>
                  <w:jc w:val="right"/>
                  <w:rPr>
                    <w:rFonts w:ascii="Arial" w:hAnsi="Arial" w:cs="Arial"/>
                  </w:rPr>
                </w:pPr>
                <w:r>
                  <w:rPr>
                    <w:rFonts w:ascii="Arial" w:hAnsi="Arial" w:cs="Arial"/>
                  </w:rPr>
                  <w:t>130</w:t>
                </w:r>
                <w:r w:rsidR="008F4B79">
                  <w:rPr>
                    <w:rFonts w:ascii="Arial" w:hAnsi="Arial" w:cs="Arial"/>
                  </w:rPr>
                  <w:t xml:space="preserve"> </w:t>
                </w:r>
              </w:p>
            </w:tc>
            <w:tc>
              <w:tcPr>
                <w:tcW w:w="993" w:type="dxa"/>
              </w:tcPr>
              <w:p w14:paraId="415EDCED" w14:textId="46A92FA1" w:rsidR="008F4B79" w:rsidRDefault="00263762" w:rsidP="00097CA9">
                <w:pPr>
                  <w:jc w:val="right"/>
                  <w:rPr>
                    <w:rFonts w:ascii="Arial" w:hAnsi="Arial" w:cs="Arial"/>
                  </w:rPr>
                </w:pPr>
                <w:r>
                  <w:rPr>
                    <w:rFonts w:ascii="Arial" w:hAnsi="Arial" w:cs="Arial"/>
                  </w:rPr>
                  <w:t>158</w:t>
                </w:r>
              </w:p>
            </w:tc>
            <w:tc>
              <w:tcPr>
                <w:tcW w:w="992" w:type="dxa"/>
              </w:tcPr>
              <w:p w14:paraId="6F4E533A" w14:textId="70162690" w:rsidR="008F4B79" w:rsidRDefault="00263762" w:rsidP="00097CA9">
                <w:pPr>
                  <w:jc w:val="right"/>
                  <w:rPr>
                    <w:rFonts w:ascii="Arial" w:hAnsi="Arial" w:cs="Arial"/>
                  </w:rPr>
                </w:pPr>
                <w:r>
                  <w:rPr>
                    <w:rFonts w:ascii="Arial" w:hAnsi="Arial" w:cs="Arial"/>
                  </w:rPr>
                  <w:t>190</w:t>
                </w:r>
                <w:r w:rsidR="008F4B79">
                  <w:rPr>
                    <w:rFonts w:ascii="Arial" w:hAnsi="Arial" w:cs="Arial"/>
                  </w:rPr>
                  <w:t xml:space="preserve"> </w:t>
                </w:r>
              </w:p>
            </w:tc>
            <w:tc>
              <w:tcPr>
                <w:tcW w:w="992" w:type="dxa"/>
              </w:tcPr>
              <w:p w14:paraId="2ADBBDD3" w14:textId="75CD7D68" w:rsidR="008F4B79" w:rsidRDefault="00263762" w:rsidP="00097CA9">
                <w:pPr>
                  <w:jc w:val="right"/>
                  <w:rPr>
                    <w:rFonts w:ascii="Arial" w:hAnsi="Arial" w:cs="Arial"/>
                  </w:rPr>
                </w:pPr>
                <w:r>
                  <w:rPr>
                    <w:rFonts w:ascii="Arial" w:hAnsi="Arial" w:cs="Arial"/>
                  </w:rPr>
                  <w:t>176</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61566EB3" w:rsidR="008F4B79" w:rsidRPr="00BC19FF" w:rsidRDefault="006C6B47"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01079AEB" w:rsidR="008F4B79" w:rsidRPr="00BC19FF" w:rsidRDefault="009F47E4"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64" w:type="dxa"/>
              </w:tcPr>
              <w:p w14:paraId="7B8CE271" w14:textId="3FF9160C" w:rsidR="008F4B79" w:rsidRPr="00BC19FF" w:rsidRDefault="009F47E4"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76E6F1B0" w:rsidR="008F4B79" w:rsidRPr="00BC19FF" w:rsidRDefault="00263762"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2749B11A" w:rsidR="008F4B79" w:rsidRPr="00BC19FF" w:rsidRDefault="00263762" w:rsidP="00097CA9">
                <w:pPr>
                  <w:jc w:val="right"/>
                  <w:rPr>
                    <w:rFonts w:ascii="Arial" w:hAnsi="Arial" w:cs="Arial"/>
                    <w:u w:val="single"/>
                  </w:rPr>
                </w:pPr>
                <w:r>
                  <w:rPr>
                    <w:rFonts w:ascii="Arial" w:hAnsi="Arial" w:cs="Arial"/>
                    <w:u w:val="single"/>
                  </w:rPr>
                  <w:t>140</w:t>
                </w:r>
                <w:r w:rsidR="008F4B79">
                  <w:rPr>
                    <w:rFonts w:ascii="Arial" w:hAnsi="Arial" w:cs="Arial"/>
                    <w:u w:val="single"/>
                  </w:rPr>
                  <w:t xml:space="preserve"> </w:t>
                </w:r>
              </w:p>
            </w:tc>
            <w:tc>
              <w:tcPr>
                <w:tcW w:w="992" w:type="dxa"/>
              </w:tcPr>
              <w:p w14:paraId="0FC90AE7" w14:textId="37A928AF" w:rsidR="008F4B79" w:rsidRPr="00BC19FF" w:rsidRDefault="00263762"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0DA9F7D2" w:rsidR="008F4B79" w:rsidRDefault="009F47E4" w:rsidP="00097CA9">
                <w:pPr>
                  <w:jc w:val="right"/>
                  <w:rPr>
                    <w:rFonts w:ascii="Arial" w:hAnsi="Arial" w:cs="Arial"/>
                  </w:rPr>
                </w:pPr>
                <w:r>
                  <w:rPr>
                    <w:rFonts w:ascii="Arial" w:hAnsi="Arial" w:cs="Arial"/>
                  </w:rPr>
                  <w:t>285</w:t>
                </w:r>
                <w:r w:rsidR="008F4B79">
                  <w:rPr>
                    <w:rFonts w:ascii="Arial" w:hAnsi="Arial" w:cs="Arial"/>
                  </w:rPr>
                  <w:t xml:space="preserve"> </w:t>
                </w:r>
              </w:p>
            </w:tc>
            <w:tc>
              <w:tcPr>
                <w:tcW w:w="992" w:type="dxa"/>
              </w:tcPr>
              <w:p w14:paraId="6FE1EFF6" w14:textId="53739C79" w:rsidR="008F4B79" w:rsidRDefault="009F47E4" w:rsidP="00097CA9">
                <w:pPr>
                  <w:jc w:val="right"/>
                  <w:rPr>
                    <w:rFonts w:ascii="Arial" w:hAnsi="Arial" w:cs="Arial"/>
                  </w:rPr>
                </w:pPr>
                <w:r>
                  <w:rPr>
                    <w:rFonts w:ascii="Arial" w:hAnsi="Arial" w:cs="Arial"/>
                  </w:rPr>
                  <w:t>284</w:t>
                </w:r>
                <w:r w:rsidR="008F4B79">
                  <w:rPr>
                    <w:rFonts w:ascii="Arial" w:hAnsi="Arial" w:cs="Arial"/>
                  </w:rPr>
                  <w:t xml:space="preserve">  </w:t>
                </w:r>
              </w:p>
            </w:tc>
            <w:tc>
              <w:tcPr>
                <w:tcW w:w="964" w:type="dxa"/>
              </w:tcPr>
              <w:p w14:paraId="49BFB01F" w14:textId="61A59583" w:rsidR="008F4B79" w:rsidRDefault="009F47E4" w:rsidP="00097CA9">
                <w:pPr>
                  <w:jc w:val="right"/>
                  <w:rPr>
                    <w:rFonts w:ascii="Arial" w:hAnsi="Arial" w:cs="Arial"/>
                  </w:rPr>
                </w:pPr>
                <w:r>
                  <w:rPr>
                    <w:rFonts w:ascii="Arial" w:hAnsi="Arial" w:cs="Arial"/>
                  </w:rPr>
                  <w:t>333</w:t>
                </w:r>
                <w:r w:rsidR="008F4B79">
                  <w:rPr>
                    <w:rFonts w:ascii="Arial" w:hAnsi="Arial" w:cs="Arial"/>
                  </w:rPr>
                  <w:t xml:space="preserve"> </w:t>
                </w:r>
              </w:p>
            </w:tc>
            <w:tc>
              <w:tcPr>
                <w:tcW w:w="993" w:type="dxa"/>
              </w:tcPr>
              <w:p w14:paraId="59D4638F" w14:textId="4B94DE41" w:rsidR="008F4B79" w:rsidRDefault="00263762" w:rsidP="00097CA9">
                <w:pPr>
                  <w:jc w:val="right"/>
                  <w:rPr>
                    <w:rFonts w:ascii="Arial" w:hAnsi="Arial" w:cs="Arial"/>
                  </w:rPr>
                </w:pPr>
                <w:r>
                  <w:rPr>
                    <w:rFonts w:ascii="Arial" w:hAnsi="Arial" w:cs="Arial"/>
                  </w:rPr>
                  <w:t>358</w:t>
                </w:r>
                <w:r w:rsidR="008F4B79">
                  <w:rPr>
                    <w:rFonts w:ascii="Arial" w:hAnsi="Arial" w:cs="Arial"/>
                  </w:rPr>
                  <w:t xml:space="preserve"> </w:t>
                </w:r>
              </w:p>
            </w:tc>
            <w:tc>
              <w:tcPr>
                <w:tcW w:w="992" w:type="dxa"/>
              </w:tcPr>
              <w:p w14:paraId="43FC5E09" w14:textId="55AD53BF" w:rsidR="008F4B79" w:rsidRDefault="00263762" w:rsidP="00097CA9">
                <w:pPr>
                  <w:jc w:val="right"/>
                  <w:rPr>
                    <w:rFonts w:ascii="Arial" w:hAnsi="Arial" w:cs="Arial"/>
                  </w:rPr>
                </w:pPr>
                <w:r>
                  <w:rPr>
                    <w:rFonts w:ascii="Arial" w:hAnsi="Arial" w:cs="Arial"/>
                  </w:rPr>
                  <w:t>330</w:t>
                </w:r>
                <w:r w:rsidR="008F4B79">
                  <w:rPr>
                    <w:rFonts w:ascii="Arial" w:hAnsi="Arial" w:cs="Arial"/>
                  </w:rPr>
                  <w:t xml:space="preserve"> </w:t>
                </w:r>
              </w:p>
            </w:tc>
            <w:tc>
              <w:tcPr>
                <w:tcW w:w="992" w:type="dxa"/>
              </w:tcPr>
              <w:p w14:paraId="43B04720" w14:textId="0D874BD2" w:rsidR="008F4B79" w:rsidRDefault="00263762" w:rsidP="00097CA9">
                <w:pPr>
                  <w:jc w:val="right"/>
                  <w:rPr>
                    <w:rFonts w:ascii="Arial" w:hAnsi="Arial" w:cs="Arial"/>
                  </w:rPr>
                </w:pPr>
                <w:r>
                  <w:rPr>
                    <w:rFonts w:ascii="Arial" w:hAnsi="Arial" w:cs="Arial"/>
                  </w:rPr>
                  <w:t>371</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2CFD8857" w:rsidR="008F4B79" w:rsidRDefault="009F47E4" w:rsidP="00097CA9">
                <w:pPr>
                  <w:jc w:val="right"/>
                  <w:rPr>
                    <w:rFonts w:ascii="Arial" w:hAnsi="Arial" w:cs="Arial"/>
                  </w:rPr>
                </w:pPr>
                <w:r>
                  <w:rPr>
                    <w:rFonts w:ascii="Arial" w:hAnsi="Arial" w:cs="Arial"/>
                  </w:rPr>
                  <w:t>230*.7=161</w:t>
                </w:r>
              </w:p>
            </w:tc>
            <w:tc>
              <w:tcPr>
                <w:tcW w:w="992" w:type="dxa"/>
              </w:tcPr>
              <w:p w14:paraId="71DD69FF" w14:textId="4100F23D" w:rsidR="008F4B79" w:rsidRDefault="009F47E4" w:rsidP="00097CA9">
                <w:pPr>
                  <w:jc w:val="right"/>
                  <w:rPr>
                    <w:rFonts w:ascii="Arial" w:hAnsi="Arial" w:cs="Arial"/>
                  </w:rPr>
                </w:pPr>
                <w:r>
                  <w:rPr>
                    <w:rFonts w:ascii="Arial" w:hAnsi="Arial" w:cs="Arial"/>
                  </w:rPr>
                  <w:t>220x.7=154</w:t>
                </w: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191B3B92" w:rsidR="008F4B79" w:rsidRDefault="008F4B79" w:rsidP="00097CA9">
                <w:pPr>
                  <w:rPr>
                    <w:rFonts w:ascii="Arial" w:hAnsi="Arial" w:cs="Arial"/>
                  </w:rPr>
                </w:pPr>
                <w:r>
                  <w:rPr>
                    <w:rFonts w:ascii="Arial" w:hAnsi="Arial" w:cs="Arial"/>
                  </w:rPr>
                  <w:t>(</w:t>
                </w:r>
                <w:r w:rsidR="00D61835">
                  <w:rPr>
                    <w:rFonts w:ascii="Arial" w:hAnsi="Arial" w:cs="Arial"/>
                  </w:rPr>
                  <w:t>7</w:t>
                </w:r>
                <w:r>
                  <w:rPr>
                    <w:rFonts w:ascii="Arial" w:hAnsi="Arial" w:cs="Arial"/>
                  </w:rPr>
                  <w:t>0% of sales)</w:t>
                </w:r>
              </w:p>
            </w:tc>
            <w:tc>
              <w:tcPr>
                <w:tcW w:w="992" w:type="dxa"/>
              </w:tcPr>
              <w:p w14:paraId="65D5BBF4" w14:textId="2938D718" w:rsidR="008F4B79" w:rsidRPr="00BC19FF" w:rsidRDefault="008F4B79" w:rsidP="00097CA9">
                <w:pPr>
                  <w:jc w:val="right"/>
                  <w:rPr>
                    <w:rFonts w:ascii="Arial" w:hAnsi="Arial" w:cs="Arial"/>
                    <w:u w:val="single"/>
                  </w:rPr>
                </w:pPr>
                <w:r>
                  <w:rPr>
                    <w:rFonts w:ascii="Arial" w:hAnsi="Arial" w:cs="Arial"/>
                    <w:u w:val="single"/>
                  </w:rPr>
                  <w:t>(</w:t>
                </w:r>
                <w:r w:rsidR="009F47E4">
                  <w:rPr>
                    <w:rFonts w:ascii="Arial" w:hAnsi="Arial" w:cs="Arial"/>
                    <w:u w:val="single"/>
                  </w:rPr>
                  <w:t>161</w:t>
                </w:r>
                <w:r>
                  <w:rPr>
                    <w:rFonts w:ascii="Arial" w:hAnsi="Arial" w:cs="Arial"/>
                    <w:u w:val="single"/>
                  </w:rPr>
                  <w:t>)</w:t>
                </w:r>
              </w:p>
            </w:tc>
            <w:tc>
              <w:tcPr>
                <w:tcW w:w="992" w:type="dxa"/>
              </w:tcPr>
              <w:p w14:paraId="53987C78" w14:textId="7E4EF42E" w:rsidR="008F4B79" w:rsidRPr="00BC19FF" w:rsidRDefault="008F4B79" w:rsidP="00097CA9">
                <w:pPr>
                  <w:jc w:val="right"/>
                  <w:rPr>
                    <w:rFonts w:ascii="Arial" w:hAnsi="Arial" w:cs="Arial"/>
                    <w:u w:val="single"/>
                  </w:rPr>
                </w:pPr>
                <w:proofErr w:type="gramStart"/>
                <w:r>
                  <w:rPr>
                    <w:rFonts w:ascii="Arial" w:hAnsi="Arial" w:cs="Arial"/>
                    <w:u w:val="single"/>
                  </w:rPr>
                  <w:t xml:space="preserve">( </w:t>
                </w:r>
                <w:r w:rsidR="009F47E4">
                  <w:rPr>
                    <w:rFonts w:ascii="Arial" w:hAnsi="Arial" w:cs="Arial"/>
                    <w:u w:val="single"/>
                  </w:rPr>
                  <w:t>154</w:t>
                </w:r>
                <w:proofErr w:type="gramEnd"/>
                <w:r>
                  <w:rPr>
                    <w:rFonts w:ascii="Arial" w:hAnsi="Arial" w:cs="Arial"/>
                    <w:u w:val="single"/>
                  </w:rPr>
                  <w:t xml:space="preserve"> )</w:t>
                </w:r>
              </w:p>
            </w:tc>
            <w:tc>
              <w:tcPr>
                <w:tcW w:w="964" w:type="dxa"/>
              </w:tcPr>
              <w:p w14:paraId="1BEBF8F6" w14:textId="3EC1EBD3" w:rsidR="008F4B79" w:rsidRPr="00BC19FF" w:rsidRDefault="008F4B79" w:rsidP="00097CA9">
                <w:pPr>
                  <w:jc w:val="right"/>
                  <w:rPr>
                    <w:rFonts w:ascii="Arial" w:hAnsi="Arial" w:cs="Arial"/>
                    <w:u w:val="single"/>
                  </w:rPr>
                </w:pPr>
                <w:r>
                  <w:rPr>
                    <w:rFonts w:ascii="Arial" w:hAnsi="Arial" w:cs="Arial"/>
                    <w:u w:val="single"/>
                  </w:rPr>
                  <w:t>(</w:t>
                </w:r>
                <w:r w:rsidR="00263762">
                  <w:rPr>
                    <w:rFonts w:ascii="Arial" w:hAnsi="Arial" w:cs="Arial"/>
                    <w:u w:val="single"/>
                  </w:rPr>
                  <w:t>175</w:t>
                </w:r>
                <w:r>
                  <w:rPr>
                    <w:rFonts w:ascii="Arial" w:hAnsi="Arial" w:cs="Arial"/>
                    <w:u w:val="single"/>
                  </w:rPr>
                  <w:t>)</w:t>
                </w:r>
              </w:p>
            </w:tc>
            <w:tc>
              <w:tcPr>
                <w:tcW w:w="993" w:type="dxa"/>
              </w:tcPr>
              <w:p w14:paraId="46BAC863" w14:textId="13B054F7" w:rsidR="008F4B79" w:rsidRPr="00BC19FF" w:rsidRDefault="008F4B79" w:rsidP="00097CA9">
                <w:pPr>
                  <w:jc w:val="right"/>
                  <w:rPr>
                    <w:rFonts w:ascii="Arial" w:hAnsi="Arial" w:cs="Arial"/>
                    <w:u w:val="single"/>
                  </w:rPr>
                </w:pPr>
                <w:proofErr w:type="gramStart"/>
                <w:r>
                  <w:rPr>
                    <w:rFonts w:ascii="Arial" w:hAnsi="Arial" w:cs="Arial"/>
                    <w:u w:val="single"/>
                  </w:rPr>
                  <w:t xml:space="preserve">( </w:t>
                </w:r>
                <w:r w:rsidR="00263762">
                  <w:rPr>
                    <w:rFonts w:ascii="Arial" w:hAnsi="Arial" w:cs="Arial"/>
                    <w:u w:val="single"/>
                  </w:rPr>
                  <w:t>168</w:t>
                </w:r>
                <w:proofErr w:type="gramEnd"/>
                <w:r>
                  <w:rPr>
                    <w:rFonts w:ascii="Arial" w:hAnsi="Arial" w:cs="Arial"/>
                    <w:u w:val="single"/>
                  </w:rPr>
                  <w:t xml:space="preserve"> )</w:t>
                </w:r>
              </w:p>
            </w:tc>
            <w:tc>
              <w:tcPr>
                <w:tcW w:w="992" w:type="dxa"/>
              </w:tcPr>
              <w:p w14:paraId="06A661B3" w14:textId="44DDCE40" w:rsidR="008F4B79" w:rsidRPr="00BC19FF" w:rsidRDefault="008F4B79" w:rsidP="00097CA9">
                <w:pPr>
                  <w:jc w:val="right"/>
                  <w:rPr>
                    <w:rFonts w:ascii="Arial" w:hAnsi="Arial" w:cs="Arial"/>
                    <w:u w:val="single"/>
                  </w:rPr>
                </w:pPr>
                <w:proofErr w:type="gramStart"/>
                <w:r>
                  <w:rPr>
                    <w:rFonts w:ascii="Arial" w:hAnsi="Arial" w:cs="Arial"/>
                    <w:u w:val="single"/>
                  </w:rPr>
                  <w:t xml:space="preserve">(  </w:t>
                </w:r>
                <w:r w:rsidR="00263762">
                  <w:rPr>
                    <w:rFonts w:ascii="Arial" w:hAnsi="Arial" w:cs="Arial"/>
                    <w:u w:val="single"/>
                  </w:rPr>
                  <w:t>154</w:t>
                </w:r>
                <w:proofErr w:type="gramEnd"/>
                <w:r>
                  <w:rPr>
                    <w:rFonts w:ascii="Arial" w:hAnsi="Arial" w:cs="Arial"/>
                    <w:u w:val="single"/>
                  </w:rPr>
                  <w:t xml:space="preserve">  )</w:t>
                </w:r>
              </w:p>
            </w:tc>
            <w:tc>
              <w:tcPr>
                <w:tcW w:w="992" w:type="dxa"/>
              </w:tcPr>
              <w:p w14:paraId="37FEBA70" w14:textId="3FB6114E" w:rsidR="008F4B79" w:rsidRPr="00BC19FF" w:rsidRDefault="008F4B79" w:rsidP="00097CA9">
                <w:pPr>
                  <w:jc w:val="right"/>
                  <w:rPr>
                    <w:rFonts w:ascii="Arial" w:hAnsi="Arial" w:cs="Arial"/>
                    <w:u w:val="single"/>
                  </w:rPr>
                </w:pPr>
                <w:proofErr w:type="gramStart"/>
                <w:r>
                  <w:rPr>
                    <w:rFonts w:ascii="Arial" w:hAnsi="Arial" w:cs="Arial"/>
                    <w:u w:val="single"/>
                  </w:rPr>
                  <w:t xml:space="preserve">(  </w:t>
                </w:r>
                <w:r w:rsidR="00263762">
                  <w:rPr>
                    <w:rFonts w:ascii="Arial" w:hAnsi="Arial" w:cs="Arial"/>
                    <w:u w:val="single"/>
                  </w:rPr>
                  <w:t>147</w:t>
                </w:r>
                <w:proofErr w:type="gramEnd"/>
                <w:r>
                  <w:rPr>
                    <w:rFonts w:ascii="Arial" w:hAnsi="Arial" w:cs="Arial"/>
                    <w:u w:val="single"/>
                  </w:rPr>
                  <w:t xml:space="preserve"> )</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5769B24E" w:rsidR="008F4B79" w:rsidRPr="00BC19FF" w:rsidRDefault="009F47E4" w:rsidP="00097CA9">
                <w:pPr>
                  <w:jc w:val="right"/>
                  <w:rPr>
                    <w:rFonts w:ascii="Arial" w:hAnsi="Arial" w:cs="Arial"/>
                    <w:u w:val="single"/>
                  </w:rPr>
                </w:pPr>
                <w:r>
                  <w:rPr>
                    <w:rFonts w:ascii="Arial" w:hAnsi="Arial" w:cs="Arial"/>
                    <w:u w:val="single"/>
                  </w:rPr>
                  <w:t>124</w:t>
                </w:r>
                <w:r w:rsidR="008F4B79">
                  <w:rPr>
                    <w:rFonts w:ascii="Arial" w:hAnsi="Arial" w:cs="Arial"/>
                    <w:u w:val="single"/>
                  </w:rPr>
                  <w:t xml:space="preserve">   </w:t>
                </w:r>
              </w:p>
            </w:tc>
            <w:tc>
              <w:tcPr>
                <w:tcW w:w="992" w:type="dxa"/>
              </w:tcPr>
              <w:p w14:paraId="7E95065D" w14:textId="74B97B44" w:rsidR="008F4B79" w:rsidRPr="00BC19FF" w:rsidRDefault="009F47E4" w:rsidP="00097CA9">
                <w:pPr>
                  <w:jc w:val="right"/>
                  <w:rPr>
                    <w:rFonts w:ascii="Arial" w:hAnsi="Arial" w:cs="Arial"/>
                    <w:u w:val="single"/>
                  </w:rPr>
                </w:pPr>
                <w:r>
                  <w:rPr>
                    <w:rFonts w:ascii="Arial" w:hAnsi="Arial" w:cs="Arial"/>
                    <w:u w:val="single"/>
                  </w:rPr>
                  <w:t>130</w:t>
                </w:r>
                <w:r w:rsidR="008F4B79">
                  <w:rPr>
                    <w:rFonts w:ascii="Arial" w:hAnsi="Arial" w:cs="Arial"/>
                    <w:u w:val="single"/>
                  </w:rPr>
                  <w:t xml:space="preserve">   </w:t>
                </w:r>
              </w:p>
            </w:tc>
            <w:tc>
              <w:tcPr>
                <w:tcW w:w="964" w:type="dxa"/>
              </w:tcPr>
              <w:p w14:paraId="36220FC1" w14:textId="5838131C" w:rsidR="008F4B79" w:rsidRPr="00BC19FF" w:rsidRDefault="00263762" w:rsidP="00097CA9">
                <w:pPr>
                  <w:jc w:val="right"/>
                  <w:rPr>
                    <w:rFonts w:ascii="Arial" w:hAnsi="Arial" w:cs="Arial"/>
                    <w:u w:val="single"/>
                  </w:rPr>
                </w:pPr>
                <w:r>
                  <w:rPr>
                    <w:rFonts w:ascii="Arial" w:hAnsi="Arial" w:cs="Arial"/>
                    <w:u w:val="single"/>
                  </w:rPr>
                  <w:t>158</w:t>
                </w:r>
                <w:r w:rsidR="008F4B79">
                  <w:rPr>
                    <w:rFonts w:ascii="Arial" w:hAnsi="Arial" w:cs="Arial"/>
                    <w:u w:val="single"/>
                  </w:rPr>
                  <w:t xml:space="preserve">     </w:t>
                </w:r>
              </w:p>
            </w:tc>
            <w:tc>
              <w:tcPr>
                <w:tcW w:w="993" w:type="dxa"/>
              </w:tcPr>
              <w:p w14:paraId="53C31D3A" w14:textId="7F83F184" w:rsidR="008F4B79" w:rsidRPr="00BC19FF" w:rsidRDefault="00263762"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2" w:type="dxa"/>
              </w:tcPr>
              <w:p w14:paraId="7F452A29" w14:textId="5680A48B" w:rsidR="008F4B79" w:rsidRPr="00BC19FF" w:rsidRDefault="00263762" w:rsidP="00097CA9">
                <w:pPr>
                  <w:jc w:val="right"/>
                  <w:rPr>
                    <w:rFonts w:ascii="Arial" w:hAnsi="Arial" w:cs="Arial"/>
                    <w:u w:val="single"/>
                  </w:rPr>
                </w:pPr>
                <w:r>
                  <w:rPr>
                    <w:rFonts w:ascii="Arial" w:hAnsi="Arial" w:cs="Arial"/>
                    <w:u w:val="single"/>
                  </w:rPr>
                  <w:t>176</w:t>
                </w:r>
                <w:r w:rsidR="008F4B79">
                  <w:rPr>
                    <w:rFonts w:ascii="Arial" w:hAnsi="Arial" w:cs="Arial"/>
                    <w:u w:val="single"/>
                  </w:rPr>
                  <w:t xml:space="preserve"> </w:t>
                </w:r>
              </w:p>
            </w:tc>
            <w:tc>
              <w:tcPr>
                <w:tcW w:w="992" w:type="dxa"/>
              </w:tcPr>
              <w:p w14:paraId="1B6F5CE9" w14:textId="11A1F9E7" w:rsidR="008F4B79" w:rsidRPr="00BC19FF" w:rsidRDefault="00263762" w:rsidP="00097CA9">
                <w:pPr>
                  <w:jc w:val="right"/>
                  <w:rPr>
                    <w:rFonts w:ascii="Arial" w:hAnsi="Arial" w:cs="Arial"/>
                    <w:u w:val="single"/>
                  </w:rPr>
                </w:pPr>
                <w:r>
                  <w:rPr>
                    <w:rFonts w:ascii="Arial" w:hAnsi="Arial" w:cs="Arial"/>
                    <w:u w:val="single"/>
                  </w:rPr>
                  <w:t>224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78E6E04" w:rsidR="008F4B79" w:rsidRDefault="008F4B79" w:rsidP="00097CA9">
                <w:pPr>
                  <w:rPr>
                    <w:rFonts w:ascii="Arial" w:hAnsi="Arial" w:cs="Arial"/>
                  </w:rPr>
                </w:pPr>
                <w:r>
                  <w:rPr>
                    <w:rFonts w:ascii="Arial" w:hAnsi="Arial" w:cs="Arial"/>
                  </w:rPr>
                  <w:t xml:space="preserve">Sales net of  </w:t>
                </w:r>
              </w:p>
            </w:tc>
            <w:tc>
              <w:tcPr>
                <w:tcW w:w="992" w:type="dxa"/>
              </w:tcPr>
              <w:p w14:paraId="7CC417E8" w14:textId="77777777" w:rsidR="008F4B79" w:rsidRDefault="008F4B79" w:rsidP="00097CA9">
                <w:pPr>
                  <w:jc w:val="center"/>
                  <w:rPr>
                    <w:rFonts w:ascii="Arial" w:hAnsi="Arial" w:cs="Arial"/>
                  </w:rPr>
                </w:pPr>
              </w:p>
              <w:p w14:paraId="09D61F7D" w14:textId="306096C6" w:rsidR="008F4B79" w:rsidRDefault="00762B91" w:rsidP="00097CA9">
                <w:pPr>
                  <w:jc w:val="center"/>
                  <w:rPr>
                    <w:rFonts w:ascii="Arial" w:hAnsi="Arial" w:cs="Arial"/>
                  </w:rPr>
                </w:pPr>
                <w:r>
                  <w:rPr>
                    <w:rFonts w:ascii="Arial" w:hAnsi="Arial" w:cs="Arial"/>
                  </w:rPr>
                  <w:t>227.93</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6FBE342C" w:rsidR="008F4B79" w:rsidRDefault="00762B91" w:rsidP="00097CA9">
                <w:pPr>
                  <w:jc w:val="center"/>
                  <w:rPr>
                    <w:rFonts w:ascii="Arial" w:hAnsi="Arial" w:cs="Arial"/>
                  </w:rPr>
                </w:pPr>
                <w:r>
                  <w:rPr>
                    <w:rFonts w:ascii="Arial" w:hAnsi="Arial" w:cs="Arial"/>
                  </w:rPr>
                  <w:t>218.02</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0304BBAD" w:rsidR="008F4B79" w:rsidRDefault="00762B91" w:rsidP="00097CA9">
                <w:pPr>
                  <w:jc w:val="center"/>
                  <w:rPr>
                    <w:rFonts w:ascii="Arial" w:hAnsi="Arial" w:cs="Arial"/>
                  </w:rPr>
                </w:pPr>
                <w:r>
                  <w:rPr>
                    <w:rFonts w:ascii="Arial" w:hAnsi="Arial" w:cs="Arial"/>
                  </w:rPr>
                  <w:t>247.75</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24E780E0" w:rsidR="008F4B79" w:rsidRDefault="00762B91" w:rsidP="00097CA9">
                <w:pPr>
                  <w:jc w:val="center"/>
                  <w:rPr>
                    <w:rFonts w:ascii="Arial" w:hAnsi="Arial" w:cs="Arial"/>
                  </w:rPr>
                </w:pPr>
                <w:r>
                  <w:rPr>
                    <w:rFonts w:ascii="Arial" w:hAnsi="Arial" w:cs="Arial"/>
                  </w:rPr>
                  <w:t>237.84</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39380186" w:rsidR="008F4B79" w:rsidRDefault="00762B91" w:rsidP="00097CA9">
                <w:pPr>
                  <w:jc w:val="center"/>
                  <w:rPr>
                    <w:rFonts w:ascii="Arial" w:hAnsi="Arial" w:cs="Arial"/>
                  </w:rPr>
                </w:pPr>
                <w:r>
                  <w:rPr>
                    <w:rFonts w:ascii="Arial" w:hAnsi="Arial" w:cs="Arial"/>
                  </w:rPr>
                  <w:t>218.02</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348D02B5" w:rsidR="008F4B79" w:rsidRDefault="00762B91" w:rsidP="00097CA9">
                <w:pPr>
                  <w:jc w:val="center"/>
                  <w:rPr>
                    <w:rFonts w:ascii="Arial" w:hAnsi="Arial" w:cs="Arial"/>
                  </w:rPr>
                </w:pPr>
                <w:r>
                  <w:rPr>
                    <w:rFonts w:ascii="Arial" w:hAnsi="Arial" w:cs="Arial"/>
                  </w:rPr>
                  <w:t>208.11</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394A94B6"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263762">
                  <w:rPr>
                    <w:rFonts w:ascii="Arial" w:hAnsi="Arial" w:cs="Arial"/>
                  </w:rPr>
                  <w:t>19</w:t>
                </w:r>
                <w:r>
                  <w:rPr>
                    <w:rFonts w:ascii="Arial" w:hAnsi="Arial" w:cs="Arial"/>
                  </w:rPr>
                  <w:t xml:space="preserve">   )</w:t>
                </w:r>
              </w:p>
            </w:tc>
            <w:tc>
              <w:tcPr>
                <w:tcW w:w="992" w:type="dxa"/>
                <w:vAlign w:val="center"/>
              </w:tcPr>
              <w:p w14:paraId="53656A68" w14:textId="644F60BF" w:rsidR="008F4B79" w:rsidRDefault="008F4B79" w:rsidP="00097CA9">
                <w:pPr>
                  <w:jc w:val="center"/>
                  <w:rPr>
                    <w:rFonts w:ascii="Arial" w:hAnsi="Arial" w:cs="Arial"/>
                  </w:rPr>
                </w:pPr>
                <w:proofErr w:type="gramStart"/>
                <w:r>
                  <w:rPr>
                    <w:rFonts w:ascii="Arial" w:hAnsi="Arial" w:cs="Arial"/>
                  </w:rPr>
                  <w:t xml:space="preserve">(  </w:t>
                </w:r>
                <w:r w:rsidR="00263762">
                  <w:rPr>
                    <w:rFonts w:ascii="Arial" w:hAnsi="Arial" w:cs="Arial"/>
                  </w:rPr>
                  <w:t>18</w:t>
                </w:r>
                <w:proofErr w:type="gramEnd"/>
                <w:r>
                  <w:rPr>
                    <w:rFonts w:ascii="Arial" w:hAnsi="Arial" w:cs="Arial"/>
                  </w:rPr>
                  <w:t xml:space="preserve">   )</w:t>
                </w:r>
              </w:p>
            </w:tc>
            <w:tc>
              <w:tcPr>
                <w:tcW w:w="993" w:type="dxa"/>
                <w:vAlign w:val="center"/>
              </w:tcPr>
              <w:p w14:paraId="74AFF97C" w14:textId="3D700D32" w:rsidR="008F4B79" w:rsidRDefault="008F4B79" w:rsidP="00097CA9">
                <w:pPr>
                  <w:jc w:val="center"/>
                  <w:rPr>
                    <w:rFonts w:ascii="Arial" w:hAnsi="Arial" w:cs="Arial"/>
                  </w:rPr>
                </w:pPr>
                <w:proofErr w:type="gramStart"/>
                <w:r>
                  <w:rPr>
                    <w:rFonts w:ascii="Arial" w:hAnsi="Arial" w:cs="Arial"/>
                  </w:rPr>
                  <w:t xml:space="preserve">(  </w:t>
                </w:r>
                <w:r w:rsidR="00263762">
                  <w:rPr>
                    <w:rFonts w:ascii="Arial" w:hAnsi="Arial" w:cs="Arial"/>
                  </w:rPr>
                  <w:t>16</w:t>
                </w:r>
                <w:proofErr w:type="gramEnd"/>
                <w:r>
                  <w:rPr>
                    <w:rFonts w:ascii="Arial" w:hAnsi="Arial" w:cs="Arial"/>
                  </w:rPr>
                  <w:t xml:space="preserve">  )</w:t>
                </w:r>
              </w:p>
            </w:tc>
            <w:tc>
              <w:tcPr>
                <w:tcW w:w="992" w:type="dxa"/>
                <w:vAlign w:val="center"/>
              </w:tcPr>
              <w:p w14:paraId="1E0304DB" w14:textId="6F202388"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0A44FF">
                  <w:rPr>
                    <w:rFonts w:ascii="Arial" w:hAnsi="Arial" w:cs="Arial"/>
                  </w:rPr>
                  <w:t>17</w:t>
                </w:r>
                <w:r>
                  <w:rPr>
                    <w:rFonts w:ascii="Arial" w:hAnsi="Arial" w:cs="Arial"/>
                  </w:rPr>
                  <w:t xml:space="preserve">  )</w:t>
                </w:r>
              </w:p>
            </w:tc>
            <w:tc>
              <w:tcPr>
                <w:tcW w:w="992" w:type="dxa"/>
                <w:vAlign w:val="center"/>
              </w:tcPr>
              <w:p w14:paraId="74DE144E" w14:textId="01FF0786"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17</w:t>
                </w:r>
                <w:proofErr w:type="gramEnd"/>
                <w:r>
                  <w:rPr>
                    <w:rFonts w:ascii="Arial" w:hAnsi="Arial" w:cs="Arial"/>
                  </w:rPr>
                  <w:t xml:space="preserve">   )</w:t>
                </w:r>
              </w:p>
            </w:tc>
            <w:tc>
              <w:tcPr>
                <w:tcW w:w="992" w:type="dxa"/>
                <w:vAlign w:val="center"/>
              </w:tcPr>
              <w:p w14:paraId="06BDF0DF" w14:textId="65639F18"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15</w:t>
                </w:r>
                <w:proofErr w:type="gramEnd"/>
                <w:r>
                  <w:rPr>
                    <w:rFonts w:ascii="Arial" w:hAnsi="Arial" w:cs="Arial"/>
                  </w:rPr>
                  <w:t xml:space="preserve">  )</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7FA08DFD"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205</w:t>
                </w:r>
                <w:proofErr w:type="gramEnd"/>
                <w:r>
                  <w:rPr>
                    <w:rFonts w:ascii="Arial" w:hAnsi="Arial" w:cs="Arial"/>
                  </w:rPr>
                  <w:t xml:space="preserve">  )</w:t>
                </w:r>
              </w:p>
            </w:tc>
            <w:tc>
              <w:tcPr>
                <w:tcW w:w="992" w:type="dxa"/>
              </w:tcPr>
              <w:p w14:paraId="16DBE0B1" w14:textId="77A1BFA3"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180</w:t>
                </w:r>
                <w:proofErr w:type="gramEnd"/>
                <w:r>
                  <w:rPr>
                    <w:rFonts w:ascii="Arial" w:hAnsi="Arial" w:cs="Arial"/>
                  </w:rPr>
                  <w:t xml:space="preserve">   )</w:t>
                </w:r>
              </w:p>
            </w:tc>
            <w:tc>
              <w:tcPr>
                <w:tcW w:w="993" w:type="dxa"/>
              </w:tcPr>
              <w:p w14:paraId="0C479117" w14:textId="0FFB797B" w:rsidR="008F4B79" w:rsidRDefault="008F4B79" w:rsidP="00097CA9">
                <w:pPr>
                  <w:jc w:val="center"/>
                  <w:rPr>
                    <w:rFonts w:ascii="Arial" w:hAnsi="Arial" w:cs="Arial"/>
                  </w:rPr>
                </w:pPr>
                <w:proofErr w:type="gramStart"/>
                <w:r>
                  <w:rPr>
                    <w:rFonts w:ascii="Arial" w:hAnsi="Arial" w:cs="Arial"/>
                  </w:rPr>
                  <w:t>(</w:t>
                </w:r>
                <w:r w:rsidR="00D61835">
                  <w:rPr>
                    <w:rFonts w:ascii="Arial" w:hAnsi="Arial" w:cs="Arial"/>
                  </w:rPr>
                  <w:t xml:space="preserve"> </w:t>
                </w:r>
                <w:r w:rsidR="000A44FF">
                  <w:rPr>
                    <w:rFonts w:ascii="Arial" w:hAnsi="Arial" w:cs="Arial"/>
                  </w:rPr>
                  <w:t>160</w:t>
                </w:r>
                <w:proofErr w:type="gramEnd"/>
                <w:r>
                  <w:rPr>
                    <w:rFonts w:ascii="Arial" w:hAnsi="Arial" w:cs="Arial"/>
                  </w:rPr>
                  <w:t xml:space="preserve"> )</w:t>
                </w:r>
              </w:p>
            </w:tc>
            <w:tc>
              <w:tcPr>
                <w:tcW w:w="992" w:type="dxa"/>
              </w:tcPr>
              <w:p w14:paraId="3095C7F8" w14:textId="68D37D78"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203</w:t>
                </w:r>
                <w:proofErr w:type="gramEnd"/>
                <w:r>
                  <w:rPr>
                    <w:rFonts w:ascii="Arial" w:hAnsi="Arial" w:cs="Arial"/>
                  </w:rPr>
                  <w:t xml:space="preserve">   )</w:t>
                </w:r>
              </w:p>
            </w:tc>
            <w:tc>
              <w:tcPr>
                <w:tcW w:w="992" w:type="dxa"/>
              </w:tcPr>
              <w:p w14:paraId="7D2539CD" w14:textId="39E448F8"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200</w:t>
                </w:r>
                <w:proofErr w:type="gramEnd"/>
                <w:r>
                  <w:rPr>
                    <w:rFonts w:ascii="Arial" w:hAnsi="Arial" w:cs="Arial"/>
                  </w:rPr>
                  <w:t xml:space="preserve">  )</w:t>
                </w:r>
              </w:p>
            </w:tc>
            <w:tc>
              <w:tcPr>
                <w:tcW w:w="992" w:type="dxa"/>
              </w:tcPr>
              <w:p w14:paraId="18275CF8" w14:textId="0EB702C5"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140</w:t>
                </w:r>
                <w:proofErr w:type="gramEnd"/>
                <w:r>
                  <w:rPr>
                    <w:rFonts w:ascii="Arial" w:hAnsi="Arial" w:cs="Arial"/>
                  </w:rPr>
                  <w:t xml:space="preserve">  )</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39D8F31F"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5</w:t>
                </w:r>
                <w:proofErr w:type="gramEnd"/>
                <w:r>
                  <w:rPr>
                    <w:rFonts w:ascii="Arial" w:hAnsi="Arial" w:cs="Arial"/>
                  </w:rPr>
                  <w:t xml:space="preserve"> )</w:t>
                </w:r>
              </w:p>
            </w:tc>
            <w:tc>
              <w:tcPr>
                <w:tcW w:w="992" w:type="dxa"/>
              </w:tcPr>
              <w:p w14:paraId="33A9D8A7" w14:textId="52F3BD55"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5</w:t>
                </w:r>
                <w:proofErr w:type="gramEnd"/>
                <w:r>
                  <w:rPr>
                    <w:rFonts w:ascii="Arial" w:hAnsi="Arial" w:cs="Arial"/>
                  </w:rPr>
                  <w:t xml:space="preserve">  )</w:t>
                </w:r>
              </w:p>
            </w:tc>
            <w:tc>
              <w:tcPr>
                <w:tcW w:w="993" w:type="dxa"/>
              </w:tcPr>
              <w:p w14:paraId="15E94208" w14:textId="6BB3543F"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5</w:t>
                </w:r>
                <w:proofErr w:type="gramEnd"/>
                <w:r>
                  <w:rPr>
                    <w:rFonts w:ascii="Arial" w:hAnsi="Arial" w:cs="Arial"/>
                  </w:rPr>
                  <w:t xml:space="preserve">   )</w:t>
                </w:r>
              </w:p>
            </w:tc>
            <w:tc>
              <w:tcPr>
                <w:tcW w:w="992" w:type="dxa"/>
              </w:tcPr>
              <w:p w14:paraId="3096EBB3" w14:textId="59B3E414"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5</w:t>
                </w:r>
                <w:proofErr w:type="gramEnd"/>
                <w:r>
                  <w:rPr>
                    <w:rFonts w:ascii="Arial" w:hAnsi="Arial" w:cs="Arial"/>
                  </w:rPr>
                  <w:t xml:space="preserve">   )</w:t>
                </w:r>
              </w:p>
            </w:tc>
            <w:tc>
              <w:tcPr>
                <w:tcW w:w="992" w:type="dxa"/>
              </w:tcPr>
              <w:p w14:paraId="28DCEDBF" w14:textId="6541C262"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5</w:t>
                </w:r>
                <w:proofErr w:type="gramEnd"/>
                <w:r>
                  <w:rPr>
                    <w:rFonts w:ascii="Arial" w:hAnsi="Arial" w:cs="Arial"/>
                  </w:rPr>
                  <w:t xml:space="preserve">  )</w:t>
                </w:r>
              </w:p>
            </w:tc>
            <w:tc>
              <w:tcPr>
                <w:tcW w:w="992" w:type="dxa"/>
              </w:tcPr>
              <w:p w14:paraId="3E99894F" w14:textId="26CB11C1"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5</w:t>
                </w:r>
                <w:proofErr w:type="gramEnd"/>
                <w:r>
                  <w:rPr>
                    <w:rFonts w:ascii="Arial" w:hAnsi="Arial" w:cs="Arial"/>
                  </w:rPr>
                  <w:t xml:space="preserve">   )</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5774DF05"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6</w:t>
                </w:r>
                <w:proofErr w:type="gramEnd"/>
                <w:r>
                  <w:rPr>
                    <w:rFonts w:ascii="Arial" w:hAnsi="Arial" w:cs="Arial"/>
                  </w:rPr>
                  <w:t xml:space="preserve">  )</w:t>
                </w:r>
              </w:p>
            </w:tc>
            <w:tc>
              <w:tcPr>
                <w:tcW w:w="992" w:type="dxa"/>
              </w:tcPr>
              <w:p w14:paraId="4505E924" w14:textId="399CAEB7"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8</w:t>
                </w:r>
                <w:proofErr w:type="gramEnd"/>
                <w:r>
                  <w:rPr>
                    <w:rFonts w:ascii="Arial" w:hAnsi="Arial" w:cs="Arial"/>
                  </w:rPr>
                  <w:t xml:space="preserve">  )</w:t>
                </w:r>
              </w:p>
            </w:tc>
            <w:tc>
              <w:tcPr>
                <w:tcW w:w="993" w:type="dxa"/>
              </w:tcPr>
              <w:p w14:paraId="0ECDD2D6" w14:textId="4AE76B89"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7</w:t>
                </w:r>
                <w:proofErr w:type="gramEnd"/>
                <w:r>
                  <w:rPr>
                    <w:rFonts w:ascii="Arial" w:hAnsi="Arial" w:cs="Arial"/>
                  </w:rPr>
                  <w:t xml:space="preserve">  )</w:t>
                </w:r>
              </w:p>
            </w:tc>
            <w:tc>
              <w:tcPr>
                <w:tcW w:w="992" w:type="dxa"/>
              </w:tcPr>
              <w:p w14:paraId="091E1D88" w14:textId="2B15446E"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6</w:t>
                </w:r>
                <w:proofErr w:type="gramEnd"/>
                <w:r>
                  <w:rPr>
                    <w:rFonts w:ascii="Arial" w:hAnsi="Arial" w:cs="Arial"/>
                  </w:rPr>
                  <w:t xml:space="preserve">  )</w:t>
                </w:r>
              </w:p>
            </w:tc>
            <w:tc>
              <w:tcPr>
                <w:tcW w:w="992" w:type="dxa"/>
              </w:tcPr>
              <w:p w14:paraId="635FB050" w14:textId="69EF0BBF"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8</w:t>
                </w:r>
                <w:proofErr w:type="gramEnd"/>
                <w:r>
                  <w:rPr>
                    <w:rFonts w:ascii="Arial" w:hAnsi="Arial" w:cs="Arial"/>
                  </w:rPr>
                  <w:t xml:space="preserve">  )</w:t>
                </w:r>
              </w:p>
            </w:tc>
            <w:tc>
              <w:tcPr>
                <w:tcW w:w="992" w:type="dxa"/>
              </w:tcPr>
              <w:p w14:paraId="68FBD8F5" w14:textId="12A28BC9"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9</w:t>
                </w:r>
                <w:proofErr w:type="gramEnd"/>
                <w:r>
                  <w:rPr>
                    <w:rFonts w:ascii="Arial" w:hAnsi="Arial" w:cs="Arial"/>
                  </w:rPr>
                  <w:t xml:space="preserve">   )</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18EBCBF8"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20</w:t>
                </w:r>
                <w:proofErr w:type="gramEnd"/>
                <w:r>
                  <w:rPr>
                    <w:rFonts w:ascii="Arial" w:hAnsi="Arial" w:cs="Arial"/>
                  </w:rPr>
                  <w:t xml:space="preserve">  )</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4DE2A9A8"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w:t>
                </w:r>
                <w:proofErr w:type="gramEnd"/>
                <w:r>
                  <w:rPr>
                    <w:rFonts w:ascii="Arial" w:hAnsi="Arial" w:cs="Arial"/>
                  </w:rPr>
                  <w:t xml:space="preserve"> )</w:t>
                </w:r>
              </w:p>
            </w:tc>
            <w:tc>
              <w:tcPr>
                <w:tcW w:w="992" w:type="dxa"/>
              </w:tcPr>
              <w:p w14:paraId="26B80DA6" w14:textId="0B936ADD"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0A44FF">
                  <w:rPr>
                    <w:rFonts w:ascii="Arial" w:hAnsi="Arial" w:cs="Arial"/>
                  </w:rPr>
                  <w:t>1</w:t>
                </w:r>
                <w:r>
                  <w:rPr>
                    <w:rFonts w:ascii="Arial" w:hAnsi="Arial" w:cs="Arial"/>
                  </w:rPr>
                  <w:t xml:space="preserve">  )</w:t>
                </w:r>
              </w:p>
            </w:tc>
            <w:tc>
              <w:tcPr>
                <w:tcW w:w="993" w:type="dxa"/>
              </w:tcPr>
              <w:p w14:paraId="7DF05DDC" w14:textId="31774D65"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0A44FF">
                  <w:rPr>
                    <w:rFonts w:ascii="Arial" w:hAnsi="Arial" w:cs="Arial"/>
                  </w:rPr>
                  <w:t>1</w:t>
                </w:r>
                <w:r>
                  <w:rPr>
                    <w:rFonts w:ascii="Arial" w:hAnsi="Arial" w:cs="Arial"/>
                  </w:rPr>
                  <w:t xml:space="preserve"> )</w:t>
                </w:r>
              </w:p>
            </w:tc>
            <w:tc>
              <w:tcPr>
                <w:tcW w:w="992" w:type="dxa"/>
              </w:tcPr>
              <w:p w14:paraId="094DC8D8" w14:textId="48E0DC81"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w:t>
                </w:r>
                <w:proofErr w:type="gramEnd"/>
                <w:r>
                  <w:rPr>
                    <w:rFonts w:ascii="Arial" w:hAnsi="Arial" w:cs="Arial"/>
                  </w:rPr>
                  <w:t xml:space="preserve">  )</w:t>
                </w:r>
              </w:p>
            </w:tc>
            <w:tc>
              <w:tcPr>
                <w:tcW w:w="992" w:type="dxa"/>
              </w:tcPr>
              <w:p w14:paraId="081ECD21" w14:textId="75781F45" w:rsidR="008F4B79" w:rsidRDefault="008F4B79" w:rsidP="00097CA9">
                <w:pPr>
                  <w:jc w:val="center"/>
                  <w:rPr>
                    <w:rFonts w:ascii="Arial" w:hAnsi="Arial" w:cs="Arial"/>
                  </w:rPr>
                </w:pPr>
                <w:proofErr w:type="gramStart"/>
                <w:r>
                  <w:rPr>
                    <w:rFonts w:ascii="Arial" w:hAnsi="Arial" w:cs="Arial"/>
                  </w:rPr>
                  <w:t xml:space="preserve">(  </w:t>
                </w:r>
                <w:r w:rsidR="000A44FF">
                  <w:rPr>
                    <w:rFonts w:ascii="Arial" w:hAnsi="Arial" w:cs="Arial"/>
                  </w:rPr>
                  <w:t>1</w:t>
                </w:r>
                <w:proofErr w:type="gramEnd"/>
                <w:r>
                  <w:rPr>
                    <w:rFonts w:ascii="Arial" w:hAnsi="Arial" w:cs="Arial"/>
                  </w:rPr>
                  <w:t xml:space="preserve"> )</w:t>
                </w:r>
              </w:p>
            </w:tc>
            <w:tc>
              <w:tcPr>
                <w:tcW w:w="992" w:type="dxa"/>
              </w:tcPr>
              <w:p w14:paraId="20B0297B" w14:textId="1C54952D" w:rsidR="008F4B79" w:rsidRDefault="008F4B79" w:rsidP="00097CA9">
                <w:pPr>
                  <w:jc w:val="center"/>
                  <w:rPr>
                    <w:rFonts w:ascii="Arial" w:hAnsi="Arial" w:cs="Arial"/>
                  </w:rPr>
                </w:pPr>
                <w:proofErr w:type="gramStart"/>
                <w:r>
                  <w:rPr>
                    <w:rFonts w:ascii="Arial" w:hAnsi="Arial" w:cs="Arial"/>
                  </w:rPr>
                  <w:t xml:space="preserve">(  </w:t>
                </w:r>
                <w:proofErr w:type="gramEnd"/>
                <w:r>
                  <w:rPr>
                    <w:rFonts w:ascii="Arial" w:hAnsi="Arial" w:cs="Arial"/>
                  </w:rPr>
                  <w:t xml:space="preserve"> </w:t>
                </w:r>
                <w:r w:rsidR="000A44FF">
                  <w:rPr>
                    <w:rFonts w:ascii="Arial" w:hAnsi="Arial" w:cs="Arial"/>
                  </w:rPr>
                  <w:t>1</w:t>
                </w:r>
                <w:r>
                  <w:rPr>
                    <w:rFonts w:ascii="Arial" w:hAnsi="Arial" w:cs="Arial"/>
                  </w:rPr>
                  <w:t xml:space="preserve">  )</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18E0BF68" w:rsidR="008F4B79" w:rsidRPr="007A65C7" w:rsidRDefault="000A44FF" w:rsidP="00097CA9">
                <w:pPr>
                  <w:jc w:val="center"/>
                  <w:rPr>
                    <w:rFonts w:ascii="Arial" w:hAnsi="Arial" w:cs="Arial"/>
                    <w:u w:val="single"/>
                  </w:rPr>
                </w:pPr>
                <w:proofErr w:type="gramStart"/>
                <w:r>
                  <w:rPr>
                    <w:rFonts w:ascii="Arial" w:hAnsi="Arial" w:cs="Arial"/>
                    <w:u w:val="single"/>
                  </w:rPr>
                  <w:t>( 11</w:t>
                </w:r>
                <w:proofErr w:type="gramEnd"/>
                <w:r>
                  <w:rPr>
                    <w:rFonts w:ascii="Arial" w:hAnsi="Arial" w:cs="Arial"/>
                    <w:u w:val="single"/>
                  </w:rPr>
                  <w:t xml:space="preserve"> )</w:t>
                </w:r>
                <w:r w:rsidR="008F4B79" w:rsidRPr="007A65C7">
                  <w:rPr>
                    <w:rFonts w:ascii="Arial" w:hAnsi="Arial" w:cs="Arial"/>
                    <w:u w:val="single"/>
                  </w:rPr>
                  <w:t xml:space="preserve">   </w:t>
                </w:r>
              </w:p>
            </w:tc>
            <w:tc>
              <w:tcPr>
                <w:tcW w:w="992" w:type="dxa"/>
              </w:tcPr>
              <w:p w14:paraId="2D1ABA18" w14:textId="21A2E400" w:rsidR="008F4B79" w:rsidRPr="007A65C7" w:rsidRDefault="008F4B79" w:rsidP="00097CA9">
                <w:pPr>
                  <w:jc w:val="center"/>
                  <w:rPr>
                    <w:rFonts w:ascii="Arial" w:hAnsi="Arial" w:cs="Arial"/>
                    <w:u w:val="single"/>
                  </w:rPr>
                </w:pPr>
                <w:proofErr w:type="gramStart"/>
                <w:r w:rsidRPr="007A65C7">
                  <w:rPr>
                    <w:rFonts w:ascii="Arial" w:hAnsi="Arial" w:cs="Arial"/>
                    <w:u w:val="single"/>
                  </w:rPr>
                  <w:t>(</w:t>
                </w:r>
                <w:r>
                  <w:rPr>
                    <w:rFonts w:ascii="Arial" w:hAnsi="Arial" w:cs="Arial"/>
                    <w:u w:val="single"/>
                  </w:rPr>
                  <w:t xml:space="preserve">  </w:t>
                </w:r>
                <w:r w:rsidR="000A44FF">
                  <w:rPr>
                    <w:rFonts w:ascii="Arial" w:hAnsi="Arial" w:cs="Arial"/>
                    <w:u w:val="single"/>
                  </w:rPr>
                  <w:t>10</w:t>
                </w:r>
                <w:proofErr w:type="gramEnd"/>
                <w:r>
                  <w:rPr>
                    <w:rFonts w:ascii="Arial" w:hAnsi="Arial" w:cs="Arial"/>
                    <w:u w:val="single"/>
                  </w:rPr>
                  <w:t xml:space="preserve">  </w:t>
                </w:r>
                <w:r w:rsidRPr="007A65C7">
                  <w:rPr>
                    <w:rFonts w:ascii="Arial" w:hAnsi="Arial" w:cs="Arial"/>
                    <w:u w:val="single"/>
                  </w:rPr>
                  <w:t>)</w:t>
                </w:r>
              </w:p>
            </w:tc>
            <w:tc>
              <w:tcPr>
                <w:tcW w:w="993" w:type="dxa"/>
              </w:tcPr>
              <w:p w14:paraId="7561F86B" w14:textId="01118A1B" w:rsidR="008F4B79" w:rsidRPr="007A65C7" w:rsidRDefault="008F4B79" w:rsidP="00097CA9">
                <w:pPr>
                  <w:jc w:val="center"/>
                  <w:rPr>
                    <w:rFonts w:ascii="Arial" w:hAnsi="Arial" w:cs="Arial"/>
                    <w:u w:val="single"/>
                  </w:rPr>
                </w:pPr>
                <w:proofErr w:type="gramStart"/>
                <w:r w:rsidRPr="007A65C7">
                  <w:rPr>
                    <w:rFonts w:ascii="Arial" w:hAnsi="Arial" w:cs="Arial"/>
                    <w:u w:val="single"/>
                  </w:rPr>
                  <w:t>(</w:t>
                </w:r>
                <w:r>
                  <w:rPr>
                    <w:rFonts w:ascii="Arial" w:hAnsi="Arial" w:cs="Arial"/>
                    <w:u w:val="single"/>
                  </w:rPr>
                  <w:t xml:space="preserve">  </w:t>
                </w:r>
                <w:r w:rsidR="000A44FF">
                  <w:rPr>
                    <w:rFonts w:ascii="Arial" w:hAnsi="Arial" w:cs="Arial"/>
                    <w:u w:val="single"/>
                  </w:rPr>
                  <w:t>12</w:t>
                </w:r>
                <w:proofErr w:type="gramEnd"/>
                <w:r>
                  <w:rPr>
                    <w:rFonts w:ascii="Arial" w:hAnsi="Arial" w:cs="Arial"/>
                    <w:u w:val="single"/>
                  </w:rPr>
                  <w:t xml:space="preserve">  </w:t>
                </w:r>
                <w:r w:rsidRPr="007A65C7">
                  <w:rPr>
                    <w:rFonts w:ascii="Arial" w:hAnsi="Arial" w:cs="Arial"/>
                    <w:u w:val="single"/>
                  </w:rPr>
                  <w:t>)</w:t>
                </w:r>
              </w:p>
            </w:tc>
            <w:tc>
              <w:tcPr>
                <w:tcW w:w="992" w:type="dxa"/>
              </w:tcPr>
              <w:p w14:paraId="4A840892" w14:textId="4594C7D9" w:rsidR="008F4B79" w:rsidRPr="000A44FF" w:rsidRDefault="008F4B79" w:rsidP="00097CA9">
                <w:pPr>
                  <w:jc w:val="center"/>
                  <w:rPr>
                    <w:rFonts w:ascii="Arial" w:hAnsi="Arial" w:cs="Arial"/>
                  </w:rPr>
                </w:pPr>
                <w:r w:rsidRPr="000A44FF">
                  <w:rPr>
                    <w:rFonts w:ascii="Arial" w:hAnsi="Arial" w:cs="Arial"/>
                  </w:rPr>
                  <w:t xml:space="preserve"> </w:t>
                </w:r>
                <w:r w:rsidR="000A44FF" w:rsidRPr="000A44FF">
                  <w:rPr>
                    <w:rFonts w:ascii="Arial" w:hAnsi="Arial" w:cs="Arial"/>
                  </w:rPr>
                  <w:t>-</w:t>
                </w:r>
                <w:r w:rsidRPr="000A44FF">
                  <w:rPr>
                    <w:rFonts w:ascii="Arial" w:hAnsi="Arial" w:cs="Arial"/>
                  </w:rPr>
                  <w:t xml:space="preserve">       </w:t>
                </w:r>
              </w:p>
            </w:tc>
            <w:tc>
              <w:tcPr>
                <w:tcW w:w="992" w:type="dxa"/>
              </w:tcPr>
              <w:p w14:paraId="4649B1DD" w14:textId="77C3A998" w:rsidR="008F4B79" w:rsidRPr="000A44FF" w:rsidRDefault="000A44FF" w:rsidP="00097CA9">
                <w:pPr>
                  <w:jc w:val="center"/>
                  <w:rPr>
                    <w:rFonts w:ascii="Arial" w:hAnsi="Arial" w:cs="Arial"/>
                  </w:rPr>
                </w:pPr>
                <w:r w:rsidRPr="000A44FF">
                  <w:rPr>
                    <w:rFonts w:ascii="Arial" w:hAnsi="Arial" w:cs="Arial"/>
                  </w:rPr>
                  <w:t>-</w:t>
                </w:r>
                <w:r w:rsidR="008F4B79" w:rsidRPr="000A44FF">
                  <w:rPr>
                    <w:rFonts w:ascii="Arial" w:hAnsi="Arial" w:cs="Arial"/>
                  </w:rPr>
                  <w:t xml:space="preserve">       </w:t>
                </w:r>
              </w:p>
            </w:tc>
            <w:tc>
              <w:tcPr>
                <w:tcW w:w="992" w:type="dxa"/>
              </w:tcPr>
              <w:p w14:paraId="1439498C" w14:textId="284E1D4A" w:rsidR="008F4B79" w:rsidRPr="000A44FF" w:rsidRDefault="000A44FF" w:rsidP="00097CA9">
                <w:pPr>
                  <w:jc w:val="center"/>
                  <w:rPr>
                    <w:rFonts w:ascii="Arial" w:hAnsi="Arial" w:cs="Arial"/>
                  </w:rPr>
                </w:pPr>
                <w:r w:rsidRPr="000A44FF">
                  <w:rPr>
                    <w:rFonts w:ascii="Arial" w:hAnsi="Arial" w:cs="Arial"/>
                  </w:rPr>
                  <w:t>-</w:t>
                </w:r>
                <w:r w:rsidR="008F4B79" w:rsidRPr="000A44FF">
                  <w:rPr>
                    <w:rFonts w:ascii="Arial" w:hAnsi="Arial" w:cs="Arial"/>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67E5DFF5" w:rsidR="008F4B79" w:rsidRPr="00D61835" w:rsidRDefault="00762B91" w:rsidP="00097CA9">
                <w:pPr>
                  <w:jc w:val="center"/>
                  <w:rPr>
                    <w:rFonts w:ascii="Arial" w:hAnsi="Arial" w:cs="Arial"/>
                    <w:color w:val="FF0000"/>
                  </w:rPr>
                </w:pPr>
                <w:r w:rsidRPr="00D61835">
                  <w:rPr>
                    <w:rFonts w:ascii="Arial" w:hAnsi="Arial" w:cs="Arial"/>
                    <w:color w:val="FF0000"/>
                  </w:rPr>
                  <w:t>-19.07</w:t>
                </w:r>
                <w:r w:rsidR="008F4B79" w:rsidRPr="00D61835">
                  <w:rPr>
                    <w:rFonts w:ascii="Arial" w:hAnsi="Arial" w:cs="Arial"/>
                    <w:color w:val="FF0000"/>
                  </w:rPr>
                  <w:t xml:space="preserve"> </w:t>
                </w:r>
              </w:p>
            </w:tc>
            <w:tc>
              <w:tcPr>
                <w:tcW w:w="992" w:type="dxa"/>
              </w:tcPr>
              <w:p w14:paraId="68F74097" w14:textId="1ABDFA63" w:rsidR="008F4B79" w:rsidRPr="00D61835" w:rsidRDefault="008F4B79" w:rsidP="00097CA9">
                <w:pPr>
                  <w:jc w:val="center"/>
                  <w:rPr>
                    <w:rFonts w:ascii="Arial" w:hAnsi="Arial" w:cs="Arial"/>
                    <w:color w:val="FF0000"/>
                  </w:rPr>
                </w:pPr>
                <w:r w:rsidRPr="00D61835">
                  <w:rPr>
                    <w:rFonts w:ascii="Arial" w:hAnsi="Arial" w:cs="Arial"/>
                    <w:color w:val="FF0000"/>
                  </w:rPr>
                  <w:t xml:space="preserve"> </w:t>
                </w:r>
                <w:r w:rsidR="00762B91" w:rsidRPr="00D61835">
                  <w:rPr>
                    <w:rFonts w:ascii="Arial" w:hAnsi="Arial" w:cs="Arial"/>
                    <w:color w:val="FF0000"/>
                  </w:rPr>
                  <w:t>-3.98</w:t>
                </w:r>
              </w:p>
            </w:tc>
            <w:tc>
              <w:tcPr>
                <w:tcW w:w="993" w:type="dxa"/>
              </w:tcPr>
              <w:p w14:paraId="7075DF1B" w14:textId="062AFA25" w:rsidR="008F4B79" w:rsidRPr="00D61835" w:rsidRDefault="00762B91" w:rsidP="00097CA9">
                <w:pPr>
                  <w:jc w:val="center"/>
                  <w:rPr>
                    <w:rFonts w:ascii="Arial" w:hAnsi="Arial" w:cs="Arial"/>
                    <w:color w:val="00B050"/>
                  </w:rPr>
                </w:pPr>
                <w:r w:rsidRPr="00D61835">
                  <w:rPr>
                    <w:rFonts w:ascii="Arial" w:hAnsi="Arial" w:cs="Arial"/>
                    <w:color w:val="00B050"/>
                  </w:rPr>
                  <w:t>26.75</w:t>
                </w:r>
                <w:r w:rsidR="008F4B79" w:rsidRPr="00D61835">
                  <w:rPr>
                    <w:rFonts w:ascii="Arial" w:hAnsi="Arial" w:cs="Arial"/>
                    <w:color w:val="00B050"/>
                  </w:rPr>
                  <w:t xml:space="preserve"> </w:t>
                </w:r>
              </w:p>
            </w:tc>
            <w:tc>
              <w:tcPr>
                <w:tcW w:w="992" w:type="dxa"/>
              </w:tcPr>
              <w:p w14:paraId="74FD117B" w14:textId="5132A07D" w:rsidR="008F4B79" w:rsidRPr="00D61835" w:rsidRDefault="00762B91" w:rsidP="00097CA9">
                <w:pPr>
                  <w:jc w:val="center"/>
                  <w:rPr>
                    <w:rFonts w:ascii="Arial" w:hAnsi="Arial" w:cs="Arial"/>
                    <w:color w:val="00B050"/>
                  </w:rPr>
                </w:pPr>
                <w:r w:rsidRPr="00D61835">
                  <w:rPr>
                    <w:rFonts w:ascii="Arial" w:hAnsi="Arial" w:cs="Arial"/>
                    <w:color w:val="00B050"/>
                  </w:rPr>
                  <w:t>5.84</w:t>
                </w:r>
                <w:r w:rsidR="008F4B79" w:rsidRPr="00D61835">
                  <w:rPr>
                    <w:rFonts w:ascii="Arial" w:hAnsi="Arial" w:cs="Arial"/>
                    <w:color w:val="00B050"/>
                  </w:rPr>
                  <w:t xml:space="preserve"> </w:t>
                </w:r>
              </w:p>
            </w:tc>
            <w:tc>
              <w:tcPr>
                <w:tcW w:w="992" w:type="dxa"/>
              </w:tcPr>
              <w:p w14:paraId="2B94937F" w14:textId="3586024A" w:rsidR="008F4B79" w:rsidRDefault="00762B91" w:rsidP="00097CA9">
                <w:pPr>
                  <w:jc w:val="center"/>
                  <w:rPr>
                    <w:rFonts w:ascii="Arial" w:hAnsi="Arial" w:cs="Arial"/>
                  </w:rPr>
                </w:pPr>
                <w:r w:rsidRPr="00D61835">
                  <w:rPr>
                    <w:rFonts w:ascii="Arial" w:hAnsi="Arial" w:cs="Arial"/>
                    <w:color w:val="FF0000"/>
                  </w:rPr>
                  <w:t>-12.98</w:t>
                </w:r>
                <w:r w:rsidR="008F4B79" w:rsidRPr="00D61835">
                  <w:rPr>
                    <w:rFonts w:ascii="Arial" w:hAnsi="Arial" w:cs="Arial"/>
                    <w:color w:val="FF0000"/>
                  </w:rPr>
                  <w:t xml:space="preserve"> </w:t>
                </w:r>
              </w:p>
            </w:tc>
            <w:tc>
              <w:tcPr>
                <w:tcW w:w="992" w:type="dxa"/>
              </w:tcPr>
              <w:p w14:paraId="7DEB33B1" w14:textId="36558567" w:rsidR="008F4B79" w:rsidRDefault="008F4B79" w:rsidP="00097CA9">
                <w:pPr>
                  <w:jc w:val="center"/>
                  <w:rPr>
                    <w:rFonts w:ascii="Arial" w:hAnsi="Arial" w:cs="Arial"/>
                  </w:rPr>
                </w:pPr>
                <w:r>
                  <w:rPr>
                    <w:rFonts w:ascii="Arial" w:hAnsi="Arial" w:cs="Arial"/>
                  </w:rPr>
                  <w:t xml:space="preserve"> </w:t>
                </w:r>
                <w:r w:rsidR="00762B91" w:rsidRPr="00D61835">
                  <w:rPr>
                    <w:rFonts w:ascii="Arial" w:hAnsi="Arial" w:cs="Arial"/>
                    <w:color w:val="00B050"/>
                  </w:rPr>
                  <w:t>38.11</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21A1F615" w:rsidR="008F4B79" w:rsidRPr="007A65C7" w:rsidRDefault="000A44FF" w:rsidP="00097CA9">
                <w:pPr>
                  <w:jc w:val="center"/>
                  <w:rPr>
                    <w:rFonts w:ascii="Arial" w:hAnsi="Arial" w:cs="Arial"/>
                    <w:u w:val="single"/>
                  </w:rPr>
                </w:pPr>
                <w:r>
                  <w:rPr>
                    <w:rFonts w:ascii="Arial" w:hAnsi="Arial" w:cs="Arial"/>
                    <w:u w:val="single"/>
                  </w:rPr>
                  <w:t>-22</w:t>
                </w:r>
                <w:r w:rsidR="008F4B79">
                  <w:rPr>
                    <w:rFonts w:ascii="Arial" w:hAnsi="Arial" w:cs="Arial"/>
                    <w:u w:val="single"/>
                  </w:rPr>
                  <w:t xml:space="preserve"> </w:t>
                </w:r>
              </w:p>
            </w:tc>
            <w:tc>
              <w:tcPr>
                <w:tcW w:w="992" w:type="dxa"/>
              </w:tcPr>
              <w:p w14:paraId="26255FCA" w14:textId="3D32B31C" w:rsidR="008F4B79" w:rsidRPr="007A65C7" w:rsidRDefault="008F4B79" w:rsidP="00097CA9">
                <w:pPr>
                  <w:jc w:val="center"/>
                  <w:rPr>
                    <w:rFonts w:ascii="Arial" w:hAnsi="Arial" w:cs="Arial"/>
                    <w:u w:val="single"/>
                  </w:rPr>
                </w:pPr>
                <w:r>
                  <w:rPr>
                    <w:rFonts w:ascii="Arial" w:hAnsi="Arial" w:cs="Arial"/>
                    <w:u w:val="single"/>
                  </w:rPr>
                  <w:t xml:space="preserve"> </w:t>
                </w:r>
                <w:r w:rsidR="00762B91">
                  <w:rPr>
                    <w:rFonts w:ascii="Arial" w:hAnsi="Arial" w:cs="Arial"/>
                    <w:u w:val="single"/>
                  </w:rPr>
                  <w:t>-41.07</w:t>
                </w:r>
              </w:p>
            </w:tc>
            <w:tc>
              <w:tcPr>
                <w:tcW w:w="993" w:type="dxa"/>
              </w:tcPr>
              <w:p w14:paraId="02D8836E" w14:textId="03ADC9BD" w:rsidR="008F4B79" w:rsidRPr="007A65C7" w:rsidRDefault="00762B91" w:rsidP="00097CA9">
                <w:pPr>
                  <w:jc w:val="center"/>
                  <w:rPr>
                    <w:rFonts w:ascii="Arial" w:hAnsi="Arial" w:cs="Arial"/>
                    <w:u w:val="single"/>
                  </w:rPr>
                </w:pPr>
                <w:r>
                  <w:rPr>
                    <w:rFonts w:ascii="Arial" w:hAnsi="Arial" w:cs="Arial"/>
                    <w:u w:val="single"/>
                  </w:rPr>
                  <w:t>-45.05</w:t>
                </w:r>
                <w:r w:rsidR="008F4B79">
                  <w:rPr>
                    <w:rFonts w:ascii="Arial" w:hAnsi="Arial" w:cs="Arial"/>
                    <w:u w:val="single"/>
                  </w:rPr>
                  <w:t xml:space="preserve"> </w:t>
                </w:r>
              </w:p>
            </w:tc>
            <w:tc>
              <w:tcPr>
                <w:tcW w:w="992" w:type="dxa"/>
              </w:tcPr>
              <w:p w14:paraId="4736CB88" w14:textId="22B25F0A" w:rsidR="008F4B79" w:rsidRPr="007A65C7" w:rsidRDefault="00762B91" w:rsidP="00097CA9">
                <w:pPr>
                  <w:jc w:val="center"/>
                  <w:rPr>
                    <w:rFonts w:ascii="Arial" w:hAnsi="Arial" w:cs="Arial"/>
                    <w:u w:val="single"/>
                  </w:rPr>
                </w:pPr>
                <w:r>
                  <w:rPr>
                    <w:rFonts w:ascii="Arial" w:hAnsi="Arial" w:cs="Arial"/>
                    <w:u w:val="single"/>
                  </w:rPr>
                  <w:t>-18.30</w:t>
                </w:r>
                <w:r w:rsidR="008F4B79">
                  <w:rPr>
                    <w:rFonts w:ascii="Arial" w:hAnsi="Arial" w:cs="Arial"/>
                    <w:u w:val="single"/>
                  </w:rPr>
                  <w:t xml:space="preserve"> </w:t>
                </w:r>
              </w:p>
            </w:tc>
            <w:tc>
              <w:tcPr>
                <w:tcW w:w="992" w:type="dxa"/>
              </w:tcPr>
              <w:p w14:paraId="1C2AFF92" w14:textId="7D1DEB08" w:rsidR="008F4B79" w:rsidRPr="007A65C7" w:rsidRDefault="00762B91" w:rsidP="00097CA9">
                <w:pPr>
                  <w:jc w:val="center"/>
                  <w:rPr>
                    <w:rFonts w:ascii="Arial" w:hAnsi="Arial" w:cs="Arial"/>
                    <w:u w:val="single"/>
                  </w:rPr>
                </w:pPr>
                <w:r>
                  <w:rPr>
                    <w:rFonts w:ascii="Arial" w:hAnsi="Arial" w:cs="Arial"/>
                    <w:u w:val="single"/>
                  </w:rPr>
                  <w:t>-12.46</w:t>
                </w:r>
                <w:r w:rsidR="008F4B79">
                  <w:rPr>
                    <w:rFonts w:ascii="Arial" w:hAnsi="Arial" w:cs="Arial"/>
                    <w:u w:val="single"/>
                  </w:rPr>
                  <w:t xml:space="preserve"> </w:t>
                </w:r>
              </w:p>
            </w:tc>
            <w:tc>
              <w:tcPr>
                <w:tcW w:w="992" w:type="dxa"/>
              </w:tcPr>
              <w:p w14:paraId="389B4261" w14:textId="1154DDCE" w:rsidR="008F4B79" w:rsidRPr="007A65C7" w:rsidRDefault="00762B91" w:rsidP="00097CA9">
                <w:pPr>
                  <w:jc w:val="center"/>
                  <w:rPr>
                    <w:rFonts w:ascii="Arial" w:hAnsi="Arial" w:cs="Arial"/>
                    <w:u w:val="single"/>
                  </w:rPr>
                </w:pPr>
                <w:r>
                  <w:rPr>
                    <w:rFonts w:ascii="Arial" w:hAnsi="Arial" w:cs="Arial"/>
                    <w:u w:val="single"/>
                  </w:rPr>
                  <w:t>-25.44</w:t>
                </w:r>
                <w:r w:rsidR="008F4B79">
                  <w:rPr>
                    <w:rFonts w:ascii="Arial" w:hAnsi="Arial" w:cs="Arial"/>
                    <w:u w:val="single"/>
                  </w:rPr>
                  <w:t xml:space="preserve"> </w:t>
                </w:r>
              </w:p>
            </w:tc>
          </w:tr>
          <w:tr w:rsidR="00D61835" w:rsidRPr="00D61835"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34ABF9F5" w:rsidR="008F4B79" w:rsidRPr="00D61835" w:rsidRDefault="00762B91" w:rsidP="00097CA9">
                <w:pPr>
                  <w:jc w:val="center"/>
                  <w:rPr>
                    <w:rFonts w:ascii="Arial" w:hAnsi="Arial" w:cs="Arial"/>
                    <w:color w:val="FF0000"/>
                  </w:rPr>
                </w:pPr>
                <w:r w:rsidRPr="00D61835">
                  <w:rPr>
                    <w:rFonts w:ascii="Arial" w:hAnsi="Arial" w:cs="Arial"/>
                    <w:color w:val="FF0000"/>
                  </w:rPr>
                  <w:t>-41.07</w:t>
                </w:r>
                <w:r w:rsidR="008F4B79" w:rsidRPr="00D61835">
                  <w:rPr>
                    <w:rFonts w:ascii="Arial" w:hAnsi="Arial" w:cs="Arial"/>
                    <w:color w:val="FF0000"/>
                  </w:rPr>
                  <w:t xml:space="preserve"> </w:t>
                </w:r>
              </w:p>
            </w:tc>
            <w:tc>
              <w:tcPr>
                <w:tcW w:w="992" w:type="dxa"/>
              </w:tcPr>
              <w:p w14:paraId="1DFCB9F8" w14:textId="4281F56B" w:rsidR="008F4B79" w:rsidRPr="00D61835" w:rsidRDefault="008F4B79" w:rsidP="00097CA9">
                <w:pPr>
                  <w:jc w:val="center"/>
                  <w:rPr>
                    <w:rFonts w:ascii="Arial" w:hAnsi="Arial" w:cs="Arial"/>
                    <w:color w:val="FF0000"/>
                  </w:rPr>
                </w:pPr>
                <w:r w:rsidRPr="00D61835">
                  <w:rPr>
                    <w:rFonts w:ascii="Arial" w:hAnsi="Arial" w:cs="Arial"/>
                    <w:color w:val="FF0000"/>
                  </w:rPr>
                  <w:t xml:space="preserve"> </w:t>
                </w:r>
                <w:r w:rsidR="00762B91" w:rsidRPr="00D61835">
                  <w:rPr>
                    <w:rFonts w:ascii="Arial" w:hAnsi="Arial" w:cs="Arial"/>
                    <w:color w:val="FF0000"/>
                  </w:rPr>
                  <w:t>-45.05</w:t>
                </w:r>
              </w:p>
            </w:tc>
            <w:tc>
              <w:tcPr>
                <w:tcW w:w="993" w:type="dxa"/>
              </w:tcPr>
              <w:p w14:paraId="03772FA5" w14:textId="26AD0C9B" w:rsidR="008F4B79" w:rsidRPr="00D61835" w:rsidRDefault="00762B91" w:rsidP="00097CA9">
                <w:pPr>
                  <w:jc w:val="center"/>
                  <w:rPr>
                    <w:rFonts w:ascii="Arial" w:hAnsi="Arial" w:cs="Arial"/>
                    <w:color w:val="FF0000"/>
                  </w:rPr>
                </w:pPr>
                <w:r w:rsidRPr="00D61835">
                  <w:rPr>
                    <w:rFonts w:ascii="Arial" w:hAnsi="Arial" w:cs="Arial"/>
                    <w:color w:val="FF0000"/>
                  </w:rPr>
                  <w:t>-18.30</w:t>
                </w:r>
                <w:r w:rsidR="008F4B79" w:rsidRPr="00D61835">
                  <w:rPr>
                    <w:rFonts w:ascii="Arial" w:hAnsi="Arial" w:cs="Arial"/>
                    <w:color w:val="FF0000"/>
                  </w:rPr>
                  <w:t xml:space="preserve"> </w:t>
                </w:r>
              </w:p>
            </w:tc>
            <w:tc>
              <w:tcPr>
                <w:tcW w:w="992" w:type="dxa"/>
              </w:tcPr>
              <w:p w14:paraId="0E6B8A89" w14:textId="1309EFD6" w:rsidR="008F4B79" w:rsidRPr="00D61835" w:rsidRDefault="00762B91" w:rsidP="00097CA9">
                <w:pPr>
                  <w:jc w:val="center"/>
                  <w:rPr>
                    <w:rFonts w:ascii="Arial" w:hAnsi="Arial" w:cs="Arial"/>
                    <w:color w:val="FF0000"/>
                  </w:rPr>
                </w:pPr>
                <w:r w:rsidRPr="00D61835">
                  <w:rPr>
                    <w:rFonts w:ascii="Arial" w:hAnsi="Arial" w:cs="Arial"/>
                    <w:color w:val="FF0000"/>
                  </w:rPr>
                  <w:t>-12.46</w:t>
                </w:r>
                <w:r w:rsidR="008F4B79" w:rsidRPr="00D61835">
                  <w:rPr>
                    <w:rFonts w:ascii="Arial" w:hAnsi="Arial" w:cs="Arial"/>
                    <w:color w:val="FF0000"/>
                  </w:rPr>
                  <w:t xml:space="preserve"> </w:t>
                </w:r>
              </w:p>
            </w:tc>
            <w:tc>
              <w:tcPr>
                <w:tcW w:w="992" w:type="dxa"/>
              </w:tcPr>
              <w:p w14:paraId="4EAE6915" w14:textId="27CC4ECC" w:rsidR="008F4B79" w:rsidRPr="00D61835" w:rsidRDefault="00762B91" w:rsidP="00097CA9">
                <w:pPr>
                  <w:jc w:val="center"/>
                  <w:rPr>
                    <w:rFonts w:ascii="Arial" w:hAnsi="Arial" w:cs="Arial"/>
                    <w:color w:val="FF0000"/>
                  </w:rPr>
                </w:pPr>
                <w:r w:rsidRPr="00D61835">
                  <w:rPr>
                    <w:rFonts w:ascii="Arial" w:hAnsi="Arial" w:cs="Arial"/>
                    <w:color w:val="FF0000"/>
                  </w:rPr>
                  <w:t>-25.44</w:t>
                </w:r>
                <w:r w:rsidR="008F4B79" w:rsidRPr="00D61835">
                  <w:rPr>
                    <w:rFonts w:ascii="Arial" w:hAnsi="Arial" w:cs="Arial"/>
                    <w:color w:val="FF0000"/>
                  </w:rPr>
                  <w:t xml:space="preserve"> </w:t>
                </w:r>
              </w:p>
            </w:tc>
            <w:tc>
              <w:tcPr>
                <w:tcW w:w="992" w:type="dxa"/>
              </w:tcPr>
              <w:p w14:paraId="14023721" w14:textId="58C3C819" w:rsidR="008F4B79" w:rsidRPr="00D61835" w:rsidRDefault="008F4B79" w:rsidP="00097CA9">
                <w:pPr>
                  <w:jc w:val="center"/>
                  <w:rPr>
                    <w:rFonts w:ascii="Arial" w:hAnsi="Arial" w:cs="Arial"/>
                    <w:color w:val="00B050"/>
                  </w:rPr>
                </w:pPr>
                <w:r w:rsidRPr="00D61835">
                  <w:rPr>
                    <w:rFonts w:ascii="Arial" w:hAnsi="Arial" w:cs="Arial"/>
                    <w:color w:val="00B050"/>
                  </w:rPr>
                  <w:t xml:space="preserve"> </w:t>
                </w:r>
                <w:r w:rsidR="00762B91" w:rsidRPr="00D61835">
                  <w:rPr>
                    <w:rFonts w:ascii="Arial" w:hAnsi="Arial" w:cs="Arial"/>
                    <w:color w:val="00B050"/>
                  </w:rPr>
                  <w:t>12.67</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1A6951DE" w:rsidR="008F4B79" w:rsidRDefault="00D111C8" w:rsidP="00097CA9">
                <w:pPr>
                  <w:jc w:val="right"/>
                  <w:rPr>
                    <w:rFonts w:ascii="Arial" w:hAnsi="Arial" w:cs="Arial"/>
                  </w:rPr>
                </w:pPr>
                <w:r>
                  <w:rPr>
                    <w:rFonts w:ascii="Arial" w:hAnsi="Arial" w:cs="Arial"/>
                  </w:rPr>
                  <w:t>1370</w:t>
                </w:r>
                <w:r w:rsidR="008F4B79">
                  <w:rPr>
                    <w:rFonts w:ascii="Arial" w:hAnsi="Arial" w:cs="Arial"/>
                  </w:rPr>
                  <w:t xml:space="preserve"> </w:t>
                </w:r>
              </w:p>
            </w:tc>
            <w:tc>
              <w:tcPr>
                <w:tcW w:w="3544" w:type="dxa"/>
              </w:tcPr>
              <w:p w14:paraId="25687ABE" w14:textId="77777777" w:rsidR="008F4B79" w:rsidRDefault="008F4B79" w:rsidP="00097CA9">
                <w:pPr>
                  <w:rPr>
                    <w:rFonts w:ascii="Arial" w:hAnsi="Arial" w:cs="Arial"/>
                  </w:rPr>
                </w:pPr>
                <w:r>
                  <w:rPr>
                    <w:rFonts w:ascii="Arial" w:hAnsi="Arial" w:cs="Arial"/>
                  </w:rPr>
                  <w:t xml:space="preserve"> </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2CC8A9CC" w:rsidR="008F4B79" w:rsidRPr="00F71675" w:rsidRDefault="008F4B79" w:rsidP="00097CA9">
                <w:pPr>
                  <w:jc w:val="right"/>
                  <w:rPr>
                    <w:rFonts w:ascii="Arial" w:hAnsi="Arial" w:cs="Arial"/>
                    <w:u w:val="single"/>
                  </w:rPr>
                </w:pPr>
                <w:proofErr w:type="gramStart"/>
                <w:r w:rsidRPr="00F71675">
                  <w:rPr>
                    <w:rFonts w:ascii="Arial" w:hAnsi="Arial" w:cs="Arial"/>
                    <w:u w:val="single"/>
                  </w:rPr>
                  <w:t>(</w:t>
                </w:r>
                <w:r>
                  <w:rPr>
                    <w:rFonts w:ascii="Arial" w:hAnsi="Arial" w:cs="Arial"/>
                    <w:u w:val="single"/>
                  </w:rPr>
                  <w:t xml:space="preserve"> </w:t>
                </w:r>
                <w:r w:rsidR="00D61835">
                  <w:rPr>
                    <w:rFonts w:ascii="Arial" w:hAnsi="Arial" w:cs="Arial"/>
                    <w:u w:val="single"/>
                  </w:rPr>
                  <w:t>959</w:t>
                </w:r>
                <w:proofErr w:type="gramEnd"/>
                <w:r>
                  <w:rPr>
                    <w:rFonts w:ascii="Arial" w:hAnsi="Arial" w:cs="Arial"/>
                    <w:u w:val="single"/>
                  </w:rPr>
                  <w:t xml:space="preserve"> </w:t>
                </w:r>
                <w:r w:rsidRPr="00F71675">
                  <w:rPr>
                    <w:rFonts w:ascii="Arial" w:hAnsi="Arial" w:cs="Arial"/>
                    <w:u w:val="single"/>
                  </w:rPr>
                  <w:t>)</w:t>
                </w:r>
              </w:p>
            </w:tc>
            <w:tc>
              <w:tcPr>
                <w:tcW w:w="3544" w:type="dxa"/>
              </w:tcPr>
              <w:p w14:paraId="42F2775D" w14:textId="291EB8F3" w:rsidR="008F4B79" w:rsidRPr="00010117" w:rsidRDefault="008F4B79" w:rsidP="00097CA9">
                <w:pPr>
                  <w:rPr>
                    <w:rFonts w:ascii="Arial" w:hAnsi="Arial" w:cs="Arial"/>
                  </w:rPr>
                </w:pPr>
                <w:r>
                  <w:rPr>
                    <w:rFonts w:ascii="Arial" w:hAnsi="Arial" w:cs="Arial"/>
                  </w:rPr>
                  <w:t xml:space="preserve"> </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2461A98E" w:rsidR="008F4B79" w:rsidRDefault="00D111C8" w:rsidP="00097CA9">
                <w:pPr>
                  <w:jc w:val="right"/>
                  <w:rPr>
                    <w:rFonts w:ascii="Arial" w:hAnsi="Arial" w:cs="Arial"/>
                  </w:rPr>
                </w:pPr>
                <w:r>
                  <w:rPr>
                    <w:rFonts w:ascii="Arial" w:hAnsi="Arial" w:cs="Arial"/>
                  </w:rPr>
                  <w:t>411</w:t>
                </w:r>
                <w:r w:rsidR="008F4B79">
                  <w:rPr>
                    <w:rFonts w:ascii="Arial" w:hAnsi="Arial" w:cs="Arial"/>
                  </w:rPr>
                  <w:t xml:space="preserve"> </w:t>
                </w:r>
              </w:p>
            </w:tc>
            <w:tc>
              <w:tcPr>
                <w:tcW w:w="3544" w:type="dxa"/>
              </w:tcPr>
              <w:p w14:paraId="7B851978" w14:textId="09CD35A8" w:rsidR="008F4B79" w:rsidRDefault="008F4B79" w:rsidP="00097CA9">
                <w:pPr>
                  <w:rPr>
                    <w:rFonts w:ascii="Arial" w:hAnsi="Arial" w:cs="Arial"/>
                  </w:rPr>
                </w:pP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44162C3C" w:rsidR="008F4B79" w:rsidRDefault="008F4B79" w:rsidP="00097CA9">
                <w:pPr>
                  <w:jc w:val="right"/>
                  <w:rPr>
                    <w:rFonts w:ascii="Arial" w:hAnsi="Arial" w:cs="Arial"/>
                  </w:rPr>
                </w:pPr>
                <w:proofErr w:type="gramStart"/>
                <w:r>
                  <w:rPr>
                    <w:rFonts w:ascii="Arial" w:hAnsi="Arial" w:cs="Arial"/>
                  </w:rPr>
                  <w:t xml:space="preserve">(  </w:t>
                </w:r>
                <w:proofErr w:type="gramEnd"/>
                <w:r>
                  <w:rPr>
                    <w:rFonts w:ascii="Arial" w:hAnsi="Arial" w:cs="Arial"/>
                  </w:rPr>
                  <w:t xml:space="preserve">  </w:t>
                </w:r>
                <w:r w:rsidR="00D111C8">
                  <w:rPr>
                    <w:rFonts w:ascii="Arial" w:hAnsi="Arial" w:cs="Arial"/>
                  </w:rPr>
                  <w:t>44</w:t>
                </w:r>
                <w:r>
                  <w:rPr>
                    <w:rFonts w:ascii="Arial" w:hAnsi="Arial" w:cs="Arial"/>
                  </w:rPr>
                  <w:t xml:space="preserve">   )</w:t>
                </w:r>
              </w:p>
            </w:tc>
            <w:tc>
              <w:tcPr>
                <w:tcW w:w="3544" w:type="dxa"/>
              </w:tcPr>
              <w:p w14:paraId="5A2B35F0" w14:textId="77777777" w:rsidR="008F4B79" w:rsidRDefault="008F4B79" w:rsidP="00097CA9">
                <w:pPr>
                  <w:rPr>
                    <w:rFonts w:ascii="Arial" w:hAnsi="Arial" w:cs="Arial"/>
                  </w:rPr>
                </w:pPr>
                <w:r>
                  <w:rPr>
                    <w:rFonts w:ascii="Arial" w:hAnsi="Arial" w:cs="Arial"/>
                  </w:rPr>
                  <w:t xml:space="preserve"> </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73AB60AD" w:rsidR="008F4B79" w:rsidRDefault="008F4B79" w:rsidP="00097CA9">
                <w:pPr>
                  <w:jc w:val="right"/>
                  <w:rPr>
                    <w:rFonts w:ascii="Arial" w:hAnsi="Arial" w:cs="Arial"/>
                  </w:rPr>
                </w:pPr>
                <w:proofErr w:type="gramStart"/>
                <w:r>
                  <w:rPr>
                    <w:rFonts w:ascii="Arial" w:hAnsi="Arial" w:cs="Arial"/>
                  </w:rPr>
                  <w:t xml:space="preserve">(  </w:t>
                </w:r>
                <w:proofErr w:type="gramEnd"/>
                <w:r>
                  <w:rPr>
                    <w:rFonts w:ascii="Arial" w:hAnsi="Arial" w:cs="Arial"/>
                  </w:rPr>
                  <w:t xml:space="preserve"> </w:t>
                </w:r>
                <w:r w:rsidR="00D111C8">
                  <w:rPr>
                    <w:rFonts w:ascii="Arial" w:hAnsi="Arial" w:cs="Arial"/>
                  </w:rPr>
                  <w:t>144</w:t>
                </w:r>
                <w:r>
                  <w:rPr>
                    <w:rFonts w:ascii="Arial" w:hAnsi="Arial" w:cs="Arial"/>
                  </w:rPr>
                  <w:t xml:space="preserve">   )</w:t>
                </w:r>
              </w:p>
            </w:tc>
            <w:tc>
              <w:tcPr>
                <w:tcW w:w="3544" w:type="dxa"/>
              </w:tcPr>
              <w:p w14:paraId="4F8B0E91" w14:textId="77777777" w:rsidR="008F4B79" w:rsidRDefault="008F4B79" w:rsidP="00097CA9">
                <w:pPr>
                  <w:rPr>
                    <w:rFonts w:ascii="Arial" w:hAnsi="Arial" w:cs="Arial"/>
                  </w:rPr>
                </w:pPr>
                <w:r>
                  <w:rPr>
                    <w:rFonts w:ascii="Arial" w:hAnsi="Arial" w:cs="Arial"/>
                  </w:rPr>
                  <w:t xml:space="preserve"> </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lastRenderedPageBreak/>
                  <w:t>Credit card charges</w:t>
                </w:r>
              </w:p>
            </w:tc>
            <w:tc>
              <w:tcPr>
                <w:tcW w:w="1134" w:type="dxa"/>
              </w:tcPr>
              <w:p w14:paraId="4CB0C7C0" w14:textId="0E260097"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proofErr w:type="gramStart"/>
                <w:r w:rsidR="00D111C8">
                  <w:rPr>
                    <w:rFonts w:ascii="Arial" w:hAnsi="Arial" w:cs="Arial"/>
                    <w:u w:val="single"/>
                  </w:rPr>
                  <w:t>12.33</w:t>
                </w:r>
                <w:r>
                  <w:rPr>
                    <w:rFonts w:ascii="Arial" w:hAnsi="Arial" w:cs="Arial"/>
                    <w:u w:val="single"/>
                  </w:rPr>
                  <w:t xml:space="preserve">  </w:t>
                </w:r>
                <w:r w:rsidRPr="00F71675">
                  <w:rPr>
                    <w:rFonts w:ascii="Arial" w:hAnsi="Arial" w:cs="Arial"/>
                    <w:u w:val="single"/>
                  </w:rPr>
                  <w:t>)</w:t>
                </w:r>
                <w:proofErr w:type="gramEnd"/>
              </w:p>
            </w:tc>
            <w:tc>
              <w:tcPr>
                <w:tcW w:w="3544" w:type="dxa"/>
              </w:tcPr>
              <w:p w14:paraId="34EBE199" w14:textId="51F285F6" w:rsidR="008F4B79" w:rsidRPr="007A65C7" w:rsidRDefault="008F4B79" w:rsidP="00097CA9">
                <w:pPr>
                  <w:rPr>
                    <w:rFonts w:ascii="Arial" w:hAnsi="Arial" w:cs="Arial"/>
                  </w:rPr>
                </w:pP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7DEAB9C1" w:rsidR="008F4B79" w:rsidRDefault="00D111C8" w:rsidP="00097CA9">
                <w:pPr>
                  <w:jc w:val="right"/>
                  <w:rPr>
                    <w:rFonts w:ascii="Arial" w:hAnsi="Arial" w:cs="Arial"/>
                  </w:rPr>
                </w:pPr>
                <w:r>
                  <w:rPr>
                    <w:rFonts w:ascii="Arial" w:hAnsi="Arial" w:cs="Arial"/>
                  </w:rPr>
                  <w:t>210.67</w:t>
                </w:r>
                <w:r w:rsidR="008F4B79">
                  <w:rPr>
                    <w:rFonts w:ascii="Arial" w:hAnsi="Arial" w:cs="Arial"/>
                  </w:rPr>
                  <w:t xml:space="preserve"> </w:t>
                </w:r>
              </w:p>
            </w:tc>
            <w:tc>
              <w:tcPr>
                <w:tcW w:w="3544" w:type="dxa"/>
              </w:tcPr>
              <w:p w14:paraId="6B4CA0B2" w14:textId="77777777" w:rsidR="008F4B79" w:rsidRDefault="008F4B79" w:rsidP="00097CA9">
                <w:pPr>
                  <w:rPr>
                    <w:rFonts w:ascii="Arial" w:hAnsi="Arial" w:cs="Arial"/>
                  </w:rPr>
                </w:pP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4D5EC47D" w:rsidR="008F4B79" w:rsidRPr="00F71675" w:rsidRDefault="008F4B79" w:rsidP="00097CA9">
                <w:pPr>
                  <w:jc w:val="right"/>
                  <w:rPr>
                    <w:rFonts w:ascii="Arial" w:hAnsi="Arial" w:cs="Arial"/>
                    <w:u w:val="single"/>
                  </w:rPr>
                </w:pPr>
                <w:proofErr w:type="gramStart"/>
                <w:r w:rsidRPr="00F71675">
                  <w:rPr>
                    <w:rFonts w:ascii="Arial" w:hAnsi="Arial" w:cs="Arial"/>
                    <w:u w:val="single"/>
                  </w:rPr>
                  <w:t>(</w:t>
                </w:r>
                <w:r>
                  <w:rPr>
                    <w:rFonts w:ascii="Arial" w:hAnsi="Arial" w:cs="Arial"/>
                    <w:u w:val="single"/>
                  </w:rPr>
                  <w:t xml:space="preserve">  </w:t>
                </w:r>
                <w:r w:rsidR="00D111C8">
                  <w:rPr>
                    <w:rFonts w:ascii="Arial" w:hAnsi="Arial" w:cs="Arial"/>
                    <w:u w:val="single"/>
                  </w:rPr>
                  <w:t>6</w:t>
                </w:r>
                <w:proofErr w:type="gramEnd"/>
                <w:r>
                  <w:rPr>
                    <w:rFonts w:ascii="Arial" w:hAnsi="Arial" w:cs="Arial"/>
                    <w:u w:val="single"/>
                  </w:rPr>
                  <w:t xml:space="preserve">  </w:t>
                </w:r>
                <w:r w:rsidRPr="00F71675">
                  <w:rPr>
                    <w:rFonts w:ascii="Arial" w:hAnsi="Arial" w:cs="Arial"/>
                    <w:u w:val="single"/>
                  </w:rPr>
                  <w:t>)</w:t>
                </w:r>
              </w:p>
            </w:tc>
            <w:tc>
              <w:tcPr>
                <w:tcW w:w="3544" w:type="dxa"/>
              </w:tcPr>
              <w:p w14:paraId="0CDBB14E" w14:textId="736E31D1" w:rsidR="008F4B79" w:rsidRPr="007A65C7" w:rsidRDefault="008F4B79" w:rsidP="00097CA9">
                <w:pPr>
                  <w:rPr>
                    <w:rFonts w:ascii="Arial" w:hAnsi="Arial" w:cs="Arial"/>
                  </w:rPr>
                </w:pP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54550BB4" w:rsidR="008F4B79" w:rsidRPr="00F71675" w:rsidRDefault="00D61835" w:rsidP="00097CA9">
                <w:pPr>
                  <w:jc w:val="right"/>
                  <w:rPr>
                    <w:rFonts w:ascii="Arial" w:hAnsi="Arial" w:cs="Arial"/>
                    <w:u w:val="single"/>
                  </w:rPr>
                </w:pPr>
                <w:r>
                  <w:rPr>
                    <w:rFonts w:ascii="Arial" w:hAnsi="Arial" w:cs="Arial"/>
                    <w:u w:val="single"/>
                  </w:rPr>
                  <w:t>204.67</w:t>
                </w:r>
                <w:r w:rsidR="008F4B79">
                  <w:rPr>
                    <w:rFonts w:ascii="Arial" w:hAnsi="Arial" w:cs="Arial"/>
                    <w:u w:val="single"/>
                  </w:rPr>
                  <w:t xml:space="preserve"> </w:t>
                </w:r>
              </w:p>
            </w:tc>
            <w:tc>
              <w:tcPr>
                <w:tcW w:w="3544" w:type="dxa"/>
              </w:tcPr>
              <w:p w14:paraId="78D127A9" w14:textId="77777777" w:rsidR="008F4B79" w:rsidRDefault="008F4B79" w:rsidP="00097CA9">
                <w:pPr>
                  <w:rPr>
                    <w:rFonts w:ascii="Arial" w:hAnsi="Arial" w:cs="Arial"/>
                    <w:u w:val="single"/>
                  </w:rPr>
                </w:pPr>
              </w:p>
            </w:tc>
          </w:tr>
        </w:tbl>
        <w:p w14:paraId="4133DA70" w14:textId="7760AE68" w:rsidR="00480872" w:rsidRDefault="008F4B79" w:rsidP="00F84FEC">
          <w:pPr>
            <w:pStyle w:val="Heading1"/>
          </w:pPr>
          <w:r w:rsidRPr="002163E7">
            <w:rPr>
              <w:rFonts w:ascii="Arial" w:hAnsi="Arial" w:cs="Arial"/>
              <w:sz w:val="20"/>
              <w:szCs w:val="20"/>
            </w:rPr>
            <w:t xml:space="preserve"> </w:t>
          </w:r>
          <w:r w:rsidR="00F84FEC">
            <w:t>Data Analytics</w:t>
          </w:r>
        </w:p>
        <w:p w14:paraId="530FC098" w14:textId="5DE96DE6" w:rsidR="00F84FEC" w:rsidRDefault="00F84FEC" w:rsidP="00F84FEC">
          <w:pPr>
            <w:pStyle w:val="Heading1"/>
          </w:pPr>
        </w:p>
        <w:p w14:paraId="7D4FC40A" w14:textId="5EA809D8" w:rsidR="00480872" w:rsidRDefault="001500A1" w:rsidP="001500A1">
          <w:r>
            <w:t xml:space="preserve">This section of the report will focus on analysing the results from the financial calculations the author has made for Rubber Sole. The potential problems that the company might face both short- and long-term will be identified and critically analysed and suggestions for improvement will be provided. Since the year of the information is not provided, the author will base any decisions and suggestions on either pre-Covid 19 or post-Covid 19 data as he considers that the virus had a major impact on all businesses in the field and could render some of the data unreliable (Statista, 2023; </w:t>
          </w:r>
          <w:r w:rsidR="004F5786">
            <w:t>ONS, 2023</w:t>
          </w:r>
          <w:r>
            <w:t>).</w:t>
          </w:r>
          <w:r w:rsidR="004F5786">
            <w:t xml:space="preserve"> In addition, all comparisons</w:t>
          </w:r>
          <w:r w:rsidR="00220526">
            <w:t xml:space="preserve"> and data used for comparison purposes</w:t>
          </w:r>
          <w:r w:rsidR="004F5786">
            <w:t xml:space="preserve"> will be made against businesses in the same field – footwear, fashion, and accessorie</w:t>
          </w:r>
          <w:r w:rsidR="00220526">
            <w:t>s.</w:t>
          </w:r>
        </w:p>
        <w:p w14:paraId="6F8E9F3F" w14:textId="77777777" w:rsidR="00220526" w:rsidRDefault="00220526" w:rsidP="00220526">
          <w:pPr>
            <w:pStyle w:val="Heading1"/>
          </w:pPr>
        </w:p>
        <w:p w14:paraId="7820AD2A" w14:textId="0D426EBB" w:rsidR="00480872" w:rsidRDefault="00220526" w:rsidP="00AA2A91">
          <w:pPr>
            <w:pStyle w:val="Heading1"/>
          </w:pPr>
          <w:r>
            <w:t>Section A – Stock Budget</w:t>
          </w:r>
        </w:p>
        <w:p w14:paraId="18A01614" w14:textId="639EA760" w:rsidR="00480872" w:rsidRDefault="00391D76" w:rsidP="00220526">
          <w:r>
            <w:t xml:space="preserve">The stock budget is an approach in budgeting that keeps track of the stock a business has available for resale at a certain point in time. In other words, their inventory </w:t>
          </w:r>
          <w:r w:rsidR="00671F1A">
            <w:t>(</w:t>
          </w:r>
          <w:proofErr w:type="spellStart"/>
          <w:r w:rsidR="00671F1A">
            <w:t>Wanke</w:t>
          </w:r>
          <w:proofErr w:type="spellEnd"/>
          <w:r w:rsidR="00671F1A">
            <w:t xml:space="preserve"> and </w:t>
          </w:r>
          <w:proofErr w:type="spellStart"/>
          <w:r w:rsidR="00671F1A">
            <w:t>Saliby</w:t>
          </w:r>
          <w:proofErr w:type="spellEnd"/>
          <w:r w:rsidR="00671F1A">
            <w:t xml:space="preserve">, 2009; </w:t>
          </w:r>
          <w:proofErr w:type="spellStart"/>
          <w:r w:rsidR="00224777">
            <w:t>Wanke</w:t>
          </w:r>
          <w:proofErr w:type="spellEnd"/>
          <w:r w:rsidR="00224777">
            <w:t>, 2014</w:t>
          </w:r>
          <w:r>
            <w:t>). However, instead of the quantity of the items for sale the stock budget provides us with their monetary value.</w:t>
          </w:r>
        </w:p>
        <w:p w14:paraId="5B09ABEC" w14:textId="2A7B13F7" w:rsidR="006C650D" w:rsidRDefault="00391D76" w:rsidP="00220526">
          <w:r>
            <w:t xml:space="preserve">An issue that can be identified in the above-mentioned example is the constant overstocking of the business. They seek to maintain a minimum of £50k stock level each month, however, </w:t>
          </w:r>
          <w:proofErr w:type="gramStart"/>
          <w:r>
            <w:t>in reality this</w:t>
          </w:r>
          <w:proofErr w:type="gramEnd"/>
          <w:r>
            <w:t xml:space="preserve"> number is between 2 and 3 times higher. </w:t>
          </w:r>
          <w:r w:rsidR="006C650D">
            <w:t xml:space="preserve">A possible cause for the overstocking could be, as suggested by Mahajan and </w:t>
          </w:r>
          <w:proofErr w:type="spellStart"/>
          <w:r w:rsidR="006C650D">
            <w:t>Rayzin</w:t>
          </w:r>
          <w:proofErr w:type="spellEnd"/>
          <w:r w:rsidR="006C650D">
            <w:t xml:space="preserve"> (2001) the increased competition or due to the lack of proper inventory management in the company (Jenkins, 2020).</w:t>
          </w:r>
        </w:p>
        <w:p w14:paraId="4217A9A1" w14:textId="0123F20E" w:rsidR="00391D76" w:rsidRDefault="00391D76" w:rsidP="00220526">
          <w:r>
            <w:t>Although, overstocking in this field is not as dangerous as in others, since the goods are not perishable, this could lead to some serious consequences in the long term. Some of the problems that may arise from overstocking include:</w:t>
          </w:r>
        </w:p>
        <w:p w14:paraId="666F14AD" w14:textId="298430E9" w:rsidR="00391D76" w:rsidRDefault="00391D76" w:rsidP="00391D76">
          <w:pPr>
            <w:pStyle w:val="ListParagraph"/>
            <w:numPr>
              <w:ilvl w:val="0"/>
              <w:numId w:val="2"/>
            </w:numPr>
          </w:pPr>
          <w:r>
            <w:t>Cost of purchase and storage –</w:t>
          </w:r>
          <w:r w:rsidR="00197111">
            <w:t xml:space="preserve"> the purchased goods are associated not only with the initial price of purchasing the stock but also with the storage and safekeeping of the goods such as warehouse charges and providing environment suitable for storing footwear.</w:t>
          </w:r>
        </w:p>
        <w:p w14:paraId="7C34BC8A" w14:textId="1B74EA09" w:rsidR="00391D76" w:rsidRDefault="001E24A8" w:rsidP="00391D76">
          <w:pPr>
            <w:pStyle w:val="ListParagraph"/>
            <w:numPr>
              <w:ilvl w:val="0"/>
              <w:numId w:val="2"/>
            </w:numPr>
          </w:pPr>
          <w:r>
            <w:t xml:space="preserve">Money being “Tied-Up” = </w:t>
          </w:r>
          <w:r w:rsidR="00197111">
            <w:t xml:space="preserve">as the company purchases stock that it cannot sell, it will remain its asset until a sale is realized </w:t>
          </w:r>
          <w:r w:rsidR="00197111">
            <w:t>and the stock is converted back in money.</w:t>
          </w:r>
          <w:r w:rsidR="008F2B6E">
            <w:t xml:space="preserve"> Although, Drury </w:t>
          </w:r>
          <w:r w:rsidR="00F1705E">
            <w:t>(2021) suggests</w:t>
          </w:r>
          <w:r w:rsidR="008F2B6E">
            <w:t xml:space="preserve"> that a certain level of “safety stock” levels should </w:t>
          </w:r>
          <w:proofErr w:type="gramStart"/>
          <w:r w:rsidR="008F2B6E">
            <w:t>be present at all times</w:t>
          </w:r>
          <w:proofErr w:type="gramEnd"/>
          <w:r w:rsidR="008F2B6E">
            <w:t>, the author considers</w:t>
          </w:r>
          <w:r w:rsidR="00F1705E">
            <w:t xml:space="preserve"> stock in the vicinity of £100k to be excessive. </w:t>
          </w:r>
          <w:r w:rsidR="00197111">
            <w:t xml:space="preserve"> </w:t>
          </w:r>
        </w:p>
        <w:p w14:paraId="02443BA9" w14:textId="69D621EC" w:rsidR="001E24A8" w:rsidRDefault="001E24A8" w:rsidP="001E24A8">
          <w:pPr>
            <w:pStyle w:val="ListParagraph"/>
            <w:numPr>
              <w:ilvl w:val="0"/>
              <w:numId w:val="2"/>
            </w:numPr>
          </w:pPr>
          <w:r>
            <w:t xml:space="preserve">Changing fashion trends resulting in the inability to sell the goods – </w:t>
          </w:r>
          <w:r w:rsidR="00317776">
            <w:t xml:space="preserve">fashion experts suggests that trends last for approximately </w:t>
          </w:r>
          <w:r w:rsidR="007108D0">
            <w:t>5-10 years</w:t>
          </w:r>
          <w:r w:rsidR="00317776">
            <w:t xml:space="preserve"> (in addition to so called micro-trends which last between </w:t>
          </w:r>
          <w:r w:rsidR="00C84D7F">
            <w:t>several months</w:t>
          </w:r>
          <w:r w:rsidR="00317776">
            <w:t xml:space="preserve"> and </w:t>
          </w:r>
          <w:r w:rsidR="00C84D7F">
            <w:t>couple of</w:t>
          </w:r>
          <w:r w:rsidR="00317776">
            <w:t xml:space="preserve"> </w:t>
          </w:r>
          <w:r w:rsidR="007108D0">
            <w:t>years</w:t>
          </w:r>
          <w:r w:rsidR="00317776">
            <w:t xml:space="preserve">) which could mean that unsold stock/lines could become increasingly hard to sell or might need to be discounted, resulting in </w:t>
          </w:r>
          <w:r w:rsidR="00317776">
            <w:lastRenderedPageBreak/>
            <w:t xml:space="preserve">diminished earnings </w:t>
          </w:r>
          <w:r w:rsidR="00C84D7F">
            <w:t xml:space="preserve">(Barrera, 2021; McEvoy, 2022; </w:t>
          </w:r>
          <w:r w:rsidR="00317776">
            <w:t xml:space="preserve">). </w:t>
          </w:r>
          <w:r>
            <w:t>if proper stock rotation is in place</w:t>
          </w:r>
          <w:r w:rsidR="00317776">
            <w:t xml:space="preserve"> (such as FIFO)</w:t>
          </w:r>
          <w:r>
            <w:t xml:space="preserve"> some problems could be circumvented</w:t>
          </w:r>
          <w:r w:rsidR="00317776">
            <w:t xml:space="preserve"> </w:t>
          </w:r>
          <w:r w:rsidR="00F1705E">
            <w:t>(Drury, 2021; Kenton, 2019</w:t>
          </w:r>
          <w:r w:rsidR="00317776">
            <w:t>).</w:t>
          </w:r>
        </w:p>
        <w:p w14:paraId="346E9D8F" w14:textId="1766EDC9" w:rsidR="001E24A8" w:rsidRDefault="001E24A8" w:rsidP="001E24A8"/>
        <w:p w14:paraId="62BCF229" w14:textId="1385F118" w:rsidR="001E24A8" w:rsidRDefault="001E24A8" w:rsidP="001E24A8">
          <w:r>
            <w:t>In conclusion overstocking is bad for any business as it uses</w:t>
          </w:r>
          <w:r w:rsidR="0068395C">
            <w:t xml:space="preserve"> up</w:t>
          </w:r>
          <w:r>
            <w:t xml:space="preserve"> resources that could the more useful elsewhere. A possible solution for this issue could be the implementation of an inventory management software that keeps track of goods sold and automatically decides on order quantities based upon statistics and trends.</w:t>
          </w:r>
        </w:p>
        <w:p w14:paraId="33649DA4" w14:textId="36005EBE" w:rsidR="001E24A8" w:rsidRDefault="001E24A8" w:rsidP="001E24A8"/>
        <w:p w14:paraId="473F6169" w14:textId="6588D06F" w:rsidR="001E24A8" w:rsidRDefault="001E24A8" w:rsidP="001E24A8"/>
        <w:p w14:paraId="73F2E401" w14:textId="63C79774" w:rsidR="001E24A8" w:rsidRDefault="001E24A8" w:rsidP="001E24A8">
          <w:pPr>
            <w:pStyle w:val="Heading1"/>
          </w:pPr>
          <w:r>
            <w:t>Section B – Cash Budget</w:t>
          </w:r>
        </w:p>
        <w:p w14:paraId="5C0647D2" w14:textId="31AF755E" w:rsidR="00412D2D" w:rsidRDefault="00412D2D" w:rsidP="00412D2D">
          <w:r>
            <w:t xml:space="preserve">A cash budget represents the short-term financial standing of a company. It includes all cash inflow and </w:t>
          </w:r>
          <w:r w:rsidR="006A36BE">
            <w:t>outgoings, less depreciation</w:t>
          </w:r>
          <w:r w:rsidR="0068395C">
            <w:t xml:space="preserve"> costs</w:t>
          </w:r>
          <w:r w:rsidR="006A36BE">
            <w:t xml:space="preserve">. Its purpose is to create an estimation that shows if the </w:t>
          </w:r>
          <w:r w:rsidR="0068395C">
            <w:t>business</w:t>
          </w:r>
          <w:r w:rsidR="006A36BE">
            <w:t xml:space="preserve"> will be able to cover its operating needs for the near future</w:t>
          </w:r>
          <w:r w:rsidR="005E330B">
            <w:t xml:space="preserve"> (BBC, 2020)</w:t>
          </w:r>
          <w:r w:rsidR="006A36BE">
            <w:t>.</w:t>
          </w:r>
          <w:r w:rsidR="0068395C">
            <w:t xml:space="preserve"> </w:t>
          </w:r>
          <w:r w:rsidR="00853B53">
            <w:t xml:space="preserve">This is identifiable by the cash surplus or deficit at the end of a period. </w:t>
          </w:r>
          <w:r w:rsidR="00F3307D">
            <w:t>Usually,</w:t>
          </w:r>
          <w:r w:rsidR="00853B53">
            <w:t xml:space="preserve"> cash surplus translates to profit and cash deficit results in a </w:t>
          </w:r>
          <w:r w:rsidR="001A4DBB">
            <w:t>loss</w:t>
          </w:r>
          <w:r w:rsidR="00853B53">
            <w:t xml:space="preserve">. </w:t>
          </w:r>
          <w:r w:rsidR="00AB7DB8">
            <w:t>This,</w:t>
          </w:r>
          <w:r w:rsidR="00853B53">
            <w:t xml:space="preserve"> however</w:t>
          </w:r>
          <w:r w:rsidR="00AB7DB8">
            <w:t>,</w:t>
          </w:r>
          <w:r w:rsidR="00853B53">
            <w:t xml:space="preserve"> is not always the case as a temporary </w:t>
          </w:r>
          <w:r w:rsidR="00C84D7F">
            <w:t>cash</w:t>
          </w:r>
          <w:r w:rsidR="00853B53">
            <w:t xml:space="preserve"> deficit could be offset by other means of financing or income, such as: selling company assets, loans, seeking investments etc. </w:t>
          </w:r>
        </w:p>
        <w:p w14:paraId="3070F7A2" w14:textId="1B0E7A3D" w:rsidR="00443379" w:rsidRDefault="00853B53" w:rsidP="00412D2D">
          <w:r>
            <w:t>In the case of Rubber Sole it is evident that the closing balance is negative with tendencies for improvement. This improvement however comes in the form of a lump sum at the end of the period and leaves the previous periods in deficit</w:t>
          </w:r>
          <w:r w:rsidR="00443379">
            <w:t xml:space="preserve"> which will have meeting the operating needs of the business put at risk. On the other </w:t>
          </w:r>
          <w:r w:rsidR="00F3307D">
            <w:t>hand,</w:t>
          </w:r>
          <w:r w:rsidR="00443379">
            <w:t xml:space="preserve"> if we examine the cash surplus section of the calculations it is evident that the business if performing in a profitable manner. This could mean that some resources (such as the shop refurbishment investments) could be used at a later point in time when the company has the money to spare. This combined with decreasing the amount of stock purchased every month will result in higher cash surplus and in terms closing balance. </w:t>
          </w:r>
          <w:r w:rsidR="001A4DBB">
            <w:t>Additionally,</w:t>
          </w:r>
          <w:r w:rsidR="00443379">
            <w:t xml:space="preserve"> the company could consider cutting back on the admin and sales fees by reviewing </w:t>
          </w:r>
          <w:r w:rsidR="00F3307D">
            <w:t xml:space="preserve">their utility rates, hiring cheaper </w:t>
          </w:r>
          <w:r w:rsidR="001A4DBB">
            <w:t>workforce,</w:t>
          </w:r>
          <w:r w:rsidR="00F3307D">
            <w:t xml:space="preserve"> or reviewing their insurance policies (Indeed, 2021).</w:t>
          </w:r>
        </w:p>
        <w:p w14:paraId="507BAD72" w14:textId="45F5093A" w:rsidR="00480872" w:rsidRDefault="00F3307D" w:rsidP="00461121">
          <w:r>
            <w:t>Should the company continue spending in the same manner they could face long-term issues as it fails to pay for their monthly overheads and stock purchase. If this were to be the case, they would need to either sell assets/equipment which could reduce their capacity for the future, lay off staff or engage with a bank for a loan. In their specific circumstances a loan could prove to be a difficult task since they have already been asked to clear existing overdrafts. Additionally, this would incur unnecessary costs in the form of interest which as of 2023 is</w:t>
          </w:r>
          <w:r w:rsidR="001A4DBB">
            <w:t xml:space="preserve"> between 7,1% and</w:t>
          </w:r>
          <w:r>
            <w:t xml:space="preserve"> </w:t>
          </w:r>
          <w:r w:rsidR="001A4DBB">
            <w:t>12,8% f</w:t>
          </w:r>
          <w:r>
            <w:t xml:space="preserve">or </w:t>
          </w:r>
          <w:r w:rsidR="001A4DBB">
            <w:t xml:space="preserve">businesses </w:t>
          </w:r>
          <w:r>
            <w:t>(</w:t>
          </w:r>
          <w:r w:rsidR="001A4DBB">
            <w:t>Barclays, 2023; Lloyds, 2023, HSBC, 2023</w:t>
          </w:r>
          <w:r>
            <w:t>)</w:t>
          </w:r>
          <w:r w:rsidR="00461121">
            <w:t>.</w:t>
          </w:r>
        </w:p>
        <w:p w14:paraId="3C870794" w14:textId="646FD54D" w:rsidR="00480872" w:rsidRDefault="00480872" w:rsidP="00AA2A91">
          <w:pPr>
            <w:pStyle w:val="Heading1"/>
          </w:pPr>
        </w:p>
        <w:p w14:paraId="3156E602" w14:textId="6DC297F1" w:rsidR="00461121" w:rsidRDefault="00461121" w:rsidP="00461121"/>
        <w:p w14:paraId="5D4BE1C0" w14:textId="43205D7D" w:rsidR="00461121" w:rsidRDefault="00461121" w:rsidP="00461121"/>
        <w:p w14:paraId="4BAF5CFA" w14:textId="77777777" w:rsidR="00461121" w:rsidRPr="00461121" w:rsidRDefault="00461121" w:rsidP="00461121"/>
        <w:p w14:paraId="233A9D06" w14:textId="51A4BAC8" w:rsidR="00480872" w:rsidRDefault="001E24A8" w:rsidP="00AA2A91">
          <w:pPr>
            <w:pStyle w:val="Heading1"/>
          </w:pPr>
          <w:r>
            <w:lastRenderedPageBreak/>
            <w:t>Section C – Profit and Loss Account</w:t>
          </w:r>
        </w:p>
        <w:p w14:paraId="2D0BBCD0" w14:textId="7D991E19" w:rsidR="00480872" w:rsidRDefault="00AB7DB8" w:rsidP="00AB7DB8">
          <w:r>
            <w:t>The profit and loss account provides generalised information of financial state of a company for the period. It shows the profit (or potential loss) a business has achieved after deducting all outgoings from the revenue acquired</w:t>
          </w:r>
          <w:r w:rsidR="00E71A2A">
            <w:t xml:space="preserve"> (Indeed, 2019; Jiang, 2020) </w:t>
          </w:r>
          <w:r>
            <w:t xml:space="preserve">. </w:t>
          </w:r>
        </w:p>
        <w:p w14:paraId="3B15D843" w14:textId="76249060" w:rsidR="00AB7DB8" w:rsidRDefault="00074A62" w:rsidP="00AB7DB8">
          <w:proofErr w:type="gramStart"/>
          <w:r>
            <w:t>In regard to</w:t>
          </w:r>
          <w:proofErr w:type="gramEnd"/>
          <w:r w:rsidR="00AB7DB8">
            <w:t xml:space="preserve"> Rubber Sole</w:t>
          </w:r>
          <w:r>
            <w:t>, the numbers suggest that the company has achieved</w:t>
          </w:r>
          <w:r w:rsidR="00E71A2A">
            <w:t xml:space="preserve"> a net</w:t>
          </w:r>
          <w:r>
            <w:t xml:space="preserve"> profit of £205k for the six-month period.</w:t>
          </w:r>
        </w:p>
        <w:p w14:paraId="783E1F10" w14:textId="52D6AF9E" w:rsidR="005E4CE3" w:rsidRDefault="00E71A2A" w:rsidP="00AB7DB8">
          <w:r>
            <w:t>B</w:t>
          </w:r>
          <w:r w:rsidR="008E14F9">
            <w:t>y</w:t>
          </w:r>
          <w:r>
            <w:t xml:space="preserve"> conducting research on similar companies in the same field of operations, the author has compared these results to their competitors. The editorial team of ThreadCurve.com (2022) suggests that the average profitability in the general shoes industry is approximately 5% </w:t>
          </w:r>
          <w:r w:rsidR="008E14F9">
            <w:t>while the data on CSIMarket.com (2023) suggests a net profit margin of 7.</w:t>
          </w:r>
          <w:r w:rsidR="005E4CE3">
            <w:t>7</w:t>
          </w:r>
          <w:r w:rsidR="008E14F9">
            <w:t>5%. UK shoe company Shoe Zone has</w:t>
          </w:r>
          <w:r w:rsidR="005E4CE3">
            <w:t xml:space="preserve"> reported a net profit margin of 6.02% pre-Covid, perfectly aligned with the suggested numbers above.</w:t>
          </w:r>
        </w:p>
        <w:p w14:paraId="73C3B745" w14:textId="4FA9BA9C" w:rsidR="00E71A2A" w:rsidRDefault="005E4CE3" w:rsidP="00AB7DB8">
          <w:r>
            <w:t>In comparison, Rubber Sole has achieved a net profit margin of almost 15% which suggests that the long-term prosperity and earnings are above average.</w:t>
          </w:r>
        </w:p>
        <w:p w14:paraId="36574C88" w14:textId="30FB848E" w:rsidR="00480872" w:rsidRDefault="00480872" w:rsidP="00AA2A91">
          <w:pPr>
            <w:pStyle w:val="Heading1"/>
          </w:pPr>
        </w:p>
        <w:p w14:paraId="4E1FD67F" w14:textId="75D0DD38" w:rsidR="00480872" w:rsidRDefault="0047295E" w:rsidP="00A110C8">
          <w:pPr>
            <w:pStyle w:val="Heading1"/>
          </w:pPr>
          <w:r>
            <w:t>Implementing</w:t>
          </w:r>
          <w:r w:rsidR="00516F12">
            <w:t xml:space="preserve"> A budgetary system (requirements)</w:t>
          </w:r>
        </w:p>
        <w:p w14:paraId="36749EDA" w14:textId="45009DF5" w:rsidR="00480872" w:rsidRDefault="00DA2C04" w:rsidP="0047295E">
          <w:r>
            <w:t>Every</w:t>
          </w:r>
          <w:r w:rsidR="00E57A77">
            <w:t xml:space="preserve"> business that is trading with either goods or services will be, at some point, </w:t>
          </w:r>
          <w:r>
            <w:t>involved</w:t>
          </w:r>
          <w:r w:rsidR="00E57A77">
            <w:t xml:space="preserve"> with money</w:t>
          </w:r>
          <w:r>
            <w:t xml:space="preserve"> and its management and use</w:t>
          </w:r>
          <w:r w:rsidR="00E57A77">
            <w:t>.  The way this financial resource is distributed</w:t>
          </w:r>
          <w:r>
            <w:t xml:space="preserve"> and allocated</w:t>
          </w:r>
          <w:r w:rsidR="00E57A77">
            <w:t xml:space="preserve"> is largely </w:t>
          </w:r>
          <w:r>
            <w:t>indicative</w:t>
          </w:r>
          <w:r w:rsidR="00E57A77">
            <w:t xml:space="preserve"> </w:t>
          </w:r>
          <w:r>
            <w:t xml:space="preserve">for the success of the said business. The systems that keep track of this are part of the accounting of the company and are </w:t>
          </w:r>
          <w:r w:rsidR="0056009C">
            <w:t xml:space="preserve">split in many different categories. </w:t>
          </w:r>
          <w:proofErr w:type="gramStart"/>
          <w:r w:rsidR="0056009C">
            <w:t>For the purpose of</w:t>
          </w:r>
          <w:proofErr w:type="gramEnd"/>
          <w:r w:rsidR="0056009C">
            <w:t xml:space="preserve"> this report however, they </w:t>
          </w:r>
          <w:r w:rsidR="0056009C" w:rsidRPr="0056009C">
            <w:rPr>
              <w:i/>
              <w:iCs/>
            </w:rPr>
            <w:t xml:space="preserve">financial </w:t>
          </w:r>
          <w:r w:rsidR="001E651B">
            <w:rPr>
              <w:i/>
              <w:iCs/>
            </w:rPr>
            <w:t>accounting</w:t>
          </w:r>
          <w:r w:rsidR="0056009C">
            <w:t xml:space="preserve"> and </w:t>
          </w:r>
          <w:r w:rsidR="0056009C" w:rsidRPr="0056009C">
            <w:rPr>
              <w:i/>
              <w:iCs/>
            </w:rPr>
            <w:t xml:space="preserve">management </w:t>
          </w:r>
          <w:r w:rsidR="001E651B">
            <w:rPr>
              <w:i/>
              <w:iCs/>
            </w:rPr>
            <w:t xml:space="preserve">accounting </w:t>
          </w:r>
          <w:r w:rsidR="001E651B">
            <w:t xml:space="preserve">(Ross, 2021; CIMA, </w:t>
          </w:r>
          <w:proofErr w:type="spellStart"/>
          <w:r w:rsidR="001E651B">
            <w:t>n.d</w:t>
          </w:r>
          <w:proofErr w:type="spellEnd"/>
          <w:r w:rsidR="001E651B">
            <w:t>)</w:t>
          </w:r>
          <w:r w:rsidR="0056009C">
            <w:t>.</w:t>
          </w:r>
          <w:r w:rsidR="001E651B">
            <w:t xml:space="preserve"> </w:t>
          </w:r>
        </w:p>
        <w:p w14:paraId="43B89439" w14:textId="5929642B" w:rsidR="001E651B" w:rsidRDefault="001E651B" w:rsidP="00352B61">
          <w:r>
            <w:t>The main difference between these two types of accounting is their intended audience</w:t>
          </w:r>
          <w:r w:rsidR="00352B61">
            <w:t xml:space="preserve"> and regulations. Starting off with financial accounting (FA), this accounting practice is obligatory for every business and must </w:t>
          </w:r>
          <w:r w:rsidR="005B0D13">
            <w:t>be made</w:t>
          </w:r>
          <w:r w:rsidR="00352B61">
            <w:t xml:space="preserve"> available to the </w:t>
          </w:r>
          <w:r w:rsidR="000C0EB9">
            <w:t>public</w:t>
          </w:r>
          <w:r w:rsidR="00352B61">
            <w:t>.</w:t>
          </w:r>
          <w:r w:rsidR="005B0D13">
            <w:t xml:space="preserve"> These financial reports are usually made on year-to-year basis.</w:t>
          </w:r>
          <w:r w:rsidR="00352B61">
            <w:t xml:space="preserve"> In nature FA has a historical approach – it keeps records of financial transactions that have already occurred. FA is governed by certain laws and regulatory institutions that ensure transparency and uniformity of the financial </w:t>
          </w:r>
          <w:r w:rsidR="000C0EB9">
            <w:t>statements</w:t>
          </w:r>
          <w:r w:rsidR="00352B61">
            <w:t xml:space="preserve"> prepared for this purpose. The two main regulators of FA in the United Kingdom are GAAP</w:t>
          </w:r>
          <w:r w:rsidR="000C0EB9">
            <w:t xml:space="preserve"> UK</w:t>
          </w:r>
          <w:r w:rsidR="00352B61">
            <w:t xml:space="preserve"> (</w:t>
          </w:r>
          <w:r w:rsidR="000C0EB9">
            <w:t>Generally Accepted Accounting Principles</w:t>
          </w:r>
          <w:r w:rsidR="00352B61">
            <w:t>)</w:t>
          </w:r>
          <w:r w:rsidR="000C0EB9">
            <w:t>, eventually replaced by FRS (Financial Reporting Standards)</w:t>
          </w:r>
          <w:r w:rsidR="00352B61">
            <w:t xml:space="preserve"> and IFRS (</w:t>
          </w:r>
          <w:r w:rsidR="000C0EB9">
            <w:t>International Financial Reporting Standards</w:t>
          </w:r>
          <w:r w:rsidR="00352B61">
            <w:t>)</w:t>
          </w:r>
          <w:r w:rsidR="000C0EB9">
            <w:t xml:space="preserve"> (</w:t>
          </w:r>
          <w:proofErr w:type="spellStart"/>
          <w:r w:rsidR="000C0EB9">
            <w:t>IASplus</w:t>
          </w:r>
          <w:proofErr w:type="spellEnd"/>
          <w:r w:rsidR="000C0EB9">
            <w:t>, 2017; FRC, 2019</w:t>
          </w:r>
          <w:r w:rsidR="00EB35E3">
            <w:t xml:space="preserve">, </w:t>
          </w:r>
          <w:proofErr w:type="spellStart"/>
          <w:r w:rsidR="00EB35E3">
            <w:t>Weetman</w:t>
          </w:r>
          <w:proofErr w:type="spellEnd"/>
          <w:r w:rsidR="00EB35E3">
            <w:t>, 2019</w:t>
          </w:r>
          <w:r w:rsidR="000C0EB9">
            <w:t xml:space="preserve">). Failure to </w:t>
          </w:r>
          <w:r w:rsidR="005B0D13">
            <w:t>abide by the regulations in these standards and principles is a criminal offence.</w:t>
          </w:r>
        </w:p>
        <w:p w14:paraId="5BB3D325" w14:textId="02A4CAAE" w:rsidR="005B0D13" w:rsidRDefault="005B0D13" w:rsidP="00352B61">
          <w:r>
            <w:t>On the other hand, management accounting</w:t>
          </w:r>
          <w:r w:rsidR="00EB35E3">
            <w:t xml:space="preserve"> (MA)</w:t>
          </w:r>
          <w:r>
            <w:t xml:space="preserve"> </w:t>
          </w:r>
          <w:r w:rsidR="00EB35E3">
            <w:t>prepares and analyses financial data that is intended for internal use – the management of the company (</w:t>
          </w:r>
          <w:proofErr w:type="spellStart"/>
          <w:r w:rsidR="00EB35E3">
            <w:t>Weetman</w:t>
          </w:r>
          <w:proofErr w:type="spellEnd"/>
          <w:r w:rsidR="00EB35E3">
            <w:t xml:space="preserve">, 2019; </w:t>
          </w:r>
          <w:proofErr w:type="spellStart"/>
          <w:r w:rsidR="00EB35E3">
            <w:t>Tuovila</w:t>
          </w:r>
          <w:proofErr w:type="spellEnd"/>
          <w:r w:rsidR="00EB35E3">
            <w:t xml:space="preserve">, 2022). While FA has a historical nature, MA usually deals with forecasting and </w:t>
          </w:r>
          <w:r w:rsidR="00505FA7">
            <w:t>foreseeing</w:t>
          </w:r>
          <w:r w:rsidR="00EB35E3">
            <w:t xml:space="preserve"> expenses and revenues and thus allowing strategic</w:t>
          </w:r>
          <w:r w:rsidR="00505FA7">
            <w:t xml:space="preserve"> and informed</w:t>
          </w:r>
          <w:r w:rsidR="00EB35E3">
            <w:t xml:space="preserve"> decision making processes to take place </w:t>
          </w:r>
          <w:r w:rsidR="00505FA7">
            <w:t xml:space="preserve">and ultimately aid the business in its growth and success. Additionally, MA does not need to follow any rules or standards and are prepared when needed. MA is arguably crucial for the success of the company and neglect towards it results in </w:t>
          </w:r>
          <w:r w:rsidR="00BF5EED">
            <w:t>subpar</w:t>
          </w:r>
          <w:r w:rsidR="00505FA7">
            <w:t xml:space="preserve"> quality of information and erroneous decision making</w:t>
          </w:r>
          <w:r w:rsidR="00BF5EED">
            <w:t xml:space="preserve"> that can hinder its success </w:t>
          </w:r>
          <w:r w:rsidR="00BF5EED" w:rsidRPr="00BF5EED">
            <w:t>(Dyson and Franklin, 2020, pp.277–290)</w:t>
          </w:r>
          <w:r w:rsidR="00505FA7">
            <w:t xml:space="preserve">. </w:t>
          </w:r>
        </w:p>
        <w:p w14:paraId="070017E8" w14:textId="29A1D695" w:rsidR="00BF5EED" w:rsidRDefault="00BF5EED" w:rsidP="00352B61"/>
        <w:p w14:paraId="40B1DE8C" w14:textId="1FA03858" w:rsidR="00BF5EED" w:rsidRDefault="00BF5EED" w:rsidP="00352B61">
          <w:r>
            <w:lastRenderedPageBreak/>
            <w:t xml:space="preserve">Before the successful implementation of such a budgetary system however the senior management of the business needs to ensure that certain prerequisites are met. </w:t>
          </w:r>
          <w:r w:rsidR="006B1145">
            <w:t>Researcher</w:t>
          </w:r>
          <w:r w:rsidR="00E91AE9">
            <w:t>s</w:t>
          </w:r>
          <w:r w:rsidR="006B1145">
            <w:t xml:space="preserve"> argue that for a budgetary control system to be successful </w:t>
          </w:r>
          <w:r w:rsidR="00A90D39">
            <w:t>the following should be present, controlled, and encouraged:</w:t>
          </w:r>
        </w:p>
        <w:p w14:paraId="0396CAC7" w14:textId="107815E0" w:rsidR="00A90D39" w:rsidRDefault="007F2ED5" w:rsidP="00A90D39">
          <w:pPr>
            <w:pStyle w:val="ListParagraph"/>
            <w:numPr>
              <w:ilvl w:val="0"/>
              <w:numId w:val="4"/>
            </w:numPr>
          </w:pPr>
          <w:r>
            <w:t xml:space="preserve">Strict and sustainable </w:t>
          </w:r>
          <w:r w:rsidR="00A90D39">
            <w:t>Corporate Governance</w:t>
          </w:r>
          <w:r>
            <w:t xml:space="preserve"> – the board should proactively encourage open, clear transparent working environment. Thea goal and direction of the company should be known by </w:t>
          </w:r>
          <w:r w:rsidR="00E91AE9">
            <w:t xml:space="preserve">and communicated clearly to </w:t>
          </w:r>
          <w:r>
            <w:t xml:space="preserve">all parties involved and </w:t>
          </w:r>
          <w:r w:rsidR="00E91AE9">
            <w:t xml:space="preserve">the leadership </w:t>
          </w:r>
          <w:r>
            <w:t xml:space="preserve">should work with employees rather than order them around. </w:t>
          </w:r>
          <w:r w:rsidR="002D66E0">
            <w:t>Additionally, managers should be trained and educated and stay involved in the process (rather than delegating it to others) prior to the introduction of the system</w:t>
          </w:r>
          <w:r>
            <w:t xml:space="preserve"> (Chen, 2022; Dyson and Franklin, 2020</w:t>
          </w:r>
          <w:r w:rsidR="00E91AE9">
            <w:t>;</w:t>
          </w:r>
          <w:r>
            <w:t xml:space="preserve"> CGMA, 2014)</w:t>
          </w:r>
          <w:r w:rsidR="00E91AE9">
            <w:t>.</w:t>
          </w:r>
        </w:p>
        <w:p w14:paraId="00DCFF5B" w14:textId="77777777" w:rsidR="00DC5097" w:rsidRDefault="00E91AE9" w:rsidP="00A90D39">
          <w:pPr>
            <w:pStyle w:val="ListParagraph"/>
            <w:numPr>
              <w:ilvl w:val="0"/>
              <w:numId w:val="4"/>
            </w:numPr>
          </w:pPr>
          <w:r>
            <w:t xml:space="preserve">Appropriate control systems (Audit systems – both internal and external) – </w:t>
          </w:r>
          <w:proofErr w:type="gramStart"/>
          <w:r>
            <w:t>in order to</w:t>
          </w:r>
          <w:proofErr w:type="gramEnd"/>
          <w:r>
            <w:t xml:space="preserve"> ensure that management is leading the company in the desired direction, appropriate audit systems should be present</w:t>
          </w:r>
          <w:r w:rsidR="00C42FED">
            <w:t xml:space="preserve"> (</w:t>
          </w:r>
          <w:proofErr w:type="spellStart"/>
          <w:r w:rsidR="00C42FED">
            <w:t>Opr</w:t>
          </w:r>
          <w:proofErr w:type="spellEnd"/>
          <w:r w:rsidR="00C42FED">
            <w:t>, 2018)</w:t>
          </w:r>
          <w:r>
            <w:t>.</w:t>
          </w:r>
          <w:r w:rsidR="00C42FED">
            <w:t xml:space="preserve"> The auditors conducting the audits should follow the relevant standards and be as objective as possible in their work. This will not only identify budgetary issues that are not obvious but will also help “safeguard” the business my assessing and managing risks</w:t>
          </w:r>
          <w:r w:rsidR="00DC5097">
            <w:t xml:space="preserve"> (Theiia.org, 2017)</w:t>
          </w:r>
          <w:r w:rsidR="00C42FED">
            <w:t>.</w:t>
          </w:r>
          <w:r w:rsidR="00DC5097">
            <w:t xml:space="preserve"> </w:t>
          </w:r>
        </w:p>
        <w:p w14:paraId="42C73203" w14:textId="592462BA" w:rsidR="00E91AE9" w:rsidRDefault="00CC3E30" w:rsidP="00A90D39">
          <w:pPr>
            <w:pStyle w:val="ListParagraph"/>
            <w:numPr>
              <w:ilvl w:val="0"/>
              <w:numId w:val="4"/>
            </w:numPr>
          </w:pPr>
          <w:r>
            <w:t xml:space="preserve">Trust – the board should aim to establish an environment of trust among all the shareholders when implementing a budgetary control system. The CGMA (2017) has linked higher trust levels to enhancement of the reputation and morale within the company as well as building greater resilience against potential crises and better absorb the shock from unpredicted corporate complications. </w:t>
          </w:r>
        </w:p>
        <w:p w14:paraId="63EC6517" w14:textId="77BAC704" w:rsidR="00651811" w:rsidRDefault="00651811" w:rsidP="00A90D39">
          <w:pPr>
            <w:pStyle w:val="ListParagraph"/>
            <w:numPr>
              <w:ilvl w:val="0"/>
              <w:numId w:val="4"/>
            </w:numPr>
          </w:pPr>
          <w:r>
            <w:t xml:space="preserve">Flexibility – it is normal for variables in todays business world to swiftly change and any company should be ready to react and accommodate to them. Same goes for the cost budget and generally the financial matters surrounding a business. All management figures within the organisation should be quick to adapt to the fast-changing economic environment and make amendment </w:t>
          </w:r>
          <w:r w:rsidR="00900292">
            <w:t>accordingly and in a timely manner (</w:t>
          </w:r>
          <w:proofErr w:type="spellStart"/>
          <w:r w:rsidR="00900292">
            <w:t>Shushila</w:t>
          </w:r>
          <w:proofErr w:type="spellEnd"/>
          <w:r w:rsidR="00900292">
            <w:t>, 2018).</w:t>
          </w:r>
        </w:p>
        <w:p w14:paraId="32FEED6F" w14:textId="761D89A3" w:rsidR="00480872" w:rsidRDefault="0047295E" w:rsidP="00AA2A91">
          <w:pPr>
            <w:pStyle w:val="Heading1"/>
          </w:pPr>
          <w:r>
            <w:t xml:space="preserve">Behavioural Considerations </w:t>
          </w:r>
        </w:p>
        <w:p w14:paraId="78E785CD" w14:textId="0BD3EDC9" w:rsidR="00480872" w:rsidRDefault="00CC3E30" w:rsidP="0047295E">
          <w:r>
            <w:t xml:space="preserve">In addition of the above-mentioned general requirements outlined, there are some </w:t>
          </w:r>
          <w:r w:rsidR="00E12CED">
            <w:t>behavioural</w:t>
          </w:r>
          <w:r>
            <w:t xml:space="preserve"> aspects that need to be considered </w:t>
          </w:r>
          <w:r w:rsidR="00E12CED">
            <w:t xml:space="preserve">– both behaviours that need to be present in the management, and some that may arise due to the implementation of the budgetary system. </w:t>
          </w:r>
          <w:r w:rsidR="00A60DD8">
            <w:t>As Dyson and Franklin suggest (2020</w:t>
          </w:r>
          <w:r w:rsidR="00C420FF">
            <w:t>, pp.347</w:t>
          </w:r>
          <w:r w:rsidR="00A60DD8">
            <w:t xml:space="preserve">) implementing a budgetary system </w:t>
          </w:r>
          <w:r w:rsidR="00575402">
            <w:t xml:space="preserve">causes different type </w:t>
          </w:r>
          <w:r w:rsidR="00C420FF">
            <w:t>of</w:t>
          </w:r>
          <w:r w:rsidR="00575402">
            <w:t xml:space="preserve"> behavioural changes within stakeholders. Although they can sometimes be beneficial this report will focus on the negative behaviours that may occur due to the implementation of such a system. </w:t>
          </w:r>
        </w:p>
        <w:p w14:paraId="5091643F" w14:textId="7F8E505A" w:rsidR="00575402" w:rsidRDefault="00575402" w:rsidP="0047295E">
          <w:r>
            <w:t xml:space="preserve">Generally, accounting systems have the largest impact on senior figures within an organisation. </w:t>
          </w:r>
          <w:r w:rsidR="00D36044">
            <w:t>The above-mentioned researchers ha e suggested that a “non-</w:t>
          </w:r>
          <w:r w:rsidR="00C420FF">
            <w:t>disciplinary</w:t>
          </w:r>
          <w:r w:rsidR="00D36044">
            <w:t xml:space="preserve">” type of behaviour may occur due to the </w:t>
          </w:r>
          <w:r w:rsidR="00C420FF">
            <w:t>implementation</w:t>
          </w:r>
          <w:r w:rsidR="00D36044">
            <w:t xml:space="preserve">  of a budgetary system. They suggest that if the management could react either favourably or unfavourably/indifferent to this change. They argue that favourable reaction leads to higher engagement with accounting and the desire to its improvement, while unfavourable/indifferent reaction leads to neglect and disinterest in the endeavour. It is also recommended that </w:t>
          </w:r>
          <w:r w:rsidR="00C420FF">
            <w:t>managers</w:t>
          </w:r>
          <w:r w:rsidR="00D36044">
            <w:t xml:space="preserve"> are not </w:t>
          </w:r>
          <w:r w:rsidR="00C420FF">
            <w:t xml:space="preserve">sanctioned should a variance in the estimated budget occurs as this will likely make their authority is undermined and is likely to have them show dysfunctional behaviour (by blaming others or neglecting the company’s wellbeing/goals). </w:t>
          </w:r>
        </w:p>
        <w:p w14:paraId="7FFA5677" w14:textId="77777777" w:rsidR="009220B2" w:rsidRDefault="009220B2" w:rsidP="0047295E"/>
        <w:p w14:paraId="1CE6C95C" w14:textId="77777777" w:rsidR="008F4B79" w:rsidRPr="008F4B79" w:rsidRDefault="008F4B79" w:rsidP="008F4B79"/>
        <w:p w14:paraId="6504F871" w14:textId="77777777" w:rsidR="00480872" w:rsidRDefault="00480872" w:rsidP="00AA2A91">
          <w:pPr>
            <w:pStyle w:val="Heading1"/>
          </w:pPr>
        </w:p>
        <w:p w14:paraId="5C67928C" w14:textId="7F57FFA4" w:rsidR="00AA2A91" w:rsidRDefault="00AA2A91" w:rsidP="00AA2A91">
          <w:pPr>
            <w:pStyle w:val="Heading1"/>
          </w:pPr>
          <w:bookmarkStart w:id="5" w:name="_Toc115682914"/>
          <w:r>
            <w:t>Conclusion</w:t>
          </w:r>
          <w:r w:rsidR="00D854A5">
            <w:t xml:space="preserve"> </w:t>
          </w:r>
          <w:r w:rsidR="00D854A5" w:rsidRPr="00D854A5">
            <w:t>(average of 10% of word count)</w:t>
          </w:r>
          <w:bookmarkEnd w:id="5"/>
        </w:p>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202FDFC" w14:textId="77777777" w:rsidR="00AA2A91" w:rsidRPr="00AA2A91" w:rsidRDefault="00AA2A91" w:rsidP="00AA2A91">
          <w:pPr>
            <w:pStyle w:val="Heading1"/>
          </w:pPr>
          <w:bookmarkStart w:id="6" w:name="_Toc115682915"/>
          <w:r>
            <w:t>Bibliography</w:t>
          </w:r>
          <w:bookmarkEnd w:id="6"/>
        </w:p>
        <w:p w14:paraId="77D69E6F" w14:textId="015C6064" w:rsidR="004A11F6" w:rsidRDefault="00224777" w:rsidP="007D1947">
          <w:pPr>
            <w:rPr>
              <w:rFonts w:ascii="Verdana" w:hAnsi="Verdana"/>
              <w:color w:val="555555"/>
              <w:sz w:val="18"/>
              <w:szCs w:val="18"/>
              <w:shd w:val="clear" w:color="auto" w:fill="FFFFFF"/>
            </w:rPr>
          </w:pPr>
          <w:r>
            <w:rPr>
              <w:rFonts w:ascii="Verdana" w:hAnsi="Verdana"/>
              <w:color w:val="555555"/>
              <w:sz w:val="18"/>
              <w:szCs w:val="18"/>
              <w:shd w:val="clear" w:color="auto" w:fill="FFFFFF"/>
            </w:rPr>
            <w:t>WANKE, P., 2014. A CONCEPTUAL FRAMEWORK FOR INVENTORY MANAGEMENT: FOCUSING ON LOW- CONSUMPTION ITEMS. </w:t>
          </w:r>
          <w:r>
            <w:rPr>
              <w:rFonts w:ascii="Verdana" w:hAnsi="Verdana"/>
              <w:i/>
              <w:iCs/>
              <w:color w:val="555555"/>
              <w:sz w:val="18"/>
              <w:szCs w:val="18"/>
              <w:shd w:val="clear" w:color="auto" w:fill="FFFFFF"/>
            </w:rPr>
            <w:t>Production and Inventory Management Journal, </w:t>
          </w:r>
          <w:r>
            <w:rPr>
              <w:rFonts w:ascii="Verdana" w:hAnsi="Verdana"/>
              <w:b/>
              <w:bCs/>
              <w:color w:val="555555"/>
              <w:sz w:val="18"/>
              <w:szCs w:val="18"/>
              <w:shd w:val="clear" w:color="auto" w:fill="FFFFFF"/>
            </w:rPr>
            <w:t>49</w:t>
          </w:r>
          <w:r>
            <w:rPr>
              <w:rFonts w:ascii="Verdana" w:hAnsi="Verdana"/>
              <w:color w:val="555555"/>
              <w:sz w:val="18"/>
              <w:szCs w:val="18"/>
              <w:shd w:val="clear" w:color="auto" w:fill="FFFFFF"/>
            </w:rPr>
            <w:t>(1), pp. 9-26.</w:t>
          </w:r>
        </w:p>
        <w:p w14:paraId="67AA5A15" w14:textId="30D897E7" w:rsidR="004F5D40" w:rsidRPr="004F5D40" w:rsidRDefault="006C650D" w:rsidP="004F5D40">
          <w:r>
            <w:rPr>
              <w:rFonts w:ascii="Helvetica" w:hAnsi="Helvetica" w:cs="Helvetica"/>
              <w:color w:val="000000"/>
              <w:spacing w:val="-5"/>
            </w:rPr>
            <w:t xml:space="preserve">Mahajan, S., &amp; van </w:t>
          </w:r>
          <w:proofErr w:type="spellStart"/>
          <w:r>
            <w:rPr>
              <w:rFonts w:ascii="Helvetica" w:hAnsi="Helvetica" w:cs="Helvetica"/>
              <w:color w:val="000000"/>
              <w:spacing w:val="-5"/>
            </w:rPr>
            <w:t>Ryzin</w:t>
          </w:r>
          <w:proofErr w:type="spellEnd"/>
          <w:r>
            <w:rPr>
              <w:rFonts w:ascii="Helvetica" w:hAnsi="Helvetica" w:cs="Helvetica"/>
              <w:color w:val="000000"/>
              <w:spacing w:val="-5"/>
            </w:rPr>
            <w:t>, G. (2001). Inventory Competition under Dynamic Consumer Choice. </w:t>
          </w:r>
          <w:r>
            <w:rPr>
              <w:rFonts w:ascii="Helvetica" w:hAnsi="Helvetica" w:cs="Helvetica"/>
              <w:i/>
              <w:iCs/>
              <w:color w:val="000000"/>
              <w:spacing w:val="-5"/>
            </w:rPr>
            <w:t>Operations Research</w:t>
          </w:r>
          <w:r>
            <w:rPr>
              <w:rFonts w:ascii="Helvetica" w:hAnsi="Helvetica" w:cs="Helvetica"/>
              <w:color w:val="000000"/>
              <w:spacing w:val="-5"/>
            </w:rPr>
            <w:t>, </w:t>
          </w:r>
          <w:r>
            <w:rPr>
              <w:rFonts w:ascii="Helvetica" w:hAnsi="Helvetica" w:cs="Helvetica"/>
              <w:i/>
              <w:iCs/>
              <w:color w:val="000000"/>
              <w:spacing w:val="-5"/>
            </w:rPr>
            <w:t>49</w:t>
          </w:r>
          <w:r>
            <w:rPr>
              <w:rFonts w:ascii="Helvetica" w:hAnsi="Helvetica" w:cs="Helvetica"/>
              <w:color w:val="000000"/>
              <w:spacing w:val="-5"/>
            </w:rPr>
            <w:t>(5), 646–657. http://www.jstor.org/stable/3088564</w:t>
          </w:r>
        </w:p>
        <w:p w14:paraId="0D4EC2B4" w14:textId="77777777" w:rsidR="004F5D40" w:rsidRDefault="004F5D40" w:rsidP="004F5D40">
          <w:pPr>
            <w:pStyle w:val="NormalWeb"/>
            <w:spacing w:before="0" w:beforeAutospacing="0" w:after="240" w:afterAutospacing="0" w:line="360" w:lineRule="auto"/>
          </w:pPr>
          <w:r>
            <w:t xml:space="preserve">Barclays (2019). </w:t>
          </w:r>
          <w:r>
            <w:rPr>
              <w:i/>
              <w:iCs/>
            </w:rPr>
            <w:t>Business loans | Barclays</w:t>
          </w:r>
          <w:r>
            <w:t>. [online] Barclays.co.uk. Available at: https://www.barclays.co.uk/business-banking/borrow/loans/.</w:t>
          </w:r>
        </w:p>
        <w:p w14:paraId="21903C86" w14:textId="77777777" w:rsidR="004F5D40" w:rsidRDefault="004F5D40" w:rsidP="004F5D40">
          <w:pPr>
            <w:pStyle w:val="NormalWeb"/>
            <w:spacing w:before="0" w:beforeAutospacing="0" w:after="240" w:afterAutospacing="0" w:line="360" w:lineRule="auto"/>
          </w:pPr>
          <w:r>
            <w:t xml:space="preserve">Barrera, T. (2021). </w:t>
          </w:r>
          <w:r>
            <w:rPr>
              <w:i/>
              <w:iCs/>
            </w:rPr>
            <w:t xml:space="preserve">How Long Do Fashion Trends Last? Distinguish Between Fads, Trends </w:t>
          </w:r>
          <w:proofErr w:type="gramStart"/>
          <w:r>
            <w:rPr>
              <w:i/>
              <w:iCs/>
            </w:rPr>
            <w:t>And</w:t>
          </w:r>
          <w:proofErr w:type="gramEnd"/>
          <w:r>
            <w:rPr>
              <w:i/>
              <w:iCs/>
            </w:rPr>
            <w:t xml:space="preserve"> Classics</w:t>
          </w:r>
          <w:r>
            <w:t xml:space="preserve">. [online] </w:t>
          </w:r>
          <w:proofErr w:type="spellStart"/>
          <w:r>
            <w:t>TheTechFashionista</w:t>
          </w:r>
          <w:proofErr w:type="spellEnd"/>
          <w:r>
            <w:t>. Available at: https://thetechfashionista.com/how-long-do-fashion-trends-last/.</w:t>
          </w:r>
        </w:p>
        <w:p w14:paraId="356E9EF2" w14:textId="77777777" w:rsidR="004F5D40" w:rsidRDefault="004F5D40" w:rsidP="004F5D40">
          <w:pPr>
            <w:pStyle w:val="NormalWeb"/>
            <w:spacing w:before="0" w:beforeAutospacing="0" w:after="240" w:afterAutospacing="0" w:line="360" w:lineRule="auto"/>
          </w:pPr>
          <w:r>
            <w:t xml:space="preserve">BBC (2020). </w:t>
          </w:r>
          <w:r>
            <w:rPr>
              <w:i/>
              <w:iCs/>
            </w:rPr>
            <w:t>Cash budgeting - Revision 3 - National 5 Business management - BBC Bitesize</w:t>
          </w:r>
          <w:r>
            <w:t>. [online] BBC Bitesize. Available at: https://www.bbc.co.uk/bitesize/guides/z33h2nb/revision/3.</w:t>
          </w:r>
        </w:p>
        <w:p w14:paraId="6FD48194" w14:textId="77777777" w:rsidR="004F5D40" w:rsidRDefault="004F5D40" w:rsidP="004F5D40">
          <w:pPr>
            <w:pStyle w:val="NormalWeb"/>
            <w:spacing w:before="0" w:beforeAutospacing="0" w:after="240" w:afterAutospacing="0" w:line="360" w:lineRule="auto"/>
          </w:pPr>
          <w:r>
            <w:t xml:space="preserve">Bell, A. (2020). </w:t>
          </w:r>
          <w:r>
            <w:rPr>
              <w:i/>
              <w:iCs/>
            </w:rPr>
            <w:t>6 Reasons Why You NEED a Budget</w:t>
          </w:r>
          <w:r>
            <w:t>. [online] Investopedia. Available at: https://www.investopedia.com/financial-edge/1109/6-reasons-why-you-need-a-budget.aspx.</w:t>
          </w:r>
        </w:p>
        <w:p w14:paraId="467BF889" w14:textId="77777777" w:rsidR="004F5D40" w:rsidRDefault="004F5D40" w:rsidP="004F5D40">
          <w:pPr>
            <w:pStyle w:val="NormalWeb"/>
            <w:spacing w:before="0" w:beforeAutospacing="0" w:after="240" w:afterAutospacing="0" w:line="360" w:lineRule="auto"/>
          </w:pPr>
          <w:r>
            <w:t xml:space="preserve">CGMA (2014). </w:t>
          </w:r>
          <w:r>
            <w:rPr>
              <w:i/>
              <w:iCs/>
            </w:rPr>
            <w:t xml:space="preserve">How </w:t>
          </w:r>
          <w:proofErr w:type="spellStart"/>
          <w:r>
            <w:rPr>
              <w:i/>
              <w:iCs/>
            </w:rPr>
            <w:t>ManageMent</w:t>
          </w:r>
          <w:proofErr w:type="spellEnd"/>
          <w:r>
            <w:rPr>
              <w:i/>
              <w:iCs/>
            </w:rPr>
            <w:t xml:space="preserve"> accounting Drives sustainable success</w:t>
          </w:r>
          <w:r>
            <w:t>. [online] Available at: https://www.cgma.org/Community/DownloadableDocuments/How-management-accounting-drives-sustainable-success.pdf.</w:t>
          </w:r>
        </w:p>
        <w:p w14:paraId="1CFA7DA8" w14:textId="77777777" w:rsidR="004F5D40" w:rsidRDefault="004F5D40" w:rsidP="004F5D40">
          <w:pPr>
            <w:pStyle w:val="NormalWeb"/>
            <w:spacing w:before="0" w:beforeAutospacing="0" w:after="240" w:afterAutospacing="0" w:line="360" w:lineRule="auto"/>
          </w:pPr>
          <w:r>
            <w:t xml:space="preserve">CGMA (2017). </w:t>
          </w:r>
          <w:r>
            <w:rPr>
              <w:i/>
              <w:iCs/>
            </w:rPr>
            <w:t>Global Management Accounting Principles framework</w:t>
          </w:r>
          <w:r>
            <w:t>. [online] CGMA. Available at: https://www.cgma.org/resources/reports/globalmanagementaccountingprinciples/principles-framework.html [Accessed 27 Mar. 2023].</w:t>
          </w:r>
        </w:p>
        <w:p w14:paraId="50B3605C" w14:textId="77777777" w:rsidR="004F5D40" w:rsidRDefault="004F5D40" w:rsidP="004F5D40">
          <w:pPr>
            <w:pStyle w:val="NormalWeb"/>
            <w:spacing w:before="0" w:beforeAutospacing="0" w:after="240" w:afterAutospacing="0" w:line="360" w:lineRule="auto"/>
          </w:pPr>
          <w:r>
            <w:t xml:space="preserve">Chen, J. (2022). </w:t>
          </w:r>
          <w:r>
            <w:rPr>
              <w:i/>
              <w:iCs/>
            </w:rPr>
            <w:t>Corporate Governance</w:t>
          </w:r>
          <w:r>
            <w:t>. [online] Investopedia. Available at: https://www.investopedia.com/terms/c/corporategovernance.asp.</w:t>
          </w:r>
        </w:p>
        <w:p w14:paraId="0C848A75" w14:textId="77777777" w:rsidR="004F5D40" w:rsidRDefault="004F5D40" w:rsidP="004F5D40">
          <w:pPr>
            <w:pStyle w:val="NormalWeb"/>
            <w:spacing w:before="0" w:beforeAutospacing="0" w:after="240" w:afterAutospacing="0" w:line="360" w:lineRule="auto"/>
          </w:pPr>
          <w:r>
            <w:lastRenderedPageBreak/>
            <w:t xml:space="preserve">CIMA (n.d.). </w:t>
          </w:r>
          <w:r>
            <w:rPr>
              <w:i/>
              <w:iCs/>
            </w:rPr>
            <w:t>CIMA - Glossary (Parts 1, 3, 4a and 4b)</w:t>
          </w:r>
          <w:r>
            <w:t>. [online] www.cimaglobal.com. Available at: https://www.cimaglobal.com/Professionalism/Ethics/CIMA-code-of-ethics-for-professional-accountants/Glossaries/Glossary-Parts-1-3-4a-and-4b/ [Accessed 27 Mar. 2023].</w:t>
          </w:r>
        </w:p>
        <w:p w14:paraId="53C06698" w14:textId="77777777" w:rsidR="004F5D40" w:rsidRDefault="004F5D40" w:rsidP="004F5D40">
          <w:pPr>
            <w:pStyle w:val="NormalWeb"/>
            <w:spacing w:before="0" w:beforeAutospacing="0" w:after="240" w:afterAutospacing="0" w:line="360" w:lineRule="auto"/>
          </w:pPr>
          <w:r>
            <w:t xml:space="preserve">Cote, C. (2022). </w:t>
          </w:r>
          <w:r>
            <w:rPr>
              <w:i/>
              <w:iCs/>
            </w:rPr>
            <w:t>Why Is Budgeting Important in Business? 5 Reasons</w:t>
          </w:r>
          <w:r>
            <w:t>. [online] Business Insights Blog. Available at: https://online.hbs.edu/blog/post/importance-of-budgeting-in-business.</w:t>
          </w:r>
        </w:p>
        <w:p w14:paraId="172CC8FC" w14:textId="77777777" w:rsidR="004F5D40" w:rsidRDefault="004F5D40" w:rsidP="004F5D40">
          <w:pPr>
            <w:pStyle w:val="NormalWeb"/>
            <w:spacing w:before="0" w:beforeAutospacing="0" w:after="240" w:afterAutospacing="0" w:line="360" w:lineRule="auto"/>
          </w:pPr>
          <w:proofErr w:type="spellStart"/>
          <w:r>
            <w:t>CSIMarket</w:t>
          </w:r>
          <w:proofErr w:type="spellEnd"/>
          <w:r>
            <w:t xml:space="preserve"> (2023). </w:t>
          </w:r>
          <w:r>
            <w:rPr>
              <w:i/>
              <w:iCs/>
            </w:rPr>
            <w:t>Apparel, Footwear &amp; Accessories Industry Profitability, Gross Margin, Net Margin, Cash Flow Margin, ROE</w:t>
          </w:r>
          <w:r>
            <w:t>. [online] csimarket.com. Available at: https://csimarket.com/Industry/Industry_Profitability.php?ind=401#:~:text=Gross%20margin%20improved%20to%2050.97%20%25%20in%204. [Accessed 22 Mar. 2023].</w:t>
          </w:r>
        </w:p>
        <w:p w14:paraId="2C273760" w14:textId="77777777" w:rsidR="004F5D40" w:rsidRDefault="004F5D40" w:rsidP="004F5D40">
          <w:pPr>
            <w:pStyle w:val="NormalWeb"/>
            <w:spacing w:before="0" w:beforeAutospacing="0" w:after="240" w:afterAutospacing="0" w:line="360" w:lineRule="auto"/>
          </w:pPr>
          <w:r>
            <w:t xml:space="preserve">Drury, C. and </w:t>
          </w:r>
          <w:proofErr w:type="spellStart"/>
          <w:r>
            <w:t>Tayles</w:t>
          </w:r>
          <w:proofErr w:type="spellEnd"/>
          <w:r>
            <w:t xml:space="preserve">, M. (2021). </w:t>
          </w:r>
          <w:r>
            <w:rPr>
              <w:i/>
              <w:iCs/>
            </w:rPr>
            <w:t>Management and cost accounting.</w:t>
          </w:r>
          <w:r>
            <w:t xml:space="preserve"> Andover: Cengage Learning.</w:t>
          </w:r>
        </w:p>
        <w:p w14:paraId="778430D1" w14:textId="77777777" w:rsidR="004F5D40" w:rsidRDefault="004F5D40" w:rsidP="004F5D40">
          <w:pPr>
            <w:pStyle w:val="NormalWeb"/>
            <w:spacing w:before="0" w:beforeAutospacing="0" w:after="240" w:afterAutospacing="0" w:line="360" w:lineRule="auto"/>
          </w:pPr>
          <w:r>
            <w:t xml:space="preserve">Dyson, J.R. and Franklin, E. (2020). </w:t>
          </w:r>
          <w:r>
            <w:rPr>
              <w:i/>
              <w:iCs/>
            </w:rPr>
            <w:t>Accounting for non-accounting students</w:t>
          </w:r>
          <w:r>
            <w:t>. 10th ed. Hoboken: Pearson, pp.277–290.</w:t>
          </w:r>
        </w:p>
        <w:p w14:paraId="2551C50D" w14:textId="77777777" w:rsidR="004F5D40" w:rsidRDefault="004F5D40" w:rsidP="004F5D40">
          <w:pPr>
            <w:pStyle w:val="NormalWeb"/>
            <w:spacing w:before="0" w:beforeAutospacing="0" w:after="240" w:afterAutospacing="0" w:line="360" w:lineRule="auto"/>
          </w:pPr>
          <w:r>
            <w:t xml:space="preserve">FRC (2019). </w:t>
          </w:r>
          <w:r>
            <w:rPr>
              <w:i/>
              <w:iCs/>
            </w:rPr>
            <w:t>Financial Reporting Council</w:t>
          </w:r>
          <w:r>
            <w:t>. [online] Frc.org.uk. Available at: https://www.frc.org.uk/accountants/accounting-and-reporting-policy/uk-accounting-standards/standards-in-issue/frs-102-the-financial-reporting-standard-applicabl.</w:t>
          </w:r>
        </w:p>
        <w:p w14:paraId="4D0158C4" w14:textId="77777777" w:rsidR="004F5D40" w:rsidRDefault="004F5D40" w:rsidP="004F5D40">
          <w:pPr>
            <w:pStyle w:val="NormalWeb"/>
            <w:spacing w:before="0" w:beforeAutospacing="0" w:after="240" w:afterAutospacing="0" w:line="360" w:lineRule="auto"/>
          </w:pPr>
          <w:r>
            <w:t xml:space="preserve">GOV.uk (n.d.). </w:t>
          </w:r>
          <w:r>
            <w:rPr>
              <w:i/>
              <w:iCs/>
            </w:rPr>
            <w:t>SHOE ZONE PLC filing history - Find and update company information - GOV.UK</w:t>
          </w:r>
          <w:r>
            <w:t>. [online] find-and-update.company-information.service.gov.uk. Available at: https://find-and-update.company-information.service.gov.uk/company/08961190/filing-history?page=3 [Accessed 22 Mar. 2023].</w:t>
          </w:r>
        </w:p>
        <w:p w14:paraId="47B73743" w14:textId="77777777" w:rsidR="004F5D40" w:rsidRDefault="004F5D40" w:rsidP="004F5D40">
          <w:pPr>
            <w:pStyle w:val="NormalWeb"/>
            <w:spacing w:before="0" w:beforeAutospacing="0" w:after="240" w:afterAutospacing="0" w:line="360" w:lineRule="auto"/>
          </w:pPr>
          <w:r>
            <w:t xml:space="preserve">HSBC (2023). </w:t>
          </w:r>
          <w:r>
            <w:rPr>
              <w:i/>
              <w:iCs/>
            </w:rPr>
            <w:t>Small Business Loan</w:t>
          </w:r>
          <w:r>
            <w:t>. [online] www.business.hsbc.uk. Available at: https://www.business.hsbc.uk/en-gb/products/small-business-loan.</w:t>
          </w:r>
        </w:p>
        <w:p w14:paraId="5ACFD9EF" w14:textId="77777777" w:rsidR="004F5D40" w:rsidRDefault="004F5D40" w:rsidP="004F5D40">
          <w:pPr>
            <w:pStyle w:val="NormalWeb"/>
            <w:spacing w:before="0" w:beforeAutospacing="0" w:after="240" w:afterAutospacing="0" w:line="360" w:lineRule="auto"/>
          </w:pPr>
          <w:proofErr w:type="spellStart"/>
          <w:r>
            <w:t>IASplus</w:t>
          </w:r>
          <w:proofErr w:type="spellEnd"/>
          <w:r>
            <w:t xml:space="preserve"> (2017). </w:t>
          </w:r>
          <w:r>
            <w:rPr>
              <w:i/>
              <w:iCs/>
            </w:rPr>
            <w:t>UK GAAP</w:t>
          </w:r>
          <w:r>
            <w:t>. [online] www.iasplus.com. Available at: https://www.iasplus.com/en-gb/standards/uk-gaap.</w:t>
          </w:r>
        </w:p>
        <w:p w14:paraId="72E8826F" w14:textId="77777777" w:rsidR="004F5D40" w:rsidRDefault="004F5D40" w:rsidP="004F5D40">
          <w:pPr>
            <w:pStyle w:val="NormalWeb"/>
            <w:spacing w:before="0" w:beforeAutospacing="0" w:after="240" w:afterAutospacing="0" w:line="360" w:lineRule="auto"/>
          </w:pPr>
          <w:r>
            <w:t xml:space="preserve">ICAEW (n.d.). </w:t>
          </w:r>
          <w:r>
            <w:rPr>
              <w:i/>
              <w:iCs/>
            </w:rPr>
            <w:t>FRS 101 Reduced Disclosure Framework</w:t>
          </w:r>
          <w:r>
            <w:t>. [online] www.icaew.com. Available at: https://www.icaew.com/technical/financial-reporting/uk-gaap/frs-101-reduced-disclosure-framework [Accessed 27 Mar. 2023].</w:t>
          </w:r>
        </w:p>
        <w:p w14:paraId="5CE0C9A5" w14:textId="77777777" w:rsidR="004F5D40" w:rsidRDefault="004F5D40" w:rsidP="004F5D40">
          <w:pPr>
            <w:pStyle w:val="NormalWeb"/>
            <w:spacing w:before="0" w:beforeAutospacing="0" w:after="240" w:afterAutospacing="0" w:line="360" w:lineRule="auto"/>
          </w:pPr>
          <w:r>
            <w:lastRenderedPageBreak/>
            <w:t xml:space="preserve">Indeed (2021). </w:t>
          </w:r>
          <w:r>
            <w:rPr>
              <w:i/>
              <w:iCs/>
            </w:rPr>
            <w:t>Why Budgeting Is Important (Plus 7 Benefits of Budgeting)</w:t>
          </w:r>
          <w:r>
            <w:t>. [online] Indeed Career Guide. Available at: https://www.indeed.com/career-advice/career-development/why-budget-is-important.</w:t>
          </w:r>
        </w:p>
        <w:p w14:paraId="36A49961" w14:textId="77777777" w:rsidR="004F5D40" w:rsidRDefault="004F5D40" w:rsidP="004F5D40">
          <w:pPr>
            <w:pStyle w:val="NormalWeb"/>
            <w:spacing w:before="0" w:beforeAutospacing="0" w:after="240" w:afterAutospacing="0" w:line="360" w:lineRule="auto"/>
          </w:pPr>
          <w:r>
            <w:t xml:space="preserve">Indeed (2022). </w:t>
          </w:r>
          <w:r>
            <w:rPr>
              <w:i/>
              <w:iCs/>
            </w:rPr>
            <w:t>Career Development | Indeed.com</w:t>
          </w:r>
          <w:r>
            <w:t>. [online] www.indeed.com. Available at: https://www.indeed.com/career-advice/career-development.</w:t>
          </w:r>
        </w:p>
        <w:p w14:paraId="639D014B" w14:textId="77777777" w:rsidR="004F5D40" w:rsidRDefault="004F5D40" w:rsidP="004F5D40">
          <w:pPr>
            <w:pStyle w:val="NormalWeb"/>
            <w:spacing w:before="0" w:beforeAutospacing="0" w:after="240" w:afterAutospacing="0" w:line="360" w:lineRule="auto"/>
          </w:pPr>
          <w:proofErr w:type="gramStart"/>
          <w:r>
            <w:t>Indeed</w:t>
          </w:r>
          <w:proofErr w:type="gramEnd"/>
          <w:r>
            <w:t xml:space="preserve"> Editorial team (2019). </w:t>
          </w:r>
          <w:r>
            <w:rPr>
              <w:i/>
              <w:iCs/>
            </w:rPr>
            <w:t>What is a Good Profit Margin?</w:t>
          </w:r>
          <w:r>
            <w:t xml:space="preserve"> [online] uk.indeed.com. Available at: https://uk.indeed.com/career-advice/career-development/good-profit-margin [Accessed 22 Mar. 2023].</w:t>
          </w:r>
        </w:p>
        <w:p w14:paraId="19477908" w14:textId="77777777" w:rsidR="004F5D40" w:rsidRDefault="004F5D40" w:rsidP="004F5D40">
          <w:pPr>
            <w:pStyle w:val="NormalWeb"/>
            <w:spacing w:before="0" w:beforeAutospacing="0" w:after="240" w:afterAutospacing="0" w:line="360" w:lineRule="auto"/>
          </w:pPr>
          <w:r>
            <w:t xml:space="preserve">Jenkins, K. (2020). </w:t>
          </w:r>
          <w:r>
            <w:rPr>
              <w:i/>
              <w:iCs/>
            </w:rPr>
            <w:t>What Is Overstocking? 7 Causes, Consequences, and How to Avoid It</w:t>
          </w:r>
          <w:r>
            <w:t>. [online] Shopify. Available at: https://www.shopify.com/retail/overstocking-causes-and-prevention.</w:t>
          </w:r>
        </w:p>
        <w:p w14:paraId="65FAF920" w14:textId="77777777" w:rsidR="004F5D40" w:rsidRDefault="004F5D40" w:rsidP="004F5D40">
          <w:pPr>
            <w:pStyle w:val="NormalWeb"/>
            <w:spacing w:before="0" w:beforeAutospacing="0" w:after="240" w:afterAutospacing="0" w:line="360" w:lineRule="auto"/>
          </w:pPr>
          <w:r>
            <w:t xml:space="preserve">Jiang, M. (2020). </w:t>
          </w:r>
          <w:r>
            <w:rPr>
              <w:i/>
              <w:iCs/>
            </w:rPr>
            <w:t>Profit Margin</w:t>
          </w:r>
          <w:r>
            <w:t>. [online] Credibly home page. Available at: https://www.credibly.com/incredibly/profit-margin/#:~:text=Types%20of%20Profit%20Margin%201%20Gross%20Profit%20Margin [Accessed 22 Mar. 2023].</w:t>
          </w:r>
        </w:p>
        <w:p w14:paraId="68343CEE" w14:textId="77777777" w:rsidR="004F5D40" w:rsidRDefault="004F5D40" w:rsidP="004F5D40">
          <w:pPr>
            <w:pStyle w:val="NormalWeb"/>
            <w:spacing w:before="0" w:beforeAutospacing="0" w:after="240" w:afterAutospacing="0" w:line="360" w:lineRule="auto"/>
          </w:pPr>
          <w:r>
            <w:t xml:space="preserve">Kay, J., Morris, C. and Poole, K. (2019). Government Budget. In: </w:t>
          </w:r>
          <w:proofErr w:type="spellStart"/>
          <w:r>
            <w:rPr>
              <w:i/>
              <w:iCs/>
            </w:rPr>
            <w:t>Encyclopædia</w:t>
          </w:r>
          <w:proofErr w:type="spellEnd"/>
          <w:r>
            <w:rPr>
              <w:i/>
              <w:iCs/>
            </w:rPr>
            <w:t xml:space="preserve"> Britannica</w:t>
          </w:r>
          <w:r>
            <w:t>. [online] Available at: https://www.britannica.com/topic/government-budget.</w:t>
          </w:r>
        </w:p>
        <w:p w14:paraId="37125D6A" w14:textId="77777777" w:rsidR="004F5D40" w:rsidRDefault="004F5D40" w:rsidP="004F5D40">
          <w:pPr>
            <w:pStyle w:val="NormalWeb"/>
            <w:spacing w:before="0" w:beforeAutospacing="0" w:after="240" w:afterAutospacing="0" w:line="360" w:lineRule="auto"/>
          </w:pPr>
          <w:r>
            <w:t xml:space="preserve">Kenton, W. (2019). </w:t>
          </w:r>
          <w:r>
            <w:rPr>
              <w:i/>
              <w:iCs/>
            </w:rPr>
            <w:t>First In, First Out - FIFO</w:t>
          </w:r>
          <w:r>
            <w:t>. [online] Investopedia. Available at: https://www.investopedia.com/terms/f/fifo.asp.</w:t>
          </w:r>
        </w:p>
        <w:p w14:paraId="56967503" w14:textId="77777777" w:rsidR="004F5D40" w:rsidRDefault="004F5D40" w:rsidP="004F5D40">
          <w:pPr>
            <w:pStyle w:val="NormalWeb"/>
            <w:spacing w:before="0" w:beforeAutospacing="0" w:after="240" w:afterAutospacing="0" w:line="360" w:lineRule="auto"/>
          </w:pPr>
          <w:r>
            <w:t xml:space="preserve">Lloyds Bank (2023). </w:t>
          </w:r>
          <w:r>
            <w:rPr>
              <w:i/>
              <w:iCs/>
            </w:rPr>
            <w:t>Business Loans</w:t>
          </w:r>
          <w:r>
            <w:t>. [online] www.lloydsbank.com. Available at: https://www.lloydsbank.com/business/business-loans.html.</w:t>
          </w:r>
        </w:p>
        <w:p w14:paraId="6513D532" w14:textId="77777777" w:rsidR="004F5D40" w:rsidRDefault="004F5D40" w:rsidP="004F5D40">
          <w:pPr>
            <w:pStyle w:val="NormalWeb"/>
            <w:spacing w:before="0" w:beforeAutospacing="0" w:after="240" w:afterAutospacing="0" w:line="360" w:lineRule="auto"/>
          </w:pPr>
          <w:r>
            <w:t xml:space="preserve">Martin Lewis (2019). </w:t>
          </w:r>
          <w:r>
            <w:rPr>
              <w:i/>
              <w:iCs/>
            </w:rPr>
            <w:t>The Budget Planner</w:t>
          </w:r>
          <w:r>
            <w:t>. [online] MoneySavingExpert.com. Available at: https://www.moneysavingexpert.com/banking/Budget-planning/.</w:t>
          </w:r>
        </w:p>
        <w:p w14:paraId="44E6C897" w14:textId="77777777" w:rsidR="004F5D40" w:rsidRDefault="004F5D40" w:rsidP="004F5D40">
          <w:pPr>
            <w:pStyle w:val="NormalWeb"/>
            <w:spacing w:before="0" w:beforeAutospacing="0" w:after="240" w:afterAutospacing="0" w:line="360" w:lineRule="auto"/>
          </w:pPr>
          <w:r>
            <w:t xml:space="preserve">McEvoy, S. (2022). </w:t>
          </w:r>
          <w:r>
            <w:rPr>
              <w:i/>
              <w:iCs/>
            </w:rPr>
            <w:t xml:space="preserve">How Long Does </w:t>
          </w:r>
          <w:proofErr w:type="gramStart"/>
          <w:r>
            <w:rPr>
              <w:i/>
              <w:iCs/>
            </w:rPr>
            <w:t>An</w:t>
          </w:r>
          <w:proofErr w:type="gramEnd"/>
          <w:r>
            <w:rPr>
              <w:i/>
              <w:iCs/>
            </w:rPr>
            <w:t xml:space="preserve"> Average TikTok Trend Last?</w:t>
          </w:r>
          <w:r>
            <w:t xml:space="preserve"> [online] TheList.com. Available at: https://www.thelist.com/800454/how-long-does-an-average-tiktok-trend-last/.</w:t>
          </w:r>
        </w:p>
        <w:p w14:paraId="64AA1222" w14:textId="77777777" w:rsidR="004F5D40" w:rsidRDefault="004F5D40" w:rsidP="004F5D40">
          <w:pPr>
            <w:pStyle w:val="NormalWeb"/>
            <w:spacing w:before="0" w:beforeAutospacing="0" w:after="240" w:afterAutospacing="0" w:line="360" w:lineRule="auto"/>
          </w:pPr>
          <w:r>
            <w:t xml:space="preserve">ONS (2023). </w:t>
          </w:r>
          <w:r>
            <w:rPr>
              <w:i/>
              <w:iCs/>
            </w:rPr>
            <w:t>Retail sales, Great Britain - Office for National Statistics</w:t>
          </w:r>
          <w:r>
            <w:t xml:space="preserve">. [online] www.ons.gov.uk. Available at: </w:t>
          </w:r>
          <w:r>
            <w:lastRenderedPageBreak/>
            <w:t>https://www.ons.gov.uk/businessindustryandtrade/retailindustry/bulletins/retailsales/november2020#retail-sales-in-november [Accessed 16 Mar. 2023].</w:t>
          </w:r>
        </w:p>
        <w:p w14:paraId="6B8694EA" w14:textId="77777777" w:rsidR="004F5D40" w:rsidRDefault="004F5D40" w:rsidP="004F5D40">
          <w:pPr>
            <w:pStyle w:val="NormalWeb"/>
            <w:spacing w:before="0" w:beforeAutospacing="0" w:after="240" w:afterAutospacing="0" w:line="360" w:lineRule="auto"/>
          </w:pPr>
          <w:proofErr w:type="spellStart"/>
          <w:r>
            <w:t>Opr</w:t>
          </w:r>
          <w:proofErr w:type="spellEnd"/>
          <w:r>
            <w:t xml:space="preserve">, K. (2018). </w:t>
          </w:r>
          <w:r>
            <w:rPr>
              <w:i/>
              <w:iCs/>
            </w:rPr>
            <w:t>5 Proven Importance of Internal Audit</w:t>
          </w:r>
          <w:r>
            <w:t>. [online] KRESTON OPR ADVISORS LLP. Available at: https://krestonopr.com/5-proven-importance-internal-audit/#:~:text=Given%20below%20are%205%20reasons%20indicating%20the%20importance [Accessed 27 Mar. 2023].</w:t>
          </w:r>
        </w:p>
        <w:p w14:paraId="250BCACC" w14:textId="77777777" w:rsidR="004F5D40" w:rsidRDefault="004F5D40" w:rsidP="004F5D40">
          <w:pPr>
            <w:pStyle w:val="NormalWeb"/>
            <w:spacing w:before="0" w:beforeAutospacing="0" w:after="240" w:afterAutospacing="0" w:line="360" w:lineRule="auto"/>
          </w:pPr>
          <w:r>
            <w:t xml:space="preserve">Ross, S. (2021). </w:t>
          </w:r>
          <w:r>
            <w:rPr>
              <w:i/>
              <w:iCs/>
            </w:rPr>
            <w:t xml:space="preserve">How Financial Accounting Differs </w:t>
          </w:r>
          <w:proofErr w:type="gramStart"/>
          <w:r>
            <w:rPr>
              <w:i/>
              <w:iCs/>
            </w:rPr>
            <w:t>From</w:t>
          </w:r>
          <w:proofErr w:type="gramEnd"/>
          <w:r>
            <w:rPr>
              <w:i/>
              <w:iCs/>
            </w:rPr>
            <w:t xml:space="preserve"> Managerial Accounting</w:t>
          </w:r>
          <w:r>
            <w:t>. [online] Investopedia. Available at: https://www.investopedia.com/ask/answers/041015/how-does-financial-accounting-differ-managerial-accounting.asp.</w:t>
          </w:r>
        </w:p>
        <w:p w14:paraId="506FBC44" w14:textId="77777777" w:rsidR="004F5D40" w:rsidRDefault="004F5D40" w:rsidP="004F5D40">
          <w:pPr>
            <w:pStyle w:val="NormalWeb"/>
            <w:spacing w:before="0" w:beforeAutospacing="0" w:after="240" w:afterAutospacing="0" w:line="360" w:lineRule="auto"/>
          </w:pPr>
          <w:proofErr w:type="spellStart"/>
          <w:r>
            <w:t>Shushila</w:t>
          </w:r>
          <w:proofErr w:type="spellEnd"/>
          <w:r>
            <w:t xml:space="preserve">, R. (2018). </w:t>
          </w:r>
          <w:r>
            <w:rPr>
              <w:i/>
              <w:iCs/>
            </w:rPr>
            <w:t>Budgetary Control: Meaning, Objectives, Control, Advantages and Limitations</w:t>
          </w:r>
          <w:r>
            <w:t>. [online] Learn Accounting: Notes, Procedures, Problems and Solutions. Available at: https://www.accountingnotes.net/cost-accounting/budgetary-control/budgetary-control-meaning-objectives-control-advantages-and-limitations/17138#:~:text=Essentials%20of%20Successful%20Budgetary%20Control%3A%201%201.%20Top [Accessed 27 Mar. 2023].</w:t>
          </w:r>
        </w:p>
        <w:p w14:paraId="69965378" w14:textId="77777777" w:rsidR="004F5D40" w:rsidRDefault="004F5D40" w:rsidP="004F5D40">
          <w:pPr>
            <w:pStyle w:val="NormalWeb"/>
            <w:spacing w:before="0" w:beforeAutospacing="0" w:after="240" w:afterAutospacing="0" w:line="360" w:lineRule="auto"/>
          </w:pPr>
          <w:r>
            <w:t xml:space="preserve">Statista (2018). </w:t>
          </w:r>
          <w:r>
            <w:rPr>
              <w:i/>
              <w:iCs/>
            </w:rPr>
            <w:t>Revenue of the footwear market worldwide by country 2018 | Statista</w:t>
          </w:r>
          <w:r>
            <w:t>. [online] Statista. Available at: https://www.statista.com/forecasts/758682/revenue-of-the-footwear-market-worldwide-by-country.</w:t>
          </w:r>
        </w:p>
        <w:p w14:paraId="470D0978" w14:textId="77777777" w:rsidR="004F5D40" w:rsidRDefault="004F5D40" w:rsidP="004F5D40">
          <w:pPr>
            <w:pStyle w:val="NormalWeb"/>
            <w:spacing w:before="0" w:beforeAutospacing="0" w:after="240" w:afterAutospacing="0" w:line="360" w:lineRule="auto"/>
          </w:pPr>
          <w:proofErr w:type="spellStart"/>
          <w:r>
            <w:t>TheTelegraph</w:t>
          </w:r>
          <w:proofErr w:type="spellEnd"/>
          <w:r>
            <w:t xml:space="preserve"> (2007). A Budget history. </w:t>
          </w:r>
          <w:r>
            <w:rPr>
              <w:i/>
              <w:iCs/>
            </w:rPr>
            <w:t>www.telegraph.co.uk</w:t>
          </w:r>
          <w:r>
            <w:t>. [online] 18 Mar. Available at: https://www.telegraph.co.uk/finance/2953319/A-Budget-history.html.</w:t>
          </w:r>
        </w:p>
        <w:p w14:paraId="5A31297E" w14:textId="77777777" w:rsidR="004F5D40" w:rsidRDefault="004F5D40" w:rsidP="004F5D40">
          <w:pPr>
            <w:pStyle w:val="NormalWeb"/>
            <w:spacing w:before="0" w:beforeAutospacing="0" w:after="240" w:afterAutospacing="0" w:line="360" w:lineRule="auto"/>
          </w:pPr>
          <w:proofErr w:type="spellStart"/>
          <w:r>
            <w:t>Threadcurve</w:t>
          </w:r>
          <w:proofErr w:type="spellEnd"/>
          <w:r>
            <w:t xml:space="preserve"> Editorial Team (2022). </w:t>
          </w:r>
          <w:r>
            <w:rPr>
              <w:i/>
              <w:iCs/>
            </w:rPr>
            <w:t xml:space="preserve">What’s the Profit Margin on Shoes? - </w:t>
          </w:r>
          <w:proofErr w:type="spellStart"/>
          <w:r>
            <w:rPr>
              <w:i/>
              <w:iCs/>
            </w:rPr>
            <w:t>ThreadCurve</w:t>
          </w:r>
          <w:proofErr w:type="spellEnd"/>
          <w:r>
            <w:t>. [online] Thread Curve. Available at: https://threadcurve.com/whats-the-profit-margin-on-shoes/#:~:text=According%20to%20Bloomberg%2C%20designers%20of%20costly%20women%E2%80%99s%20shoes [Accessed 22 Mar. 2023].</w:t>
          </w:r>
        </w:p>
        <w:p w14:paraId="2B11AC01" w14:textId="77777777" w:rsidR="004F5D40" w:rsidRDefault="004F5D40" w:rsidP="004F5D40">
          <w:pPr>
            <w:pStyle w:val="NormalWeb"/>
            <w:spacing w:before="0" w:beforeAutospacing="0" w:after="240" w:afterAutospacing="0" w:line="360" w:lineRule="auto"/>
          </w:pPr>
          <w:proofErr w:type="spellStart"/>
          <w:r>
            <w:t>Tuovila</w:t>
          </w:r>
          <w:proofErr w:type="spellEnd"/>
          <w:r>
            <w:t xml:space="preserve">, A. (2021). </w:t>
          </w:r>
          <w:r>
            <w:rPr>
              <w:i/>
              <w:iCs/>
            </w:rPr>
            <w:t>Cash Budget Definition</w:t>
          </w:r>
          <w:r>
            <w:t>. [online] Investopedia. Available at: https://www.investopedia.com/terms/c/cashbudget.asp [Accessed 14 Mar. 2023].</w:t>
          </w:r>
        </w:p>
        <w:p w14:paraId="6000650C" w14:textId="77777777" w:rsidR="004F5D40" w:rsidRDefault="004F5D40" w:rsidP="004F5D40">
          <w:pPr>
            <w:pStyle w:val="NormalWeb"/>
            <w:spacing w:before="0" w:beforeAutospacing="0" w:after="240" w:afterAutospacing="0" w:line="360" w:lineRule="auto"/>
          </w:pPr>
          <w:proofErr w:type="spellStart"/>
          <w:r>
            <w:t>Tuovila</w:t>
          </w:r>
          <w:proofErr w:type="spellEnd"/>
          <w:r>
            <w:t xml:space="preserve">, A. (2022). </w:t>
          </w:r>
          <w:r>
            <w:rPr>
              <w:i/>
              <w:iCs/>
            </w:rPr>
            <w:t>Managerial Accounting</w:t>
          </w:r>
          <w:r>
            <w:t>. [online] Investopedia. Available at: https://www.investopedia.com/terms/m/managerialaccounting.asp.</w:t>
          </w:r>
        </w:p>
        <w:p w14:paraId="0A317087" w14:textId="77777777" w:rsidR="004F5D40" w:rsidRDefault="004F5D40" w:rsidP="004F5D40">
          <w:pPr>
            <w:pStyle w:val="NormalWeb"/>
            <w:spacing w:before="0" w:beforeAutospacing="0" w:after="240" w:afterAutospacing="0" w:line="360" w:lineRule="auto"/>
          </w:pPr>
          <w:proofErr w:type="spellStart"/>
          <w:r>
            <w:lastRenderedPageBreak/>
            <w:t>Wanke</w:t>
          </w:r>
          <w:proofErr w:type="spellEnd"/>
          <w:r>
            <w:t xml:space="preserve">, P.F. and </w:t>
          </w:r>
          <w:proofErr w:type="spellStart"/>
          <w:r>
            <w:t>Saliby</w:t>
          </w:r>
          <w:proofErr w:type="spellEnd"/>
          <w:r>
            <w:t xml:space="preserve">, E. (2009). Consolidation effects: Whether and how inventories should be pooled. </w:t>
          </w:r>
          <w:r>
            <w:rPr>
              <w:i/>
              <w:iCs/>
            </w:rPr>
            <w:t>Transportation Research Part E: Logistics and Transportation Review</w:t>
          </w:r>
          <w:r>
            <w:t xml:space="preserve">, 45(5), pp.678–692. </w:t>
          </w:r>
          <w:proofErr w:type="spellStart"/>
          <w:proofErr w:type="gramStart"/>
          <w:r>
            <w:t>doi:https</w:t>
          </w:r>
          <w:proofErr w:type="spellEnd"/>
          <w:r>
            <w:t>://doi.org/10.1016/j.tre.2009.01.006</w:t>
          </w:r>
          <w:proofErr w:type="gramEnd"/>
          <w:r>
            <w:t>.</w:t>
          </w:r>
        </w:p>
        <w:p w14:paraId="25B6A57D" w14:textId="77777777" w:rsidR="004F5D40" w:rsidRDefault="004F5D40" w:rsidP="004F5D40">
          <w:pPr>
            <w:pStyle w:val="NormalWeb"/>
            <w:spacing w:before="0" w:beforeAutospacing="0" w:after="240" w:afterAutospacing="0" w:line="360" w:lineRule="auto"/>
          </w:pPr>
          <w:proofErr w:type="spellStart"/>
          <w:r>
            <w:t>Weetman</w:t>
          </w:r>
          <w:proofErr w:type="spellEnd"/>
          <w:r>
            <w:t xml:space="preserve">, P. (2019). </w:t>
          </w:r>
          <w:r>
            <w:rPr>
              <w:i/>
              <w:iCs/>
            </w:rPr>
            <w:t>Financial And Management Accounting.</w:t>
          </w:r>
          <w:r>
            <w:t xml:space="preserve"> 8th ed. Pearson, pp.745–746.</w:t>
          </w:r>
        </w:p>
        <w:p w14:paraId="6AF779F5" w14:textId="77777777" w:rsidR="004F5D40" w:rsidRDefault="004F5D40" w:rsidP="004F5D40">
          <w:pPr>
            <w:pStyle w:val="NormalWeb"/>
            <w:spacing w:before="0" w:beforeAutospacing="0" w:after="240" w:afterAutospacing="0" w:line="360" w:lineRule="auto"/>
          </w:pPr>
          <w:r>
            <w:t xml:space="preserve">www.theiia.org. (2017). </w:t>
          </w:r>
          <w:r>
            <w:rPr>
              <w:i/>
              <w:iCs/>
            </w:rPr>
            <w:t>International Standards for the Professional Practice of Internal Auditing</w:t>
          </w:r>
          <w:r>
            <w:t>. [online] Available at: https://www.theiia.org/en/content/guidance/mandatory/standards/international-standards-for-the-professional-practice-of-internal-auditing/.</w:t>
          </w:r>
        </w:p>
        <w:p w14:paraId="7F890C1F" w14:textId="2B794DCC" w:rsidR="00CA09F3" w:rsidRDefault="004F5D40">
          <w:r w:rsidRPr="004F5D40">
            <w:t>%20</w:t>
          </w:r>
        </w:p>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C4821"/>
    <w:multiLevelType w:val="hybridMultilevel"/>
    <w:tmpl w:val="D4CADD56"/>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 w15:restartNumberingAfterBreak="0">
    <w:nsid w:val="38E72905"/>
    <w:multiLevelType w:val="hybridMultilevel"/>
    <w:tmpl w:val="A7EEEBDE"/>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3" w15:restartNumberingAfterBreak="0">
    <w:nsid w:val="72C96532"/>
    <w:multiLevelType w:val="hybridMultilevel"/>
    <w:tmpl w:val="0C7EC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2"/>
  </w:num>
  <w:num w:numId="2" w16cid:durableId="1400981346">
    <w:abstractNumId w:val="1"/>
  </w:num>
  <w:num w:numId="3" w16cid:durableId="1089153880">
    <w:abstractNumId w:val="0"/>
  </w:num>
  <w:num w:numId="4" w16cid:durableId="7675077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6D3F"/>
    <w:rsid w:val="00074A62"/>
    <w:rsid w:val="00084E65"/>
    <w:rsid w:val="000A44FF"/>
    <w:rsid w:val="000C0EB9"/>
    <w:rsid w:val="00107936"/>
    <w:rsid w:val="00115B96"/>
    <w:rsid w:val="001500A1"/>
    <w:rsid w:val="00197111"/>
    <w:rsid w:val="001A4DBB"/>
    <w:rsid w:val="001B34C0"/>
    <w:rsid w:val="001E24A8"/>
    <w:rsid w:val="001E651B"/>
    <w:rsid w:val="0021440C"/>
    <w:rsid w:val="00220526"/>
    <w:rsid w:val="00224777"/>
    <w:rsid w:val="00263762"/>
    <w:rsid w:val="002A6551"/>
    <w:rsid w:val="002D66E0"/>
    <w:rsid w:val="00317776"/>
    <w:rsid w:val="00324CCD"/>
    <w:rsid w:val="00352B61"/>
    <w:rsid w:val="00391D76"/>
    <w:rsid w:val="00392F25"/>
    <w:rsid w:val="003E697F"/>
    <w:rsid w:val="00412D2D"/>
    <w:rsid w:val="00443379"/>
    <w:rsid w:val="00461121"/>
    <w:rsid w:val="0047295E"/>
    <w:rsid w:val="00477E49"/>
    <w:rsid w:val="00480872"/>
    <w:rsid w:val="004A11F6"/>
    <w:rsid w:val="004D519C"/>
    <w:rsid w:val="004F5786"/>
    <w:rsid w:val="004F5D40"/>
    <w:rsid w:val="00505FA7"/>
    <w:rsid w:val="00516F12"/>
    <w:rsid w:val="0056009C"/>
    <w:rsid w:val="00575402"/>
    <w:rsid w:val="005B0D13"/>
    <w:rsid w:val="005E330B"/>
    <w:rsid w:val="005E4CE3"/>
    <w:rsid w:val="00646049"/>
    <w:rsid w:val="00651811"/>
    <w:rsid w:val="00671F1A"/>
    <w:rsid w:val="0068395C"/>
    <w:rsid w:val="006A36BE"/>
    <w:rsid w:val="006B1145"/>
    <w:rsid w:val="006C650D"/>
    <w:rsid w:val="006C6B47"/>
    <w:rsid w:val="006F35B7"/>
    <w:rsid w:val="007108D0"/>
    <w:rsid w:val="00756466"/>
    <w:rsid w:val="00762B91"/>
    <w:rsid w:val="007C1347"/>
    <w:rsid w:val="007D1947"/>
    <w:rsid w:val="007F2ED5"/>
    <w:rsid w:val="00853B53"/>
    <w:rsid w:val="008E14F9"/>
    <w:rsid w:val="008F2B6E"/>
    <w:rsid w:val="008F4B79"/>
    <w:rsid w:val="00900292"/>
    <w:rsid w:val="009220B2"/>
    <w:rsid w:val="00922ED9"/>
    <w:rsid w:val="00931CAA"/>
    <w:rsid w:val="009F47E4"/>
    <w:rsid w:val="00A110C8"/>
    <w:rsid w:val="00A12B58"/>
    <w:rsid w:val="00A60DD8"/>
    <w:rsid w:val="00A90D39"/>
    <w:rsid w:val="00AA2A91"/>
    <w:rsid w:val="00AB7DB8"/>
    <w:rsid w:val="00BF5EED"/>
    <w:rsid w:val="00C420FF"/>
    <w:rsid w:val="00C42FED"/>
    <w:rsid w:val="00C84D7F"/>
    <w:rsid w:val="00CA09F3"/>
    <w:rsid w:val="00CC3E30"/>
    <w:rsid w:val="00D111C8"/>
    <w:rsid w:val="00D36044"/>
    <w:rsid w:val="00D61835"/>
    <w:rsid w:val="00D854A5"/>
    <w:rsid w:val="00DA2C04"/>
    <w:rsid w:val="00DC5097"/>
    <w:rsid w:val="00E12CED"/>
    <w:rsid w:val="00E57A77"/>
    <w:rsid w:val="00E71A2A"/>
    <w:rsid w:val="00E91AE9"/>
    <w:rsid w:val="00EB35E3"/>
    <w:rsid w:val="00F1705E"/>
    <w:rsid w:val="00F3307D"/>
    <w:rsid w:val="00F426D0"/>
    <w:rsid w:val="00F64B54"/>
    <w:rsid w:val="00F84FEC"/>
    <w:rsid w:val="00FC0E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NormalWeb">
    <w:name w:val="Normal (Web)"/>
    <w:basedOn w:val="Normal"/>
    <w:uiPriority w:val="99"/>
    <w:semiHidden/>
    <w:unhideWhenUsed/>
    <w:rsid w:val="004F5D4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236838">
      <w:bodyDiv w:val="1"/>
      <w:marLeft w:val="0"/>
      <w:marRight w:val="0"/>
      <w:marTop w:val="0"/>
      <w:marBottom w:val="0"/>
      <w:divBdr>
        <w:top w:val="none" w:sz="0" w:space="0" w:color="auto"/>
        <w:left w:val="none" w:sz="0" w:space="0" w:color="auto"/>
        <w:bottom w:val="none" w:sz="0" w:space="0" w:color="auto"/>
        <w:right w:val="none" w:sz="0" w:space="0" w:color="auto"/>
      </w:divBdr>
      <w:divsChild>
        <w:div w:id="7112654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91779D"/>
    <w:rsid w:val="00981B3C"/>
    <w:rsid w:val="00A34C42"/>
    <w:rsid w:val="00BC1251"/>
    <w:rsid w:val="00C67429"/>
    <w:rsid w:val="00E00C6B"/>
    <w:rsid w:val="00F96E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6713</TotalTime>
  <Pages>15</Pages>
  <Words>3840</Words>
  <Characters>21891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Budgeting principles and approaches</vt:lpstr>
    </vt:vector>
  </TitlesOfParts>
  <Company>University of Wales Trinity Saint David</Company>
  <LinksUpToDate>false</LinksUpToDate>
  <CharactersWithSpaces>25680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
  <dc:creator>Marie Pitson</dc:creator>
  <cp:keywords/>
  <dc:description/>
  <cp:lastModifiedBy>Georgi Dudev (2027285)</cp:lastModifiedBy>
  <cp:revision>22</cp:revision>
  <dcterms:created xsi:type="dcterms:W3CDTF">2023-01-30T13:44:00Z</dcterms:created>
  <dcterms:modified xsi:type="dcterms:W3CDTF">2023-03-27T14:11:00Z</dcterms:modified>
</cp:coreProperties>
</file>