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21FA" w:rsidRDefault="004E21FA" w:rsidP="00602F1A">
      <w:pPr>
        <w:rPr>
          <w:b/>
          <w:sz w:val="36"/>
          <w:szCs w:val="36"/>
        </w:rPr>
      </w:pPr>
    </w:p>
    <w:p w:rsidR="004E21FA" w:rsidRDefault="004E21FA" w:rsidP="004E21FA">
      <w:pPr>
        <w:jc w:val="center"/>
        <w:rPr>
          <w:b/>
          <w:sz w:val="36"/>
          <w:szCs w:val="36"/>
        </w:rPr>
      </w:pPr>
    </w:p>
    <w:p w:rsidR="004E21FA" w:rsidRDefault="004E21FA" w:rsidP="004E21FA">
      <w:pPr>
        <w:jc w:val="center"/>
        <w:rPr>
          <w:b/>
          <w:sz w:val="36"/>
          <w:szCs w:val="36"/>
        </w:rPr>
      </w:pPr>
    </w:p>
    <w:p w:rsidR="004E21FA" w:rsidRDefault="004E21FA" w:rsidP="004E21FA">
      <w:pPr>
        <w:jc w:val="center"/>
        <w:rPr>
          <w:b/>
          <w:sz w:val="36"/>
          <w:szCs w:val="36"/>
        </w:rPr>
      </w:pPr>
    </w:p>
    <w:p w:rsidR="004E21FA" w:rsidRDefault="004E21FA" w:rsidP="004E21FA">
      <w:pPr>
        <w:jc w:val="center"/>
        <w:rPr>
          <w:b/>
          <w:sz w:val="36"/>
          <w:szCs w:val="36"/>
        </w:rPr>
      </w:pPr>
    </w:p>
    <w:p w:rsidR="004E21FA" w:rsidRDefault="004E21FA" w:rsidP="004E21FA">
      <w:pPr>
        <w:jc w:val="center"/>
        <w:rPr>
          <w:b/>
          <w:sz w:val="36"/>
          <w:szCs w:val="36"/>
        </w:rPr>
      </w:pPr>
    </w:p>
    <w:p w:rsidR="0022149D" w:rsidRPr="004E21FA" w:rsidRDefault="004E21FA" w:rsidP="004E21FA">
      <w:pPr>
        <w:jc w:val="center"/>
        <w:rPr>
          <w:b/>
          <w:sz w:val="36"/>
          <w:szCs w:val="36"/>
        </w:rPr>
      </w:pPr>
      <w:r w:rsidRPr="004E21FA">
        <w:rPr>
          <w:b/>
          <w:sz w:val="36"/>
          <w:szCs w:val="36"/>
        </w:rPr>
        <w:t>Maintaining a Framework for practice</w:t>
      </w:r>
    </w:p>
    <w:p w:rsidR="004E21FA" w:rsidRPr="004E21FA" w:rsidRDefault="004E21FA" w:rsidP="004E21FA">
      <w:pPr>
        <w:jc w:val="center"/>
        <w:rPr>
          <w:b/>
          <w:sz w:val="36"/>
          <w:szCs w:val="36"/>
        </w:rPr>
      </w:pPr>
    </w:p>
    <w:p w:rsidR="004E21FA" w:rsidRPr="004E21FA" w:rsidRDefault="004E21FA" w:rsidP="004E21FA">
      <w:pPr>
        <w:jc w:val="center"/>
        <w:rPr>
          <w:b/>
          <w:sz w:val="36"/>
          <w:szCs w:val="36"/>
        </w:rPr>
      </w:pPr>
      <w:r w:rsidRPr="004E21FA">
        <w:rPr>
          <w:b/>
          <w:sz w:val="36"/>
          <w:szCs w:val="36"/>
        </w:rPr>
        <w:t>ECGC4002</w:t>
      </w:r>
    </w:p>
    <w:p w:rsidR="004E21FA" w:rsidRPr="004E21FA" w:rsidRDefault="004E21FA" w:rsidP="004E21FA">
      <w:pPr>
        <w:jc w:val="center"/>
        <w:rPr>
          <w:b/>
          <w:sz w:val="36"/>
          <w:szCs w:val="36"/>
        </w:rPr>
      </w:pPr>
    </w:p>
    <w:p w:rsidR="004E21FA" w:rsidRPr="004E21FA" w:rsidRDefault="004E21FA" w:rsidP="004E21FA">
      <w:pPr>
        <w:jc w:val="center"/>
        <w:rPr>
          <w:b/>
          <w:sz w:val="36"/>
          <w:szCs w:val="36"/>
        </w:rPr>
      </w:pPr>
      <w:r w:rsidRPr="004E21FA">
        <w:rPr>
          <w:b/>
          <w:sz w:val="36"/>
          <w:szCs w:val="36"/>
        </w:rPr>
        <w:t>CAROLYNE LEIGH WILLIAMS</w:t>
      </w:r>
    </w:p>
    <w:p w:rsidR="004E21FA" w:rsidRPr="004E21FA" w:rsidRDefault="004E21FA" w:rsidP="004E21FA">
      <w:pPr>
        <w:jc w:val="center"/>
        <w:rPr>
          <w:b/>
          <w:sz w:val="36"/>
          <w:szCs w:val="36"/>
        </w:rPr>
      </w:pPr>
    </w:p>
    <w:p w:rsidR="004E21FA" w:rsidRDefault="004E21FA" w:rsidP="004E21FA">
      <w:pPr>
        <w:jc w:val="center"/>
        <w:rPr>
          <w:b/>
          <w:sz w:val="36"/>
          <w:szCs w:val="36"/>
        </w:rPr>
      </w:pPr>
      <w:r w:rsidRPr="004E21FA">
        <w:rPr>
          <w:b/>
          <w:sz w:val="36"/>
          <w:szCs w:val="36"/>
        </w:rPr>
        <w:t>1704726</w:t>
      </w:r>
    </w:p>
    <w:p w:rsidR="00B447BF" w:rsidRDefault="00B447BF" w:rsidP="004E21FA">
      <w:pPr>
        <w:jc w:val="center"/>
        <w:rPr>
          <w:b/>
          <w:sz w:val="36"/>
          <w:szCs w:val="36"/>
        </w:rPr>
      </w:pPr>
    </w:p>
    <w:p w:rsidR="00B447BF" w:rsidRDefault="00B447BF" w:rsidP="004E21FA">
      <w:pPr>
        <w:jc w:val="center"/>
        <w:rPr>
          <w:b/>
          <w:sz w:val="36"/>
          <w:szCs w:val="36"/>
        </w:rPr>
      </w:pPr>
    </w:p>
    <w:p w:rsidR="00B447BF" w:rsidRDefault="00B447BF" w:rsidP="004E21FA">
      <w:pPr>
        <w:jc w:val="center"/>
        <w:rPr>
          <w:b/>
          <w:sz w:val="36"/>
          <w:szCs w:val="36"/>
        </w:rPr>
      </w:pPr>
    </w:p>
    <w:p w:rsidR="00B447BF" w:rsidRDefault="00B447BF" w:rsidP="004E21FA">
      <w:pPr>
        <w:jc w:val="center"/>
        <w:rPr>
          <w:b/>
          <w:sz w:val="36"/>
          <w:szCs w:val="36"/>
        </w:rPr>
      </w:pPr>
    </w:p>
    <w:p w:rsidR="00B447BF" w:rsidRDefault="00B447BF" w:rsidP="004E21FA">
      <w:pPr>
        <w:jc w:val="center"/>
        <w:rPr>
          <w:b/>
          <w:sz w:val="36"/>
          <w:szCs w:val="36"/>
        </w:rPr>
      </w:pPr>
    </w:p>
    <w:p w:rsidR="00B447BF" w:rsidRDefault="00B447BF" w:rsidP="004E21FA">
      <w:pPr>
        <w:jc w:val="center"/>
        <w:rPr>
          <w:b/>
          <w:sz w:val="36"/>
          <w:szCs w:val="36"/>
        </w:rPr>
      </w:pPr>
    </w:p>
    <w:p w:rsidR="00B447BF" w:rsidRDefault="00B447BF" w:rsidP="004E21FA">
      <w:pPr>
        <w:jc w:val="center"/>
        <w:rPr>
          <w:b/>
          <w:sz w:val="36"/>
          <w:szCs w:val="36"/>
        </w:rPr>
      </w:pPr>
    </w:p>
    <w:p w:rsidR="00B447BF" w:rsidRDefault="00B447BF" w:rsidP="004E21FA">
      <w:pPr>
        <w:jc w:val="center"/>
        <w:rPr>
          <w:b/>
          <w:sz w:val="36"/>
          <w:szCs w:val="36"/>
        </w:rPr>
      </w:pPr>
    </w:p>
    <w:p w:rsidR="00CB1904" w:rsidRDefault="00CB1904" w:rsidP="00B447BF">
      <w:pPr>
        <w:rPr>
          <w:b/>
          <w:sz w:val="36"/>
          <w:szCs w:val="36"/>
        </w:rPr>
      </w:pPr>
    </w:p>
    <w:p w:rsidR="00B447BF" w:rsidRPr="00B447BF" w:rsidRDefault="00CB1904" w:rsidP="00B447BF">
      <w:pPr>
        <w:rPr>
          <w:sz w:val="24"/>
          <w:szCs w:val="24"/>
        </w:rPr>
      </w:pPr>
      <w:r>
        <w:rPr>
          <w:b/>
          <w:sz w:val="36"/>
          <w:szCs w:val="36"/>
        </w:rPr>
        <w:lastRenderedPageBreak/>
        <w:t xml:space="preserve">    </w:t>
      </w:r>
      <w:r w:rsidR="00396314">
        <w:rPr>
          <w:sz w:val="24"/>
          <w:szCs w:val="24"/>
        </w:rPr>
        <w:t xml:space="preserve">This assignment will demonstrate commitment to the ethical principles which underpin counselling and psychotherapy. After this, legal practice, professional and organisational requirements, equal opportunities, diversity and anti-discrimination will be explored and its relevance and importance to counselling practice. In addition to this </w:t>
      </w:r>
      <w:r w:rsidR="00E4293F">
        <w:rPr>
          <w:sz w:val="24"/>
          <w:szCs w:val="24"/>
        </w:rPr>
        <w:t xml:space="preserve">a demonstration of understanding of the role and importance of supervision will be made clear. An equally clear understanding will be described with regards to components that underpin therapeutic alliances, which will include the client’s motivation, commitment to the therapeutic process and the contract arrangements. </w:t>
      </w:r>
    </w:p>
    <w:p w:rsidR="00CB03CE" w:rsidRDefault="00CB1904" w:rsidP="00537A61">
      <w:pPr>
        <w:rPr>
          <w:sz w:val="24"/>
          <w:szCs w:val="24"/>
        </w:rPr>
      </w:pPr>
      <w:r>
        <w:rPr>
          <w:sz w:val="24"/>
          <w:szCs w:val="24"/>
        </w:rPr>
        <w:t xml:space="preserve">    </w:t>
      </w:r>
      <w:r w:rsidR="007E1B60" w:rsidRPr="007E1B60">
        <w:rPr>
          <w:sz w:val="24"/>
          <w:szCs w:val="24"/>
        </w:rPr>
        <w:t>In the United Kingdom</w:t>
      </w:r>
      <w:r w:rsidR="007E1B60">
        <w:rPr>
          <w:sz w:val="24"/>
          <w:szCs w:val="24"/>
        </w:rPr>
        <w:t xml:space="preserve"> (UK)</w:t>
      </w:r>
      <w:r w:rsidR="007E1B60" w:rsidRPr="007E1B60">
        <w:rPr>
          <w:sz w:val="24"/>
          <w:szCs w:val="24"/>
        </w:rPr>
        <w:t>, the British</w:t>
      </w:r>
      <w:r w:rsidR="007E1B60">
        <w:rPr>
          <w:sz w:val="24"/>
          <w:szCs w:val="24"/>
        </w:rPr>
        <w:t xml:space="preserve"> Association for counsellors and psychotherapists </w:t>
      </w:r>
      <w:bookmarkStart w:id="0" w:name="_GoBack"/>
      <w:bookmarkEnd w:id="0"/>
      <w:r w:rsidR="007E1B60">
        <w:rPr>
          <w:sz w:val="24"/>
          <w:szCs w:val="24"/>
        </w:rPr>
        <w:t>(BACP), provides an ethical framework which is continuously revised. There are other associations within the UK for example United Kingdom Council for psychotherapy (UKCP) who also have their own ethical framework. However, the BACP has the majority of</w:t>
      </w:r>
      <w:r w:rsidR="00543BBB">
        <w:rPr>
          <w:sz w:val="24"/>
          <w:szCs w:val="24"/>
        </w:rPr>
        <w:t xml:space="preserve"> members. The BACP has the largest comprehensive cover regarding principles and values (Proctor, 2014, p.54). According to the BACP, all their ethics are based </w:t>
      </w:r>
      <w:r w:rsidR="00802E9E">
        <w:rPr>
          <w:sz w:val="24"/>
          <w:szCs w:val="24"/>
        </w:rPr>
        <w:t>upon</w:t>
      </w:r>
      <w:r w:rsidR="00B83C94">
        <w:rPr>
          <w:sz w:val="24"/>
          <w:szCs w:val="24"/>
        </w:rPr>
        <w:t xml:space="preserve"> principles, values, </w:t>
      </w:r>
      <w:r w:rsidR="00543BBB">
        <w:rPr>
          <w:sz w:val="24"/>
          <w:szCs w:val="24"/>
        </w:rPr>
        <w:t>personal honest</w:t>
      </w:r>
      <w:r w:rsidR="00B83C94">
        <w:rPr>
          <w:sz w:val="24"/>
          <w:szCs w:val="24"/>
        </w:rPr>
        <w:t>y</w:t>
      </w:r>
      <w:r w:rsidR="00543BBB">
        <w:rPr>
          <w:sz w:val="24"/>
          <w:szCs w:val="24"/>
        </w:rPr>
        <w:t xml:space="preserve"> and respectable </w:t>
      </w:r>
      <w:r w:rsidR="00B83C94">
        <w:rPr>
          <w:sz w:val="24"/>
          <w:szCs w:val="24"/>
        </w:rPr>
        <w:t xml:space="preserve">standards and it is these ethics that underpin counselling and psychotherapy. </w:t>
      </w:r>
    </w:p>
    <w:p w:rsidR="00CB03CE" w:rsidRDefault="00CB03CE" w:rsidP="00537A61">
      <w:pPr>
        <w:rPr>
          <w:sz w:val="24"/>
          <w:szCs w:val="24"/>
        </w:rPr>
      </w:pPr>
      <w:r>
        <w:rPr>
          <w:sz w:val="24"/>
          <w:szCs w:val="24"/>
        </w:rPr>
        <w:t xml:space="preserve">    </w:t>
      </w:r>
      <w:r w:rsidR="00F54A2F">
        <w:rPr>
          <w:sz w:val="24"/>
          <w:szCs w:val="24"/>
        </w:rPr>
        <w:t>The BACP expresses that their clients must be able to take part freely when they are working with</w:t>
      </w:r>
      <w:r w:rsidR="00802E9E">
        <w:rPr>
          <w:sz w:val="24"/>
          <w:szCs w:val="24"/>
        </w:rPr>
        <w:t>in</w:t>
      </w:r>
      <w:r w:rsidR="00F54A2F">
        <w:rPr>
          <w:sz w:val="24"/>
          <w:szCs w:val="24"/>
        </w:rPr>
        <w:t xml:space="preserve"> the counselling profession to obtain their goals. They have to ensure that the clients are able to trust their counsellors or psychotherapists at all times with their very personal information</w:t>
      </w:r>
      <w:r w:rsidR="00750D92">
        <w:rPr>
          <w:sz w:val="24"/>
          <w:szCs w:val="24"/>
        </w:rPr>
        <w:t xml:space="preserve">. All members of the BACP must comply at all times with the framework that has been set out (BACP, 2018). </w:t>
      </w:r>
      <w:r w:rsidR="009569B5">
        <w:rPr>
          <w:sz w:val="24"/>
          <w:szCs w:val="24"/>
        </w:rPr>
        <w:t>Every month the BACP audits a sample of its members to ensure that all standards set out by them are maintained and they also investigate complaints through their</w:t>
      </w:r>
      <w:r>
        <w:rPr>
          <w:sz w:val="24"/>
          <w:szCs w:val="24"/>
        </w:rPr>
        <w:t xml:space="preserve"> professional conduct process. </w:t>
      </w:r>
      <w:r w:rsidR="009569B5">
        <w:rPr>
          <w:sz w:val="24"/>
          <w:szCs w:val="24"/>
        </w:rPr>
        <w:t xml:space="preserve"> </w:t>
      </w:r>
    </w:p>
    <w:p w:rsidR="00537A61" w:rsidRDefault="00CB03CE" w:rsidP="00537A61">
      <w:pPr>
        <w:rPr>
          <w:sz w:val="24"/>
          <w:szCs w:val="24"/>
        </w:rPr>
      </w:pPr>
      <w:r>
        <w:rPr>
          <w:sz w:val="24"/>
          <w:szCs w:val="24"/>
        </w:rPr>
        <w:t xml:space="preserve">    </w:t>
      </w:r>
      <w:r>
        <w:rPr>
          <w:sz w:val="24"/>
          <w:szCs w:val="24"/>
        </w:rPr>
        <w:t xml:space="preserve">The relationship between the counsellor and client is a very unique one. It is a specialised and very structured and has </w:t>
      </w:r>
      <w:r>
        <w:rPr>
          <w:sz w:val="24"/>
          <w:szCs w:val="24"/>
        </w:rPr>
        <w:t>boundaries.</w:t>
      </w:r>
      <w:r w:rsidRPr="00020589">
        <w:rPr>
          <w:sz w:val="24"/>
          <w:szCs w:val="24"/>
        </w:rPr>
        <w:t xml:space="preserve"> Every</w:t>
      </w:r>
      <w:r w:rsidR="00020589" w:rsidRPr="00020589">
        <w:rPr>
          <w:sz w:val="24"/>
          <w:szCs w:val="24"/>
        </w:rPr>
        <w:t xml:space="preserve"> client</w:t>
      </w:r>
      <w:r w:rsidR="00020589">
        <w:rPr>
          <w:sz w:val="24"/>
          <w:szCs w:val="24"/>
        </w:rPr>
        <w:t xml:space="preserve"> deserves to be treated with respect</w:t>
      </w:r>
      <w:r w:rsidR="00A173E2">
        <w:rPr>
          <w:sz w:val="24"/>
          <w:szCs w:val="24"/>
        </w:rPr>
        <w:t>, dignity</w:t>
      </w:r>
      <w:r w:rsidR="00020589">
        <w:rPr>
          <w:sz w:val="24"/>
          <w:szCs w:val="24"/>
        </w:rPr>
        <w:t xml:space="preserve"> and equality. Counsellors at all times must ensure that every client is valued and accepted, and also understand that there are many differences within every clients background</w:t>
      </w:r>
      <w:r w:rsidR="00A173E2">
        <w:rPr>
          <w:sz w:val="24"/>
          <w:szCs w:val="24"/>
        </w:rPr>
        <w:t>,</w:t>
      </w:r>
      <w:r w:rsidR="00020589">
        <w:rPr>
          <w:sz w:val="24"/>
          <w:szCs w:val="24"/>
        </w:rPr>
        <w:t xml:space="preserve"> for example</w:t>
      </w:r>
      <w:r w:rsidR="00A173E2">
        <w:rPr>
          <w:sz w:val="24"/>
          <w:szCs w:val="24"/>
        </w:rPr>
        <w:t>,</w:t>
      </w:r>
      <w:r w:rsidR="00020589">
        <w:rPr>
          <w:sz w:val="24"/>
          <w:szCs w:val="24"/>
        </w:rPr>
        <w:t xml:space="preserve"> this could be the clients age, gender</w:t>
      </w:r>
      <w:r w:rsidR="00CB4F81">
        <w:rPr>
          <w:sz w:val="24"/>
          <w:szCs w:val="24"/>
        </w:rPr>
        <w:t xml:space="preserve">, sexual orientation and race or religion. </w:t>
      </w:r>
      <w:r w:rsidR="00802E9E">
        <w:rPr>
          <w:sz w:val="24"/>
          <w:szCs w:val="24"/>
        </w:rPr>
        <w:t>Beneficence is to accept the responsibility to promote what is best for the client</w:t>
      </w:r>
      <w:r w:rsidR="00DB2E4C">
        <w:rPr>
          <w:sz w:val="24"/>
          <w:szCs w:val="24"/>
        </w:rPr>
        <w:t>. When the client begins the process of therapy they expect to benefit from the therapeutic relationship. Nonmaleficence is the counsellor’s commitment towards the client and to do no harm. The counsellor has to make sure that activities that could possibly harm the client must be avoided at all times (Corey, 1996</w:t>
      </w:r>
      <w:r w:rsidR="00893A07">
        <w:rPr>
          <w:sz w:val="24"/>
          <w:szCs w:val="24"/>
        </w:rPr>
        <w:t>, p.54</w:t>
      </w:r>
      <w:r w:rsidR="00DB2E4C">
        <w:rPr>
          <w:sz w:val="24"/>
          <w:szCs w:val="24"/>
        </w:rPr>
        <w:t xml:space="preserve">). </w:t>
      </w:r>
      <w:r w:rsidR="00537A61">
        <w:rPr>
          <w:sz w:val="24"/>
          <w:szCs w:val="24"/>
        </w:rPr>
        <w:t>Autonomy is to have respect for the clients own self-governing</w:t>
      </w:r>
      <w:r w:rsidR="006732B8">
        <w:rPr>
          <w:sz w:val="24"/>
          <w:szCs w:val="24"/>
        </w:rPr>
        <w:t xml:space="preserve"> and is one of the key principals</w:t>
      </w:r>
      <w:r w:rsidR="00537A61">
        <w:rPr>
          <w:sz w:val="24"/>
          <w:szCs w:val="24"/>
        </w:rPr>
        <w:t>. The client basically has the right to make their own decision on how to live their lives</w:t>
      </w:r>
      <w:r w:rsidR="006732B8">
        <w:rPr>
          <w:sz w:val="24"/>
          <w:szCs w:val="24"/>
        </w:rPr>
        <w:t xml:space="preserve"> and to be given dignity to do this (Proctor, 2014, p.125). However, there is conflict between beneficence</w:t>
      </w:r>
      <w:r w:rsidR="00A22A1E">
        <w:rPr>
          <w:sz w:val="24"/>
          <w:szCs w:val="24"/>
        </w:rPr>
        <w:t xml:space="preserve"> and autonomy and this is the most common dilemma. It is unclear how a counsellor would priorities this dilemma as stated by the BACP and when the time comes and they are faced with this situation the counsellor would have to consider all the circumstances and in turn would be </w:t>
      </w:r>
      <w:r w:rsidR="00A835A6">
        <w:rPr>
          <w:sz w:val="24"/>
          <w:szCs w:val="24"/>
        </w:rPr>
        <w:t>accountable for their decision (Proctor, 2014, p.125).</w:t>
      </w:r>
    </w:p>
    <w:p w:rsidR="00CB03CE" w:rsidRDefault="00CB03CE" w:rsidP="00CB03CE">
      <w:pPr>
        <w:rPr>
          <w:sz w:val="24"/>
          <w:szCs w:val="24"/>
        </w:rPr>
      </w:pPr>
      <w:r>
        <w:rPr>
          <w:sz w:val="24"/>
          <w:szCs w:val="24"/>
        </w:rPr>
        <w:t xml:space="preserve">    </w:t>
      </w:r>
    </w:p>
    <w:p w:rsidR="00CB03CE" w:rsidRDefault="00CB03CE" w:rsidP="00CB03CE">
      <w:pPr>
        <w:rPr>
          <w:sz w:val="24"/>
          <w:szCs w:val="24"/>
        </w:rPr>
      </w:pPr>
      <w:r>
        <w:rPr>
          <w:sz w:val="24"/>
          <w:szCs w:val="24"/>
        </w:rPr>
        <w:lastRenderedPageBreak/>
        <w:t xml:space="preserve">    </w:t>
      </w:r>
      <w:r>
        <w:rPr>
          <w:sz w:val="24"/>
          <w:szCs w:val="24"/>
        </w:rPr>
        <w:t xml:space="preserve">The BACP has a legal obligation to ensure that these values are </w:t>
      </w:r>
      <w:r>
        <w:rPr>
          <w:sz w:val="24"/>
          <w:szCs w:val="24"/>
        </w:rPr>
        <w:t>continually adhered and</w:t>
      </w:r>
      <w:r>
        <w:rPr>
          <w:sz w:val="24"/>
          <w:szCs w:val="24"/>
        </w:rPr>
        <w:t xml:space="preserve"> comply with The Equality Act 2010 (Bond, 2015, p.199-201). The Equality Act 2010 protects people from discrimination whether it’s in the workplace or society in general. This law is now easier to understand compared to previous anti-discrimination laws and sets out ways which are unlawful to treat a person (Gov.Uk, 2015). </w:t>
      </w:r>
    </w:p>
    <w:p w:rsidR="001B3B35" w:rsidRDefault="00CB03CE" w:rsidP="001B3B35">
      <w:pPr>
        <w:rPr>
          <w:sz w:val="24"/>
          <w:szCs w:val="24"/>
        </w:rPr>
      </w:pPr>
      <w:r>
        <w:rPr>
          <w:sz w:val="24"/>
          <w:szCs w:val="24"/>
        </w:rPr>
        <w:t xml:space="preserve">    </w:t>
      </w:r>
      <w:r w:rsidR="001B3B35">
        <w:rPr>
          <w:sz w:val="24"/>
          <w:szCs w:val="24"/>
        </w:rPr>
        <w:t xml:space="preserve">The BACP states that Counsellors and psychotherapists have a duty of care towards their clients at all times and will always have their best interests at heart. Many clients who access therapy will be very vulnerable and initially may have the feeling that the counsellor is more powerful. Boundaries are limits which are set out by the BACP to provide the clients with their psychological safety. Boundaries also have the ability to protect the counsellor or therapist. An example of one boundary which would be held by the therapist or counsellor would be to not have a sexual relationship with their client. Many boundaries are not discussed with the clients but it is the responsibility of the counsellor to keep at all times.    One of the main tasks at the beginning of the therapy with the client is to draw up together a contract to enable a working alliance together. They would initially discuss what the client would like to achieve during the therapy. They would then discuss what could be done to enable the client to get to their achievement. During this, it would also be discussed what the client would not like to happen or any tasks which could take place.  Thirdly, there must be a good bond between the client and counsellor. Again, throughout these initial discussions the core conditions would be used (McLeod, 2009). Confidentiality and record keeping will also be discussed along with the fees, times and the duration of each counselling sessions and also how many would initially be taken (McLeod 2009, p.5). </w:t>
      </w:r>
    </w:p>
    <w:p w:rsidR="007D448A" w:rsidRDefault="001B3B35" w:rsidP="00EC0721">
      <w:pPr>
        <w:rPr>
          <w:rFonts w:cstheme="minorHAnsi"/>
          <w:sz w:val="24"/>
          <w:szCs w:val="24"/>
        </w:rPr>
      </w:pPr>
      <w:r w:rsidRPr="00EC0721">
        <w:rPr>
          <w:rFonts w:cstheme="minorHAnsi"/>
          <w:sz w:val="24"/>
          <w:szCs w:val="24"/>
        </w:rPr>
        <w:t xml:space="preserve">    </w:t>
      </w:r>
      <w:r w:rsidR="00E36984" w:rsidRPr="00EC0721">
        <w:rPr>
          <w:rFonts w:cstheme="minorHAnsi"/>
          <w:sz w:val="24"/>
          <w:szCs w:val="24"/>
        </w:rPr>
        <w:t xml:space="preserve">An ethical requirement within a counselling role is supervision as it supports you in dealing with situations which may have an impact </w:t>
      </w:r>
      <w:r w:rsidR="0001344C" w:rsidRPr="00EC0721">
        <w:rPr>
          <w:rFonts w:cstheme="minorHAnsi"/>
          <w:sz w:val="24"/>
          <w:szCs w:val="24"/>
        </w:rPr>
        <w:t>on the</w:t>
      </w:r>
      <w:r w:rsidR="00E36984" w:rsidRPr="00EC0721">
        <w:rPr>
          <w:rFonts w:cstheme="minorHAnsi"/>
          <w:sz w:val="24"/>
          <w:szCs w:val="24"/>
        </w:rPr>
        <w:t xml:space="preserve"> counselling </w:t>
      </w:r>
      <w:r w:rsidR="0001344C" w:rsidRPr="00EC0721">
        <w:rPr>
          <w:rFonts w:cstheme="minorHAnsi"/>
          <w:sz w:val="24"/>
          <w:szCs w:val="24"/>
        </w:rPr>
        <w:t>relationships. Awareness of many problems and issues is not always enough in a counselling role and sometimes situational issues can affect the counsellor’s practice with the client whilst also having an effect on themselves. The supervisor has a responsibility not only to the counsellor but with the client and the organisation that the counsellor is a member of (Copeland, 2018</w:t>
      </w:r>
      <w:r w:rsidR="00375D09" w:rsidRPr="00EC0721">
        <w:rPr>
          <w:rFonts w:cstheme="minorHAnsi"/>
          <w:sz w:val="24"/>
          <w:szCs w:val="24"/>
        </w:rPr>
        <w:t>, p.377</w:t>
      </w:r>
      <w:r w:rsidR="0001344C" w:rsidRPr="00EC0721">
        <w:rPr>
          <w:rFonts w:cstheme="minorHAnsi"/>
          <w:sz w:val="24"/>
          <w:szCs w:val="24"/>
        </w:rPr>
        <w:t>).</w:t>
      </w:r>
      <w:r w:rsidR="00CB1904" w:rsidRPr="00EC0721">
        <w:rPr>
          <w:rFonts w:cstheme="minorHAnsi"/>
          <w:sz w:val="24"/>
          <w:szCs w:val="24"/>
        </w:rPr>
        <w:t xml:space="preserve"> Supervision is an important part of being a counsellor to enhance professional development, self-awareness, self-care and as a result it will enable the supervisor to make sure good practice is being followed which is required for the counsellor’s role and their relationship wi</w:t>
      </w:r>
      <w:r w:rsidR="00A835A6" w:rsidRPr="00EC0721">
        <w:rPr>
          <w:rFonts w:cstheme="minorHAnsi"/>
          <w:sz w:val="24"/>
          <w:szCs w:val="24"/>
        </w:rPr>
        <w:t>th their clients.</w:t>
      </w:r>
      <w:r w:rsidR="00CB1904" w:rsidRPr="00EC0721">
        <w:rPr>
          <w:rFonts w:cstheme="minorHAnsi"/>
          <w:sz w:val="24"/>
          <w:szCs w:val="24"/>
        </w:rPr>
        <w:t xml:space="preserve"> Whilst having supervision, it enables the counsellor to reflect on their work and practice and in addition to this</w:t>
      </w:r>
      <w:r w:rsidR="00802E9E" w:rsidRPr="00EC0721">
        <w:rPr>
          <w:rFonts w:cstheme="minorHAnsi"/>
          <w:sz w:val="24"/>
          <w:szCs w:val="24"/>
        </w:rPr>
        <w:t>,</w:t>
      </w:r>
      <w:r w:rsidR="00CB1904" w:rsidRPr="00EC0721">
        <w:rPr>
          <w:rFonts w:cstheme="minorHAnsi"/>
          <w:sz w:val="24"/>
          <w:szCs w:val="24"/>
        </w:rPr>
        <w:t xml:space="preserve"> helps the counsellor to re-visit their skills and knowledge (Proctor, 2014</w:t>
      </w:r>
      <w:r w:rsidR="00A835A6" w:rsidRPr="00EC0721">
        <w:rPr>
          <w:rFonts w:cstheme="minorHAnsi"/>
          <w:sz w:val="24"/>
          <w:szCs w:val="24"/>
        </w:rPr>
        <w:t>, p.107</w:t>
      </w:r>
      <w:r w:rsidR="00CB1904" w:rsidRPr="00EC0721">
        <w:rPr>
          <w:rFonts w:cstheme="minorHAnsi"/>
          <w:sz w:val="24"/>
          <w:szCs w:val="24"/>
        </w:rPr>
        <w:t xml:space="preserve">). </w:t>
      </w:r>
      <w:r w:rsidR="00EC0721" w:rsidRPr="00EC0721">
        <w:rPr>
          <w:rFonts w:cstheme="minorHAnsi"/>
          <w:sz w:val="24"/>
          <w:szCs w:val="24"/>
        </w:rPr>
        <w:t>Confidentially in supervision is extremely important and when discussing a client with the counsellor’s supervisor their name would not be identified and would be safeguarded. The client however, does have the right to ask their counsellor</w:t>
      </w:r>
      <w:r w:rsidR="00EC0721">
        <w:rPr>
          <w:rFonts w:cstheme="minorHAnsi"/>
          <w:sz w:val="24"/>
          <w:szCs w:val="24"/>
        </w:rPr>
        <w:t xml:space="preserve"> about the su</w:t>
      </w:r>
      <w:r w:rsidR="007D448A">
        <w:rPr>
          <w:rFonts w:cstheme="minorHAnsi"/>
          <w:sz w:val="24"/>
          <w:szCs w:val="24"/>
        </w:rPr>
        <w:t>pervision details (Counselling resource, 2014).</w:t>
      </w:r>
    </w:p>
    <w:p w:rsidR="004C5B41" w:rsidRDefault="007D448A" w:rsidP="00EC0721">
      <w:pPr>
        <w:rPr>
          <w:rFonts w:cstheme="minorHAnsi"/>
          <w:sz w:val="24"/>
          <w:szCs w:val="24"/>
        </w:rPr>
      </w:pPr>
      <w:r>
        <w:rPr>
          <w:rFonts w:cstheme="minorHAnsi"/>
          <w:sz w:val="24"/>
          <w:szCs w:val="24"/>
        </w:rPr>
        <w:t xml:space="preserve">   </w:t>
      </w:r>
    </w:p>
    <w:p w:rsidR="004C5B41" w:rsidRDefault="004C5B41" w:rsidP="00EC0721">
      <w:pPr>
        <w:rPr>
          <w:rFonts w:cstheme="minorHAnsi"/>
          <w:sz w:val="24"/>
          <w:szCs w:val="24"/>
        </w:rPr>
      </w:pPr>
    </w:p>
    <w:p w:rsidR="004C5B41" w:rsidRDefault="004C5B41" w:rsidP="00EC0721">
      <w:pPr>
        <w:rPr>
          <w:rFonts w:cstheme="minorHAnsi"/>
          <w:sz w:val="24"/>
          <w:szCs w:val="24"/>
        </w:rPr>
      </w:pPr>
      <w:r>
        <w:rPr>
          <w:rFonts w:cstheme="minorHAnsi"/>
          <w:sz w:val="24"/>
          <w:szCs w:val="24"/>
        </w:rPr>
        <w:lastRenderedPageBreak/>
        <w:t xml:space="preserve">    </w:t>
      </w:r>
      <w:r w:rsidR="0075404F" w:rsidRPr="00EC0721">
        <w:rPr>
          <w:rFonts w:cstheme="minorHAnsi"/>
          <w:sz w:val="24"/>
          <w:szCs w:val="24"/>
        </w:rPr>
        <w:t>To enable therapy to be a success, it is relevant to</w:t>
      </w:r>
      <w:r w:rsidR="00EC0721">
        <w:rPr>
          <w:rFonts w:cstheme="minorHAnsi"/>
        </w:rPr>
        <w:t xml:space="preserve"> keep the client motivated, and </w:t>
      </w:r>
      <w:r w:rsidR="0075404F" w:rsidRPr="00EC0721">
        <w:rPr>
          <w:rFonts w:cstheme="minorHAnsi"/>
          <w:sz w:val="24"/>
          <w:szCs w:val="24"/>
        </w:rPr>
        <w:t xml:space="preserve">motivational interviewing is a skill which works extremely well with drug addiction and alcohol abuse. It works equally well in most situations where a client is finding it difficult when it comes to decision making and commitment to change.  </w:t>
      </w:r>
    </w:p>
    <w:p w:rsidR="00602F1A" w:rsidRPr="00EC0721" w:rsidRDefault="004C5B41" w:rsidP="00EC0721">
      <w:pPr>
        <w:rPr>
          <w:rFonts w:cstheme="minorHAnsi"/>
          <w:sz w:val="24"/>
          <w:szCs w:val="24"/>
        </w:rPr>
      </w:pPr>
      <w:r>
        <w:rPr>
          <w:rFonts w:cstheme="minorHAnsi"/>
          <w:sz w:val="24"/>
          <w:szCs w:val="24"/>
        </w:rPr>
        <w:t xml:space="preserve">    </w:t>
      </w:r>
      <w:r w:rsidR="00602F1A" w:rsidRPr="00EC0721">
        <w:rPr>
          <w:rFonts w:cstheme="minorHAnsi"/>
          <w:sz w:val="24"/>
          <w:szCs w:val="24"/>
        </w:rPr>
        <w:t xml:space="preserve">Motivational interviewing is a client centred </w:t>
      </w:r>
      <w:r w:rsidR="008806A3" w:rsidRPr="00EC0721">
        <w:rPr>
          <w:rFonts w:cstheme="minorHAnsi"/>
          <w:sz w:val="24"/>
          <w:szCs w:val="24"/>
        </w:rPr>
        <w:t>approach that assists the client in resolving their mixed feelings or different ideas about a situation they are in. To find their internal motivation they need to alter their behaviour which is stopping them from making better life choices. Clients who have anger issues and who are possibly hostile</w:t>
      </w:r>
      <w:r w:rsidR="00A173E2" w:rsidRPr="00EC0721">
        <w:rPr>
          <w:rFonts w:cstheme="minorHAnsi"/>
          <w:sz w:val="24"/>
          <w:szCs w:val="24"/>
        </w:rPr>
        <w:t xml:space="preserve"> towards the therapy</w:t>
      </w:r>
      <w:r w:rsidR="008806A3" w:rsidRPr="00EC0721">
        <w:rPr>
          <w:rFonts w:cstheme="minorHAnsi"/>
          <w:sz w:val="24"/>
          <w:szCs w:val="24"/>
        </w:rPr>
        <w:t xml:space="preserve"> may not be ready to make changes and this is why motivational interviewing becomes a great skill to use by the counsellor as it will help them go through their feeli</w:t>
      </w:r>
      <w:r w:rsidR="00D76AA1" w:rsidRPr="00EC0721">
        <w:rPr>
          <w:rFonts w:cstheme="minorHAnsi"/>
          <w:sz w:val="24"/>
          <w:szCs w:val="24"/>
        </w:rPr>
        <w:t xml:space="preserve">ngs in stages (Psychology today). </w:t>
      </w:r>
    </w:p>
    <w:p w:rsidR="00D76AA1" w:rsidRDefault="00D76AA1" w:rsidP="009569B5">
      <w:pPr>
        <w:rPr>
          <w:rFonts w:cstheme="minorHAnsi"/>
          <w:sz w:val="24"/>
          <w:szCs w:val="24"/>
        </w:rPr>
      </w:pPr>
      <w:r w:rsidRPr="00EC0721">
        <w:rPr>
          <w:rFonts w:cstheme="minorHAnsi"/>
          <w:sz w:val="24"/>
          <w:szCs w:val="24"/>
        </w:rPr>
        <w:t xml:space="preserve">    The way the motivational interviewing works is that the counsellor will encourage the client to talk about why they feel the need to change along with the reasons. The client will hear the counsellor reflecting their words back to them so the client hears the words themselves. This method is used usually in the short term and may only be needed for one or two sessions, however it can still be used along with other longer term therapies. </w:t>
      </w:r>
      <w:r w:rsidR="00576A07" w:rsidRPr="00EC0721">
        <w:rPr>
          <w:rFonts w:cstheme="minorHAnsi"/>
          <w:sz w:val="24"/>
          <w:szCs w:val="24"/>
        </w:rPr>
        <w:t>There are four main principals which are also used and they are empathy, acceptance, developing discrepancy and client autonomy (McLeod</w:t>
      </w:r>
      <w:r w:rsidR="0034414E" w:rsidRPr="00EC0721">
        <w:rPr>
          <w:rFonts w:cstheme="minorHAnsi"/>
          <w:sz w:val="24"/>
          <w:szCs w:val="24"/>
        </w:rPr>
        <w:t>,</w:t>
      </w:r>
      <w:r w:rsidR="00576A07" w:rsidRPr="00EC0721">
        <w:rPr>
          <w:rFonts w:cstheme="minorHAnsi"/>
          <w:sz w:val="24"/>
          <w:szCs w:val="24"/>
        </w:rPr>
        <w:t xml:space="preserve"> 2011). </w:t>
      </w:r>
    </w:p>
    <w:p w:rsidR="003868E2" w:rsidRDefault="007B28EC" w:rsidP="009569B5">
      <w:pPr>
        <w:rPr>
          <w:rFonts w:cstheme="minorHAnsi"/>
          <w:sz w:val="24"/>
          <w:szCs w:val="24"/>
        </w:rPr>
      </w:pPr>
      <w:r>
        <w:rPr>
          <w:rFonts w:cstheme="minorHAnsi"/>
          <w:sz w:val="24"/>
          <w:szCs w:val="24"/>
        </w:rPr>
        <w:t xml:space="preserve">    </w:t>
      </w:r>
      <w:r w:rsidR="003868E2">
        <w:rPr>
          <w:rFonts w:cstheme="minorHAnsi"/>
          <w:sz w:val="24"/>
          <w:szCs w:val="24"/>
        </w:rPr>
        <w:t xml:space="preserve">It can be concluded that the BACP’s ethical framework for practice is of the utmost importance to the counsellor or therapist and the client. The relationship between the ethics and values are there to protect everybody involved.  Research by the BACP is important for the ongoing development in counselling in this ever changing world. </w:t>
      </w:r>
      <w:r>
        <w:rPr>
          <w:rFonts w:cstheme="minorHAnsi"/>
          <w:sz w:val="24"/>
          <w:szCs w:val="24"/>
        </w:rPr>
        <w:t xml:space="preserve">Positive outcomes will development along with support to the counsellor through supervision. As explored in the main body of the assignment, mutual contracts between the counsellor and the client have to be drawn up and can also be revisited at any time and changed by mutual agreement. The BACP states that counselling changes lives for the clients, families and the wider community and this is the sole reason that they champion the counselling profession. They strive to maximise the impact of counselling work for the member’s wellbeing and the clients. </w:t>
      </w:r>
    </w:p>
    <w:p w:rsidR="007B28EC" w:rsidRDefault="007B28EC" w:rsidP="009569B5">
      <w:pPr>
        <w:rPr>
          <w:rFonts w:cstheme="minorHAnsi"/>
          <w:sz w:val="24"/>
          <w:szCs w:val="24"/>
        </w:rPr>
      </w:pPr>
    </w:p>
    <w:p w:rsidR="007D448A" w:rsidRPr="00EC0721" w:rsidRDefault="007D448A" w:rsidP="009569B5">
      <w:pPr>
        <w:rPr>
          <w:rFonts w:cstheme="minorHAnsi"/>
          <w:sz w:val="24"/>
          <w:szCs w:val="24"/>
        </w:rPr>
      </w:pPr>
    </w:p>
    <w:p w:rsidR="00E8725F" w:rsidRPr="00EC0721" w:rsidRDefault="00E8725F" w:rsidP="009569B5">
      <w:pPr>
        <w:rPr>
          <w:rFonts w:cstheme="minorHAnsi"/>
          <w:sz w:val="24"/>
          <w:szCs w:val="24"/>
        </w:rPr>
      </w:pPr>
    </w:p>
    <w:p w:rsidR="007039D6" w:rsidRDefault="007039D6" w:rsidP="00CB1904">
      <w:pPr>
        <w:rPr>
          <w:b/>
          <w:sz w:val="32"/>
          <w:szCs w:val="32"/>
        </w:rPr>
      </w:pPr>
    </w:p>
    <w:p w:rsidR="00E8050D" w:rsidRDefault="00E8050D" w:rsidP="00CB1904">
      <w:pPr>
        <w:rPr>
          <w:b/>
          <w:sz w:val="32"/>
          <w:szCs w:val="32"/>
        </w:rPr>
      </w:pPr>
    </w:p>
    <w:p w:rsidR="00CB1904" w:rsidRDefault="00CB1904" w:rsidP="009569B5">
      <w:pPr>
        <w:rPr>
          <w:sz w:val="24"/>
          <w:szCs w:val="24"/>
        </w:rPr>
      </w:pPr>
    </w:p>
    <w:p w:rsidR="0001344C" w:rsidRDefault="0001344C" w:rsidP="009569B5">
      <w:pPr>
        <w:rPr>
          <w:sz w:val="24"/>
          <w:szCs w:val="24"/>
        </w:rPr>
      </w:pPr>
    </w:p>
    <w:p w:rsidR="00F54A2F" w:rsidRDefault="00F54A2F" w:rsidP="00B447BF">
      <w:pPr>
        <w:rPr>
          <w:sz w:val="24"/>
          <w:szCs w:val="24"/>
        </w:rPr>
      </w:pPr>
    </w:p>
    <w:p w:rsidR="00E4293F" w:rsidRDefault="00E4293F" w:rsidP="00B447BF">
      <w:pPr>
        <w:rPr>
          <w:b/>
          <w:sz w:val="32"/>
          <w:szCs w:val="32"/>
        </w:rPr>
      </w:pPr>
    </w:p>
    <w:p w:rsidR="00E4293F" w:rsidRDefault="00E4293F" w:rsidP="00B447BF">
      <w:pPr>
        <w:rPr>
          <w:b/>
          <w:sz w:val="32"/>
          <w:szCs w:val="32"/>
        </w:rPr>
      </w:pPr>
    </w:p>
    <w:p w:rsidR="004C5B41" w:rsidRDefault="004C5B41" w:rsidP="004C5B41">
      <w:pPr>
        <w:rPr>
          <w:b/>
          <w:sz w:val="32"/>
          <w:szCs w:val="32"/>
        </w:rPr>
      </w:pPr>
    </w:p>
    <w:p w:rsidR="0034414E" w:rsidRPr="0034414E" w:rsidRDefault="0034414E" w:rsidP="004C5B41">
      <w:pPr>
        <w:jc w:val="center"/>
        <w:rPr>
          <w:b/>
          <w:sz w:val="28"/>
          <w:szCs w:val="28"/>
        </w:rPr>
      </w:pPr>
      <w:r w:rsidRPr="0034414E">
        <w:rPr>
          <w:b/>
          <w:sz w:val="28"/>
          <w:szCs w:val="28"/>
        </w:rPr>
        <w:t>References</w:t>
      </w:r>
    </w:p>
    <w:p w:rsidR="0034414E" w:rsidRDefault="0034414E" w:rsidP="00B447BF">
      <w:pPr>
        <w:rPr>
          <w:sz w:val="24"/>
          <w:szCs w:val="24"/>
        </w:rPr>
      </w:pPr>
    </w:p>
    <w:p w:rsidR="0034414E" w:rsidRDefault="0034414E" w:rsidP="00B447BF">
      <w:pPr>
        <w:rPr>
          <w:sz w:val="24"/>
          <w:szCs w:val="24"/>
        </w:rPr>
      </w:pPr>
    </w:p>
    <w:p w:rsidR="0034414E" w:rsidRDefault="0034414E" w:rsidP="00B447BF">
      <w:pPr>
        <w:rPr>
          <w:sz w:val="24"/>
          <w:szCs w:val="24"/>
        </w:rPr>
      </w:pPr>
    </w:p>
    <w:p w:rsidR="00ED381B" w:rsidRDefault="00ED381B" w:rsidP="00B447BF">
      <w:pPr>
        <w:rPr>
          <w:sz w:val="24"/>
          <w:szCs w:val="24"/>
        </w:rPr>
      </w:pPr>
      <w:r>
        <w:rPr>
          <w:sz w:val="24"/>
          <w:szCs w:val="24"/>
        </w:rPr>
        <w:t xml:space="preserve">Bond, T. (2015) </w:t>
      </w:r>
      <w:r w:rsidRPr="00893A07">
        <w:rPr>
          <w:i/>
          <w:sz w:val="24"/>
          <w:szCs w:val="24"/>
        </w:rPr>
        <w:t>standards and ethics for counselling in action</w:t>
      </w:r>
      <w:r>
        <w:rPr>
          <w:sz w:val="24"/>
          <w:szCs w:val="24"/>
        </w:rPr>
        <w:t xml:space="preserve">. </w:t>
      </w:r>
      <w:r w:rsidR="00CB1904">
        <w:rPr>
          <w:sz w:val="24"/>
          <w:szCs w:val="24"/>
        </w:rPr>
        <w:t>4</w:t>
      </w:r>
      <w:r w:rsidR="00CB1904" w:rsidRPr="00CB1904">
        <w:rPr>
          <w:sz w:val="24"/>
          <w:szCs w:val="24"/>
          <w:vertAlign w:val="superscript"/>
        </w:rPr>
        <w:t>th</w:t>
      </w:r>
      <w:r w:rsidR="00CB1904">
        <w:rPr>
          <w:sz w:val="24"/>
          <w:szCs w:val="24"/>
        </w:rPr>
        <w:t xml:space="preserve"> Ed. </w:t>
      </w:r>
      <w:r>
        <w:rPr>
          <w:sz w:val="24"/>
          <w:szCs w:val="24"/>
        </w:rPr>
        <w:t>London: Sage Publications Ltd</w:t>
      </w:r>
      <w:r w:rsidR="0034414E">
        <w:rPr>
          <w:sz w:val="24"/>
          <w:szCs w:val="24"/>
        </w:rPr>
        <w:t>.</w:t>
      </w:r>
    </w:p>
    <w:p w:rsidR="00B83C94" w:rsidRDefault="00750D92" w:rsidP="00B447BF">
      <w:pPr>
        <w:rPr>
          <w:sz w:val="24"/>
          <w:szCs w:val="24"/>
        </w:rPr>
      </w:pPr>
      <w:r w:rsidRPr="00750D92">
        <w:rPr>
          <w:sz w:val="24"/>
          <w:szCs w:val="24"/>
        </w:rPr>
        <w:t xml:space="preserve">BACP, (2018) </w:t>
      </w:r>
      <w:r w:rsidRPr="00893A07">
        <w:rPr>
          <w:i/>
          <w:sz w:val="24"/>
          <w:szCs w:val="24"/>
        </w:rPr>
        <w:t>Ethical framework for the counselling professions</w:t>
      </w:r>
      <w:r>
        <w:rPr>
          <w:sz w:val="24"/>
          <w:szCs w:val="24"/>
        </w:rPr>
        <w:t xml:space="preserve">. Available at: </w:t>
      </w:r>
      <w:hyperlink r:id="rId7" w:history="1"/>
      <w:r w:rsidRPr="00750D92">
        <w:rPr>
          <w:sz w:val="24"/>
          <w:szCs w:val="24"/>
        </w:rPr>
        <w:t xml:space="preserve"> (</w:t>
      </w:r>
      <w:r>
        <w:rPr>
          <w:sz w:val="24"/>
          <w:szCs w:val="24"/>
        </w:rPr>
        <w:t>Accessed: 16</w:t>
      </w:r>
      <w:r w:rsidRPr="00750D92">
        <w:rPr>
          <w:sz w:val="24"/>
          <w:szCs w:val="24"/>
          <w:vertAlign w:val="superscript"/>
        </w:rPr>
        <w:t>th</w:t>
      </w:r>
      <w:r>
        <w:rPr>
          <w:sz w:val="24"/>
          <w:szCs w:val="24"/>
        </w:rPr>
        <w:t xml:space="preserve"> November 2018)</w:t>
      </w:r>
      <w:r w:rsidR="007E74F2">
        <w:rPr>
          <w:sz w:val="24"/>
          <w:szCs w:val="24"/>
        </w:rPr>
        <w:t>.</w:t>
      </w:r>
    </w:p>
    <w:p w:rsidR="00DB2E4C" w:rsidRDefault="00DB2E4C" w:rsidP="00B447BF">
      <w:pPr>
        <w:rPr>
          <w:sz w:val="24"/>
          <w:szCs w:val="24"/>
        </w:rPr>
      </w:pPr>
      <w:r>
        <w:rPr>
          <w:sz w:val="24"/>
          <w:szCs w:val="24"/>
        </w:rPr>
        <w:t xml:space="preserve">Corey, G (1996) </w:t>
      </w:r>
      <w:r w:rsidRPr="00893A07">
        <w:rPr>
          <w:i/>
          <w:sz w:val="24"/>
          <w:szCs w:val="24"/>
        </w:rPr>
        <w:t>Theory and practice of counselling and psychotherapy</w:t>
      </w:r>
      <w:r>
        <w:rPr>
          <w:sz w:val="24"/>
          <w:szCs w:val="24"/>
        </w:rPr>
        <w:t>. 5</w:t>
      </w:r>
      <w:r w:rsidRPr="00DB2E4C">
        <w:rPr>
          <w:sz w:val="24"/>
          <w:szCs w:val="24"/>
          <w:vertAlign w:val="superscript"/>
        </w:rPr>
        <w:t>th</w:t>
      </w:r>
      <w:r>
        <w:rPr>
          <w:sz w:val="24"/>
          <w:szCs w:val="24"/>
        </w:rPr>
        <w:t xml:space="preserve"> Ed.</w:t>
      </w:r>
      <w:r w:rsidR="00893A07">
        <w:rPr>
          <w:sz w:val="24"/>
          <w:szCs w:val="24"/>
        </w:rPr>
        <w:t xml:space="preserve"> USA: Brooks/Cole Publishing Company. </w:t>
      </w:r>
    </w:p>
    <w:p w:rsidR="0001344C" w:rsidRDefault="0001344C" w:rsidP="00B447BF">
      <w:pPr>
        <w:rPr>
          <w:sz w:val="24"/>
          <w:szCs w:val="24"/>
        </w:rPr>
      </w:pPr>
      <w:r>
        <w:rPr>
          <w:sz w:val="24"/>
          <w:szCs w:val="24"/>
        </w:rPr>
        <w:t xml:space="preserve">Copeland, S (2018) </w:t>
      </w:r>
      <w:r w:rsidRPr="00893A07">
        <w:rPr>
          <w:i/>
          <w:sz w:val="24"/>
          <w:szCs w:val="24"/>
        </w:rPr>
        <w:t>Counselling supervision in organisational contexts</w:t>
      </w:r>
      <w:r>
        <w:rPr>
          <w:sz w:val="24"/>
          <w:szCs w:val="24"/>
        </w:rPr>
        <w:t xml:space="preserve">: New challenges and </w:t>
      </w:r>
      <w:r w:rsidR="00375D09">
        <w:rPr>
          <w:sz w:val="24"/>
          <w:szCs w:val="24"/>
        </w:rPr>
        <w:t>prospective. British journal of guidance and counselling</w:t>
      </w:r>
      <w:r w:rsidR="0034414E">
        <w:rPr>
          <w:sz w:val="24"/>
          <w:szCs w:val="24"/>
        </w:rPr>
        <w:t>.</w:t>
      </w:r>
      <w:r w:rsidR="00375D09">
        <w:rPr>
          <w:sz w:val="24"/>
          <w:szCs w:val="24"/>
        </w:rPr>
        <w:t xml:space="preserve"> </w:t>
      </w:r>
    </w:p>
    <w:p w:rsidR="007D448A" w:rsidRDefault="007D448A" w:rsidP="00B447BF">
      <w:pPr>
        <w:rPr>
          <w:sz w:val="24"/>
          <w:szCs w:val="24"/>
        </w:rPr>
      </w:pPr>
      <w:r>
        <w:rPr>
          <w:sz w:val="24"/>
          <w:szCs w:val="24"/>
        </w:rPr>
        <w:t xml:space="preserve">Counselling resource (2014) </w:t>
      </w:r>
      <w:r w:rsidRPr="007D448A">
        <w:rPr>
          <w:i/>
          <w:sz w:val="24"/>
          <w:szCs w:val="24"/>
        </w:rPr>
        <w:t>Counselling and therapy supervision</w:t>
      </w:r>
      <w:r>
        <w:rPr>
          <w:sz w:val="24"/>
          <w:szCs w:val="24"/>
        </w:rPr>
        <w:t xml:space="preserve">. Available at: </w:t>
      </w:r>
      <w:hyperlink r:id="rId8" w:history="1">
        <w:r w:rsidRPr="007D448A">
          <w:rPr>
            <w:rStyle w:val="Hyperlink"/>
            <w:color w:val="auto"/>
            <w:sz w:val="24"/>
            <w:szCs w:val="24"/>
            <w:u w:val="none"/>
          </w:rPr>
          <w:t>https://counsellingresource.com/therapy/aboutcouns/supervision/</w:t>
        </w:r>
      </w:hyperlink>
      <w:r>
        <w:rPr>
          <w:sz w:val="24"/>
          <w:szCs w:val="24"/>
        </w:rPr>
        <w:t xml:space="preserve"> (Accessed 21</w:t>
      </w:r>
      <w:r w:rsidRPr="007D448A">
        <w:rPr>
          <w:sz w:val="24"/>
          <w:szCs w:val="24"/>
          <w:vertAlign w:val="superscript"/>
        </w:rPr>
        <w:t>st</w:t>
      </w:r>
      <w:r>
        <w:rPr>
          <w:sz w:val="24"/>
          <w:szCs w:val="24"/>
        </w:rPr>
        <w:t xml:space="preserve"> November 2018). </w:t>
      </w:r>
    </w:p>
    <w:p w:rsidR="00E05433" w:rsidRDefault="00E05433" w:rsidP="00B447BF">
      <w:pPr>
        <w:rPr>
          <w:sz w:val="24"/>
          <w:szCs w:val="24"/>
        </w:rPr>
      </w:pPr>
      <w:r>
        <w:rPr>
          <w:sz w:val="24"/>
          <w:szCs w:val="24"/>
        </w:rPr>
        <w:t xml:space="preserve">Gov.Uk (2015) </w:t>
      </w:r>
      <w:r w:rsidRPr="00893A07">
        <w:rPr>
          <w:i/>
          <w:sz w:val="24"/>
          <w:szCs w:val="24"/>
        </w:rPr>
        <w:t>Equality Act 2010: Guidance</w:t>
      </w:r>
      <w:r>
        <w:rPr>
          <w:sz w:val="24"/>
          <w:szCs w:val="24"/>
        </w:rPr>
        <w:t xml:space="preserve">. Available at: </w:t>
      </w:r>
      <w:hyperlink r:id="rId9" w:history="1">
        <w:r w:rsidR="00D76AA1" w:rsidRPr="00D76AA1">
          <w:rPr>
            <w:rStyle w:val="Hyperlink"/>
            <w:color w:val="auto"/>
            <w:sz w:val="24"/>
            <w:szCs w:val="24"/>
            <w:u w:val="none"/>
          </w:rPr>
          <w:t>https://www.gov.uk/guidance/equality-act-2010-guidance</w:t>
        </w:r>
      </w:hyperlink>
      <w:r w:rsidR="00D76AA1">
        <w:rPr>
          <w:sz w:val="24"/>
          <w:szCs w:val="24"/>
        </w:rPr>
        <w:t xml:space="preserve"> (Accessed 16</w:t>
      </w:r>
      <w:r w:rsidR="00D76AA1" w:rsidRPr="00D76AA1">
        <w:rPr>
          <w:sz w:val="24"/>
          <w:szCs w:val="24"/>
          <w:vertAlign w:val="superscript"/>
        </w:rPr>
        <w:t>th</w:t>
      </w:r>
      <w:r w:rsidR="00D76AA1">
        <w:rPr>
          <w:sz w:val="24"/>
          <w:szCs w:val="24"/>
        </w:rPr>
        <w:t xml:space="preserve"> November 2018)</w:t>
      </w:r>
      <w:r w:rsidR="00576A07">
        <w:rPr>
          <w:sz w:val="24"/>
          <w:szCs w:val="24"/>
        </w:rPr>
        <w:t>.</w:t>
      </w:r>
    </w:p>
    <w:p w:rsidR="00576A07" w:rsidRDefault="00576A07" w:rsidP="00B447BF">
      <w:pPr>
        <w:rPr>
          <w:sz w:val="24"/>
          <w:szCs w:val="24"/>
        </w:rPr>
      </w:pPr>
      <w:r>
        <w:rPr>
          <w:sz w:val="24"/>
          <w:szCs w:val="24"/>
        </w:rPr>
        <w:t>McLeod, J and McLeod, J (2011</w:t>
      </w:r>
      <w:r w:rsidRPr="00576A07">
        <w:rPr>
          <w:i/>
          <w:sz w:val="24"/>
          <w:szCs w:val="24"/>
        </w:rPr>
        <w:t>) Counselling skills</w:t>
      </w:r>
      <w:r>
        <w:rPr>
          <w:sz w:val="24"/>
          <w:szCs w:val="24"/>
        </w:rPr>
        <w:t>: A practical guide for counsellors and helping professionals.</w:t>
      </w:r>
      <w:r w:rsidR="009B3873">
        <w:rPr>
          <w:sz w:val="24"/>
          <w:szCs w:val="24"/>
        </w:rPr>
        <w:t xml:space="preserve"> 2</w:t>
      </w:r>
      <w:r w:rsidR="009B3873" w:rsidRPr="009B3873">
        <w:rPr>
          <w:sz w:val="24"/>
          <w:szCs w:val="24"/>
          <w:vertAlign w:val="superscript"/>
        </w:rPr>
        <w:t>nd</w:t>
      </w:r>
      <w:r w:rsidR="009B3873">
        <w:rPr>
          <w:sz w:val="24"/>
          <w:szCs w:val="24"/>
        </w:rPr>
        <w:t xml:space="preserve"> Ed.</w:t>
      </w:r>
      <w:r>
        <w:rPr>
          <w:sz w:val="24"/>
          <w:szCs w:val="24"/>
        </w:rPr>
        <w:t xml:space="preserve"> England: Open University press. </w:t>
      </w:r>
    </w:p>
    <w:p w:rsidR="0034414E" w:rsidRPr="00750D92" w:rsidRDefault="0034414E" w:rsidP="00B447BF">
      <w:pPr>
        <w:rPr>
          <w:sz w:val="24"/>
          <w:szCs w:val="24"/>
        </w:rPr>
      </w:pPr>
      <w:r>
        <w:rPr>
          <w:sz w:val="24"/>
          <w:szCs w:val="24"/>
        </w:rPr>
        <w:t>McLeod, J (2009) An introduction to counselling. 4</w:t>
      </w:r>
      <w:r w:rsidRPr="0034414E">
        <w:rPr>
          <w:sz w:val="24"/>
          <w:szCs w:val="24"/>
          <w:vertAlign w:val="superscript"/>
        </w:rPr>
        <w:t>th</w:t>
      </w:r>
      <w:r>
        <w:rPr>
          <w:sz w:val="24"/>
          <w:szCs w:val="24"/>
        </w:rPr>
        <w:t xml:space="preserve"> Ed. England: Open Press University.</w:t>
      </w:r>
    </w:p>
    <w:p w:rsidR="00543BBB" w:rsidRDefault="00B83C94" w:rsidP="00B447BF">
      <w:pPr>
        <w:rPr>
          <w:sz w:val="24"/>
          <w:szCs w:val="24"/>
        </w:rPr>
      </w:pPr>
      <w:r w:rsidRPr="00B83C94">
        <w:rPr>
          <w:sz w:val="24"/>
          <w:szCs w:val="24"/>
        </w:rPr>
        <w:t xml:space="preserve">Proctor, E. (2014) </w:t>
      </w:r>
      <w:r w:rsidRPr="00B83C94">
        <w:rPr>
          <w:i/>
          <w:sz w:val="24"/>
          <w:szCs w:val="24"/>
        </w:rPr>
        <w:t>Values and ethics in counselling and psychotherapy</w:t>
      </w:r>
      <w:r w:rsidRPr="00B83C94">
        <w:rPr>
          <w:sz w:val="24"/>
          <w:szCs w:val="24"/>
        </w:rPr>
        <w:t>. London: SAGE publications Ltd</w:t>
      </w:r>
      <w:r>
        <w:rPr>
          <w:sz w:val="24"/>
          <w:szCs w:val="24"/>
        </w:rPr>
        <w:t>.</w:t>
      </w:r>
    </w:p>
    <w:p w:rsidR="00D76AA1" w:rsidRPr="00B83C94" w:rsidRDefault="00D76AA1" w:rsidP="00B447BF">
      <w:pPr>
        <w:rPr>
          <w:sz w:val="24"/>
          <w:szCs w:val="24"/>
        </w:rPr>
      </w:pPr>
      <w:r>
        <w:rPr>
          <w:sz w:val="24"/>
          <w:szCs w:val="24"/>
        </w:rPr>
        <w:t>Psychology today (2018</w:t>
      </w:r>
      <w:r w:rsidRPr="00D76AA1">
        <w:rPr>
          <w:i/>
          <w:sz w:val="24"/>
          <w:szCs w:val="24"/>
        </w:rPr>
        <w:t>) Motivational interviewing</w:t>
      </w:r>
      <w:r>
        <w:rPr>
          <w:sz w:val="24"/>
          <w:szCs w:val="24"/>
        </w:rPr>
        <w:t xml:space="preserve">. Available at: </w:t>
      </w:r>
      <w:hyperlink r:id="rId10" w:history="1">
        <w:r w:rsidRPr="00D76AA1">
          <w:rPr>
            <w:rStyle w:val="Hyperlink"/>
            <w:color w:val="auto"/>
            <w:sz w:val="24"/>
            <w:szCs w:val="24"/>
            <w:u w:val="none"/>
          </w:rPr>
          <w:t>https://www.psychologytoday.com/gb/therapy-types/motivational-interviewing</w:t>
        </w:r>
      </w:hyperlink>
      <w:r w:rsidRPr="00D76AA1">
        <w:rPr>
          <w:sz w:val="24"/>
          <w:szCs w:val="24"/>
        </w:rPr>
        <w:t>.</w:t>
      </w:r>
      <w:r>
        <w:rPr>
          <w:sz w:val="24"/>
          <w:szCs w:val="24"/>
        </w:rPr>
        <w:t xml:space="preserve"> (Accessed 19</w:t>
      </w:r>
      <w:r w:rsidRPr="00D76AA1">
        <w:rPr>
          <w:sz w:val="24"/>
          <w:szCs w:val="24"/>
          <w:vertAlign w:val="superscript"/>
        </w:rPr>
        <w:t>th</w:t>
      </w:r>
      <w:r>
        <w:rPr>
          <w:sz w:val="24"/>
          <w:szCs w:val="24"/>
        </w:rPr>
        <w:t xml:space="preserve"> November 2018)</w:t>
      </w:r>
    </w:p>
    <w:p w:rsidR="00543BBB" w:rsidRPr="00B447BF" w:rsidRDefault="00543BBB" w:rsidP="00B447BF">
      <w:pPr>
        <w:rPr>
          <w:b/>
          <w:sz w:val="32"/>
          <w:szCs w:val="32"/>
        </w:rPr>
      </w:pPr>
    </w:p>
    <w:sectPr w:rsidR="00543BBB" w:rsidRPr="00B447BF">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42D5" w:rsidRDefault="002642D5" w:rsidP="004E21FA">
      <w:pPr>
        <w:spacing w:after="0" w:line="240" w:lineRule="auto"/>
      </w:pPr>
      <w:r>
        <w:separator/>
      </w:r>
    </w:p>
  </w:endnote>
  <w:endnote w:type="continuationSeparator" w:id="0">
    <w:p w:rsidR="002642D5" w:rsidRDefault="002642D5" w:rsidP="004E21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1FA" w:rsidRDefault="004E21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1FA" w:rsidRDefault="002642D5" w:rsidP="004E21FA">
    <w:pPr>
      <w:pStyle w:val="Footer"/>
      <w:jc w:val="center"/>
    </w:pPr>
    <w:sdt>
      <w:sdtPr>
        <w:id w:val="2015186052"/>
        <w:docPartObj>
          <w:docPartGallery w:val="Page Numbers (Bottom of Page)"/>
          <w:docPartUnique/>
        </w:docPartObj>
      </w:sdtPr>
      <w:sdtEndPr>
        <w:rPr>
          <w:noProof/>
        </w:rPr>
      </w:sdtEndPr>
      <w:sdtContent>
        <w:r w:rsidR="004E21FA">
          <w:fldChar w:fldCharType="begin"/>
        </w:r>
        <w:r w:rsidR="004E21FA">
          <w:instrText xml:space="preserve"> PAGE   \* MERGEFORMAT </w:instrText>
        </w:r>
        <w:r w:rsidR="004E21FA">
          <w:fldChar w:fldCharType="separate"/>
        </w:r>
        <w:r w:rsidR="004C5B41">
          <w:rPr>
            <w:noProof/>
          </w:rPr>
          <w:t>2</w:t>
        </w:r>
        <w:r w:rsidR="004E21FA">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1FA" w:rsidRDefault="004E21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42D5" w:rsidRDefault="002642D5" w:rsidP="004E21FA">
      <w:pPr>
        <w:spacing w:after="0" w:line="240" w:lineRule="auto"/>
      </w:pPr>
      <w:r>
        <w:separator/>
      </w:r>
    </w:p>
  </w:footnote>
  <w:footnote w:type="continuationSeparator" w:id="0">
    <w:p w:rsidR="002642D5" w:rsidRDefault="002642D5" w:rsidP="004E21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1FA" w:rsidRDefault="004E21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1FA" w:rsidRDefault="004E21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21FA" w:rsidRDefault="004E21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76011"/>
    <w:multiLevelType w:val="multilevel"/>
    <w:tmpl w:val="60E4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1B7C18"/>
    <w:multiLevelType w:val="multilevel"/>
    <w:tmpl w:val="E01C1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1FA"/>
    <w:rsid w:val="0001344C"/>
    <w:rsid w:val="00020589"/>
    <w:rsid w:val="00076EBE"/>
    <w:rsid w:val="001B3B35"/>
    <w:rsid w:val="0022149D"/>
    <w:rsid w:val="002642D5"/>
    <w:rsid w:val="00336540"/>
    <w:rsid w:val="0034414E"/>
    <w:rsid w:val="00375D09"/>
    <w:rsid w:val="003868E2"/>
    <w:rsid w:val="00396314"/>
    <w:rsid w:val="004C5B41"/>
    <w:rsid w:val="004E21FA"/>
    <w:rsid w:val="00537A61"/>
    <w:rsid w:val="005412D8"/>
    <w:rsid w:val="00543BBB"/>
    <w:rsid w:val="00576A07"/>
    <w:rsid w:val="00602F1A"/>
    <w:rsid w:val="006732B8"/>
    <w:rsid w:val="007039D6"/>
    <w:rsid w:val="00750D92"/>
    <w:rsid w:val="0075404F"/>
    <w:rsid w:val="007B28EC"/>
    <w:rsid w:val="007D448A"/>
    <w:rsid w:val="007E1B60"/>
    <w:rsid w:val="007E74F2"/>
    <w:rsid w:val="00802E9E"/>
    <w:rsid w:val="008806A3"/>
    <w:rsid w:val="00893A07"/>
    <w:rsid w:val="008B2587"/>
    <w:rsid w:val="009569B5"/>
    <w:rsid w:val="009B3873"/>
    <w:rsid w:val="00A173E2"/>
    <w:rsid w:val="00A22A1E"/>
    <w:rsid w:val="00A835A6"/>
    <w:rsid w:val="00B447BF"/>
    <w:rsid w:val="00B7052E"/>
    <w:rsid w:val="00B83C94"/>
    <w:rsid w:val="00CB03CE"/>
    <w:rsid w:val="00CB1904"/>
    <w:rsid w:val="00CB4F81"/>
    <w:rsid w:val="00D76AA1"/>
    <w:rsid w:val="00DB2E4C"/>
    <w:rsid w:val="00E05433"/>
    <w:rsid w:val="00E36984"/>
    <w:rsid w:val="00E4293F"/>
    <w:rsid w:val="00E70FBE"/>
    <w:rsid w:val="00E8050D"/>
    <w:rsid w:val="00E8725F"/>
    <w:rsid w:val="00E93A79"/>
    <w:rsid w:val="00EC0721"/>
    <w:rsid w:val="00ED381B"/>
    <w:rsid w:val="00F46AC7"/>
    <w:rsid w:val="00F54A2F"/>
    <w:rsid w:val="00F809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59EA51-84C4-4FC5-9D26-D329BA95B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2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FA"/>
  </w:style>
  <w:style w:type="paragraph" w:styleId="Footer">
    <w:name w:val="footer"/>
    <w:basedOn w:val="Normal"/>
    <w:link w:val="FooterChar"/>
    <w:uiPriority w:val="99"/>
    <w:unhideWhenUsed/>
    <w:rsid w:val="004E2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FA"/>
  </w:style>
  <w:style w:type="paragraph" w:styleId="IntenseQuote">
    <w:name w:val="Intense Quote"/>
    <w:basedOn w:val="Normal"/>
    <w:next w:val="Normal"/>
    <w:link w:val="IntenseQuoteChar"/>
    <w:uiPriority w:val="30"/>
    <w:qFormat/>
    <w:rsid w:val="00B447BF"/>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B447BF"/>
    <w:rPr>
      <w:i/>
      <w:iCs/>
      <w:color w:val="5B9BD5" w:themeColor="accent1"/>
    </w:rPr>
  </w:style>
  <w:style w:type="character" w:customStyle="1" w:styleId="apple-converted-space">
    <w:name w:val="apple-converted-space"/>
    <w:basedOn w:val="DefaultParagraphFont"/>
    <w:rsid w:val="00543BBB"/>
  </w:style>
  <w:style w:type="character" w:styleId="Emphasis">
    <w:name w:val="Emphasis"/>
    <w:basedOn w:val="DefaultParagraphFont"/>
    <w:uiPriority w:val="20"/>
    <w:qFormat/>
    <w:rsid w:val="00543BBB"/>
    <w:rPr>
      <w:i/>
      <w:iCs/>
    </w:rPr>
  </w:style>
  <w:style w:type="character" w:styleId="Strong">
    <w:name w:val="Strong"/>
    <w:basedOn w:val="DefaultParagraphFont"/>
    <w:uiPriority w:val="22"/>
    <w:qFormat/>
    <w:rsid w:val="00B83C94"/>
    <w:rPr>
      <w:b/>
      <w:bCs/>
    </w:rPr>
  </w:style>
  <w:style w:type="paragraph" w:styleId="NormalWeb">
    <w:name w:val="Normal (Web)"/>
    <w:basedOn w:val="Normal"/>
    <w:uiPriority w:val="99"/>
    <w:unhideWhenUsed/>
    <w:rsid w:val="00B83C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50D92"/>
    <w:rPr>
      <w:color w:val="0563C1" w:themeColor="hyperlink"/>
      <w:u w:val="single"/>
    </w:rPr>
  </w:style>
  <w:style w:type="character" w:customStyle="1" w:styleId="documentpreview">
    <w:name w:val="document__preview"/>
    <w:basedOn w:val="DefaultParagraphFont"/>
    <w:rsid w:val="00CB03CE"/>
  </w:style>
  <w:style w:type="character" w:customStyle="1" w:styleId="ilfuvd">
    <w:name w:val="ilfuvd"/>
    <w:basedOn w:val="DefaultParagraphFont"/>
    <w:rsid w:val="007B28EC"/>
  </w:style>
  <w:style w:type="character" w:customStyle="1" w:styleId="kx21rb">
    <w:name w:val="kx21rb"/>
    <w:basedOn w:val="DefaultParagraphFont"/>
    <w:rsid w:val="007B28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02421">
      <w:bodyDiv w:val="1"/>
      <w:marLeft w:val="0"/>
      <w:marRight w:val="0"/>
      <w:marTop w:val="0"/>
      <w:marBottom w:val="0"/>
      <w:divBdr>
        <w:top w:val="none" w:sz="0" w:space="0" w:color="auto"/>
        <w:left w:val="none" w:sz="0" w:space="0" w:color="auto"/>
        <w:bottom w:val="none" w:sz="0" w:space="0" w:color="auto"/>
        <w:right w:val="none" w:sz="0" w:space="0" w:color="auto"/>
      </w:divBdr>
    </w:div>
    <w:div w:id="295336411">
      <w:bodyDiv w:val="1"/>
      <w:marLeft w:val="0"/>
      <w:marRight w:val="0"/>
      <w:marTop w:val="0"/>
      <w:marBottom w:val="0"/>
      <w:divBdr>
        <w:top w:val="none" w:sz="0" w:space="0" w:color="auto"/>
        <w:left w:val="none" w:sz="0" w:space="0" w:color="auto"/>
        <w:bottom w:val="none" w:sz="0" w:space="0" w:color="auto"/>
        <w:right w:val="none" w:sz="0" w:space="0" w:color="auto"/>
      </w:divBdr>
    </w:div>
    <w:div w:id="527371547">
      <w:bodyDiv w:val="1"/>
      <w:marLeft w:val="0"/>
      <w:marRight w:val="0"/>
      <w:marTop w:val="0"/>
      <w:marBottom w:val="0"/>
      <w:divBdr>
        <w:top w:val="none" w:sz="0" w:space="0" w:color="auto"/>
        <w:left w:val="none" w:sz="0" w:space="0" w:color="auto"/>
        <w:bottom w:val="none" w:sz="0" w:space="0" w:color="auto"/>
        <w:right w:val="none" w:sz="0" w:space="0" w:color="auto"/>
      </w:divBdr>
    </w:div>
    <w:div w:id="719593265">
      <w:bodyDiv w:val="1"/>
      <w:marLeft w:val="0"/>
      <w:marRight w:val="0"/>
      <w:marTop w:val="0"/>
      <w:marBottom w:val="0"/>
      <w:divBdr>
        <w:top w:val="none" w:sz="0" w:space="0" w:color="auto"/>
        <w:left w:val="none" w:sz="0" w:space="0" w:color="auto"/>
        <w:bottom w:val="none" w:sz="0" w:space="0" w:color="auto"/>
        <w:right w:val="none" w:sz="0" w:space="0" w:color="auto"/>
      </w:divBdr>
    </w:div>
    <w:div w:id="1047996191">
      <w:bodyDiv w:val="1"/>
      <w:marLeft w:val="0"/>
      <w:marRight w:val="0"/>
      <w:marTop w:val="0"/>
      <w:marBottom w:val="0"/>
      <w:divBdr>
        <w:top w:val="none" w:sz="0" w:space="0" w:color="auto"/>
        <w:left w:val="none" w:sz="0" w:space="0" w:color="auto"/>
        <w:bottom w:val="none" w:sz="0" w:space="0" w:color="auto"/>
        <w:right w:val="none" w:sz="0" w:space="0" w:color="auto"/>
      </w:divBdr>
    </w:div>
    <w:div w:id="1112746833">
      <w:bodyDiv w:val="1"/>
      <w:marLeft w:val="0"/>
      <w:marRight w:val="0"/>
      <w:marTop w:val="0"/>
      <w:marBottom w:val="0"/>
      <w:divBdr>
        <w:top w:val="none" w:sz="0" w:space="0" w:color="auto"/>
        <w:left w:val="none" w:sz="0" w:space="0" w:color="auto"/>
        <w:bottom w:val="none" w:sz="0" w:space="0" w:color="auto"/>
        <w:right w:val="none" w:sz="0" w:space="0" w:color="auto"/>
      </w:divBdr>
    </w:div>
    <w:div w:id="1515420590">
      <w:bodyDiv w:val="1"/>
      <w:marLeft w:val="0"/>
      <w:marRight w:val="0"/>
      <w:marTop w:val="0"/>
      <w:marBottom w:val="0"/>
      <w:divBdr>
        <w:top w:val="none" w:sz="0" w:space="0" w:color="auto"/>
        <w:left w:val="none" w:sz="0" w:space="0" w:color="auto"/>
        <w:bottom w:val="none" w:sz="0" w:space="0" w:color="auto"/>
        <w:right w:val="none" w:sz="0" w:space="0" w:color="auto"/>
      </w:divBdr>
    </w:div>
    <w:div w:id="1523934175">
      <w:bodyDiv w:val="1"/>
      <w:marLeft w:val="0"/>
      <w:marRight w:val="0"/>
      <w:marTop w:val="0"/>
      <w:marBottom w:val="0"/>
      <w:divBdr>
        <w:top w:val="none" w:sz="0" w:space="0" w:color="auto"/>
        <w:left w:val="none" w:sz="0" w:space="0" w:color="auto"/>
        <w:bottom w:val="none" w:sz="0" w:space="0" w:color="auto"/>
        <w:right w:val="none" w:sz="0" w:space="0" w:color="auto"/>
      </w:divBdr>
      <w:divsChild>
        <w:div w:id="144511117">
          <w:marLeft w:val="0"/>
          <w:marRight w:val="0"/>
          <w:marTop w:val="0"/>
          <w:marBottom w:val="0"/>
          <w:divBdr>
            <w:top w:val="none" w:sz="0" w:space="0" w:color="auto"/>
            <w:left w:val="none" w:sz="0" w:space="0" w:color="auto"/>
            <w:bottom w:val="none" w:sz="0" w:space="0" w:color="auto"/>
            <w:right w:val="none" w:sz="0" w:space="0" w:color="auto"/>
          </w:divBdr>
          <w:divsChild>
            <w:div w:id="585070620">
              <w:marLeft w:val="0"/>
              <w:marRight w:val="0"/>
              <w:marTop w:val="0"/>
              <w:marBottom w:val="0"/>
              <w:divBdr>
                <w:top w:val="none" w:sz="0" w:space="0" w:color="auto"/>
                <w:left w:val="none" w:sz="0" w:space="0" w:color="auto"/>
                <w:bottom w:val="none" w:sz="0" w:space="0" w:color="auto"/>
                <w:right w:val="none" w:sz="0" w:space="0" w:color="auto"/>
              </w:divBdr>
              <w:divsChild>
                <w:div w:id="5369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302636">
          <w:marLeft w:val="0"/>
          <w:marRight w:val="0"/>
          <w:marTop w:val="0"/>
          <w:marBottom w:val="0"/>
          <w:divBdr>
            <w:top w:val="none" w:sz="0" w:space="0" w:color="auto"/>
            <w:left w:val="none" w:sz="0" w:space="0" w:color="auto"/>
            <w:bottom w:val="none" w:sz="0" w:space="0" w:color="auto"/>
            <w:right w:val="none" w:sz="0" w:space="0" w:color="auto"/>
          </w:divBdr>
          <w:divsChild>
            <w:div w:id="1721980210">
              <w:marLeft w:val="0"/>
              <w:marRight w:val="0"/>
              <w:marTop w:val="0"/>
              <w:marBottom w:val="0"/>
              <w:divBdr>
                <w:top w:val="none" w:sz="0" w:space="0" w:color="auto"/>
                <w:left w:val="none" w:sz="0" w:space="0" w:color="auto"/>
                <w:bottom w:val="none" w:sz="0" w:space="0" w:color="auto"/>
                <w:right w:val="none" w:sz="0" w:space="0" w:color="auto"/>
              </w:divBdr>
              <w:divsChild>
                <w:div w:id="190594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044946">
      <w:bodyDiv w:val="1"/>
      <w:marLeft w:val="0"/>
      <w:marRight w:val="0"/>
      <w:marTop w:val="0"/>
      <w:marBottom w:val="0"/>
      <w:divBdr>
        <w:top w:val="none" w:sz="0" w:space="0" w:color="auto"/>
        <w:left w:val="none" w:sz="0" w:space="0" w:color="auto"/>
        <w:bottom w:val="none" w:sz="0" w:space="0" w:color="auto"/>
        <w:right w:val="none" w:sz="0" w:space="0" w:color="auto"/>
      </w:divBdr>
      <w:divsChild>
        <w:div w:id="2055351297">
          <w:marLeft w:val="0"/>
          <w:marRight w:val="0"/>
          <w:marTop w:val="0"/>
          <w:marBottom w:val="0"/>
          <w:divBdr>
            <w:top w:val="none" w:sz="0" w:space="0" w:color="auto"/>
            <w:left w:val="none" w:sz="0" w:space="0" w:color="auto"/>
            <w:bottom w:val="none" w:sz="0" w:space="0" w:color="auto"/>
            <w:right w:val="none" w:sz="0" w:space="0" w:color="auto"/>
          </w:divBdr>
          <w:divsChild>
            <w:div w:id="1833989151">
              <w:marLeft w:val="0"/>
              <w:marRight w:val="0"/>
              <w:marTop w:val="0"/>
              <w:marBottom w:val="0"/>
              <w:divBdr>
                <w:top w:val="none" w:sz="0" w:space="0" w:color="auto"/>
                <w:left w:val="none" w:sz="0" w:space="0" w:color="auto"/>
                <w:bottom w:val="none" w:sz="0" w:space="0" w:color="auto"/>
                <w:right w:val="none" w:sz="0" w:space="0" w:color="auto"/>
              </w:divBdr>
              <w:divsChild>
                <w:div w:id="1089422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434189">
          <w:marLeft w:val="0"/>
          <w:marRight w:val="0"/>
          <w:marTop w:val="0"/>
          <w:marBottom w:val="0"/>
          <w:divBdr>
            <w:top w:val="none" w:sz="0" w:space="0" w:color="auto"/>
            <w:left w:val="none" w:sz="0" w:space="0" w:color="auto"/>
            <w:bottom w:val="none" w:sz="0" w:space="0" w:color="auto"/>
            <w:right w:val="none" w:sz="0" w:space="0" w:color="auto"/>
          </w:divBdr>
          <w:divsChild>
            <w:div w:id="1516188787">
              <w:marLeft w:val="0"/>
              <w:marRight w:val="0"/>
              <w:marTop w:val="0"/>
              <w:marBottom w:val="0"/>
              <w:divBdr>
                <w:top w:val="none" w:sz="0" w:space="0" w:color="auto"/>
                <w:left w:val="none" w:sz="0" w:space="0" w:color="auto"/>
                <w:bottom w:val="none" w:sz="0" w:space="0" w:color="auto"/>
                <w:right w:val="none" w:sz="0" w:space="0" w:color="auto"/>
              </w:divBdr>
              <w:divsChild>
                <w:div w:id="68328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035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resource.com/therapy/aboutcouns/supervisio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acp.co.uk/events-and-resources/ethics-and-standards/ethical-framework-for-the-counselling-profession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psychologytoday.com/gb/therapy-types/motivational-interviewing" TargetMode="External"/><Relationship Id="rId4" Type="http://schemas.openxmlformats.org/officeDocument/2006/relationships/webSettings" Target="webSettings.xml"/><Relationship Id="rId9" Type="http://schemas.openxmlformats.org/officeDocument/2006/relationships/hyperlink" Target="https://www.gov.uk/guidance/equality-act-2010-guidance"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729</TotalTime>
  <Pages>1</Pages>
  <Words>1628</Words>
  <Characters>9284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Simply Lush</dc:creator>
  <cp:keywords/>
  <dc:description/>
  <cp:lastModifiedBy>Simply Lush</cp:lastModifiedBy>
  <cp:revision>10</cp:revision>
  <dcterms:created xsi:type="dcterms:W3CDTF">2018-11-16T18:19:00Z</dcterms:created>
  <dcterms:modified xsi:type="dcterms:W3CDTF">2018-11-21T12:39:00Z</dcterms:modified>
</cp:coreProperties>
</file>