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00C4088" w14:textId="77777777" w:rsidR="00220BBD" w:rsidRDefault="00220BBD" w:rsidP="00220BBD">
      <w:pPr>
        <w:spacing w:after="240"/>
        <w:ind w:left="1080" w:hanging="720"/>
      </w:pPr>
    </w:p>
    <w:p w14:paraId="77DB0D4F" w14:textId="77777777" w:rsidR="00220BBD" w:rsidRDefault="00220BBD" w:rsidP="00220BBD">
      <w:pPr>
        <w:spacing w:after="240"/>
        <w:ind w:left="1080" w:hanging="720"/>
      </w:pPr>
    </w:p>
    <w:p w14:paraId="5EB0F2E1" w14:textId="77777777" w:rsidR="00220BBD" w:rsidRDefault="00220BBD" w:rsidP="00220BBD">
      <w:pPr>
        <w:spacing w:after="240"/>
        <w:ind w:left="1080" w:hanging="720"/>
      </w:pPr>
    </w:p>
    <w:p w14:paraId="13337069" w14:textId="77777777" w:rsidR="00BF07DD" w:rsidRDefault="00BF07DD" w:rsidP="00BF07DD">
      <w:pPr>
        <w:pStyle w:val="Titlu"/>
      </w:pPr>
      <w:r>
        <w:tab/>
      </w:r>
      <w:r>
        <w:tab/>
      </w:r>
    </w:p>
    <w:p w14:paraId="376C3A38" w14:textId="134ADD9E" w:rsidR="00BF07DD" w:rsidRDefault="00631AC2" w:rsidP="00BF07DD">
      <w:pPr>
        <w:pStyle w:val="Titlu"/>
      </w:pPr>
      <w:r>
        <w:t>Stakeholder Engagement</w:t>
      </w:r>
      <w:r w:rsidR="00BF07DD">
        <w:t xml:space="preserve">: </w:t>
      </w:r>
      <w:r>
        <w:t>Stratford Leisure Centre Project Proposal</w:t>
      </w:r>
    </w:p>
    <w:p w14:paraId="4E025A86" w14:textId="77777777" w:rsidR="00BF07DD" w:rsidRDefault="00BF07DD" w:rsidP="00BF07DD">
      <w:pPr>
        <w:spacing w:after="240"/>
        <w:rPr>
          <w:rFonts w:ascii="Arial" w:hAnsi="Arial" w:cs="Arial"/>
        </w:rPr>
      </w:pPr>
    </w:p>
    <w:p w14:paraId="4B579AE6" w14:textId="77777777" w:rsidR="00BF07DD" w:rsidRDefault="00BF07DD" w:rsidP="00BF07DD">
      <w:pPr>
        <w:spacing w:after="240"/>
        <w:jc w:val="center"/>
        <w:rPr>
          <w:rFonts w:ascii="Arial" w:hAnsi="Arial" w:cs="Arial"/>
        </w:rPr>
      </w:pPr>
    </w:p>
    <w:p w14:paraId="7ADE49AF" w14:textId="045E5C9C" w:rsidR="00BF07DD" w:rsidRDefault="00BF07DD" w:rsidP="00BF07DD">
      <w:pPr>
        <w:spacing w:after="240"/>
        <w:jc w:val="center"/>
        <w:rPr>
          <w:rFonts w:ascii="Arial" w:hAnsi="Arial" w:cs="Arial"/>
        </w:rPr>
      </w:pPr>
      <w:r>
        <w:rPr>
          <w:rFonts w:ascii="Arial" w:hAnsi="Arial" w:cs="Arial"/>
        </w:rPr>
        <w:t>Module Code: LCBB</w:t>
      </w:r>
      <w:r w:rsidR="00631AC2">
        <w:rPr>
          <w:rFonts w:ascii="Arial" w:hAnsi="Arial" w:cs="Arial"/>
        </w:rPr>
        <w:t>4013</w:t>
      </w:r>
    </w:p>
    <w:p w14:paraId="3CBDC080" w14:textId="77777777" w:rsidR="00BF07DD" w:rsidRPr="002E7B86" w:rsidRDefault="00BF07DD" w:rsidP="00BF07DD">
      <w:pPr>
        <w:spacing w:after="240"/>
        <w:rPr>
          <w:rFonts w:ascii="Arial" w:hAnsi="Arial" w:cs="Arial"/>
          <w:sz w:val="36"/>
          <w:szCs w:val="36"/>
        </w:rPr>
      </w:pPr>
    </w:p>
    <w:p w14:paraId="38D9F4D9" w14:textId="77777777" w:rsidR="00C42AAA" w:rsidRDefault="00BF07DD" w:rsidP="00BF07DD">
      <w:pPr>
        <w:spacing w:after="240"/>
        <w:rPr>
          <w:rFonts w:ascii="Arial" w:hAnsi="Arial" w:cs="Arial"/>
          <w:sz w:val="36"/>
          <w:szCs w:val="36"/>
        </w:rPr>
      </w:pPr>
      <w:r w:rsidRPr="002E7B86">
        <w:rPr>
          <w:rFonts w:ascii="Arial" w:hAnsi="Arial" w:cs="Arial"/>
          <w:sz w:val="36"/>
          <w:szCs w:val="36"/>
        </w:rPr>
        <w:t xml:space="preserve">Student name </w:t>
      </w:r>
      <w:r w:rsidR="00C42AAA">
        <w:rPr>
          <w:rFonts w:ascii="Arial" w:hAnsi="Arial" w:cs="Arial"/>
          <w:sz w:val="36"/>
          <w:szCs w:val="36"/>
        </w:rPr>
        <w:t>:</w:t>
      </w:r>
      <w:r w:rsidRPr="002E7B86">
        <w:rPr>
          <w:rFonts w:ascii="Arial" w:hAnsi="Arial" w:cs="Arial"/>
          <w:sz w:val="36"/>
          <w:szCs w:val="36"/>
        </w:rPr>
        <w:t xml:space="preserve"> Alexandra Mihaela Alexe </w:t>
      </w:r>
    </w:p>
    <w:p w14:paraId="568EC724" w14:textId="5614613E" w:rsidR="00BF07DD" w:rsidRPr="002E7B86" w:rsidRDefault="00C42AAA" w:rsidP="00BF07DD">
      <w:pPr>
        <w:spacing w:after="240"/>
        <w:rPr>
          <w:rFonts w:ascii="Arial" w:hAnsi="Arial" w:cs="Arial"/>
          <w:sz w:val="36"/>
          <w:szCs w:val="36"/>
        </w:rPr>
      </w:pPr>
      <w:r>
        <w:rPr>
          <w:rFonts w:ascii="Arial" w:hAnsi="Arial" w:cs="Arial"/>
          <w:sz w:val="36"/>
          <w:szCs w:val="36"/>
        </w:rPr>
        <w:t xml:space="preserve"> Student ID : </w:t>
      </w:r>
      <w:r w:rsidR="00BF07DD" w:rsidRPr="002E7B86">
        <w:rPr>
          <w:rFonts w:ascii="Arial" w:hAnsi="Arial" w:cs="Arial"/>
          <w:sz w:val="36"/>
          <w:szCs w:val="36"/>
        </w:rPr>
        <w:t>2513664</w:t>
      </w:r>
    </w:p>
    <w:p w14:paraId="3E7A8559" w14:textId="77777777" w:rsidR="00BF07DD" w:rsidRDefault="00BF07DD" w:rsidP="00BF07DD">
      <w:pPr>
        <w:spacing w:after="240"/>
        <w:rPr>
          <w:rFonts w:ascii="Arial" w:hAnsi="Arial" w:cs="Arial"/>
        </w:rPr>
      </w:pPr>
    </w:p>
    <w:p w14:paraId="7D5A75EE" w14:textId="77777777" w:rsidR="00BF07DD" w:rsidRDefault="00BF07DD" w:rsidP="00BF07DD">
      <w:pPr>
        <w:spacing w:after="240"/>
        <w:rPr>
          <w:rFonts w:ascii="Arial" w:hAnsi="Arial" w:cs="Arial"/>
        </w:rPr>
      </w:pPr>
    </w:p>
    <w:p w14:paraId="6522A6C0" w14:textId="77777777" w:rsidR="00220BBD" w:rsidRDefault="00220BBD" w:rsidP="00BF07DD">
      <w:pPr>
        <w:spacing w:after="240"/>
        <w:rPr>
          <w:rFonts w:ascii="Arial" w:hAnsi="Arial" w:cs="Arial"/>
        </w:rPr>
      </w:pPr>
    </w:p>
    <w:p w14:paraId="1C588EBB" w14:textId="77777777" w:rsidR="00BF07DD" w:rsidRDefault="00BF07DD" w:rsidP="00BF07DD">
      <w:pPr>
        <w:spacing w:after="240"/>
        <w:rPr>
          <w:rFonts w:ascii="Arial" w:hAnsi="Arial" w:cs="Arial"/>
        </w:rPr>
      </w:pPr>
    </w:p>
    <w:p w14:paraId="1B3F23DA" w14:textId="77777777" w:rsidR="00BF07DD" w:rsidRDefault="00BF07DD" w:rsidP="00BF07DD">
      <w:pPr>
        <w:spacing w:after="240"/>
      </w:pPr>
    </w:p>
    <w:p w14:paraId="001CAED2" w14:textId="77777777" w:rsidR="00220BBD" w:rsidRDefault="00220BBD" w:rsidP="00220BBD">
      <w:pPr>
        <w:spacing w:after="240"/>
        <w:ind w:left="1080" w:hanging="720"/>
      </w:pPr>
    </w:p>
    <w:p w14:paraId="1E616491" w14:textId="77777777" w:rsidR="00220BBD" w:rsidRDefault="00220BBD" w:rsidP="00220BBD">
      <w:pPr>
        <w:spacing w:after="240"/>
        <w:ind w:left="1080" w:hanging="720"/>
      </w:pPr>
    </w:p>
    <w:p w14:paraId="73D1BA32" w14:textId="77777777" w:rsidR="00220BBD" w:rsidRDefault="00220BBD" w:rsidP="00220BBD">
      <w:pPr>
        <w:spacing w:after="240"/>
        <w:ind w:left="1080" w:hanging="720"/>
      </w:pPr>
    </w:p>
    <w:p w14:paraId="04C85FBB" w14:textId="77777777" w:rsidR="00220BBD" w:rsidRDefault="00220BBD" w:rsidP="00220BBD">
      <w:pPr>
        <w:spacing w:after="240"/>
        <w:ind w:left="1080" w:hanging="720"/>
      </w:pPr>
    </w:p>
    <w:p w14:paraId="164BE8E1" w14:textId="77777777" w:rsidR="00220BBD" w:rsidRDefault="00220BBD" w:rsidP="00220BBD">
      <w:pPr>
        <w:spacing w:after="240"/>
        <w:ind w:left="1080" w:hanging="720"/>
      </w:pPr>
    </w:p>
    <w:p w14:paraId="02397C38" w14:textId="77777777" w:rsidR="00220BBD" w:rsidRDefault="00220BBD" w:rsidP="00220BBD">
      <w:pPr>
        <w:spacing w:after="240"/>
        <w:ind w:left="1080" w:hanging="720"/>
      </w:pPr>
    </w:p>
    <w:p w14:paraId="44AF1AD4" w14:textId="77777777" w:rsidR="00220BBD" w:rsidRDefault="00220BBD" w:rsidP="00220BBD">
      <w:pPr>
        <w:spacing w:after="240"/>
        <w:ind w:left="1080" w:hanging="720"/>
      </w:pPr>
    </w:p>
    <w:p w14:paraId="33F1AE51" w14:textId="77777777" w:rsidR="00220BBD" w:rsidRDefault="00220BBD" w:rsidP="00220BBD">
      <w:pPr>
        <w:spacing w:after="240"/>
        <w:ind w:left="1080" w:hanging="720"/>
      </w:pPr>
    </w:p>
    <w:sdt>
      <w:sdtPr>
        <w:rPr>
          <w:rFonts w:ascii="Times New Roman" w:eastAsia="Times New Roman" w:hAnsi="Times New Roman" w:cs="Times New Roman"/>
          <w:color w:val="auto"/>
          <w:sz w:val="24"/>
          <w:szCs w:val="24"/>
        </w:rPr>
        <w:id w:val="-722447669"/>
        <w:docPartObj>
          <w:docPartGallery w:val="Table of Contents"/>
          <w:docPartUnique/>
        </w:docPartObj>
      </w:sdtPr>
      <w:sdtEndPr>
        <w:rPr>
          <w:b/>
          <w:bCs/>
          <w:noProof/>
        </w:rPr>
      </w:sdtEndPr>
      <w:sdtContent>
        <w:p w14:paraId="1DF51D86" w14:textId="51BA1304" w:rsidR="00BF07DD" w:rsidRDefault="00BF07DD">
          <w:pPr>
            <w:pStyle w:val="Titlucuprins"/>
          </w:pPr>
          <w:r>
            <w:t>Table of Contents</w:t>
          </w:r>
        </w:p>
        <w:p w14:paraId="170F77F5" w14:textId="77777777" w:rsidR="00C3325A" w:rsidRPr="00C3325A" w:rsidRDefault="00C3325A" w:rsidP="00C3325A"/>
        <w:p w14:paraId="1A2D1117" w14:textId="41D3AE8F" w:rsidR="00C3325A" w:rsidRPr="00C3325A" w:rsidRDefault="00BF07DD">
          <w:pPr>
            <w:pStyle w:val="Cuprins2"/>
            <w:tabs>
              <w:tab w:val="left" w:pos="720"/>
              <w:tab w:val="right" w:leader="dot" w:pos="9350"/>
            </w:tabs>
            <w:rPr>
              <w:rFonts w:asciiTheme="minorHAnsi" w:eastAsiaTheme="minorEastAsia" w:hAnsiTheme="minorHAnsi" w:cstheme="minorBidi"/>
              <w:noProof/>
              <w:kern w:val="2"/>
              <w:sz w:val="28"/>
              <w:szCs w:val="28"/>
              <w14:ligatures w14:val="standardContextual"/>
            </w:rPr>
          </w:pPr>
          <w:r w:rsidRPr="00631AC2">
            <w:rPr>
              <w:sz w:val="32"/>
              <w:szCs w:val="32"/>
            </w:rPr>
            <w:fldChar w:fldCharType="begin"/>
          </w:r>
          <w:r w:rsidRPr="00631AC2">
            <w:rPr>
              <w:sz w:val="32"/>
              <w:szCs w:val="32"/>
            </w:rPr>
            <w:instrText xml:space="preserve"> TOC \o "1-3" \h \z \u </w:instrText>
          </w:r>
          <w:r w:rsidRPr="00631AC2">
            <w:rPr>
              <w:sz w:val="32"/>
              <w:szCs w:val="32"/>
            </w:rPr>
            <w:fldChar w:fldCharType="separate"/>
          </w:r>
          <w:hyperlink w:anchor="_Toc238120725" w:history="1">
            <w:r w:rsidR="00C3325A" w:rsidRPr="00C3325A">
              <w:rPr>
                <w:rStyle w:val="Hyperlink"/>
                <w:noProof/>
                <w:sz w:val="28"/>
                <w:szCs w:val="28"/>
              </w:rPr>
              <w:t>I.</w:t>
            </w:r>
            <w:r w:rsidR="00C3325A" w:rsidRPr="00C3325A">
              <w:rPr>
                <w:rFonts w:asciiTheme="minorHAnsi" w:eastAsiaTheme="minorEastAsia" w:hAnsiTheme="minorHAnsi" w:cstheme="minorBidi"/>
                <w:noProof/>
                <w:kern w:val="2"/>
                <w:sz w:val="28"/>
                <w:szCs w:val="28"/>
                <w14:ligatures w14:val="standardContextual"/>
              </w:rPr>
              <w:tab/>
            </w:r>
            <w:r w:rsidR="00C3325A" w:rsidRPr="00C3325A">
              <w:rPr>
                <w:rStyle w:val="Hyperlink"/>
                <w:noProof/>
                <w:sz w:val="28"/>
                <w:szCs w:val="28"/>
              </w:rPr>
              <w:t>Introduction</w:t>
            </w:r>
            <w:r w:rsidR="00C3325A" w:rsidRPr="00C3325A">
              <w:rPr>
                <w:noProof/>
                <w:webHidden/>
                <w:sz w:val="28"/>
                <w:szCs w:val="28"/>
              </w:rPr>
              <w:tab/>
            </w:r>
            <w:r w:rsidR="00C3325A" w:rsidRPr="00C3325A">
              <w:rPr>
                <w:noProof/>
                <w:webHidden/>
                <w:sz w:val="28"/>
                <w:szCs w:val="28"/>
              </w:rPr>
              <w:fldChar w:fldCharType="begin"/>
            </w:r>
            <w:r w:rsidR="00C3325A" w:rsidRPr="00C3325A">
              <w:rPr>
                <w:noProof/>
                <w:webHidden/>
                <w:sz w:val="28"/>
                <w:szCs w:val="28"/>
              </w:rPr>
              <w:instrText xml:space="preserve"> PAGEREF _Toc238120725 \h </w:instrText>
            </w:r>
            <w:r w:rsidR="00C3325A" w:rsidRPr="00C3325A">
              <w:rPr>
                <w:noProof/>
                <w:webHidden/>
                <w:sz w:val="28"/>
                <w:szCs w:val="28"/>
              </w:rPr>
            </w:r>
            <w:r w:rsidR="00C3325A" w:rsidRPr="00C3325A">
              <w:rPr>
                <w:noProof/>
                <w:webHidden/>
                <w:sz w:val="28"/>
                <w:szCs w:val="28"/>
              </w:rPr>
              <w:fldChar w:fldCharType="separate"/>
            </w:r>
            <w:r w:rsidR="00C3325A" w:rsidRPr="00C3325A">
              <w:rPr>
                <w:noProof/>
                <w:webHidden/>
                <w:sz w:val="28"/>
                <w:szCs w:val="28"/>
              </w:rPr>
              <w:t>2</w:t>
            </w:r>
            <w:r w:rsidR="00C3325A" w:rsidRPr="00C3325A">
              <w:rPr>
                <w:noProof/>
                <w:webHidden/>
                <w:sz w:val="28"/>
                <w:szCs w:val="28"/>
              </w:rPr>
              <w:fldChar w:fldCharType="end"/>
            </w:r>
          </w:hyperlink>
        </w:p>
        <w:p w14:paraId="4DF563EA" w14:textId="53711B79" w:rsidR="00C3325A" w:rsidRPr="00C3325A" w:rsidRDefault="00C3325A">
          <w:pPr>
            <w:pStyle w:val="Cuprins2"/>
            <w:tabs>
              <w:tab w:val="left" w:pos="720"/>
              <w:tab w:val="right" w:leader="dot" w:pos="9350"/>
            </w:tabs>
            <w:rPr>
              <w:rFonts w:asciiTheme="minorHAnsi" w:eastAsiaTheme="minorEastAsia" w:hAnsiTheme="minorHAnsi" w:cstheme="minorBidi"/>
              <w:noProof/>
              <w:kern w:val="2"/>
              <w:sz w:val="28"/>
              <w:szCs w:val="28"/>
              <w14:ligatures w14:val="standardContextual"/>
            </w:rPr>
          </w:pPr>
          <w:hyperlink w:anchor="_Toc238120726" w:history="1">
            <w:r w:rsidRPr="00C3325A">
              <w:rPr>
                <w:rStyle w:val="Hyperlink"/>
                <w:noProof/>
                <w:sz w:val="28"/>
                <w:szCs w:val="28"/>
              </w:rPr>
              <w:t>II.</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Stakeholder Engagement Strategies</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_Toc238120726 \h </w:instrText>
            </w:r>
            <w:r w:rsidRPr="00C3325A">
              <w:rPr>
                <w:noProof/>
                <w:webHidden/>
                <w:sz w:val="28"/>
                <w:szCs w:val="28"/>
              </w:rPr>
            </w:r>
            <w:r w:rsidRPr="00C3325A">
              <w:rPr>
                <w:noProof/>
                <w:webHidden/>
                <w:sz w:val="28"/>
                <w:szCs w:val="28"/>
              </w:rPr>
              <w:fldChar w:fldCharType="separate"/>
            </w:r>
            <w:r w:rsidRPr="00C3325A">
              <w:rPr>
                <w:noProof/>
                <w:webHidden/>
                <w:sz w:val="28"/>
                <w:szCs w:val="28"/>
              </w:rPr>
              <w:t>4</w:t>
            </w:r>
            <w:r w:rsidRPr="00C3325A">
              <w:rPr>
                <w:noProof/>
                <w:webHidden/>
                <w:sz w:val="28"/>
                <w:szCs w:val="28"/>
              </w:rPr>
              <w:fldChar w:fldCharType="end"/>
            </w:r>
          </w:hyperlink>
        </w:p>
        <w:p w14:paraId="5A06E990" w14:textId="3712D54D" w:rsidR="00C3325A" w:rsidRPr="00C3325A" w:rsidRDefault="00C3325A">
          <w:pPr>
            <w:pStyle w:val="Cuprins3"/>
            <w:tabs>
              <w:tab w:val="left" w:pos="960"/>
              <w:tab w:val="right" w:leader="dot" w:pos="9350"/>
            </w:tabs>
            <w:rPr>
              <w:rFonts w:asciiTheme="minorHAnsi" w:eastAsiaTheme="minorEastAsia" w:hAnsiTheme="minorHAnsi" w:cstheme="minorBidi"/>
              <w:noProof/>
              <w:kern w:val="2"/>
              <w:sz w:val="28"/>
              <w:szCs w:val="28"/>
              <w14:ligatures w14:val="standardContextual"/>
            </w:rPr>
          </w:pPr>
          <w:hyperlink w:anchor="_Toc238120727" w:history="1">
            <w:r w:rsidRPr="00C3325A">
              <w:rPr>
                <w:rStyle w:val="Hyperlink"/>
                <w:noProof/>
                <w:sz w:val="28"/>
                <w:szCs w:val="28"/>
              </w:rPr>
              <w:t>i.</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Power, Influence and Interest Matrix</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_Toc238120727 \h </w:instrText>
            </w:r>
            <w:r w:rsidRPr="00C3325A">
              <w:rPr>
                <w:noProof/>
                <w:webHidden/>
                <w:sz w:val="28"/>
                <w:szCs w:val="28"/>
              </w:rPr>
            </w:r>
            <w:r w:rsidRPr="00C3325A">
              <w:rPr>
                <w:noProof/>
                <w:webHidden/>
                <w:sz w:val="28"/>
                <w:szCs w:val="28"/>
              </w:rPr>
              <w:fldChar w:fldCharType="separate"/>
            </w:r>
            <w:r w:rsidRPr="00C3325A">
              <w:rPr>
                <w:noProof/>
                <w:webHidden/>
                <w:sz w:val="28"/>
                <w:szCs w:val="28"/>
              </w:rPr>
              <w:t>4</w:t>
            </w:r>
            <w:r w:rsidRPr="00C3325A">
              <w:rPr>
                <w:noProof/>
                <w:webHidden/>
                <w:sz w:val="28"/>
                <w:szCs w:val="28"/>
              </w:rPr>
              <w:fldChar w:fldCharType="end"/>
            </w:r>
          </w:hyperlink>
        </w:p>
        <w:p w14:paraId="563B262F" w14:textId="2111F941" w:rsidR="00C3325A" w:rsidRPr="00C3325A" w:rsidRDefault="00C3325A">
          <w:pPr>
            <w:pStyle w:val="Cuprins3"/>
            <w:tabs>
              <w:tab w:val="left" w:pos="960"/>
              <w:tab w:val="right" w:leader="dot" w:pos="9350"/>
            </w:tabs>
            <w:rPr>
              <w:rFonts w:asciiTheme="minorHAnsi" w:eastAsiaTheme="minorEastAsia" w:hAnsiTheme="minorHAnsi" w:cstheme="minorBidi"/>
              <w:noProof/>
              <w:kern w:val="2"/>
              <w:sz w:val="28"/>
              <w:szCs w:val="28"/>
              <w14:ligatures w14:val="standardContextual"/>
            </w:rPr>
          </w:pPr>
          <w:hyperlink w:anchor="_Toc238120728" w:history="1">
            <w:r w:rsidRPr="00C3325A">
              <w:rPr>
                <w:rStyle w:val="Hyperlink"/>
                <w:noProof/>
                <w:sz w:val="28"/>
                <w:szCs w:val="28"/>
              </w:rPr>
              <w:t>ii.</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Stakeholder Map</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_Toc238120728 \h </w:instrText>
            </w:r>
            <w:r w:rsidRPr="00C3325A">
              <w:rPr>
                <w:noProof/>
                <w:webHidden/>
                <w:sz w:val="28"/>
                <w:szCs w:val="28"/>
              </w:rPr>
            </w:r>
            <w:r w:rsidRPr="00C3325A">
              <w:rPr>
                <w:noProof/>
                <w:webHidden/>
                <w:sz w:val="28"/>
                <w:szCs w:val="28"/>
              </w:rPr>
              <w:fldChar w:fldCharType="separate"/>
            </w:r>
            <w:r w:rsidRPr="00C3325A">
              <w:rPr>
                <w:noProof/>
                <w:webHidden/>
                <w:sz w:val="28"/>
                <w:szCs w:val="28"/>
              </w:rPr>
              <w:t>5</w:t>
            </w:r>
            <w:r w:rsidRPr="00C3325A">
              <w:rPr>
                <w:noProof/>
                <w:webHidden/>
                <w:sz w:val="28"/>
                <w:szCs w:val="28"/>
              </w:rPr>
              <w:fldChar w:fldCharType="end"/>
            </w:r>
          </w:hyperlink>
        </w:p>
        <w:p w14:paraId="3634AFFE" w14:textId="4DA92717" w:rsidR="00C3325A" w:rsidRPr="00C3325A" w:rsidRDefault="00C3325A">
          <w:pPr>
            <w:pStyle w:val="Cuprins3"/>
            <w:tabs>
              <w:tab w:val="left" w:pos="1200"/>
              <w:tab w:val="right" w:leader="dot" w:pos="9350"/>
            </w:tabs>
            <w:rPr>
              <w:rFonts w:asciiTheme="minorHAnsi" w:eastAsiaTheme="minorEastAsia" w:hAnsiTheme="minorHAnsi" w:cstheme="minorBidi"/>
              <w:noProof/>
              <w:kern w:val="2"/>
              <w:sz w:val="28"/>
              <w:szCs w:val="28"/>
              <w14:ligatures w14:val="standardContextual"/>
            </w:rPr>
          </w:pPr>
          <w:hyperlink w:anchor="_Toc238120729" w:history="1">
            <w:r w:rsidRPr="00C3325A">
              <w:rPr>
                <w:rStyle w:val="Hyperlink"/>
                <w:noProof/>
                <w:sz w:val="28"/>
                <w:szCs w:val="28"/>
              </w:rPr>
              <w:t>iii.</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Communication Plan and Consultation Strategy</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_Toc238120729 \h </w:instrText>
            </w:r>
            <w:r w:rsidRPr="00C3325A">
              <w:rPr>
                <w:noProof/>
                <w:webHidden/>
                <w:sz w:val="28"/>
                <w:szCs w:val="28"/>
              </w:rPr>
            </w:r>
            <w:r w:rsidRPr="00C3325A">
              <w:rPr>
                <w:noProof/>
                <w:webHidden/>
                <w:sz w:val="28"/>
                <w:szCs w:val="28"/>
              </w:rPr>
              <w:fldChar w:fldCharType="separate"/>
            </w:r>
            <w:r w:rsidRPr="00C3325A">
              <w:rPr>
                <w:noProof/>
                <w:webHidden/>
                <w:sz w:val="28"/>
                <w:szCs w:val="28"/>
              </w:rPr>
              <w:t>7</w:t>
            </w:r>
            <w:r w:rsidRPr="00C3325A">
              <w:rPr>
                <w:noProof/>
                <w:webHidden/>
                <w:sz w:val="28"/>
                <w:szCs w:val="28"/>
              </w:rPr>
              <w:fldChar w:fldCharType="end"/>
            </w:r>
          </w:hyperlink>
        </w:p>
        <w:p w14:paraId="1E5071BA" w14:textId="51BFB55E" w:rsidR="00C3325A" w:rsidRPr="00C3325A" w:rsidRDefault="00C3325A">
          <w:pPr>
            <w:pStyle w:val="Cuprins2"/>
            <w:tabs>
              <w:tab w:val="left" w:pos="960"/>
              <w:tab w:val="right" w:leader="dot" w:pos="9350"/>
            </w:tabs>
            <w:rPr>
              <w:rFonts w:asciiTheme="minorHAnsi" w:eastAsiaTheme="minorEastAsia" w:hAnsiTheme="minorHAnsi" w:cstheme="minorBidi"/>
              <w:noProof/>
              <w:kern w:val="2"/>
              <w:sz w:val="28"/>
              <w:szCs w:val="28"/>
              <w14:ligatures w14:val="standardContextual"/>
            </w:rPr>
          </w:pPr>
          <w:hyperlink w:anchor="_Toc238120730" w:history="1">
            <w:r w:rsidRPr="00C3325A">
              <w:rPr>
                <w:rStyle w:val="Hyperlink"/>
                <w:noProof/>
                <w:sz w:val="28"/>
                <w:szCs w:val="28"/>
              </w:rPr>
              <w:t>III.</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Ethical considerations</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_Toc238120730 \h </w:instrText>
            </w:r>
            <w:r w:rsidRPr="00C3325A">
              <w:rPr>
                <w:noProof/>
                <w:webHidden/>
                <w:sz w:val="28"/>
                <w:szCs w:val="28"/>
              </w:rPr>
            </w:r>
            <w:r w:rsidRPr="00C3325A">
              <w:rPr>
                <w:noProof/>
                <w:webHidden/>
                <w:sz w:val="28"/>
                <w:szCs w:val="28"/>
              </w:rPr>
              <w:fldChar w:fldCharType="separate"/>
            </w:r>
            <w:r w:rsidRPr="00C3325A">
              <w:rPr>
                <w:noProof/>
                <w:webHidden/>
                <w:sz w:val="28"/>
                <w:szCs w:val="28"/>
              </w:rPr>
              <w:t>9</w:t>
            </w:r>
            <w:r w:rsidRPr="00C3325A">
              <w:rPr>
                <w:noProof/>
                <w:webHidden/>
                <w:sz w:val="28"/>
                <w:szCs w:val="28"/>
              </w:rPr>
              <w:fldChar w:fldCharType="end"/>
            </w:r>
          </w:hyperlink>
        </w:p>
        <w:p w14:paraId="0F27A6DE" w14:textId="3781A13D" w:rsidR="00C3325A" w:rsidRPr="00C3325A" w:rsidRDefault="00C3325A">
          <w:pPr>
            <w:pStyle w:val="Cuprins2"/>
            <w:tabs>
              <w:tab w:val="left" w:pos="960"/>
              <w:tab w:val="right" w:leader="dot" w:pos="9350"/>
            </w:tabs>
            <w:rPr>
              <w:rFonts w:asciiTheme="minorHAnsi" w:eastAsiaTheme="minorEastAsia" w:hAnsiTheme="minorHAnsi" w:cstheme="minorBidi"/>
              <w:noProof/>
              <w:kern w:val="2"/>
              <w:sz w:val="28"/>
              <w:szCs w:val="28"/>
              <w14:ligatures w14:val="standardContextual"/>
            </w:rPr>
          </w:pPr>
          <w:hyperlink w:anchor="_Toc238120731" w:history="1">
            <w:r w:rsidRPr="00C3325A">
              <w:rPr>
                <w:rStyle w:val="Hyperlink"/>
                <w:noProof/>
                <w:sz w:val="28"/>
                <w:szCs w:val="28"/>
              </w:rPr>
              <w:t>IV.</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Conclusion and Reflection</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_Toc238120731 \h </w:instrText>
            </w:r>
            <w:r w:rsidRPr="00C3325A">
              <w:rPr>
                <w:noProof/>
                <w:webHidden/>
                <w:sz w:val="28"/>
                <w:szCs w:val="28"/>
              </w:rPr>
            </w:r>
            <w:r w:rsidRPr="00C3325A">
              <w:rPr>
                <w:noProof/>
                <w:webHidden/>
                <w:sz w:val="28"/>
                <w:szCs w:val="28"/>
              </w:rPr>
              <w:fldChar w:fldCharType="separate"/>
            </w:r>
            <w:r w:rsidRPr="00C3325A">
              <w:rPr>
                <w:noProof/>
                <w:webHidden/>
                <w:sz w:val="28"/>
                <w:szCs w:val="28"/>
              </w:rPr>
              <w:t>10</w:t>
            </w:r>
            <w:r w:rsidRPr="00C3325A">
              <w:rPr>
                <w:noProof/>
                <w:webHidden/>
                <w:sz w:val="28"/>
                <w:szCs w:val="28"/>
              </w:rPr>
              <w:fldChar w:fldCharType="end"/>
            </w:r>
          </w:hyperlink>
        </w:p>
        <w:p w14:paraId="7F395242" w14:textId="19E768C4" w:rsidR="00C3325A" w:rsidRPr="00C3325A" w:rsidRDefault="00C3325A">
          <w:pPr>
            <w:pStyle w:val="Cuprins2"/>
            <w:tabs>
              <w:tab w:val="left" w:pos="720"/>
              <w:tab w:val="right" w:leader="dot" w:pos="9350"/>
            </w:tabs>
            <w:rPr>
              <w:rFonts w:asciiTheme="minorHAnsi" w:eastAsiaTheme="minorEastAsia" w:hAnsiTheme="minorHAnsi" w:cstheme="minorBidi"/>
              <w:noProof/>
              <w:kern w:val="2"/>
              <w:sz w:val="28"/>
              <w:szCs w:val="28"/>
              <w14:ligatures w14:val="standardContextual"/>
            </w:rPr>
          </w:pPr>
          <w:hyperlink w:anchor="_Toc238120732" w:history="1">
            <w:r w:rsidRPr="00C3325A">
              <w:rPr>
                <w:rStyle w:val="Hyperlink"/>
                <w:noProof/>
                <w:sz w:val="28"/>
                <w:szCs w:val="28"/>
              </w:rPr>
              <w:t>V.</w:t>
            </w:r>
            <w:r w:rsidRPr="00C3325A">
              <w:rPr>
                <w:rFonts w:asciiTheme="minorHAnsi" w:eastAsiaTheme="minorEastAsia" w:hAnsiTheme="minorHAnsi" w:cstheme="minorBidi"/>
                <w:noProof/>
                <w:kern w:val="2"/>
                <w:sz w:val="28"/>
                <w:szCs w:val="28"/>
                <w14:ligatures w14:val="standardContextual"/>
              </w:rPr>
              <w:tab/>
            </w:r>
            <w:r w:rsidRPr="00C3325A">
              <w:rPr>
                <w:rStyle w:val="Hyperlink"/>
                <w:noProof/>
                <w:sz w:val="28"/>
                <w:szCs w:val="28"/>
              </w:rPr>
              <w:t>Reference List</w:t>
            </w:r>
            <w:r w:rsidRPr="00C3325A">
              <w:rPr>
                <w:noProof/>
                <w:webHidden/>
                <w:sz w:val="28"/>
                <w:szCs w:val="28"/>
              </w:rPr>
              <w:tab/>
            </w:r>
            <w:r w:rsidRPr="00C3325A">
              <w:rPr>
                <w:noProof/>
                <w:webHidden/>
                <w:sz w:val="28"/>
                <w:szCs w:val="28"/>
              </w:rPr>
              <w:fldChar w:fldCharType="begin"/>
            </w:r>
            <w:r w:rsidRPr="00C3325A">
              <w:rPr>
                <w:noProof/>
                <w:webHidden/>
                <w:sz w:val="28"/>
                <w:szCs w:val="28"/>
              </w:rPr>
              <w:instrText xml:space="preserve"> PAGEREF _Toc238120732 \h </w:instrText>
            </w:r>
            <w:r w:rsidRPr="00C3325A">
              <w:rPr>
                <w:noProof/>
                <w:webHidden/>
                <w:sz w:val="28"/>
                <w:szCs w:val="28"/>
              </w:rPr>
            </w:r>
            <w:r w:rsidRPr="00C3325A">
              <w:rPr>
                <w:noProof/>
                <w:webHidden/>
                <w:sz w:val="28"/>
                <w:szCs w:val="28"/>
              </w:rPr>
              <w:fldChar w:fldCharType="separate"/>
            </w:r>
            <w:r w:rsidRPr="00C3325A">
              <w:rPr>
                <w:noProof/>
                <w:webHidden/>
                <w:sz w:val="28"/>
                <w:szCs w:val="28"/>
              </w:rPr>
              <w:t>13</w:t>
            </w:r>
            <w:r w:rsidRPr="00C3325A">
              <w:rPr>
                <w:noProof/>
                <w:webHidden/>
                <w:sz w:val="28"/>
                <w:szCs w:val="28"/>
              </w:rPr>
              <w:fldChar w:fldCharType="end"/>
            </w:r>
          </w:hyperlink>
        </w:p>
        <w:p w14:paraId="5F7A605D" w14:textId="5515B658" w:rsidR="00BF07DD" w:rsidRDefault="00BF07DD">
          <w:r w:rsidRPr="00631AC2">
            <w:rPr>
              <w:b/>
              <w:bCs/>
              <w:noProof/>
              <w:sz w:val="32"/>
              <w:szCs w:val="32"/>
            </w:rPr>
            <w:fldChar w:fldCharType="end"/>
          </w:r>
        </w:p>
      </w:sdtContent>
    </w:sdt>
    <w:p w14:paraId="30668F95" w14:textId="77777777" w:rsidR="00220BBD" w:rsidRDefault="00220BBD" w:rsidP="00220BBD">
      <w:pPr>
        <w:spacing w:after="240"/>
        <w:ind w:left="1080" w:hanging="720"/>
      </w:pPr>
    </w:p>
    <w:p w14:paraId="19955233" w14:textId="77777777" w:rsidR="00220BBD" w:rsidRDefault="00220BBD" w:rsidP="00220BBD">
      <w:pPr>
        <w:spacing w:after="240"/>
        <w:ind w:left="1080" w:hanging="720"/>
      </w:pPr>
    </w:p>
    <w:p w14:paraId="7881CF72" w14:textId="77777777" w:rsidR="00220BBD" w:rsidRDefault="00220BBD" w:rsidP="00220BBD">
      <w:pPr>
        <w:spacing w:after="240"/>
        <w:ind w:left="1080" w:hanging="720"/>
      </w:pPr>
    </w:p>
    <w:p w14:paraId="5002F1C0" w14:textId="77777777" w:rsidR="00220BBD" w:rsidRDefault="00220BBD" w:rsidP="00220BBD">
      <w:pPr>
        <w:spacing w:after="240"/>
        <w:ind w:left="1080" w:hanging="720"/>
      </w:pPr>
    </w:p>
    <w:p w14:paraId="73F8CFF2" w14:textId="77777777" w:rsidR="00220BBD" w:rsidRDefault="00220BBD" w:rsidP="00220BBD">
      <w:pPr>
        <w:spacing w:after="240"/>
        <w:ind w:left="1080" w:hanging="720"/>
      </w:pPr>
    </w:p>
    <w:p w14:paraId="7D36A077" w14:textId="77777777" w:rsidR="00220BBD" w:rsidRDefault="00220BBD" w:rsidP="00220BBD">
      <w:pPr>
        <w:spacing w:after="240"/>
        <w:ind w:left="1080" w:hanging="720"/>
      </w:pPr>
    </w:p>
    <w:p w14:paraId="0CFB14C3" w14:textId="77777777" w:rsidR="00220BBD" w:rsidRDefault="00220BBD" w:rsidP="00220BBD">
      <w:pPr>
        <w:spacing w:after="240"/>
        <w:ind w:left="1080" w:hanging="720"/>
      </w:pPr>
    </w:p>
    <w:p w14:paraId="10052E03" w14:textId="77777777" w:rsidR="00631AC2" w:rsidRDefault="00631AC2" w:rsidP="00220BBD">
      <w:pPr>
        <w:spacing w:after="240"/>
        <w:ind w:left="1080" w:hanging="720"/>
      </w:pPr>
    </w:p>
    <w:p w14:paraId="1C7A6E01" w14:textId="77777777" w:rsidR="00631AC2" w:rsidRDefault="00631AC2" w:rsidP="00220BBD">
      <w:pPr>
        <w:spacing w:after="240"/>
        <w:ind w:left="1080" w:hanging="720"/>
      </w:pPr>
    </w:p>
    <w:p w14:paraId="2D6D8329" w14:textId="77777777" w:rsidR="00220BBD" w:rsidRDefault="00220BBD" w:rsidP="00220BBD">
      <w:pPr>
        <w:spacing w:after="240"/>
        <w:ind w:left="1080" w:hanging="720"/>
      </w:pPr>
    </w:p>
    <w:p w14:paraId="00E1283A" w14:textId="77777777" w:rsidR="00220BBD" w:rsidRDefault="00220BBD" w:rsidP="00220BBD">
      <w:pPr>
        <w:spacing w:after="240"/>
        <w:ind w:left="1080" w:hanging="720"/>
      </w:pPr>
    </w:p>
    <w:p w14:paraId="63881797" w14:textId="77777777" w:rsidR="00220BBD" w:rsidRDefault="00220BBD" w:rsidP="00220BBD">
      <w:pPr>
        <w:spacing w:after="240"/>
        <w:ind w:left="1080" w:hanging="720"/>
      </w:pPr>
    </w:p>
    <w:p w14:paraId="0438111D" w14:textId="77777777" w:rsidR="00220BBD" w:rsidRDefault="00220BBD" w:rsidP="00220BBD">
      <w:pPr>
        <w:spacing w:after="240"/>
        <w:ind w:left="1080" w:hanging="720"/>
      </w:pPr>
    </w:p>
    <w:p w14:paraId="5C95EE61" w14:textId="77777777" w:rsidR="00220BBD" w:rsidRDefault="00220BBD" w:rsidP="00220BBD">
      <w:pPr>
        <w:spacing w:after="240"/>
        <w:ind w:left="1080" w:hanging="720"/>
      </w:pPr>
    </w:p>
    <w:p w14:paraId="36971C95" w14:textId="77777777" w:rsidR="00220BBD" w:rsidRDefault="00220BBD" w:rsidP="00220BBD">
      <w:pPr>
        <w:pStyle w:val="Titlu2"/>
      </w:pPr>
    </w:p>
    <w:p w14:paraId="2AA8E2A8" w14:textId="77777777" w:rsidR="00631AC2" w:rsidRPr="00631AC2" w:rsidRDefault="00631AC2" w:rsidP="00631AC2"/>
    <w:p w14:paraId="3C0AE741" w14:textId="708ACEB4" w:rsidR="00E721B9" w:rsidRDefault="00220BBD" w:rsidP="00220BBD">
      <w:pPr>
        <w:pStyle w:val="Titlu2"/>
        <w:numPr>
          <w:ilvl w:val="0"/>
          <w:numId w:val="2"/>
        </w:numPr>
      </w:pPr>
      <w:bookmarkStart w:id="0" w:name="_Toc238120725"/>
      <w:r>
        <w:t>Introduction</w:t>
      </w:r>
      <w:bookmarkEnd w:id="0"/>
      <w:r>
        <w:t xml:space="preserve"> </w:t>
      </w:r>
    </w:p>
    <w:p w14:paraId="2436A95E" w14:textId="77777777" w:rsidR="00220BBD" w:rsidRDefault="00220BBD" w:rsidP="00220BBD">
      <w:pPr>
        <w:spacing w:after="240"/>
        <w:ind w:left="360"/>
      </w:pPr>
    </w:p>
    <w:p w14:paraId="09568B99" w14:textId="77777777" w:rsidR="00E721B9" w:rsidRDefault="00E721B9">
      <w:pPr>
        <w:spacing w:before="240" w:after="240"/>
      </w:pPr>
    </w:p>
    <w:p w14:paraId="58361E09" w14:textId="77777777" w:rsidR="00E721B9" w:rsidRPr="00220BBD" w:rsidRDefault="003550EC" w:rsidP="00220BBD">
      <w:pPr>
        <w:spacing w:before="240" w:after="240" w:line="360" w:lineRule="auto"/>
        <w:ind w:firstLine="720"/>
      </w:pPr>
      <w:r w:rsidRPr="00220BBD">
        <w:t>As the junior stakeholder manager in the consultancy company developing a proposal for an infrastructure project for the local council, the project aims to serve the wider community as well as create an inclusive environment for residents of various ages and interests. The proposal entails a leisure centre in Stratford, which includes a swimming pool, a fully equipped gym, sports courts, as well as venues for classes or community events. This proposal combines recreational activities and fosters a sense of community among the residents of Stratford.</w:t>
      </w:r>
    </w:p>
    <w:p w14:paraId="2F2B149D" w14:textId="77777777" w:rsidR="00E721B9" w:rsidRPr="00220BBD" w:rsidRDefault="003550EC" w:rsidP="00220BBD">
      <w:pPr>
        <w:spacing w:before="240" w:after="240" w:line="360" w:lineRule="auto"/>
        <w:ind w:firstLine="720"/>
      </w:pPr>
      <w:r w:rsidRPr="00220BBD">
        <w:t xml:space="preserve">The leisure centre will not only promote healthy lifestyles by encouraging members of the public to engage in physical activity, but it will also serve as a social gathering point where members of the public can participate in community events and join in recreational activity classes. By developing this leisure centre, it will help </w:t>
      </w:r>
      <w:proofErr w:type="spellStart"/>
      <w:r w:rsidRPr="00220BBD">
        <w:t>minimise</w:t>
      </w:r>
      <w:proofErr w:type="spellEnd"/>
      <w:r w:rsidRPr="00220BBD">
        <w:t xml:space="preserve"> the risk of sedentarism which is developing rapidly among women as reported by the British Heart Foundation women as reported by the British half foundation (2017).</w:t>
      </w:r>
    </w:p>
    <w:p w14:paraId="1F981E6C" w14:textId="0D0F5441" w:rsidR="00E721B9" w:rsidRPr="00220BBD" w:rsidRDefault="003550EC" w:rsidP="00220BBD">
      <w:pPr>
        <w:spacing w:before="240" w:after="240" w:line="360" w:lineRule="auto"/>
        <w:ind w:firstLine="720"/>
      </w:pPr>
      <w:r w:rsidRPr="00220BBD">
        <w:t>Additionally, the economic implications of this project are significant because it creates additional job opportunities throughout the whole process of developing the leisure centre, from the construction site to the actual functioning of the leisure centre. These economic implications will contribute to the local economy in Stratford, as well as bringing visitors, automatically creating a ripple effect of economic growth in Stratford.</w:t>
      </w:r>
    </w:p>
    <w:p w14:paraId="3D6B986B" w14:textId="201FFC36" w:rsidR="00E721B9" w:rsidRPr="00220BBD" w:rsidRDefault="003550EC" w:rsidP="00220BBD">
      <w:pPr>
        <w:spacing w:before="240" w:after="240" w:line="360" w:lineRule="auto"/>
        <w:ind w:firstLine="720"/>
      </w:pPr>
      <w:r w:rsidRPr="00220BBD">
        <w:t>The key stakeholders of this project include the London Borough of Newham which is responsible for funding community initiatives, the Stratford residents, who are the primary beneficiaries of this leisure centre, the local businesses which could be potential service providers by creating partnerships with the leisure centre, the various Health organisations which are focused on promoting the public health within the community, the urban planning authorities and their involvement in integrating the leisure centre into Stratford urban landscape as well as the local sports clubs which could use the leisure centre for community outreach.</w:t>
      </w:r>
    </w:p>
    <w:p w14:paraId="1F62F872" w14:textId="305F495E" w:rsidR="00220BBD" w:rsidRDefault="003550EC" w:rsidP="00220BBD">
      <w:pPr>
        <w:spacing w:before="240" w:after="240" w:line="360" w:lineRule="auto"/>
        <w:ind w:firstLine="720"/>
      </w:pPr>
      <w:r w:rsidRPr="00220BBD">
        <w:lastRenderedPageBreak/>
        <w:t>Developing a project at this scale is multifaceted because it involves various teams across different industry sectors working together and communicating clearly to ensure that the leisure centre enhances the quality of life of residents while providing a safe space for the community.</w:t>
      </w:r>
    </w:p>
    <w:p w14:paraId="39C9D205" w14:textId="77777777" w:rsidR="00220BBD" w:rsidRPr="00220BBD" w:rsidRDefault="00220BBD" w:rsidP="00220BBD">
      <w:pPr>
        <w:spacing w:before="240" w:after="240" w:line="360" w:lineRule="auto"/>
        <w:ind w:firstLine="720"/>
      </w:pPr>
    </w:p>
    <w:p w14:paraId="5E4B532A" w14:textId="4D691141" w:rsidR="00E721B9" w:rsidRDefault="00220BBD" w:rsidP="00220BBD">
      <w:pPr>
        <w:pStyle w:val="Titlu2"/>
        <w:numPr>
          <w:ilvl w:val="0"/>
          <w:numId w:val="2"/>
        </w:numPr>
      </w:pPr>
      <w:bookmarkStart w:id="1" w:name="_Toc238120726"/>
      <w:r>
        <w:t>Stakeholder Engagement Strategies</w:t>
      </w:r>
      <w:bookmarkEnd w:id="1"/>
    </w:p>
    <w:p w14:paraId="31E4611F" w14:textId="77777777" w:rsidR="00220BBD" w:rsidRPr="00220BBD" w:rsidRDefault="00220BBD" w:rsidP="00220BBD"/>
    <w:p w14:paraId="3E03E0F3" w14:textId="77777777" w:rsidR="00220BBD" w:rsidRPr="00220BBD" w:rsidRDefault="00220BBD" w:rsidP="00220BBD"/>
    <w:p w14:paraId="5AC02ED2" w14:textId="2A2F8D34" w:rsidR="00E721B9" w:rsidRDefault="003550EC" w:rsidP="00BF07DD">
      <w:pPr>
        <w:pStyle w:val="Titlu3"/>
        <w:numPr>
          <w:ilvl w:val="0"/>
          <w:numId w:val="3"/>
        </w:numPr>
      </w:pPr>
      <w:bookmarkStart w:id="2" w:name="_Toc238120727"/>
      <w:r w:rsidRPr="00220BBD">
        <w:t xml:space="preserve">Power, Influence and Interest </w:t>
      </w:r>
      <w:r w:rsidR="00220BBD">
        <w:t>Matrix</w:t>
      </w:r>
      <w:bookmarkEnd w:id="2"/>
    </w:p>
    <w:p w14:paraId="70797DE2" w14:textId="77777777" w:rsidR="00220BBD" w:rsidRPr="00220BBD" w:rsidRDefault="00220BBD" w:rsidP="00220BBD"/>
    <w:p w14:paraId="19D12341" w14:textId="77777777" w:rsidR="00E721B9" w:rsidRPr="00220BBD" w:rsidRDefault="003550EC" w:rsidP="00220BBD">
      <w:pPr>
        <w:spacing w:before="240" w:after="240" w:line="360" w:lineRule="auto"/>
        <w:ind w:firstLine="720"/>
      </w:pPr>
      <w:r w:rsidRPr="00220BBD">
        <w:t xml:space="preserve">Stakeholder implications are crucial to the success of the Stratford Leisure Centre project; therefore, </w:t>
      </w:r>
      <w:proofErr w:type="spellStart"/>
      <w:r w:rsidRPr="00220BBD">
        <w:t>categorising</w:t>
      </w:r>
      <w:proofErr w:type="spellEnd"/>
      <w:r w:rsidRPr="00220BBD">
        <w:t xml:space="preserve"> them using the power, influence, and interest table is fundamental to effectively facilitating this project. According to Eden and Ackermann (2021), the table is an effective framework used in project management research, and it highlights how power, influence and interest determine how different stakeholders engage in developing a project.</w:t>
      </w:r>
    </w:p>
    <w:tbl>
      <w:tblPr>
        <w:tblStyle w:val="Tabellist3-Accentuare2"/>
        <w:tblW w:w="9734" w:type="dxa"/>
        <w:tblLook w:val="00A0" w:firstRow="1" w:lastRow="0" w:firstColumn="1" w:lastColumn="0" w:noHBand="0" w:noVBand="0"/>
      </w:tblPr>
      <w:tblGrid>
        <w:gridCol w:w="2428"/>
        <w:gridCol w:w="2448"/>
        <w:gridCol w:w="2429"/>
        <w:gridCol w:w="2429"/>
      </w:tblGrid>
      <w:tr w:rsidR="00220BBD" w14:paraId="699487C8" w14:textId="77777777" w:rsidTr="00BF07DD">
        <w:trPr>
          <w:cnfStyle w:val="100000000000" w:firstRow="1" w:lastRow="0" w:firstColumn="0" w:lastColumn="0" w:oddVBand="0" w:evenVBand="0" w:oddHBand="0" w:evenHBand="0" w:firstRowFirstColumn="0" w:firstRowLastColumn="0" w:lastRowFirstColumn="0" w:lastRowLastColumn="0"/>
          <w:trHeight w:val="720"/>
        </w:trPr>
        <w:tc>
          <w:tcPr>
            <w:cnfStyle w:val="001000000100" w:firstRow="0" w:lastRow="0" w:firstColumn="1" w:lastColumn="0" w:oddVBand="0" w:evenVBand="0" w:oddHBand="0" w:evenHBand="0" w:firstRowFirstColumn="1" w:firstRowLastColumn="0" w:lastRowFirstColumn="0" w:lastRowLastColumn="0"/>
            <w:tcW w:w="2428" w:type="dxa"/>
          </w:tcPr>
          <w:p w14:paraId="7FDCB430" w14:textId="634379ED" w:rsidR="00220BBD" w:rsidRPr="00220BBD" w:rsidRDefault="00220BBD" w:rsidP="00220BBD">
            <w:pPr>
              <w:spacing w:before="240" w:after="240" w:line="360" w:lineRule="auto"/>
              <w:jc w:val="center"/>
              <w:rPr>
                <w:sz w:val="20"/>
                <w:szCs w:val="20"/>
              </w:rPr>
            </w:pPr>
            <w:r w:rsidRPr="00220BBD">
              <w:rPr>
                <w:sz w:val="20"/>
                <w:szCs w:val="20"/>
              </w:rPr>
              <w:t>Stakeholder</w:t>
            </w:r>
          </w:p>
        </w:tc>
        <w:tc>
          <w:tcPr>
            <w:cnfStyle w:val="000010000000" w:firstRow="0" w:lastRow="0" w:firstColumn="0" w:lastColumn="0" w:oddVBand="1" w:evenVBand="0" w:oddHBand="0" w:evenHBand="0" w:firstRowFirstColumn="0" w:firstRowLastColumn="0" w:lastRowFirstColumn="0" w:lastRowLastColumn="0"/>
            <w:tcW w:w="2448" w:type="dxa"/>
          </w:tcPr>
          <w:p w14:paraId="50F98FB8" w14:textId="7ACA707C" w:rsidR="00220BBD" w:rsidRPr="00220BBD" w:rsidRDefault="00220BBD" w:rsidP="00220BBD">
            <w:pPr>
              <w:spacing w:before="240" w:after="240" w:line="360" w:lineRule="auto"/>
              <w:jc w:val="center"/>
              <w:rPr>
                <w:sz w:val="20"/>
                <w:szCs w:val="20"/>
              </w:rPr>
            </w:pPr>
            <w:r w:rsidRPr="00220BBD">
              <w:rPr>
                <w:sz w:val="20"/>
                <w:szCs w:val="20"/>
              </w:rPr>
              <w:t>Power</w:t>
            </w:r>
          </w:p>
        </w:tc>
        <w:tc>
          <w:tcPr>
            <w:tcW w:w="2429" w:type="dxa"/>
          </w:tcPr>
          <w:p w14:paraId="110B7078" w14:textId="6E7D57CF" w:rsidR="00220BBD" w:rsidRPr="00220BBD" w:rsidRDefault="00220BBD" w:rsidP="00220BBD">
            <w:pPr>
              <w:spacing w:before="240" w:after="240" w:line="36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220BBD">
              <w:rPr>
                <w:sz w:val="20"/>
                <w:szCs w:val="20"/>
              </w:rPr>
              <w:t>Interest</w:t>
            </w:r>
          </w:p>
        </w:tc>
        <w:tc>
          <w:tcPr>
            <w:cnfStyle w:val="000010000000" w:firstRow="0" w:lastRow="0" w:firstColumn="0" w:lastColumn="0" w:oddVBand="1" w:evenVBand="0" w:oddHBand="0" w:evenHBand="0" w:firstRowFirstColumn="0" w:firstRowLastColumn="0" w:lastRowFirstColumn="0" w:lastRowLastColumn="0"/>
            <w:tcW w:w="2429" w:type="dxa"/>
          </w:tcPr>
          <w:p w14:paraId="7EE67146" w14:textId="5E012F98" w:rsidR="00220BBD" w:rsidRPr="00220BBD" w:rsidRDefault="00220BBD" w:rsidP="00220BBD">
            <w:pPr>
              <w:spacing w:before="240" w:after="240" w:line="360" w:lineRule="auto"/>
              <w:jc w:val="center"/>
              <w:rPr>
                <w:sz w:val="20"/>
                <w:szCs w:val="20"/>
              </w:rPr>
            </w:pPr>
            <w:r w:rsidRPr="00220BBD">
              <w:rPr>
                <w:sz w:val="20"/>
                <w:szCs w:val="20"/>
              </w:rPr>
              <w:t>Influence</w:t>
            </w:r>
          </w:p>
        </w:tc>
      </w:tr>
      <w:tr w:rsidR="00220BBD" w14:paraId="58B0A634" w14:textId="77777777" w:rsidTr="00BF07DD">
        <w:trPr>
          <w:cnfStyle w:val="000000100000" w:firstRow="0" w:lastRow="0" w:firstColumn="0" w:lastColumn="0" w:oddVBand="0" w:evenVBand="0" w:oddHBand="1"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2428" w:type="dxa"/>
          </w:tcPr>
          <w:p w14:paraId="0229FF84" w14:textId="61A9437B" w:rsidR="00220BBD" w:rsidRPr="00220BBD" w:rsidRDefault="00220BBD" w:rsidP="00220BBD">
            <w:pPr>
              <w:spacing w:before="240" w:after="240" w:line="360" w:lineRule="auto"/>
              <w:jc w:val="center"/>
              <w:rPr>
                <w:sz w:val="20"/>
                <w:szCs w:val="20"/>
              </w:rPr>
            </w:pPr>
            <w:r w:rsidRPr="00220BBD">
              <w:rPr>
                <w:sz w:val="20"/>
                <w:szCs w:val="20"/>
              </w:rPr>
              <w:t>London Borough of Newham</w:t>
            </w:r>
          </w:p>
        </w:tc>
        <w:tc>
          <w:tcPr>
            <w:cnfStyle w:val="000010000000" w:firstRow="0" w:lastRow="0" w:firstColumn="0" w:lastColumn="0" w:oddVBand="1" w:evenVBand="0" w:oddHBand="0" w:evenHBand="0" w:firstRowFirstColumn="0" w:firstRowLastColumn="0" w:lastRowFirstColumn="0" w:lastRowLastColumn="0"/>
            <w:tcW w:w="2448" w:type="dxa"/>
          </w:tcPr>
          <w:p w14:paraId="203C2819" w14:textId="03AEC89B" w:rsidR="00220BBD" w:rsidRPr="00220BBD" w:rsidRDefault="00220BBD" w:rsidP="00220BBD">
            <w:pPr>
              <w:spacing w:before="240" w:after="240" w:line="360" w:lineRule="auto"/>
              <w:jc w:val="center"/>
              <w:rPr>
                <w:sz w:val="20"/>
                <w:szCs w:val="20"/>
              </w:rPr>
            </w:pPr>
            <w:r w:rsidRPr="00220BBD">
              <w:rPr>
                <w:sz w:val="20"/>
                <w:szCs w:val="20"/>
              </w:rPr>
              <w:t>High</w:t>
            </w:r>
          </w:p>
        </w:tc>
        <w:tc>
          <w:tcPr>
            <w:tcW w:w="2429" w:type="dxa"/>
          </w:tcPr>
          <w:p w14:paraId="3EDB02F4" w14:textId="15EC3E79" w:rsidR="00220BBD" w:rsidRPr="00220BBD" w:rsidRDefault="00220BBD" w:rsidP="00220BBD">
            <w:pPr>
              <w:spacing w:before="240" w:after="240" w:line="36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220BBD">
              <w:rPr>
                <w:sz w:val="20"/>
                <w:szCs w:val="20"/>
              </w:rPr>
              <w:t>High</w:t>
            </w:r>
          </w:p>
        </w:tc>
        <w:tc>
          <w:tcPr>
            <w:cnfStyle w:val="000010000000" w:firstRow="0" w:lastRow="0" w:firstColumn="0" w:lastColumn="0" w:oddVBand="1" w:evenVBand="0" w:oddHBand="0" w:evenHBand="0" w:firstRowFirstColumn="0" w:firstRowLastColumn="0" w:lastRowFirstColumn="0" w:lastRowLastColumn="0"/>
            <w:tcW w:w="2429" w:type="dxa"/>
          </w:tcPr>
          <w:p w14:paraId="730D1A23" w14:textId="2E318A56" w:rsidR="00220BBD" w:rsidRPr="00220BBD" w:rsidRDefault="00220BBD" w:rsidP="00220BBD">
            <w:pPr>
              <w:spacing w:before="240" w:after="240" w:line="360" w:lineRule="auto"/>
              <w:jc w:val="center"/>
              <w:rPr>
                <w:sz w:val="20"/>
                <w:szCs w:val="20"/>
              </w:rPr>
            </w:pPr>
            <w:r w:rsidRPr="00220BBD">
              <w:rPr>
                <w:sz w:val="20"/>
                <w:szCs w:val="20"/>
              </w:rPr>
              <w:t>Key Decision Maker</w:t>
            </w:r>
          </w:p>
        </w:tc>
      </w:tr>
      <w:tr w:rsidR="00220BBD" w14:paraId="3476F2F1" w14:textId="77777777" w:rsidTr="00BF07DD">
        <w:trPr>
          <w:trHeight w:val="720"/>
        </w:trPr>
        <w:tc>
          <w:tcPr>
            <w:cnfStyle w:val="001000000000" w:firstRow="0" w:lastRow="0" w:firstColumn="1" w:lastColumn="0" w:oddVBand="0" w:evenVBand="0" w:oddHBand="0" w:evenHBand="0" w:firstRowFirstColumn="0" w:firstRowLastColumn="0" w:lastRowFirstColumn="0" w:lastRowLastColumn="0"/>
            <w:tcW w:w="2428" w:type="dxa"/>
          </w:tcPr>
          <w:p w14:paraId="0BE4EB8A" w14:textId="53BD7ADB" w:rsidR="00220BBD" w:rsidRPr="00220BBD" w:rsidRDefault="00220BBD" w:rsidP="00220BBD">
            <w:pPr>
              <w:spacing w:before="240" w:after="240" w:line="360" w:lineRule="auto"/>
              <w:jc w:val="center"/>
              <w:rPr>
                <w:sz w:val="20"/>
                <w:szCs w:val="20"/>
              </w:rPr>
            </w:pPr>
            <w:r w:rsidRPr="00220BBD">
              <w:rPr>
                <w:sz w:val="20"/>
                <w:szCs w:val="20"/>
              </w:rPr>
              <w:t>Stratford Residents</w:t>
            </w:r>
          </w:p>
        </w:tc>
        <w:tc>
          <w:tcPr>
            <w:cnfStyle w:val="000010000000" w:firstRow="0" w:lastRow="0" w:firstColumn="0" w:lastColumn="0" w:oddVBand="1" w:evenVBand="0" w:oddHBand="0" w:evenHBand="0" w:firstRowFirstColumn="0" w:firstRowLastColumn="0" w:lastRowFirstColumn="0" w:lastRowLastColumn="0"/>
            <w:tcW w:w="2448" w:type="dxa"/>
          </w:tcPr>
          <w:p w14:paraId="682CCE05" w14:textId="43E944A8" w:rsidR="00220BBD" w:rsidRPr="00220BBD" w:rsidRDefault="00220BBD" w:rsidP="00220BBD">
            <w:pPr>
              <w:spacing w:before="240" w:after="240" w:line="360" w:lineRule="auto"/>
              <w:jc w:val="center"/>
              <w:rPr>
                <w:sz w:val="20"/>
                <w:szCs w:val="20"/>
              </w:rPr>
            </w:pPr>
            <w:r w:rsidRPr="00220BBD">
              <w:rPr>
                <w:sz w:val="20"/>
                <w:szCs w:val="20"/>
              </w:rPr>
              <w:t>Medium</w:t>
            </w:r>
          </w:p>
        </w:tc>
        <w:tc>
          <w:tcPr>
            <w:tcW w:w="2429" w:type="dxa"/>
          </w:tcPr>
          <w:p w14:paraId="19E87B32" w14:textId="303190A6" w:rsidR="00220BBD" w:rsidRPr="00220BBD" w:rsidRDefault="00220BBD" w:rsidP="00220BBD">
            <w:pPr>
              <w:spacing w:before="240" w:after="240" w:line="36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220BBD">
              <w:rPr>
                <w:sz w:val="20"/>
                <w:szCs w:val="20"/>
              </w:rPr>
              <w:t>High</w:t>
            </w:r>
          </w:p>
        </w:tc>
        <w:tc>
          <w:tcPr>
            <w:cnfStyle w:val="000010000000" w:firstRow="0" w:lastRow="0" w:firstColumn="0" w:lastColumn="0" w:oddVBand="1" w:evenVBand="0" w:oddHBand="0" w:evenHBand="0" w:firstRowFirstColumn="0" w:firstRowLastColumn="0" w:lastRowFirstColumn="0" w:lastRowLastColumn="0"/>
            <w:tcW w:w="2429" w:type="dxa"/>
          </w:tcPr>
          <w:p w14:paraId="06CAFDCA" w14:textId="04AF0546" w:rsidR="00220BBD" w:rsidRPr="00220BBD" w:rsidRDefault="00220BBD" w:rsidP="00220BBD">
            <w:pPr>
              <w:spacing w:before="240" w:after="240" w:line="360" w:lineRule="auto"/>
              <w:jc w:val="center"/>
              <w:rPr>
                <w:sz w:val="20"/>
                <w:szCs w:val="20"/>
              </w:rPr>
            </w:pPr>
            <w:r w:rsidRPr="00220BBD">
              <w:rPr>
                <w:sz w:val="20"/>
                <w:szCs w:val="20"/>
              </w:rPr>
              <w:t>Primary Beneficiaries</w:t>
            </w:r>
          </w:p>
        </w:tc>
      </w:tr>
      <w:tr w:rsidR="00220BBD" w14:paraId="60757E49" w14:textId="77777777" w:rsidTr="00BF07DD">
        <w:trPr>
          <w:cnfStyle w:val="000000100000" w:firstRow="0" w:lastRow="0" w:firstColumn="0" w:lastColumn="0" w:oddVBand="0" w:evenVBand="0" w:oddHBand="1"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2428" w:type="dxa"/>
          </w:tcPr>
          <w:p w14:paraId="4B584A9A" w14:textId="731E812F" w:rsidR="00220BBD" w:rsidRPr="00220BBD" w:rsidRDefault="00220BBD" w:rsidP="00220BBD">
            <w:pPr>
              <w:spacing w:before="240" w:after="240" w:line="360" w:lineRule="auto"/>
              <w:jc w:val="center"/>
              <w:rPr>
                <w:sz w:val="20"/>
                <w:szCs w:val="20"/>
              </w:rPr>
            </w:pPr>
            <w:r w:rsidRPr="00220BBD">
              <w:rPr>
                <w:sz w:val="20"/>
                <w:szCs w:val="20"/>
              </w:rPr>
              <w:t>Health Organisations</w:t>
            </w:r>
          </w:p>
        </w:tc>
        <w:tc>
          <w:tcPr>
            <w:cnfStyle w:val="000010000000" w:firstRow="0" w:lastRow="0" w:firstColumn="0" w:lastColumn="0" w:oddVBand="1" w:evenVBand="0" w:oddHBand="0" w:evenHBand="0" w:firstRowFirstColumn="0" w:firstRowLastColumn="0" w:lastRowFirstColumn="0" w:lastRowLastColumn="0"/>
            <w:tcW w:w="2448" w:type="dxa"/>
          </w:tcPr>
          <w:p w14:paraId="1532D422" w14:textId="4561636C" w:rsidR="00220BBD" w:rsidRPr="00220BBD" w:rsidRDefault="00220BBD" w:rsidP="00220BBD">
            <w:pPr>
              <w:spacing w:before="240" w:after="240" w:line="360" w:lineRule="auto"/>
              <w:jc w:val="center"/>
              <w:rPr>
                <w:sz w:val="20"/>
                <w:szCs w:val="20"/>
              </w:rPr>
            </w:pPr>
            <w:r w:rsidRPr="00220BBD">
              <w:rPr>
                <w:sz w:val="20"/>
                <w:szCs w:val="20"/>
              </w:rPr>
              <w:t>Low</w:t>
            </w:r>
          </w:p>
        </w:tc>
        <w:tc>
          <w:tcPr>
            <w:tcW w:w="2429" w:type="dxa"/>
          </w:tcPr>
          <w:p w14:paraId="5A00DC30" w14:textId="5516A95F" w:rsidR="00220BBD" w:rsidRPr="00220BBD" w:rsidRDefault="00220BBD" w:rsidP="00220BBD">
            <w:pPr>
              <w:spacing w:before="240" w:after="240" w:line="36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220BBD">
              <w:rPr>
                <w:sz w:val="20"/>
                <w:szCs w:val="20"/>
              </w:rPr>
              <w:t>High</w:t>
            </w:r>
          </w:p>
        </w:tc>
        <w:tc>
          <w:tcPr>
            <w:cnfStyle w:val="000010000000" w:firstRow="0" w:lastRow="0" w:firstColumn="0" w:lastColumn="0" w:oddVBand="1" w:evenVBand="0" w:oddHBand="0" w:evenHBand="0" w:firstRowFirstColumn="0" w:firstRowLastColumn="0" w:lastRowFirstColumn="0" w:lastRowLastColumn="0"/>
            <w:tcW w:w="2429" w:type="dxa"/>
          </w:tcPr>
          <w:p w14:paraId="6E0C1459" w14:textId="5DA299C9" w:rsidR="00220BBD" w:rsidRPr="00220BBD" w:rsidRDefault="00220BBD" w:rsidP="00220BBD">
            <w:pPr>
              <w:spacing w:before="240" w:after="240" w:line="360" w:lineRule="auto"/>
              <w:jc w:val="center"/>
              <w:rPr>
                <w:sz w:val="20"/>
                <w:szCs w:val="20"/>
              </w:rPr>
            </w:pPr>
            <w:r w:rsidRPr="00220BBD">
              <w:rPr>
                <w:sz w:val="20"/>
                <w:szCs w:val="20"/>
              </w:rPr>
              <w:t>Advocacy</w:t>
            </w:r>
          </w:p>
        </w:tc>
      </w:tr>
      <w:tr w:rsidR="00220BBD" w14:paraId="614B7EED" w14:textId="77777777" w:rsidTr="00BF07DD">
        <w:trPr>
          <w:trHeight w:val="720"/>
        </w:trPr>
        <w:tc>
          <w:tcPr>
            <w:cnfStyle w:val="001000000000" w:firstRow="0" w:lastRow="0" w:firstColumn="1" w:lastColumn="0" w:oddVBand="0" w:evenVBand="0" w:oddHBand="0" w:evenHBand="0" w:firstRowFirstColumn="0" w:firstRowLastColumn="0" w:lastRowFirstColumn="0" w:lastRowLastColumn="0"/>
            <w:tcW w:w="2428" w:type="dxa"/>
          </w:tcPr>
          <w:p w14:paraId="4AABF4B8" w14:textId="5A717545" w:rsidR="00220BBD" w:rsidRPr="00220BBD" w:rsidRDefault="00220BBD" w:rsidP="00220BBD">
            <w:pPr>
              <w:spacing w:before="240" w:after="240" w:line="360" w:lineRule="auto"/>
              <w:jc w:val="center"/>
              <w:rPr>
                <w:sz w:val="20"/>
                <w:szCs w:val="20"/>
              </w:rPr>
            </w:pPr>
            <w:r w:rsidRPr="00220BBD">
              <w:rPr>
                <w:sz w:val="20"/>
                <w:szCs w:val="20"/>
              </w:rPr>
              <w:t>Urban Planning Authorities</w:t>
            </w:r>
          </w:p>
        </w:tc>
        <w:tc>
          <w:tcPr>
            <w:cnfStyle w:val="000010000000" w:firstRow="0" w:lastRow="0" w:firstColumn="0" w:lastColumn="0" w:oddVBand="1" w:evenVBand="0" w:oddHBand="0" w:evenHBand="0" w:firstRowFirstColumn="0" w:firstRowLastColumn="0" w:lastRowFirstColumn="0" w:lastRowLastColumn="0"/>
            <w:tcW w:w="2448" w:type="dxa"/>
          </w:tcPr>
          <w:p w14:paraId="41D8139B" w14:textId="538FE385" w:rsidR="00220BBD" w:rsidRPr="00220BBD" w:rsidRDefault="00220BBD" w:rsidP="00220BBD">
            <w:pPr>
              <w:spacing w:before="240" w:after="240" w:line="360" w:lineRule="auto"/>
              <w:jc w:val="center"/>
              <w:rPr>
                <w:sz w:val="20"/>
                <w:szCs w:val="20"/>
              </w:rPr>
            </w:pPr>
            <w:r w:rsidRPr="00220BBD">
              <w:rPr>
                <w:sz w:val="20"/>
                <w:szCs w:val="20"/>
              </w:rPr>
              <w:t>High</w:t>
            </w:r>
          </w:p>
        </w:tc>
        <w:tc>
          <w:tcPr>
            <w:tcW w:w="2429" w:type="dxa"/>
          </w:tcPr>
          <w:p w14:paraId="1974F634" w14:textId="43BD2F30" w:rsidR="00220BBD" w:rsidRPr="00220BBD" w:rsidRDefault="00220BBD" w:rsidP="00220BBD">
            <w:pPr>
              <w:spacing w:before="240" w:after="240" w:line="36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220BBD">
              <w:rPr>
                <w:sz w:val="20"/>
                <w:szCs w:val="20"/>
              </w:rPr>
              <w:t>Low</w:t>
            </w:r>
          </w:p>
        </w:tc>
        <w:tc>
          <w:tcPr>
            <w:cnfStyle w:val="000010000000" w:firstRow="0" w:lastRow="0" w:firstColumn="0" w:lastColumn="0" w:oddVBand="1" w:evenVBand="0" w:oddHBand="0" w:evenHBand="0" w:firstRowFirstColumn="0" w:firstRowLastColumn="0" w:lastRowFirstColumn="0" w:lastRowLastColumn="0"/>
            <w:tcW w:w="2429" w:type="dxa"/>
          </w:tcPr>
          <w:p w14:paraId="3715FB03" w14:textId="043C62EC" w:rsidR="00220BBD" w:rsidRPr="00220BBD" w:rsidRDefault="00220BBD" w:rsidP="00220BBD">
            <w:pPr>
              <w:spacing w:before="240" w:after="240" w:line="360" w:lineRule="auto"/>
              <w:jc w:val="center"/>
              <w:rPr>
                <w:sz w:val="20"/>
                <w:szCs w:val="20"/>
              </w:rPr>
            </w:pPr>
            <w:r w:rsidRPr="00220BBD">
              <w:rPr>
                <w:sz w:val="20"/>
                <w:szCs w:val="20"/>
              </w:rPr>
              <w:t>Project Advisors</w:t>
            </w:r>
          </w:p>
        </w:tc>
      </w:tr>
      <w:tr w:rsidR="00220BBD" w14:paraId="233ED0A0" w14:textId="77777777" w:rsidTr="00BF07DD">
        <w:trPr>
          <w:cnfStyle w:val="000000100000" w:firstRow="0" w:lastRow="0" w:firstColumn="0" w:lastColumn="0" w:oddVBand="0" w:evenVBand="0" w:oddHBand="1"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2428" w:type="dxa"/>
          </w:tcPr>
          <w:p w14:paraId="6A372B43" w14:textId="6FBB57AB" w:rsidR="00220BBD" w:rsidRPr="00220BBD" w:rsidRDefault="00220BBD" w:rsidP="00220BBD">
            <w:pPr>
              <w:spacing w:before="240" w:after="240" w:line="360" w:lineRule="auto"/>
              <w:jc w:val="center"/>
              <w:rPr>
                <w:sz w:val="20"/>
                <w:szCs w:val="20"/>
              </w:rPr>
            </w:pPr>
            <w:r w:rsidRPr="00220BBD">
              <w:rPr>
                <w:sz w:val="20"/>
                <w:szCs w:val="20"/>
              </w:rPr>
              <w:t>Local Sports Clubs</w:t>
            </w:r>
          </w:p>
        </w:tc>
        <w:tc>
          <w:tcPr>
            <w:cnfStyle w:val="000010000000" w:firstRow="0" w:lastRow="0" w:firstColumn="0" w:lastColumn="0" w:oddVBand="1" w:evenVBand="0" w:oddHBand="0" w:evenHBand="0" w:firstRowFirstColumn="0" w:firstRowLastColumn="0" w:lastRowFirstColumn="0" w:lastRowLastColumn="0"/>
            <w:tcW w:w="2448" w:type="dxa"/>
          </w:tcPr>
          <w:p w14:paraId="618396CF" w14:textId="6E5AC901" w:rsidR="00220BBD" w:rsidRPr="00220BBD" w:rsidRDefault="00220BBD" w:rsidP="00220BBD">
            <w:pPr>
              <w:spacing w:before="240" w:after="240" w:line="360" w:lineRule="auto"/>
              <w:jc w:val="center"/>
              <w:rPr>
                <w:sz w:val="20"/>
                <w:szCs w:val="20"/>
              </w:rPr>
            </w:pPr>
            <w:r w:rsidRPr="00220BBD">
              <w:rPr>
                <w:sz w:val="20"/>
                <w:szCs w:val="20"/>
              </w:rPr>
              <w:t>Medium</w:t>
            </w:r>
          </w:p>
        </w:tc>
        <w:tc>
          <w:tcPr>
            <w:tcW w:w="2429" w:type="dxa"/>
          </w:tcPr>
          <w:p w14:paraId="103D6B81" w14:textId="7B2028FC" w:rsidR="00220BBD" w:rsidRPr="00220BBD" w:rsidRDefault="00220BBD" w:rsidP="00220BBD">
            <w:pPr>
              <w:spacing w:before="240" w:after="240" w:line="36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220BBD">
              <w:rPr>
                <w:sz w:val="20"/>
                <w:szCs w:val="20"/>
              </w:rPr>
              <w:t>Medium</w:t>
            </w:r>
          </w:p>
        </w:tc>
        <w:tc>
          <w:tcPr>
            <w:cnfStyle w:val="000010000000" w:firstRow="0" w:lastRow="0" w:firstColumn="0" w:lastColumn="0" w:oddVBand="1" w:evenVBand="0" w:oddHBand="0" w:evenHBand="0" w:firstRowFirstColumn="0" w:firstRowLastColumn="0" w:lastRowFirstColumn="0" w:lastRowLastColumn="0"/>
            <w:tcW w:w="2429" w:type="dxa"/>
          </w:tcPr>
          <w:p w14:paraId="1F51E159" w14:textId="21EB5E47" w:rsidR="00220BBD" w:rsidRPr="00220BBD" w:rsidRDefault="00220BBD" w:rsidP="00220BBD">
            <w:pPr>
              <w:spacing w:before="240" w:after="240" w:line="360" w:lineRule="auto"/>
              <w:jc w:val="center"/>
              <w:rPr>
                <w:sz w:val="20"/>
                <w:szCs w:val="20"/>
              </w:rPr>
            </w:pPr>
            <w:r w:rsidRPr="00220BBD">
              <w:rPr>
                <w:sz w:val="20"/>
                <w:szCs w:val="20"/>
              </w:rPr>
              <w:t>Venue Users</w:t>
            </w:r>
          </w:p>
        </w:tc>
      </w:tr>
      <w:tr w:rsidR="00220BBD" w14:paraId="69773557" w14:textId="77777777" w:rsidTr="00BF07DD">
        <w:trPr>
          <w:trHeight w:val="720"/>
        </w:trPr>
        <w:tc>
          <w:tcPr>
            <w:cnfStyle w:val="001000000000" w:firstRow="0" w:lastRow="0" w:firstColumn="1" w:lastColumn="0" w:oddVBand="0" w:evenVBand="0" w:oddHBand="0" w:evenHBand="0" w:firstRowFirstColumn="0" w:firstRowLastColumn="0" w:lastRowFirstColumn="0" w:lastRowLastColumn="0"/>
            <w:tcW w:w="2428" w:type="dxa"/>
          </w:tcPr>
          <w:p w14:paraId="06D0561B" w14:textId="180FDF37" w:rsidR="00220BBD" w:rsidRPr="00220BBD" w:rsidRDefault="00220BBD" w:rsidP="00220BBD">
            <w:pPr>
              <w:spacing w:before="240" w:after="240" w:line="360" w:lineRule="auto"/>
              <w:jc w:val="center"/>
              <w:rPr>
                <w:sz w:val="20"/>
                <w:szCs w:val="20"/>
              </w:rPr>
            </w:pPr>
            <w:r w:rsidRPr="00220BBD">
              <w:rPr>
                <w:sz w:val="20"/>
                <w:szCs w:val="20"/>
              </w:rPr>
              <w:t>Local Businesses</w:t>
            </w:r>
          </w:p>
        </w:tc>
        <w:tc>
          <w:tcPr>
            <w:cnfStyle w:val="000010000000" w:firstRow="0" w:lastRow="0" w:firstColumn="0" w:lastColumn="0" w:oddVBand="1" w:evenVBand="0" w:oddHBand="0" w:evenHBand="0" w:firstRowFirstColumn="0" w:firstRowLastColumn="0" w:lastRowFirstColumn="0" w:lastRowLastColumn="0"/>
            <w:tcW w:w="2448" w:type="dxa"/>
          </w:tcPr>
          <w:p w14:paraId="0183FEB6" w14:textId="23C48B03" w:rsidR="00220BBD" w:rsidRPr="00220BBD" w:rsidRDefault="00220BBD" w:rsidP="00220BBD">
            <w:pPr>
              <w:spacing w:before="240" w:after="240" w:line="360" w:lineRule="auto"/>
              <w:jc w:val="center"/>
              <w:rPr>
                <w:sz w:val="20"/>
                <w:szCs w:val="20"/>
              </w:rPr>
            </w:pPr>
            <w:r w:rsidRPr="00220BBD">
              <w:rPr>
                <w:sz w:val="20"/>
                <w:szCs w:val="20"/>
              </w:rPr>
              <w:t>Medium</w:t>
            </w:r>
          </w:p>
        </w:tc>
        <w:tc>
          <w:tcPr>
            <w:tcW w:w="2429" w:type="dxa"/>
          </w:tcPr>
          <w:p w14:paraId="3FCF48BC" w14:textId="5CB2C294" w:rsidR="00220BBD" w:rsidRPr="00220BBD" w:rsidRDefault="00220BBD" w:rsidP="00220BBD">
            <w:pPr>
              <w:spacing w:before="240" w:after="240" w:line="36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220BBD">
              <w:rPr>
                <w:sz w:val="20"/>
                <w:szCs w:val="20"/>
              </w:rPr>
              <w:t>Medium</w:t>
            </w:r>
          </w:p>
        </w:tc>
        <w:tc>
          <w:tcPr>
            <w:cnfStyle w:val="000010000000" w:firstRow="0" w:lastRow="0" w:firstColumn="0" w:lastColumn="0" w:oddVBand="1" w:evenVBand="0" w:oddHBand="0" w:evenHBand="0" w:firstRowFirstColumn="0" w:firstRowLastColumn="0" w:lastRowFirstColumn="0" w:lastRowLastColumn="0"/>
            <w:tcW w:w="2429" w:type="dxa"/>
          </w:tcPr>
          <w:p w14:paraId="0E262C1E" w14:textId="4B1E138B" w:rsidR="00220BBD" w:rsidRPr="00220BBD" w:rsidRDefault="00220BBD" w:rsidP="00220BBD">
            <w:pPr>
              <w:spacing w:before="240" w:after="240" w:line="360" w:lineRule="auto"/>
              <w:jc w:val="center"/>
              <w:rPr>
                <w:sz w:val="20"/>
                <w:szCs w:val="20"/>
              </w:rPr>
            </w:pPr>
            <w:r w:rsidRPr="00220BBD">
              <w:rPr>
                <w:sz w:val="20"/>
                <w:szCs w:val="20"/>
              </w:rPr>
              <w:t>Potential Partnerships</w:t>
            </w:r>
          </w:p>
        </w:tc>
      </w:tr>
    </w:tbl>
    <w:p w14:paraId="643F8BC2" w14:textId="77777777" w:rsidR="00631AC2" w:rsidRDefault="003550EC" w:rsidP="00220BBD">
      <w:pPr>
        <w:spacing w:before="240" w:after="240" w:line="360" w:lineRule="auto"/>
        <w:ind w:firstLine="720"/>
      </w:pPr>
      <w:r w:rsidRPr="00220BBD">
        <w:lastRenderedPageBreak/>
        <w:t xml:space="preserve">Because the London Borough of Newham is responsible for funding community initiatives, it also holds notable power and interest in the project, as seen in the power, influence and interest table. </w:t>
      </w:r>
    </w:p>
    <w:p w14:paraId="3C6E16E9" w14:textId="4779B98F" w:rsidR="00631AC2" w:rsidRDefault="003550EC" w:rsidP="00C3325A">
      <w:pPr>
        <w:spacing w:before="240" w:after="240" w:line="360" w:lineRule="auto"/>
        <w:ind w:firstLine="720"/>
      </w:pPr>
      <w:r w:rsidRPr="00220BBD">
        <w:t xml:space="preserve">The early involvement of the London Borough of Newham ensures that the project aligns with </w:t>
      </w:r>
      <w:r w:rsidR="00BF07DD">
        <w:t>local policies, which is a crucial part of</w:t>
      </w:r>
      <w:r w:rsidRPr="00220BBD">
        <w:t xml:space="preserve"> developing a project.</w:t>
      </w:r>
      <w:r w:rsidR="00631AC2">
        <w:t xml:space="preserve"> </w:t>
      </w:r>
      <w:r w:rsidRPr="00220BBD">
        <w:t>Stratford residents have medium power and high interest because they are the primary beneficiaries of this project, and their feedback is essential, especially on the facilities and events or classes to include.</w:t>
      </w:r>
      <w:r w:rsidR="00631AC2">
        <w:t xml:space="preserve"> </w:t>
      </w:r>
      <w:r w:rsidRPr="00220BBD">
        <w:t xml:space="preserve">The Health organisations have low interest but high power because their advocacy and support are essential in creating a safe space for the residents of Stratford and surrounding areas, and these </w:t>
      </w:r>
      <w:proofErr w:type="spellStart"/>
      <w:r w:rsidRPr="00220BBD">
        <w:t>organisations</w:t>
      </w:r>
      <w:proofErr w:type="spellEnd"/>
      <w:r w:rsidRPr="00220BBD">
        <w:t>' input creates a sense of safety and responsibility towards the well-being of all individuals. The health organisations, in accordance with the government's Levelling Up the United Kingdom White Paper, aim to narrow the gap in Health Life Expectancy by 2030 (Local Government Association, 2022); therefore, a leisure centre is a key element in promoting healthy lifestyles.</w:t>
      </w:r>
      <w:r w:rsidR="00631AC2">
        <w:t xml:space="preserve"> </w:t>
      </w:r>
      <w:r w:rsidRPr="00220BBD">
        <w:t>The urban planning authorities have high power and low interest, meaning that advising the project team on how and where to develop such a project ensures that the leisure Centre is appropriately integrated into Stratford's urban landsca</w:t>
      </w:r>
      <w:r w:rsidR="00C3325A">
        <w:t>pe.</w:t>
      </w:r>
    </w:p>
    <w:p w14:paraId="2B4498F4" w14:textId="77777777" w:rsidR="00BF07DD" w:rsidRDefault="00BF07DD" w:rsidP="00BF07DD">
      <w:pPr>
        <w:spacing w:before="240" w:after="240" w:line="360" w:lineRule="auto"/>
      </w:pPr>
    </w:p>
    <w:p w14:paraId="2EF9A55B" w14:textId="4BF5CF95" w:rsidR="00220BBD" w:rsidRDefault="00220BBD" w:rsidP="00BF07DD">
      <w:pPr>
        <w:pStyle w:val="Titlu3"/>
        <w:numPr>
          <w:ilvl w:val="0"/>
          <w:numId w:val="3"/>
        </w:numPr>
      </w:pPr>
      <w:bookmarkStart w:id="3" w:name="_Toc238120728"/>
      <w:r w:rsidRPr="00220BBD">
        <w:t>Stakeholder Map</w:t>
      </w:r>
      <w:bookmarkEnd w:id="3"/>
    </w:p>
    <w:p w14:paraId="247AA4C8" w14:textId="77777777" w:rsidR="00220BBD" w:rsidRPr="00220BBD" w:rsidRDefault="00220BBD" w:rsidP="00220BBD"/>
    <w:p w14:paraId="090B7452" w14:textId="7AE55081" w:rsidR="00220BBD" w:rsidRDefault="003550EC" w:rsidP="00BF07DD">
      <w:pPr>
        <w:spacing w:before="240" w:after="240" w:line="360" w:lineRule="auto"/>
        <w:ind w:firstLine="720"/>
        <w:jc w:val="both"/>
      </w:pPr>
      <w:r w:rsidRPr="00220BBD">
        <w:t>The following stakeholder map creates a visual aid and helps identify which stakeholders need to be engaged more throughout the development of the project.</w:t>
      </w:r>
    </w:p>
    <w:p w14:paraId="090F6DF5" w14:textId="77777777" w:rsidR="00C3325A" w:rsidRDefault="00C3325A" w:rsidP="00C3325A">
      <w:pPr>
        <w:spacing w:before="240" w:after="240" w:line="360" w:lineRule="auto"/>
        <w:jc w:val="both"/>
      </w:pPr>
      <w:r w:rsidRPr="00220BBD">
        <w:t xml:space="preserve">According to Bernstein, Weiss and Curry (2020), a stakeholder map identifies categories and analyses how different groups are affected by, or affect, the development of a project. The stakeholder map highlights the urban planning authorities as high power, low interest; the London Borough of Newham as high power, high interest; Stratford </w:t>
      </w:r>
      <w:r>
        <w:t>residents and health</w:t>
      </w:r>
      <w:r w:rsidRPr="00220BBD">
        <w:t xml:space="preserve"> organisations as low power, high interest; and the local sports club and local businesses as low power, low interest.</w:t>
      </w:r>
    </w:p>
    <w:p w14:paraId="49136B7D" w14:textId="77777777" w:rsidR="00C3325A" w:rsidRDefault="00C3325A" w:rsidP="00BF07DD">
      <w:pPr>
        <w:spacing w:before="240" w:after="240" w:line="360" w:lineRule="auto"/>
        <w:ind w:firstLine="720"/>
        <w:jc w:val="both"/>
      </w:pPr>
    </w:p>
    <w:p w14:paraId="4BA0486A" w14:textId="77777777" w:rsidR="00C3325A" w:rsidRDefault="00C3325A" w:rsidP="00BF07DD">
      <w:pPr>
        <w:spacing w:before="240" w:after="240" w:line="360" w:lineRule="auto"/>
        <w:jc w:val="both"/>
      </w:pPr>
      <w:r>
        <w:rPr>
          <w:noProof/>
        </w:rPr>
        <w:lastRenderedPageBreak/>
        <w:drawing>
          <wp:inline distT="0" distB="0" distL="0" distR="0" wp14:anchorId="4A7F498C" wp14:editId="6C151A5E">
            <wp:extent cx="4716780" cy="4267200"/>
            <wp:effectExtent l="0" t="0" r="7620" b="0"/>
            <wp:docPr id="42319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9027" name="Picture 42319027"/>
                    <pic:cNvPicPr/>
                  </pic:nvPicPr>
                  <pic:blipFill>
                    <a:blip r:embed="rId8">
                      <a:extLst>
                        <a:ext uri="{28A0092B-C50C-407E-A947-70E740481C1C}">
                          <a14:useLocalDpi xmlns:a14="http://schemas.microsoft.com/office/drawing/2010/main" val="0"/>
                        </a:ext>
                      </a:extLst>
                    </a:blip>
                    <a:stretch>
                      <a:fillRect/>
                    </a:stretch>
                  </pic:blipFill>
                  <pic:spPr>
                    <a:xfrm>
                      <a:off x="0" y="0"/>
                      <a:ext cx="4716780" cy="4267200"/>
                    </a:xfrm>
                    <a:prstGeom prst="rect">
                      <a:avLst/>
                    </a:prstGeom>
                  </pic:spPr>
                </pic:pic>
              </a:graphicData>
            </a:graphic>
          </wp:inline>
        </w:drawing>
      </w:r>
    </w:p>
    <w:p w14:paraId="4CDAE6DE" w14:textId="50A3DE85" w:rsidR="00C3325A" w:rsidRDefault="00631AC2" w:rsidP="00C3325A">
      <w:pPr>
        <w:spacing w:before="240" w:after="240" w:line="360" w:lineRule="auto"/>
        <w:ind w:firstLine="720"/>
        <w:jc w:val="both"/>
      </w:pPr>
      <w:r>
        <w:t>The urban planning authorities hold significant influence over the project because they impact planning permission, land use, building regulations and development approvals</w:t>
      </w:r>
      <w:r w:rsidR="00C3325A">
        <w:t xml:space="preserve"> </w:t>
      </w:r>
      <w:r w:rsidR="00C3325A" w:rsidRPr="00C3325A">
        <w:t>(Rankl, 2026)</w:t>
      </w:r>
      <w:r>
        <w:t xml:space="preserve">, determining how and if the project can be developed in Stratford. The London Borough of Newham can influence the successful development of the leisure centre </w:t>
      </w:r>
      <w:r w:rsidR="00C3325A">
        <w:t xml:space="preserve">through funding, planning, and local policies, and it determines whether the project contributes to the council's wider objectives in relation to community needs; therefore, it needs to be actively involved throughout all </w:t>
      </w:r>
      <w:r>
        <w:t xml:space="preserve">project stages. The Stratford residents have a strong interest in the affordability of the leisure centre and have limited power to influence the investment decision but have substantial influence over the facilities at the leisure centre, as there would be a requirement for community feedback in order to address wider community needs. </w:t>
      </w:r>
      <w:r w:rsidR="00C3325A">
        <w:t>The local sports clubs and local businesses have limited power in the decision-making process, but they benefit the project via increased activity and partnerships by being established facilitators within the existing Stratford community.</w:t>
      </w:r>
    </w:p>
    <w:p w14:paraId="3E154AD0" w14:textId="4C17EC8E" w:rsidR="00BF07DD" w:rsidRPr="00220BBD" w:rsidRDefault="00C3325A" w:rsidP="00C3325A">
      <w:pPr>
        <w:spacing w:before="240" w:after="240" w:line="360" w:lineRule="auto"/>
        <w:ind w:firstLine="720"/>
        <w:jc w:val="both"/>
      </w:pPr>
      <w:r>
        <w:t xml:space="preserve"> </w:t>
      </w:r>
    </w:p>
    <w:p w14:paraId="0F71BBA4" w14:textId="7B5ED46F" w:rsidR="00E721B9" w:rsidRPr="00BF07DD" w:rsidRDefault="003550EC" w:rsidP="00BF07DD">
      <w:pPr>
        <w:pStyle w:val="Titlu3"/>
        <w:numPr>
          <w:ilvl w:val="0"/>
          <w:numId w:val="3"/>
        </w:numPr>
      </w:pPr>
      <w:bookmarkStart w:id="4" w:name="_Toc238120729"/>
      <w:r w:rsidRPr="00220BBD">
        <w:lastRenderedPageBreak/>
        <w:t>Communication Plan and Consultation Strategy</w:t>
      </w:r>
      <w:bookmarkEnd w:id="4"/>
    </w:p>
    <w:p w14:paraId="5F20FEAE" w14:textId="4D63F02E" w:rsidR="00C3325A" w:rsidRDefault="003550EC" w:rsidP="00C3325A">
      <w:pPr>
        <w:spacing w:before="240" w:after="240" w:line="360" w:lineRule="auto"/>
        <w:ind w:firstLine="720"/>
        <w:jc w:val="both"/>
      </w:pPr>
      <w:r w:rsidRPr="00220BBD">
        <w:t>The following communication plan highlights how engaging stakeholders and providing clear, frequent communication keeps all parties updated on developments or changes, giving them the tools needed to complete the project effectively. A stakeholder communication plan is a structured strategy. According to Limani et al. (2024), a stakeholder communication plan is a structured strategy aimed at being an effective channel for sharing information with internal and external groups.</w:t>
      </w:r>
    </w:p>
    <w:p w14:paraId="609B0828" w14:textId="0FD73048" w:rsidR="00BF07DD" w:rsidRDefault="00C3325A" w:rsidP="00C3325A">
      <w:pPr>
        <w:spacing w:before="240" w:after="240" w:line="360" w:lineRule="auto"/>
        <w:ind w:firstLine="720"/>
        <w:jc w:val="both"/>
      </w:pPr>
      <w:r>
        <w:rPr>
          <w:noProof/>
        </w:rPr>
        <w:drawing>
          <wp:anchor distT="0" distB="0" distL="114300" distR="114300" simplePos="0" relativeHeight="251660288" behindDoc="0" locked="0" layoutInCell="1" allowOverlap="1" wp14:anchorId="01C3F365" wp14:editId="6AEE1E93">
            <wp:simplePos x="0" y="0"/>
            <wp:positionH relativeFrom="column">
              <wp:posOffset>-152400</wp:posOffset>
            </wp:positionH>
            <wp:positionV relativeFrom="paragraph">
              <wp:posOffset>0</wp:posOffset>
            </wp:positionV>
            <wp:extent cx="6233160" cy="5699760"/>
            <wp:effectExtent l="0" t="0" r="0" b="0"/>
            <wp:wrapSquare wrapText="bothSides"/>
            <wp:docPr id="962527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27191" name="Picture 962527191"/>
                    <pic:cNvPicPr/>
                  </pic:nvPicPr>
                  <pic:blipFill>
                    <a:blip r:embed="rId9">
                      <a:extLst>
                        <a:ext uri="{28A0092B-C50C-407E-A947-70E740481C1C}">
                          <a14:useLocalDpi xmlns:a14="http://schemas.microsoft.com/office/drawing/2010/main" val="0"/>
                        </a:ext>
                      </a:extLst>
                    </a:blip>
                    <a:stretch>
                      <a:fillRect/>
                    </a:stretch>
                  </pic:blipFill>
                  <pic:spPr>
                    <a:xfrm>
                      <a:off x="0" y="0"/>
                      <a:ext cx="6233160" cy="5699760"/>
                    </a:xfrm>
                    <a:prstGeom prst="rect">
                      <a:avLst/>
                    </a:prstGeom>
                  </pic:spPr>
                </pic:pic>
              </a:graphicData>
            </a:graphic>
            <wp14:sizeRelH relativeFrom="page">
              <wp14:pctWidth>0</wp14:pctWidth>
            </wp14:sizeRelH>
            <wp14:sizeRelV relativeFrom="page">
              <wp14:pctHeight>0</wp14:pctHeight>
            </wp14:sizeRelV>
          </wp:anchor>
        </w:drawing>
      </w:r>
      <w:r w:rsidRPr="00220BBD">
        <w:t>For communication to be linear and effective, the following components explain how effective communication channels support the project's development.</w:t>
      </w:r>
    </w:p>
    <w:p w14:paraId="36E6BC97" w14:textId="00664221" w:rsidR="00E721B9" w:rsidRPr="00220BBD" w:rsidRDefault="003550EC" w:rsidP="00C3325A">
      <w:pPr>
        <w:spacing w:before="240" w:after="240" w:line="360" w:lineRule="auto"/>
        <w:ind w:firstLine="720"/>
        <w:jc w:val="both"/>
      </w:pPr>
      <w:r w:rsidRPr="00220BBD">
        <w:lastRenderedPageBreak/>
        <w:t>The London Borough of Newham requires consistent updates because the project must comply with local policies. Stratford residents require monthly updates for community newsletters in order to facilitate the development theme and gather feedback on what the leisure centre requires, such as facilities, events, and classes that could benefit residents from Stratford and surrou</w:t>
      </w:r>
      <w:r w:rsidR="00C3325A">
        <w:t>n</w:t>
      </w:r>
      <w:r w:rsidRPr="00220BBD">
        <w:t>ding areas.</w:t>
      </w:r>
      <w:r w:rsidR="00C3325A">
        <w:t xml:space="preserve"> </w:t>
      </w:r>
      <w:r w:rsidRPr="00220BBD">
        <w:t xml:space="preserve">The health organisations require quarterly feedback to ensure that the leisure centre objectives align with the </w:t>
      </w:r>
      <w:proofErr w:type="spellStart"/>
      <w:r w:rsidRPr="00220BBD">
        <w:t>organisation's</w:t>
      </w:r>
      <w:proofErr w:type="spellEnd"/>
      <w:r w:rsidRPr="00220BBD">
        <w:t xml:space="preserve"> aim to promote healthy lifestyles and increase the healthy life expectancy by 2030, as supported by the government initiative (Local Government Association, 2022).</w:t>
      </w:r>
      <w:r w:rsidR="00C3325A">
        <w:t xml:space="preserve"> </w:t>
      </w:r>
      <w:r w:rsidRPr="00220BBD">
        <w:t>The urban planning authorities require a formal meeting to ensure that regulations are adhered to and that the project aligns with the plan to facilitate a project that is properly integrated into Stratford's urban landscape.</w:t>
      </w:r>
      <w:r w:rsidR="00C3325A">
        <w:t xml:space="preserve"> </w:t>
      </w:r>
      <w:r w:rsidRPr="00220BBD">
        <w:t>The local businesses and local sports club require less frequent updates, from monthly social media updates to quarterly networking events and even biannual formal meetings to explore partnerships and align objectives.</w:t>
      </w:r>
    </w:p>
    <w:p w14:paraId="33BFDD41" w14:textId="4F83F97B" w:rsidR="00BF07DD" w:rsidRDefault="00C3325A" w:rsidP="00C3325A">
      <w:pPr>
        <w:spacing w:before="240" w:after="240" w:line="360" w:lineRule="auto"/>
        <w:ind w:firstLine="720"/>
        <w:jc w:val="both"/>
      </w:pPr>
      <w:r>
        <w:t xml:space="preserve">According to </w:t>
      </w:r>
      <w:r w:rsidRPr="00C3325A">
        <w:t>Hollmann et al. (2022)</w:t>
      </w:r>
      <w:r>
        <w:t>, t</w:t>
      </w:r>
      <w:r w:rsidRPr="00220BBD">
        <w:t>he information shared with stakeholders needs to be transparent, especially regarding timelines, community benefits, and goals, ensuring stakeholders' involvement is valued throughout the project's development. Employing various communication channels such as social media, emails, formal meetings, newsletters, as well as public meetings engages all stakeholders to participate actively in the development of the leisure centre, and it also provides the project developers with essential feedback on the impact the project has on the wider community</w:t>
      </w:r>
      <w:r>
        <w:t>.</w:t>
      </w:r>
    </w:p>
    <w:p w14:paraId="02092D95" w14:textId="77777777" w:rsidR="00BF07DD" w:rsidRPr="00220BBD" w:rsidRDefault="00BF07DD" w:rsidP="00220BBD">
      <w:pPr>
        <w:spacing w:before="240" w:after="240" w:line="360" w:lineRule="auto"/>
        <w:ind w:firstLine="720"/>
      </w:pPr>
    </w:p>
    <w:p w14:paraId="3E277651" w14:textId="77CF6716" w:rsidR="00E721B9" w:rsidRPr="00220BBD" w:rsidRDefault="003550EC" w:rsidP="00BF07DD">
      <w:pPr>
        <w:pStyle w:val="Titlu2"/>
        <w:numPr>
          <w:ilvl w:val="0"/>
          <w:numId w:val="2"/>
        </w:numPr>
      </w:pPr>
      <w:bookmarkStart w:id="5" w:name="_Toc238120730"/>
      <w:r w:rsidRPr="00220BBD">
        <w:t>Ethical considerations</w:t>
      </w:r>
      <w:bookmarkEnd w:id="5"/>
    </w:p>
    <w:p w14:paraId="0AF2E29D" w14:textId="77777777" w:rsidR="00E721B9" w:rsidRPr="00220BBD" w:rsidRDefault="00E721B9" w:rsidP="00220BBD">
      <w:pPr>
        <w:spacing w:before="240" w:after="240" w:line="360" w:lineRule="auto"/>
        <w:ind w:firstLine="720"/>
      </w:pPr>
    </w:p>
    <w:p w14:paraId="5D14728C" w14:textId="506B0E5C" w:rsidR="00E721B9" w:rsidRPr="00220BBD" w:rsidRDefault="003550EC" w:rsidP="00BF07DD">
      <w:pPr>
        <w:spacing w:before="240" w:after="240" w:line="360" w:lineRule="auto"/>
        <w:ind w:firstLine="720"/>
        <w:jc w:val="both"/>
      </w:pPr>
      <w:r w:rsidRPr="00220BBD">
        <w:t xml:space="preserve">Ethical considerations entail how organisations engage with the stakeholders and ensure that the development of the project is fair, honest, inclusive, and protects all stakeholders from harm whilst building trust between all parties, as argued by Kaptein's (2025) research paper. In the development of the leisure centre project, the methods of consultation are varied; surveys of the project developers can gather feedback on what type of facilities are needed within the local community. To allow Stratford residents to share their opinion freely, anonymous surveys will be </w:t>
      </w:r>
      <w:r w:rsidRPr="00220BBD">
        <w:lastRenderedPageBreak/>
        <w:t>used. This type of method needs to be accessible and inclusive, ensuring that a white demographic is targeted to gather more data. For example, through focus groups with stakeholders such as health organisations or local businesses, project developers can gather essential insights regarding the health concerns that arise within the local community</w:t>
      </w:r>
      <w:r w:rsidR="00C3325A">
        <w:t xml:space="preserve"> </w:t>
      </w:r>
      <w:r w:rsidR="00C3325A" w:rsidRPr="00C3325A">
        <w:t>(</w:t>
      </w:r>
      <w:proofErr w:type="spellStart"/>
      <w:r w:rsidR="00C3325A" w:rsidRPr="00C3325A">
        <w:t>Ahumuza</w:t>
      </w:r>
      <w:proofErr w:type="spellEnd"/>
      <w:r w:rsidR="00C3325A" w:rsidRPr="00C3325A">
        <w:t xml:space="preserve"> et al., 2026)</w:t>
      </w:r>
      <w:r w:rsidRPr="00220BBD">
        <w:t>. Public meetings allow direct communication with community members, fostering trust and transparency and encouraging active involvement from residents in Stratford.</w:t>
      </w:r>
    </w:p>
    <w:p w14:paraId="747B57CC" w14:textId="77777777" w:rsidR="00E721B9" w:rsidRPr="00220BBD" w:rsidRDefault="003550EC" w:rsidP="00BF07DD">
      <w:pPr>
        <w:spacing w:before="240" w:after="240" w:line="360" w:lineRule="auto"/>
        <w:ind w:firstLine="720"/>
        <w:jc w:val="both"/>
      </w:pPr>
      <w:r w:rsidRPr="00220BBD">
        <w:t xml:space="preserve">Craik (2021) argues that </w:t>
      </w:r>
      <w:r w:rsidRPr="00BF07DD">
        <w:rPr>
          <w:b/>
          <w:bCs/>
        </w:rPr>
        <w:t>bias</w:t>
      </w:r>
      <w:r w:rsidRPr="00220BBD">
        <w:t xml:space="preserve"> can be deliberate or subconscious, and it affects everyone's decision. Developing a leisure Centre in Stratford can be biased by individuals because the project might not serve everyone in the community equally, as explained by Chen et al. (2023). To avoid bias, especially when developing a leisure centre, it entails actively engaging with underrepresented groups such as ethnic minorities, people with physical and sensory disabilities or neurodivergent individuals, as well as those from low-income backgrounds, to ensure that all demographic groups are included in the development process.</w:t>
      </w:r>
    </w:p>
    <w:p w14:paraId="3AE41F60" w14:textId="77777777" w:rsidR="00E721B9" w:rsidRPr="00220BBD" w:rsidRDefault="003550EC" w:rsidP="00BF07DD">
      <w:pPr>
        <w:spacing w:before="240" w:after="240" w:line="360" w:lineRule="auto"/>
        <w:ind w:firstLine="720"/>
        <w:jc w:val="both"/>
      </w:pPr>
      <w:r w:rsidRPr="00BF07DD">
        <w:rPr>
          <w:b/>
          <w:bCs/>
        </w:rPr>
        <w:t>Diversity, Quality and Inclusion</w:t>
      </w:r>
      <w:r w:rsidRPr="00220BBD">
        <w:t xml:space="preserve"> (DEI) is a framework used to provide fair representation within a community (GOV.UK, 2024), and it is closely linked to the Equality Act 2010, which protects individuals and communities from discrimination. The project will </w:t>
      </w:r>
      <w:proofErr w:type="spellStart"/>
      <w:r w:rsidRPr="00220BBD">
        <w:t>prioritise</w:t>
      </w:r>
      <w:proofErr w:type="spellEnd"/>
      <w:r w:rsidRPr="00220BBD">
        <w:t xml:space="preserve"> diversity, quality, and inclusion by ensuring that the represented groups are actively involved in the development process of the leisure centre, ensuring that the project is relevant in the eyes of the community.</w:t>
      </w:r>
    </w:p>
    <w:p w14:paraId="02526E23" w14:textId="4697EC8E" w:rsidR="00BF07DD" w:rsidRDefault="003550EC" w:rsidP="00BF07DD">
      <w:pPr>
        <w:spacing w:before="240" w:after="240" w:line="360" w:lineRule="auto"/>
        <w:ind w:firstLine="720"/>
        <w:jc w:val="both"/>
      </w:pPr>
      <w:r w:rsidRPr="00BF07DD">
        <w:rPr>
          <w:b/>
          <w:bCs/>
        </w:rPr>
        <w:t>Transparency</w:t>
      </w:r>
      <w:r w:rsidRPr="00220BBD">
        <w:t xml:space="preserve"> is vital in building trust and demonstrating the accountability of the project. </w:t>
      </w:r>
      <w:r w:rsidR="00EA6E00">
        <w:t xml:space="preserve">According to </w:t>
      </w:r>
      <w:r w:rsidR="00EA6E00" w:rsidRPr="00EA6E00">
        <w:t>Ayodeji et al. (2024)</w:t>
      </w:r>
      <w:r w:rsidR="00EA6E00">
        <w:t>, e</w:t>
      </w:r>
      <w:r w:rsidRPr="00220BBD">
        <w:t xml:space="preserve">stablishing clear communication with stakeholders and the community ensures their feedback is </w:t>
      </w:r>
      <w:proofErr w:type="spellStart"/>
      <w:r w:rsidRPr="00220BBD">
        <w:t>analysed</w:t>
      </w:r>
      <w:proofErr w:type="spellEnd"/>
      <w:r w:rsidRPr="00220BBD">
        <w:t xml:space="preserve"> and integrated at all project stages, fostering a positive and inclusive environment.</w:t>
      </w:r>
    </w:p>
    <w:p w14:paraId="31C32EBB" w14:textId="77777777" w:rsidR="00BF07DD" w:rsidRDefault="00BF07DD" w:rsidP="00BF07DD">
      <w:pPr>
        <w:spacing w:before="240" w:after="240" w:line="360" w:lineRule="auto"/>
        <w:ind w:firstLine="720"/>
        <w:jc w:val="both"/>
      </w:pPr>
    </w:p>
    <w:p w14:paraId="2F35CF91" w14:textId="77777777" w:rsidR="00EA6E00" w:rsidRDefault="00EA6E00" w:rsidP="00BF07DD">
      <w:pPr>
        <w:spacing w:before="240" w:after="240" w:line="360" w:lineRule="auto"/>
        <w:ind w:firstLine="720"/>
        <w:jc w:val="both"/>
      </w:pPr>
    </w:p>
    <w:p w14:paraId="54A3E5A9" w14:textId="77777777" w:rsidR="00EA6E00" w:rsidRPr="00220BBD" w:rsidRDefault="00EA6E00" w:rsidP="00BF07DD">
      <w:pPr>
        <w:spacing w:before="240" w:after="240" w:line="360" w:lineRule="auto"/>
        <w:ind w:firstLine="720"/>
        <w:jc w:val="both"/>
      </w:pPr>
    </w:p>
    <w:p w14:paraId="61CCC256" w14:textId="6560120E" w:rsidR="00E721B9" w:rsidRPr="00220BBD" w:rsidRDefault="003550EC" w:rsidP="00BF07DD">
      <w:pPr>
        <w:pStyle w:val="Titlu2"/>
        <w:numPr>
          <w:ilvl w:val="0"/>
          <w:numId w:val="2"/>
        </w:numPr>
      </w:pPr>
      <w:bookmarkStart w:id="6" w:name="_Toc238120731"/>
      <w:r w:rsidRPr="00220BBD">
        <w:lastRenderedPageBreak/>
        <w:t>Conclusion and Reflection</w:t>
      </w:r>
      <w:bookmarkEnd w:id="6"/>
    </w:p>
    <w:p w14:paraId="07485295" w14:textId="77777777" w:rsidR="00E721B9" w:rsidRPr="00220BBD" w:rsidRDefault="00E721B9" w:rsidP="00220BBD">
      <w:pPr>
        <w:spacing w:before="240" w:after="240" w:line="360" w:lineRule="auto"/>
        <w:ind w:firstLine="720"/>
      </w:pPr>
    </w:p>
    <w:p w14:paraId="7C94E2D6" w14:textId="08C18C78" w:rsidR="00E721B9" w:rsidRPr="00220BBD" w:rsidRDefault="003550EC" w:rsidP="00BF07DD">
      <w:pPr>
        <w:spacing w:before="240" w:after="240" w:line="360" w:lineRule="auto"/>
        <w:ind w:firstLine="720"/>
        <w:jc w:val="both"/>
      </w:pPr>
      <w:r w:rsidRPr="00220BBD">
        <w:t>Engaging stakeholders is essential in developing a project such as Stratford Leisure Centre. The findings from the above analysis highlight how clear communication and ethical consideration foster a sense of ownership within the community and ensure that the leisure centre continues to support the diverse needs of residents.</w:t>
      </w:r>
    </w:p>
    <w:p w14:paraId="76CF1B3C" w14:textId="77777777" w:rsidR="00E721B9" w:rsidRPr="00220BBD" w:rsidRDefault="003550EC" w:rsidP="00BF07DD">
      <w:pPr>
        <w:spacing w:before="240" w:after="240" w:line="360" w:lineRule="auto"/>
        <w:ind w:firstLine="720"/>
        <w:jc w:val="both"/>
      </w:pPr>
      <w:r w:rsidRPr="00220BBD">
        <w:t xml:space="preserve">For reflection, several insights have emerged, such as the importance of engaging stakeholders in the early planning of the leisure centre project, as well as understanding the wider community needs, especially when shaping a facility that is inclusive and serves its purpose. Challenges such as balancing the budget, whilst keeping track of the community's desires, are a comprehensive task that requires compromise and negotiation, ensuring that developers need to </w:t>
      </w:r>
      <w:proofErr w:type="spellStart"/>
      <w:r w:rsidRPr="00220BBD">
        <w:t>prioritise</w:t>
      </w:r>
      <w:proofErr w:type="spellEnd"/>
      <w:r w:rsidRPr="00220BBD">
        <w:t xml:space="preserve"> the safety of all individuals throughout the whole process, from planning to construction and use of the facilities.</w:t>
      </w:r>
    </w:p>
    <w:p w14:paraId="0254B16E" w14:textId="77777777" w:rsidR="00E721B9" w:rsidRPr="00220BBD" w:rsidRDefault="003550EC" w:rsidP="00BF07DD">
      <w:pPr>
        <w:spacing w:before="240" w:after="240" w:line="360" w:lineRule="auto"/>
        <w:ind w:firstLine="720"/>
        <w:jc w:val="both"/>
      </w:pPr>
      <w:r w:rsidRPr="00220BBD">
        <w:t>According to Andres, David and Januario (2024), a successful project requires strategic implementation that meets functional requirements as well as resonates with the values and needs of the community. The proposed project requires continuous engagement with stakeholders and the community in order to build a strong, trusting relationship that leads to the successful development of the leisure centre.</w:t>
      </w:r>
    </w:p>
    <w:p w14:paraId="06277A58" w14:textId="77777777" w:rsidR="00E721B9" w:rsidRPr="00220BBD" w:rsidRDefault="003550EC" w:rsidP="00BF07DD">
      <w:pPr>
        <w:spacing w:before="240" w:after="240" w:line="360" w:lineRule="auto"/>
        <w:ind w:firstLine="720"/>
        <w:jc w:val="both"/>
      </w:pPr>
      <w:r w:rsidRPr="00220BBD">
        <w:t xml:space="preserve">As a junior stakeholder manager, one of the most important lessons learned from this project was identifying the stakeholders early. Although this Stratford Residence are one of the most importance they hold groups because they are in fact the users of the facilities by </w:t>
      </w:r>
      <w:proofErr w:type="spellStart"/>
      <w:r w:rsidRPr="00220BBD">
        <w:t>analysing</w:t>
      </w:r>
      <w:proofErr w:type="spellEnd"/>
      <w:r w:rsidRPr="00220BBD">
        <w:t xml:space="preserve"> various stakeholder groups including the London borough of Newham local sports clubs Health organisations, businesses and urban planning authorities have given me the insight on how different groups influence the project success the power interest and influence table aid my understanding that the stakeholders cannot be treated equally or the use of a single communication method is not effective. The stakeholder with high power and high interest, such as the London Borough of New Hampshire, requires more frequent updates, whilst the low-power, low-interest </w:t>
      </w:r>
      <w:r w:rsidRPr="00220BBD">
        <w:lastRenderedPageBreak/>
        <w:t>stakeholder, such as sports clubs and local businesses, requires less frequent updates; however, all groups provide valuable information in developing such a large-scale project.</w:t>
      </w:r>
    </w:p>
    <w:p w14:paraId="338D29FC" w14:textId="77777777" w:rsidR="00E721B9" w:rsidRPr="00220BBD" w:rsidRDefault="003550EC" w:rsidP="00BF07DD">
      <w:pPr>
        <w:spacing w:before="240" w:after="240" w:line="360" w:lineRule="auto"/>
        <w:ind w:firstLine="720"/>
        <w:jc w:val="both"/>
      </w:pPr>
      <w:r w:rsidRPr="00220BBD">
        <w:t>The stakeholder map encourages me to think critically about how power and interest interact. For example, Stratford Residence has less formal decision-making power than the local authorities, but the feedback received from the residents is more relevant, as they are the primary users of the facility. The limited formal authority of the Stratford Residence does not necessarily influence the project development per se, but the feedback and opinions influence the long-term success of the project.</w:t>
      </w:r>
    </w:p>
    <w:p w14:paraId="499072DE" w14:textId="77777777" w:rsidR="00E721B9" w:rsidRPr="00220BBD" w:rsidRDefault="003550EC" w:rsidP="00BF07DD">
      <w:pPr>
        <w:spacing w:before="240" w:after="240" w:line="360" w:lineRule="auto"/>
        <w:ind w:firstLine="720"/>
        <w:jc w:val="both"/>
      </w:pPr>
      <w:r w:rsidRPr="00220BBD">
        <w:t>The communication channels used are a focal point of this project because sharing information with the stakeholders should be a two-way system. Distributing information through social media channels as well as emails and newsletters is essential in sharing the information with a wide audience, but focus groups, public meetings, and anonymous surveys create opportunities for stakeholders in the community to share their concerns and opinions regarding the development of Stratford Leisure Centre. Enabling clear communication channels has given me the opportunity to balance stakeholders' and community concerns and ideas to perfect the project and to understand how their input shapes a successful project.</w:t>
      </w:r>
    </w:p>
    <w:p w14:paraId="4593806F" w14:textId="77777777" w:rsidR="00E721B9" w:rsidRPr="00220BBD" w:rsidRDefault="003550EC" w:rsidP="00BF07DD">
      <w:pPr>
        <w:spacing w:before="240" w:after="240" w:line="360" w:lineRule="auto"/>
        <w:ind w:firstLine="720"/>
        <w:jc w:val="both"/>
      </w:pPr>
      <w:r w:rsidRPr="00220BBD">
        <w:t>The ethical considerations discussed in this project have helped me understand how bias can interfere with the community's perception of how useful the project could be for the wider and underrepresented community. Ensuring that diversity, quality, and inclusion are focal points in this project enabled me to design the proposal around the preferences of O groups without unintentionally excluding others. As the Stratford community is diverse because the residents have different cultures and physical and socioeconomic needs, a facilitator that includes all these groups should not only view these group requirements as an additional burden but as a standard process throughout the project stages.</w:t>
      </w:r>
    </w:p>
    <w:p w14:paraId="46B2F2F2" w14:textId="56EE37E3" w:rsidR="00E721B9" w:rsidRPr="00220BBD" w:rsidRDefault="003550EC" w:rsidP="00BF07DD">
      <w:pPr>
        <w:spacing w:before="240" w:after="240" w:line="360" w:lineRule="auto"/>
        <w:ind w:firstLine="720"/>
        <w:jc w:val="both"/>
      </w:pPr>
      <w:r w:rsidRPr="00220BBD">
        <w:t xml:space="preserve">Should I undertake this project once more, I would firstly obtain feedback from different ethnic minority groups, residents with disabilities, local sports organisations and businesses before beginning the project proposal because this would enable me to showcase why my project impacts the community, which could increase stakeholder trust.  Altogether, developing the Stratford Leisure Centre project has helped me understand the relationship between stakeholders, </w:t>
      </w:r>
      <w:r w:rsidRPr="00220BBD">
        <w:lastRenderedPageBreak/>
        <w:t>communication and ethical considerations, as well as understanding that developing a project is not limited to budget constraints, but it implicates how the project should create value for its stakeholders and respond to what the community needs.</w:t>
      </w:r>
    </w:p>
    <w:p w14:paraId="5A1F18D6" w14:textId="77777777" w:rsidR="00E721B9" w:rsidRPr="00220BBD" w:rsidRDefault="003550EC" w:rsidP="00BF07DD">
      <w:pPr>
        <w:spacing w:before="240" w:after="240" w:line="360" w:lineRule="auto"/>
        <w:ind w:firstLine="720"/>
        <w:jc w:val="both"/>
      </w:pPr>
      <w:r w:rsidRPr="00220BBD">
        <w:t xml:space="preserve">In conclusion, this project proposal provided a valuable learning curve of how to apply stakeholder mapping in the early stages of the project proposal and how to develop communication strategies that address stakeholder needs, as well as developing communication strategies that ensure that </w:t>
      </w:r>
      <w:proofErr w:type="spellStart"/>
      <w:r w:rsidRPr="00220BBD">
        <w:t>marginalised</w:t>
      </w:r>
      <w:proofErr w:type="spellEnd"/>
      <w:r w:rsidRPr="00220BBD">
        <w:t xml:space="preserve"> groups are not overlooked.</w:t>
      </w:r>
    </w:p>
    <w:p w14:paraId="7608AB4C" w14:textId="77777777" w:rsidR="00E721B9" w:rsidRDefault="00E721B9" w:rsidP="00220BBD">
      <w:pPr>
        <w:spacing w:before="240" w:after="240" w:line="360" w:lineRule="auto"/>
        <w:ind w:firstLine="720"/>
      </w:pPr>
    </w:p>
    <w:p w14:paraId="377A044B" w14:textId="77777777" w:rsidR="00BF07DD" w:rsidRDefault="00BF07DD" w:rsidP="00220BBD">
      <w:pPr>
        <w:spacing w:before="240" w:after="240" w:line="360" w:lineRule="auto"/>
        <w:ind w:firstLine="720"/>
      </w:pPr>
    </w:p>
    <w:p w14:paraId="57216B11" w14:textId="77777777" w:rsidR="00BF07DD" w:rsidRDefault="00BF07DD" w:rsidP="00220BBD">
      <w:pPr>
        <w:spacing w:before="240" w:after="240" w:line="360" w:lineRule="auto"/>
        <w:ind w:firstLine="720"/>
      </w:pPr>
    </w:p>
    <w:p w14:paraId="22FCDC84" w14:textId="77777777" w:rsidR="00BF07DD" w:rsidRDefault="00BF07DD" w:rsidP="00220BBD">
      <w:pPr>
        <w:spacing w:before="240" w:after="240" w:line="360" w:lineRule="auto"/>
        <w:ind w:firstLine="720"/>
      </w:pPr>
    </w:p>
    <w:p w14:paraId="14E9C413" w14:textId="77777777" w:rsidR="00BF07DD" w:rsidRDefault="00BF07DD" w:rsidP="00220BBD">
      <w:pPr>
        <w:spacing w:before="240" w:after="240" w:line="360" w:lineRule="auto"/>
        <w:ind w:firstLine="720"/>
      </w:pPr>
    </w:p>
    <w:p w14:paraId="7B4100FC" w14:textId="77777777" w:rsidR="00BF07DD" w:rsidRDefault="00BF07DD" w:rsidP="00220BBD">
      <w:pPr>
        <w:spacing w:before="240" w:after="240" w:line="360" w:lineRule="auto"/>
        <w:ind w:firstLine="720"/>
      </w:pPr>
    </w:p>
    <w:p w14:paraId="48CC0C1D" w14:textId="77777777" w:rsidR="00BF07DD" w:rsidRDefault="00BF07DD" w:rsidP="00220BBD">
      <w:pPr>
        <w:spacing w:before="240" w:after="240" w:line="360" w:lineRule="auto"/>
        <w:ind w:firstLine="720"/>
      </w:pPr>
    </w:p>
    <w:p w14:paraId="40A0D5FC" w14:textId="77777777" w:rsidR="00BF07DD" w:rsidRDefault="00BF07DD" w:rsidP="00220BBD">
      <w:pPr>
        <w:spacing w:before="240" w:after="240" w:line="360" w:lineRule="auto"/>
        <w:ind w:firstLine="720"/>
      </w:pPr>
    </w:p>
    <w:p w14:paraId="65CDD3B7" w14:textId="77777777" w:rsidR="00BF07DD" w:rsidRDefault="00BF07DD" w:rsidP="00220BBD">
      <w:pPr>
        <w:spacing w:before="240" w:after="240" w:line="360" w:lineRule="auto"/>
        <w:ind w:firstLine="720"/>
      </w:pPr>
    </w:p>
    <w:p w14:paraId="43B9B1E0" w14:textId="77777777" w:rsidR="00BF07DD" w:rsidRDefault="00BF07DD" w:rsidP="00220BBD">
      <w:pPr>
        <w:spacing w:before="240" w:after="240" w:line="360" w:lineRule="auto"/>
        <w:ind w:firstLine="720"/>
      </w:pPr>
    </w:p>
    <w:p w14:paraId="322819C9" w14:textId="77777777" w:rsidR="00EA6E00" w:rsidRDefault="00EA6E00" w:rsidP="00220BBD">
      <w:pPr>
        <w:spacing w:before="240" w:after="240" w:line="360" w:lineRule="auto"/>
        <w:ind w:firstLine="720"/>
      </w:pPr>
    </w:p>
    <w:p w14:paraId="148ABD16" w14:textId="77777777" w:rsidR="00EA6E00" w:rsidRDefault="00EA6E00" w:rsidP="00220BBD">
      <w:pPr>
        <w:spacing w:before="240" w:after="240" w:line="360" w:lineRule="auto"/>
        <w:ind w:firstLine="720"/>
      </w:pPr>
    </w:p>
    <w:p w14:paraId="31613242" w14:textId="77777777" w:rsidR="00BF07DD" w:rsidRDefault="00BF07DD" w:rsidP="00220BBD">
      <w:pPr>
        <w:spacing w:before="240" w:after="240" w:line="360" w:lineRule="auto"/>
        <w:ind w:firstLine="720"/>
      </w:pPr>
    </w:p>
    <w:p w14:paraId="268C1C0D" w14:textId="77777777" w:rsidR="00BF07DD" w:rsidRDefault="00BF07DD" w:rsidP="00220BBD">
      <w:pPr>
        <w:spacing w:before="240" w:after="240" w:line="360" w:lineRule="auto"/>
        <w:ind w:firstLine="720"/>
      </w:pPr>
    </w:p>
    <w:p w14:paraId="35AA3556" w14:textId="3DEA8646" w:rsidR="00BF07DD" w:rsidRDefault="00BF07DD" w:rsidP="00BF07DD">
      <w:pPr>
        <w:pStyle w:val="Titlu2"/>
        <w:numPr>
          <w:ilvl w:val="0"/>
          <w:numId w:val="2"/>
        </w:numPr>
      </w:pPr>
      <w:bookmarkStart w:id="7" w:name="_Toc238120732"/>
      <w:r>
        <w:lastRenderedPageBreak/>
        <w:t>Reference List</w:t>
      </w:r>
      <w:bookmarkEnd w:id="7"/>
    </w:p>
    <w:p w14:paraId="0124E7FF" w14:textId="77777777" w:rsidR="00BF07DD" w:rsidRDefault="00BF07DD" w:rsidP="00BF07DD"/>
    <w:p w14:paraId="7FC66CC7" w14:textId="77777777" w:rsidR="00BF07DD" w:rsidRDefault="00BF07DD" w:rsidP="00BF07DD"/>
    <w:p w14:paraId="6E424E7E" w14:textId="77777777" w:rsidR="00EA6E00" w:rsidRDefault="00EA6E00" w:rsidP="00EA6E00">
      <w:pPr>
        <w:pStyle w:val="Listparagraf"/>
        <w:numPr>
          <w:ilvl w:val="0"/>
          <w:numId w:val="5"/>
        </w:numPr>
      </w:pPr>
      <w:r w:rsidRPr="00EA6E00">
        <w:t xml:space="preserve">Ahumuza, E., Waterous, P.M., Tucker, J.D., </w:t>
      </w:r>
      <w:proofErr w:type="spellStart"/>
      <w:r w:rsidRPr="00EA6E00">
        <w:t>Nanyeenya</w:t>
      </w:r>
      <w:proofErr w:type="spellEnd"/>
      <w:r w:rsidRPr="00EA6E00">
        <w:t>, N. and Awor, P. (2026). Utilization of community engagement in social innovation health projects in low-and-middle income countries: A global sequential mixed methods analysis. </w:t>
      </w:r>
      <w:r w:rsidRPr="00EA6E00">
        <w:rPr>
          <w:i/>
          <w:iCs/>
        </w:rPr>
        <w:t>PLOS Global Public Health</w:t>
      </w:r>
      <w:r w:rsidRPr="00EA6E00">
        <w:t>, [online] 6(3). doi:10.1371/journal.pgph.0006055.</w:t>
      </w:r>
    </w:p>
    <w:p w14:paraId="6A14968B" w14:textId="77777777" w:rsidR="00EA6E00" w:rsidRPr="00EA6E00" w:rsidRDefault="00EA6E00" w:rsidP="00EA6E00">
      <w:pPr>
        <w:pStyle w:val="Listparagraf"/>
        <w:ind w:left="1080"/>
      </w:pPr>
    </w:p>
    <w:p w14:paraId="00CA39B4" w14:textId="3B353CC4" w:rsidR="00EA6E00" w:rsidRDefault="00EA6E00" w:rsidP="00EA6E00">
      <w:pPr>
        <w:pStyle w:val="Listparagraf"/>
        <w:numPr>
          <w:ilvl w:val="0"/>
          <w:numId w:val="5"/>
        </w:numPr>
      </w:pPr>
      <w:r w:rsidRPr="00EA6E00">
        <w:t>Andres, J., David, F. and Januario, M. (2024). Characteristics and perceptions of project management in the productive sectors towards a sustainable future. </w:t>
      </w:r>
      <w:r w:rsidRPr="00EA6E00">
        <w:rPr>
          <w:i/>
          <w:iCs/>
        </w:rPr>
        <w:t>Results in engineering</w:t>
      </w:r>
      <w:r w:rsidRPr="00EA6E00">
        <w:t>, 22(102264), pp.102264–102264. doi:10.1016/j.rineng.2024.102264</w:t>
      </w:r>
      <w:r>
        <w:t>.</w:t>
      </w:r>
    </w:p>
    <w:p w14:paraId="2DAB595B" w14:textId="77777777" w:rsidR="00EA6E00" w:rsidRDefault="00EA6E00" w:rsidP="00EA6E00">
      <w:pPr>
        <w:pStyle w:val="Listparagraf"/>
      </w:pPr>
    </w:p>
    <w:p w14:paraId="4C6083C1" w14:textId="77777777" w:rsidR="00EA6E00" w:rsidRPr="00EA6E00" w:rsidRDefault="00EA6E00" w:rsidP="00EA6E00">
      <w:pPr>
        <w:pStyle w:val="Listparagraf"/>
        <w:ind w:left="1080"/>
      </w:pPr>
    </w:p>
    <w:p w14:paraId="691460AA" w14:textId="77777777" w:rsidR="00EA6E00" w:rsidRDefault="00EA6E00" w:rsidP="00EA6E00">
      <w:pPr>
        <w:pStyle w:val="Listparagraf"/>
        <w:numPr>
          <w:ilvl w:val="0"/>
          <w:numId w:val="5"/>
        </w:numPr>
      </w:pPr>
      <w:r w:rsidRPr="00EA6E00">
        <w:t xml:space="preserve">Ayodeji, A., Chidera, J., </w:t>
      </w:r>
      <w:proofErr w:type="spellStart"/>
      <w:r w:rsidRPr="00EA6E00">
        <w:t>Gbenle</w:t>
      </w:r>
      <w:proofErr w:type="spellEnd"/>
      <w:r w:rsidRPr="00EA6E00">
        <w:t xml:space="preserve">, P., Agboola, A. and </w:t>
      </w:r>
      <w:proofErr w:type="spellStart"/>
      <w:r w:rsidRPr="00EA6E00">
        <w:t>Chukwuemeke</w:t>
      </w:r>
      <w:proofErr w:type="spellEnd"/>
      <w:r w:rsidRPr="00EA6E00">
        <w:t>, A. (2024). Advances in project stakeholder communication and transparency using cloud collaboration platforms. </w:t>
      </w:r>
      <w:r w:rsidRPr="00EA6E00">
        <w:rPr>
          <w:i/>
          <w:iCs/>
        </w:rPr>
        <w:t>International Journal of Scientific Research in Science and Technology</w:t>
      </w:r>
      <w:r w:rsidRPr="00EA6E00">
        <w:t>, 11(5), pp.633–652. doi:10.32628/ijsrst52310373.</w:t>
      </w:r>
    </w:p>
    <w:p w14:paraId="44B1A5FB" w14:textId="77777777" w:rsidR="00EA6E00" w:rsidRPr="00EA6E00" w:rsidRDefault="00EA6E00" w:rsidP="00EA6E00">
      <w:pPr>
        <w:pStyle w:val="Listparagraf"/>
        <w:ind w:left="1080"/>
      </w:pPr>
    </w:p>
    <w:p w14:paraId="4DCD5564" w14:textId="77777777" w:rsidR="00EA6E00" w:rsidRDefault="00EA6E00" w:rsidP="00EA6E00">
      <w:pPr>
        <w:pStyle w:val="Listparagraf"/>
        <w:numPr>
          <w:ilvl w:val="0"/>
          <w:numId w:val="5"/>
        </w:numPr>
      </w:pPr>
      <w:r w:rsidRPr="00EA6E00">
        <w:t>Bernstein, S.L., Weiss, J. and Curry, L. (2020). Visualizing implementation: Contextual and organizational support mapping of stakeholders (COSMOS). </w:t>
      </w:r>
      <w:r w:rsidRPr="00EA6E00">
        <w:rPr>
          <w:i/>
          <w:iCs/>
        </w:rPr>
        <w:t>Implementation Science Communications</w:t>
      </w:r>
      <w:r w:rsidRPr="00EA6E00">
        <w:t>, [online] 1(1). doi:10.1186/s43058-020-00030-8.</w:t>
      </w:r>
    </w:p>
    <w:p w14:paraId="28DD3C6F" w14:textId="77777777" w:rsidR="00EA6E00" w:rsidRPr="00EA6E00" w:rsidRDefault="00EA6E00" w:rsidP="00EA6E00"/>
    <w:p w14:paraId="5951B764" w14:textId="0A7EC100" w:rsidR="00EA6E00" w:rsidRDefault="00EA6E00" w:rsidP="00EA6E00">
      <w:pPr>
        <w:pStyle w:val="Listparagraf"/>
        <w:numPr>
          <w:ilvl w:val="0"/>
          <w:numId w:val="5"/>
        </w:numPr>
      </w:pPr>
      <w:r w:rsidRPr="00EA6E00">
        <w:t>British Heart Foundation (2017). </w:t>
      </w:r>
      <w:r w:rsidRPr="00EA6E00">
        <w:rPr>
          <w:i/>
          <w:iCs/>
        </w:rPr>
        <w:t>New report assesses impact of physical inactivity on UK heart health and economy</w:t>
      </w:r>
      <w:r w:rsidRPr="00EA6E00">
        <w:t>. [online] </w:t>
      </w:r>
      <w:r w:rsidRPr="00EA6E00">
        <w:rPr>
          <w:i/>
          <w:iCs/>
        </w:rPr>
        <w:t>Bhf.org.uk</w:t>
      </w:r>
      <w:r w:rsidRPr="00EA6E00">
        <w:t xml:space="preserve">. British Heart Foundation. Available at: </w:t>
      </w:r>
      <w:hyperlink r:id="rId10" w:history="1">
        <w:r w:rsidRPr="00FF2737">
          <w:rPr>
            <w:rStyle w:val="Hyperlink"/>
          </w:rPr>
          <w:t>https://www.bhf.org.uk/what-we-do/news-from-the-bhf/news-archive/2017/april/new-report-assesses-impact-of-physical-inactivity-on-uk-heart-health-and-economy</w:t>
        </w:r>
      </w:hyperlink>
      <w:r>
        <w:t xml:space="preserve"> </w:t>
      </w:r>
      <w:r w:rsidRPr="00EA6E00">
        <w:t xml:space="preserve">[Accessed </w:t>
      </w:r>
      <w:r>
        <w:t>11</w:t>
      </w:r>
      <w:r w:rsidRPr="00EA6E00">
        <w:t xml:space="preserve"> Aug. 2026].</w:t>
      </w:r>
    </w:p>
    <w:p w14:paraId="22D4E40C" w14:textId="77777777" w:rsidR="00EA6E00" w:rsidRPr="00EA6E00" w:rsidRDefault="00EA6E00" w:rsidP="00EA6E00"/>
    <w:p w14:paraId="2EF55DE8" w14:textId="45D46C66" w:rsidR="00EA6E00" w:rsidRDefault="00EA6E00" w:rsidP="00EA6E00">
      <w:pPr>
        <w:pStyle w:val="Listparagraf"/>
        <w:numPr>
          <w:ilvl w:val="0"/>
          <w:numId w:val="5"/>
        </w:numPr>
      </w:pPr>
      <w:r w:rsidRPr="00EA6E00">
        <w:t>Chen, N., Novy, D., Perroni, C. and Horng Chern, W. (2023). </w:t>
      </w:r>
      <w:r w:rsidRPr="00EA6E00">
        <w:rPr>
          <w:i/>
          <w:iCs/>
        </w:rPr>
        <w:t>Urban-biased structural change</w:t>
      </w:r>
      <w:r w:rsidRPr="00EA6E00">
        <w:t xml:space="preserve">. [online] CEP. Available at: </w:t>
      </w:r>
      <w:hyperlink r:id="rId11" w:history="1">
        <w:r w:rsidRPr="00FF2737">
          <w:rPr>
            <w:rStyle w:val="Hyperlink"/>
          </w:rPr>
          <w:t>https://cep.lse.ac.uk/_NEW/publications/abstract.asp?index=10574</w:t>
        </w:r>
      </w:hyperlink>
      <w:r>
        <w:t xml:space="preserve"> </w:t>
      </w:r>
      <w:r w:rsidRPr="00EA6E00">
        <w:t>[Accessed 14 Aug. 2026].</w:t>
      </w:r>
    </w:p>
    <w:p w14:paraId="5CFE089A" w14:textId="77777777" w:rsidR="00EA6E00" w:rsidRPr="00EA6E00" w:rsidRDefault="00EA6E00" w:rsidP="00EA6E00"/>
    <w:p w14:paraId="16205A4F" w14:textId="77777777" w:rsidR="00EA6E00" w:rsidRDefault="00EA6E00" w:rsidP="00EA6E00">
      <w:pPr>
        <w:pStyle w:val="Listparagraf"/>
        <w:numPr>
          <w:ilvl w:val="0"/>
          <w:numId w:val="5"/>
        </w:numPr>
      </w:pPr>
      <w:r w:rsidRPr="00EA6E00">
        <w:t>Eden, C. and Ackermann, F. (2021). Modelling stakeholder dynamics for supporting group decision and negotiation: Theory to practice. </w:t>
      </w:r>
      <w:r w:rsidRPr="00EA6E00">
        <w:rPr>
          <w:i/>
          <w:iCs/>
        </w:rPr>
        <w:t>Group Decision and Negotiation</w:t>
      </w:r>
      <w:r w:rsidRPr="00EA6E00">
        <w:t>, [online] 30(1), pp.1001–1025. doi:10.1007/s10726-021-09745-y.</w:t>
      </w:r>
    </w:p>
    <w:p w14:paraId="503D551B" w14:textId="77777777" w:rsidR="00EA6E00" w:rsidRDefault="00EA6E00" w:rsidP="00EA6E00"/>
    <w:p w14:paraId="0EF4ED62" w14:textId="797D3E2F" w:rsidR="00EA6E00" w:rsidRDefault="00EA6E00" w:rsidP="00EA6E00">
      <w:pPr>
        <w:pStyle w:val="Listparagraf"/>
        <w:numPr>
          <w:ilvl w:val="0"/>
          <w:numId w:val="5"/>
        </w:numPr>
      </w:pPr>
      <w:r w:rsidRPr="00EA6E00">
        <w:t xml:space="preserve">Equality Act 2010 [online]. Chapter 15. Available from: </w:t>
      </w:r>
      <w:hyperlink r:id="rId12" w:history="1">
        <w:r w:rsidRPr="00FF2737">
          <w:rPr>
            <w:rStyle w:val="Hyperlink"/>
          </w:rPr>
          <w:t>https://www.legislation.gov.uk/ukpga/2010/15/contents</w:t>
        </w:r>
      </w:hyperlink>
      <w:r>
        <w:t xml:space="preserve"> </w:t>
      </w:r>
      <w:r w:rsidRPr="00EA6E00">
        <w:t xml:space="preserve">[Accessed </w:t>
      </w:r>
      <w:r>
        <w:t>16</w:t>
      </w:r>
      <w:r w:rsidRPr="00EA6E00">
        <w:t xml:space="preserve"> August 2026]. </w:t>
      </w:r>
    </w:p>
    <w:p w14:paraId="7AF77A23" w14:textId="77777777" w:rsidR="00EA6E00" w:rsidRPr="00EA6E00" w:rsidRDefault="00EA6E00" w:rsidP="00EA6E00"/>
    <w:p w14:paraId="7235580C" w14:textId="5294BE96" w:rsidR="00EA6E00" w:rsidRPr="00EA6E00" w:rsidRDefault="00EA6E00" w:rsidP="00EA6E00">
      <w:pPr>
        <w:pStyle w:val="Listparagraf"/>
        <w:numPr>
          <w:ilvl w:val="0"/>
          <w:numId w:val="5"/>
        </w:numPr>
      </w:pPr>
      <w:r w:rsidRPr="00EA6E00">
        <w:t>GOV.UK (2024). </w:t>
      </w:r>
      <w:r w:rsidRPr="00EA6E00">
        <w:rPr>
          <w:i/>
          <w:iCs/>
        </w:rPr>
        <w:t>Equality, diversity and inclusion strategy 2020 to 2024</w:t>
      </w:r>
      <w:r w:rsidRPr="00EA6E00">
        <w:t>. [online] </w:t>
      </w:r>
      <w:r w:rsidRPr="00EA6E00">
        <w:rPr>
          <w:i/>
          <w:iCs/>
        </w:rPr>
        <w:t>GOV.UK</w:t>
      </w:r>
      <w:r w:rsidRPr="00EA6E00">
        <w:t xml:space="preserve">. Available at: </w:t>
      </w:r>
      <w:hyperlink r:id="rId13" w:history="1">
        <w:r w:rsidRPr="00FF2737">
          <w:rPr>
            <w:rStyle w:val="Hyperlink"/>
          </w:rPr>
          <w:t>https://www.gov.uk/government/publications/cma-diversity-and-inclusion-strategy-2020-to-2024/equality-diversity-and-inclusion-strategy-2020-to-2024</w:t>
        </w:r>
      </w:hyperlink>
      <w:r>
        <w:t xml:space="preserve"> </w:t>
      </w:r>
      <w:r w:rsidRPr="00EA6E00">
        <w:t>[Accessed 7 Aug. 2026].</w:t>
      </w:r>
    </w:p>
    <w:p w14:paraId="037FABEA" w14:textId="77777777" w:rsidR="00EA6E00" w:rsidRDefault="00EA6E00" w:rsidP="00EA6E00">
      <w:pPr>
        <w:pStyle w:val="Listparagraf"/>
        <w:numPr>
          <w:ilvl w:val="0"/>
          <w:numId w:val="5"/>
        </w:numPr>
      </w:pPr>
      <w:r w:rsidRPr="00EA6E00">
        <w:lastRenderedPageBreak/>
        <w:t xml:space="preserve">Hollmann, S., </w:t>
      </w:r>
      <w:proofErr w:type="spellStart"/>
      <w:r w:rsidRPr="00EA6E00">
        <w:t>Regierer</w:t>
      </w:r>
      <w:proofErr w:type="spellEnd"/>
      <w:r w:rsidRPr="00EA6E00">
        <w:t xml:space="preserve">, B., </w:t>
      </w:r>
      <w:proofErr w:type="spellStart"/>
      <w:r w:rsidRPr="00EA6E00">
        <w:t>Bechis</w:t>
      </w:r>
      <w:proofErr w:type="spellEnd"/>
      <w:r w:rsidRPr="00EA6E00">
        <w:t>, J., Tobin, L. and D’Elia, D. (2022). Ten simple rules on how to develop a stakeholder engagement plan. </w:t>
      </w:r>
      <w:r w:rsidRPr="00EA6E00">
        <w:rPr>
          <w:i/>
          <w:iCs/>
        </w:rPr>
        <w:t>PLOS Computational Biology</w:t>
      </w:r>
      <w:r w:rsidRPr="00EA6E00">
        <w:t>, [online] 18(10). doi:10.1371/journal.pcbi.1010520.</w:t>
      </w:r>
    </w:p>
    <w:p w14:paraId="1E5C61B8" w14:textId="77777777" w:rsidR="00EA6E00" w:rsidRPr="00EA6E00" w:rsidRDefault="00EA6E00" w:rsidP="00EA6E00">
      <w:pPr>
        <w:pStyle w:val="Listparagraf"/>
        <w:ind w:left="1080"/>
      </w:pPr>
    </w:p>
    <w:p w14:paraId="53F2E4AE" w14:textId="77777777" w:rsidR="00EA6E00" w:rsidRDefault="00EA6E00" w:rsidP="00EA6E00">
      <w:pPr>
        <w:pStyle w:val="Listparagraf"/>
        <w:numPr>
          <w:ilvl w:val="0"/>
          <w:numId w:val="5"/>
        </w:numPr>
      </w:pPr>
      <w:r w:rsidRPr="00EA6E00">
        <w:t>Kaptein, M. (2025). Stakeholder ethics: Defining the ethical responsibilities of stakeholders to and for companies</w:t>
      </w:r>
      <w:r w:rsidRPr="00EA6E00">
        <w:rPr>
          <w:vertAlign w:val="superscript"/>
        </w:rPr>
        <w:t>1</w:t>
      </w:r>
      <w:r w:rsidRPr="00EA6E00">
        <w:t>. </w:t>
      </w:r>
      <w:r w:rsidRPr="00EA6E00">
        <w:rPr>
          <w:i/>
          <w:iCs/>
        </w:rPr>
        <w:t>Business and Society Review</w:t>
      </w:r>
      <w:r w:rsidRPr="00EA6E00">
        <w:t>, 130(2), pp.209–232. doi:10.1111/basr.70010.</w:t>
      </w:r>
    </w:p>
    <w:p w14:paraId="5C01956F" w14:textId="77777777" w:rsidR="00EA6E00" w:rsidRPr="00EA6E00" w:rsidRDefault="00EA6E00" w:rsidP="00EA6E00"/>
    <w:p w14:paraId="283BDBA7" w14:textId="77777777" w:rsidR="00EA6E00" w:rsidRDefault="00EA6E00" w:rsidP="00EA6E00">
      <w:pPr>
        <w:pStyle w:val="Listparagraf"/>
        <w:numPr>
          <w:ilvl w:val="0"/>
          <w:numId w:val="5"/>
        </w:numPr>
      </w:pPr>
      <w:r w:rsidRPr="00EA6E00">
        <w:t>Limani, E., Hajdari, L., Limani, B. and Krasniqi, J. (2024). Enhancing stakeholder engagement: Using the communication perspective to identify and enhance stakeholder communication in place management. </w:t>
      </w:r>
      <w:r w:rsidRPr="00EA6E00">
        <w:rPr>
          <w:i/>
          <w:iCs/>
        </w:rPr>
        <w:t>Cogent Business &amp; Management</w:t>
      </w:r>
      <w:r w:rsidRPr="00EA6E00">
        <w:t>, [online] 11(1). doi:10.1080/23311975.2024.2383322.</w:t>
      </w:r>
    </w:p>
    <w:p w14:paraId="3565920D" w14:textId="77777777" w:rsidR="00EA6E00" w:rsidRPr="00EA6E00" w:rsidRDefault="00EA6E00" w:rsidP="00EA6E00"/>
    <w:p w14:paraId="1B66537D" w14:textId="7241B29D" w:rsidR="00EA6E00" w:rsidRDefault="00EA6E00" w:rsidP="00EA6E00">
      <w:pPr>
        <w:pStyle w:val="Listparagraf"/>
        <w:numPr>
          <w:ilvl w:val="0"/>
          <w:numId w:val="5"/>
        </w:numPr>
      </w:pPr>
      <w:r w:rsidRPr="00EA6E00">
        <w:t>Local Government Association (2022). </w:t>
      </w:r>
      <w:r w:rsidRPr="00EA6E00">
        <w:rPr>
          <w:i/>
          <w:iCs/>
        </w:rPr>
        <w:t>Harnessing culture and sport to deliver social prescribing and improve health outcomes | local government association</w:t>
      </w:r>
      <w:r w:rsidRPr="00EA6E00">
        <w:t>. [online] </w:t>
      </w:r>
      <w:r w:rsidRPr="00EA6E00">
        <w:rPr>
          <w:i/>
          <w:iCs/>
        </w:rPr>
        <w:t>www.local.gov.uk</w:t>
      </w:r>
      <w:r w:rsidRPr="00EA6E00">
        <w:t xml:space="preserve">. Available at: </w:t>
      </w:r>
      <w:hyperlink r:id="rId14" w:history="1">
        <w:r w:rsidRPr="00FF2737">
          <w:rPr>
            <w:rStyle w:val="Hyperlink"/>
          </w:rPr>
          <w:t>https://www.local.gov.uk/publications/harnessing-culture-and-sport-deliver-social-prescribing-and-improve-health-outcomes</w:t>
        </w:r>
      </w:hyperlink>
      <w:r>
        <w:t xml:space="preserve"> </w:t>
      </w:r>
      <w:r w:rsidRPr="00EA6E00">
        <w:t>[Accessed 5 Aug. 2026].</w:t>
      </w:r>
    </w:p>
    <w:p w14:paraId="67AB9F99" w14:textId="77777777" w:rsidR="00EA6E00" w:rsidRPr="00EA6E00" w:rsidRDefault="00EA6E00" w:rsidP="00EA6E00"/>
    <w:p w14:paraId="3F9D9044" w14:textId="36A2C2EF" w:rsidR="00EA6E00" w:rsidRPr="00EA6E00" w:rsidRDefault="00EA6E00" w:rsidP="00EA6E00">
      <w:pPr>
        <w:pStyle w:val="Listparagraf"/>
        <w:numPr>
          <w:ilvl w:val="0"/>
          <w:numId w:val="5"/>
        </w:numPr>
      </w:pPr>
      <w:r w:rsidRPr="00EA6E00">
        <w:t>Rankl, F. (2026). </w:t>
      </w:r>
      <w:r w:rsidRPr="00EA6E00">
        <w:rPr>
          <w:i/>
          <w:iCs/>
        </w:rPr>
        <w:t>Overview of the planning system (England)</w:t>
      </w:r>
      <w:r w:rsidRPr="00EA6E00">
        <w:t>. [online] </w:t>
      </w:r>
      <w:r w:rsidRPr="00EA6E00">
        <w:rPr>
          <w:i/>
          <w:iCs/>
        </w:rPr>
        <w:t>House of Commons Library</w:t>
      </w:r>
      <w:r w:rsidRPr="00EA6E00">
        <w:t xml:space="preserve">. Available at: </w:t>
      </w:r>
      <w:hyperlink r:id="rId15" w:history="1">
        <w:r w:rsidRPr="00FF2737">
          <w:rPr>
            <w:rStyle w:val="Hyperlink"/>
          </w:rPr>
          <w:t>https://commonslibrary.parliament.uk/research-briefings/CBP-10752/</w:t>
        </w:r>
      </w:hyperlink>
      <w:r>
        <w:t xml:space="preserve"> </w:t>
      </w:r>
      <w:r w:rsidRPr="00EA6E00">
        <w:t>[Accessed 2 Aug. 2026].</w:t>
      </w:r>
    </w:p>
    <w:p w14:paraId="500FDE46" w14:textId="77777777" w:rsidR="00EA6E00" w:rsidRPr="00BF07DD" w:rsidRDefault="00EA6E00" w:rsidP="00BF07DD"/>
    <w:sectPr w:rsidR="00EA6E00" w:rsidRPr="00BF07DD">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E23A0D" w14:textId="77777777" w:rsidR="0043227D" w:rsidRDefault="0043227D" w:rsidP="00220BBD">
      <w:r>
        <w:separator/>
      </w:r>
    </w:p>
  </w:endnote>
  <w:endnote w:type="continuationSeparator" w:id="0">
    <w:p w14:paraId="3BE39E09" w14:textId="77777777" w:rsidR="0043227D" w:rsidRDefault="0043227D" w:rsidP="00220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95B3A9" w14:textId="77777777" w:rsidR="003550EC" w:rsidRDefault="003550E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78626621"/>
      <w:docPartObj>
        <w:docPartGallery w:val="Page Numbers (Bottom of Page)"/>
        <w:docPartUnique/>
      </w:docPartObj>
    </w:sdtPr>
    <w:sdtEndPr>
      <w:rPr>
        <w:noProof/>
      </w:rPr>
    </w:sdtEndPr>
    <w:sdtContent>
      <w:p w14:paraId="201F35A5" w14:textId="2767DF30" w:rsidR="00BF07DD" w:rsidRDefault="00BF07DD">
        <w:pPr>
          <w:pStyle w:val="Subsol"/>
        </w:pPr>
        <w:r>
          <w:fldChar w:fldCharType="begin"/>
        </w:r>
        <w:r>
          <w:instrText xml:space="preserve"> PAGE   \* MERGEFORMAT </w:instrText>
        </w:r>
        <w:r>
          <w:fldChar w:fldCharType="separate"/>
        </w:r>
        <w:r>
          <w:rPr>
            <w:noProof/>
          </w:rPr>
          <w:t>2</w:t>
        </w:r>
        <w:r>
          <w:rPr>
            <w:noProof/>
          </w:rPr>
          <w:fldChar w:fldCharType="end"/>
        </w:r>
      </w:p>
    </w:sdtContent>
  </w:sdt>
  <w:p w14:paraId="70E5B5F5" w14:textId="77777777" w:rsidR="00220BBD" w:rsidRDefault="00220BBD">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F1F698" w14:textId="77777777" w:rsidR="003550EC" w:rsidRDefault="003550E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493731" w14:textId="77777777" w:rsidR="0043227D" w:rsidRDefault="0043227D" w:rsidP="00220BBD">
      <w:r>
        <w:separator/>
      </w:r>
    </w:p>
  </w:footnote>
  <w:footnote w:type="continuationSeparator" w:id="0">
    <w:p w14:paraId="6E76231D" w14:textId="77777777" w:rsidR="0043227D" w:rsidRDefault="0043227D" w:rsidP="00220B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1DA5786" w14:textId="77777777" w:rsidR="003550EC" w:rsidRDefault="003550E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80F0BE" w14:textId="49459D13" w:rsidR="00BF07DD" w:rsidRDefault="00BF07DD">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FCCE5F" w14:textId="77777777" w:rsidR="003550EC" w:rsidRDefault="003550E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230D66"/>
    <w:multiLevelType w:val="hybridMultilevel"/>
    <w:tmpl w:val="3BB0398E"/>
    <w:lvl w:ilvl="0" w:tplc="2C5EA0E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567755"/>
    <w:multiLevelType w:val="hybridMultilevel"/>
    <w:tmpl w:val="8DF6BDEC"/>
    <w:lvl w:ilvl="0" w:tplc="76F05A0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012395"/>
    <w:multiLevelType w:val="hybridMultilevel"/>
    <w:tmpl w:val="A3A0D1DC"/>
    <w:lvl w:ilvl="0" w:tplc="1D04799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E72782"/>
    <w:multiLevelType w:val="hybridMultilevel"/>
    <w:tmpl w:val="3BB0398E"/>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0843C8C"/>
    <w:multiLevelType w:val="hybridMultilevel"/>
    <w:tmpl w:val="F46EAC70"/>
    <w:lvl w:ilvl="0" w:tplc="04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87979907">
    <w:abstractNumId w:val="1"/>
  </w:num>
  <w:num w:numId="2" w16cid:durableId="1747142771">
    <w:abstractNumId w:val="0"/>
  </w:num>
  <w:num w:numId="3" w16cid:durableId="91556090">
    <w:abstractNumId w:val="2"/>
  </w:num>
  <w:num w:numId="4" w16cid:durableId="1894464916">
    <w:abstractNumId w:val="3"/>
  </w:num>
  <w:num w:numId="5" w16cid:durableId="13579243">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1B9"/>
    <w:rsid w:val="00220BBD"/>
    <w:rsid w:val="003550EC"/>
    <w:rsid w:val="003C374C"/>
    <w:rsid w:val="0043227D"/>
    <w:rsid w:val="004546AC"/>
    <w:rsid w:val="00631AC2"/>
    <w:rsid w:val="00BF07DD"/>
    <w:rsid w:val="00C3325A"/>
    <w:rsid w:val="00C42AAA"/>
    <w:rsid w:val="00D21752"/>
    <w:rsid w:val="00E721B9"/>
    <w:rsid w:val="00EA6E00"/>
    <w:rsid w:val="00F104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FDF3D"/>
  <w15:docId w15:val="{C5225EB4-F771-4FD3-80EA-2B4F36FD4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Titlu1">
    <w:name w:val="heading 1"/>
    <w:basedOn w:val="Normal"/>
    <w:next w:val="Normal"/>
    <w:link w:val="Titlu1Caracter"/>
    <w:uiPriority w:val="9"/>
    <w:qFormat/>
    <w:rsid w:val="00506D7A"/>
    <w:pPr>
      <w:keepNext/>
      <w:keepLines/>
      <w:spacing w:before="240"/>
      <w:outlineLvl w:val="0"/>
    </w:pPr>
    <w:rPr>
      <w:b/>
      <w:bCs/>
      <w:color w:val="2F5496"/>
      <w:kern w:val="36"/>
      <w:sz w:val="48"/>
      <w:szCs w:val="48"/>
    </w:rPr>
  </w:style>
  <w:style w:type="paragraph" w:styleId="Titlu2">
    <w:name w:val="heading 2"/>
    <w:basedOn w:val="Normal"/>
    <w:next w:val="Normal"/>
    <w:link w:val="Titlu2Caracter"/>
    <w:uiPriority w:val="9"/>
    <w:qFormat/>
    <w:rsid w:val="00506D7A"/>
    <w:pPr>
      <w:keepNext/>
      <w:keepLines/>
      <w:spacing w:before="40"/>
      <w:outlineLvl w:val="1"/>
    </w:pPr>
    <w:rPr>
      <w:b/>
      <w:bCs/>
      <w:color w:val="2F5496"/>
      <w:sz w:val="36"/>
      <w:szCs w:val="36"/>
    </w:rPr>
  </w:style>
  <w:style w:type="paragraph" w:styleId="Titlu3">
    <w:name w:val="heading 3"/>
    <w:basedOn w:val="Normal"/>
    <w:next w:val="Normal"/>
    <w:link w:val="Titlu3Caracter"/>
    <w:uiPriority w:val="9"/>
    <w:qFormat/>
    <w:rsid w:val="00506D7A"/>
    <w:pPr>
      <w:keepNext/>
      <w:keepLines/>
      <w:spacing w:before="40"/>
      <w:outlineLvl w:val="2"/>
    </w:pPr>
    <w:rPr>
      <w:b/>
      <w:bCs/>
      <w:color w:val="1F3763"/>
      <w:sz w:val="28"/>
      <w:szCs w:val="28"/>
    </w:rPr>
  </w:style>
  <w:style w:type="paragraph" w:styleId="Titlu4">
    <w:name w:val="heading 4"/>
    <w:basedOn w:val="Normal"/>
    <w:next w:val="Normal"/>
    <w:link w:val="Titlu4Caracter"/>
    <w:uiPriority w:val="9"/>
    <w:qFormat/>
    <w:rsid w:val="00506D7A"/>
    <w:pPr>
      <w:keepNext/>
      <w:keepLines/>
      <w:spacing w:before="40"/>
      <w:outlineLvl w:val="3"/>
    </w:pPr>
    <w:rPr>
      <w:b/>
      <w:bCs/>
      <w:iCs/>
      <w:color w:val="2F5496"/>
    </w:rPr>
  </w:style>
  <w:style w:type="paragraph" w:styleId="Titlu5">
    <w:name w:val="heading 5"/>
    <w:basedOn w:val="Normal"/>
    <w:next w:val="Normal"/>
    <w:link w:val="Titlu5Caracter"/>
    <w:uiPriority w:val="9"/>
    <w:qFormat/>
    <w:rsid w:val="00506D7A"/>
    <w:pPr>
      <w:keepNext/>
      <w:keepLines/>
      <w:spacing w:before="40"/>
      <w:outlineLvl w:val="4"/>
    </w:pPr>
    <w:rPr>
      <w:b/>
      <w:bCs/>
      <w:color w:val="2F5496"/>
      <w:sz w:val="20"/>
      <w:szCs w:val="20"/>
    </w:rPr>
  </w:style>
  <w:style w:type="paragraph" w:styleId="Titlu6">
    <w:name w:val="heading 6"/>
    <w:basedOn w:val="Normal"/>
    <w:next w:val="Normal"/>
    <w:link w:val="Titlu6Caracter"/>
    <w:uiPriority w:val="9"/>
    <w:qFormat/>
    <w:rsid w:val="00506D7A"/>
    <w:pPr>
      <w:keepNext/>
      <w:keepLines/>
      <w:spacing w:before="40"/>
      <w:outlineLvl w:val="5"/>
    </w:pPr>
    <w:rPr>
      <w:b/>
      <w:bCs/>
      <w:color w:val="1F3763"/>
      <w:sz w:val="16"/>
      <w:szCs w:val="1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06D7A"/>
    <w:rPr>
      <w:rFonts w:ascii="Calibri Light" w:eastAsia="Times New Roman" w:hAnsi="Calibri Light" w:cs="Times New Roman"/>
      <w:color w:val="2F5496"/>
      <w:sz w:val="32"/>
      <w:szCs w:val="32"/>
    </w:rPr>
  </w:style>
  <w:style w:type="character" w:customStyle="1" w:styleId="Titlu2Caracter">
    <w:name w:val="Titlu 2 Caracter"/>
    <w:basedOn w:val="Fontdeparagrafimplicit"/>
    <w:link w:val="Titlu2"/>
    <w:uiPriority w:val="9"/>
    <w:rsid w:val="00506D7A"/>
    <w:rPr>
      <w:rFonts w:ascii="Calibri Light" w:eastAsia="Times New Roman" w:hAnsi="Calibri Light" w:cs="Times New Roman"/>
      <w:color w:val="2F5496"/>
      <w:sz w:val="26"/>
      <w:szCs w:val="26"/>
    </w:rPr>
  </w:style>
  <w:style w:type="character" w:customStyle="1" w:styleId="Titlu3Caracter">
    <w:name w:val="Titlu 3 Caracter"/>
    <w:basedOn w:val="Fontdeparagrafimplicit"/>
    <w:link w:val="Titlu3"/>
    <w:uiPriority w:val="9"/>
    <w:rsid w:val="00506D7A"/>
    <w:rPr>
      <w:rFonts w:ascii="Calibri Light" w:eastAsia="Times New Roman" w:hAnsi="Calibri Light" w:cs="Times New Roman"/>
      <w:color w:val="1F3763"/>
      <w:sz w:val="24"/>
      <w:szCs w:val="24"/>
    </w:rPr>
  </w:style>
  <w:style w:type="character" w:customStyle="1" w:styleId="Titlu4Caracter">
    <w:name w:val="Titlu 4 Caracter"/>
    <w:basedOn w:val="Fontdeparagrafimplicit"/>
    <w:link w:val="Titlu4"/>
    <w:uiPriority w:val="9"/>
    <w:rsid w:val="00506D7A"/>
    <w:rPr>
      <w:rFonts w:ascii="Calibri Light" w:eastAsia="Times New Roman" w:hAnsi="Calibri Light" w:cs="Times New Roman"/>
      <w:i/>
      <w:iCs/>
      <w:color w:val="2F5496"/>
    </w:rPr>
  </w:style>
  <w:style w:type="character" w:customStyle="1" w:styleId="Titlu5Caracter">
    <w:name w:val="Titlu 5 Caracter"/>
    <w:basedOn w:val="Fontdeparagrafimplicit"/>
    <w:link w:val="Titlu5"/>
    <w:uiPriority w:val="9"/>
    <w:rsid w:val="00506D7A"/>
    <w:rPr>
      <w:rFonts w:ascii="Calibri Light" w:eastAsia="Times New Roman" w:hAnsi="Calibri Light" w:cs="Times New Roman"/>
      <w:color w:val="2F5496"/>
    </w:rPr>
  </w:style>
  <w:style w:type="character" w:customStyle="1" w:styleId="Titlu6Caracter">
    <w:name w:val="Titlu 6 Caracter"/>
    <w:basedOn w:val="Fontdeparagrafimplicit"/>
    <w:link w:val="Titlu6"/>
    <w:uiPriority w:val="9"/>
    <w:rsid w:val="00506D7A"/>
    <w:rPr>
      <w:rFonts w:ascii="Calibri Light" w:eastAsia="Times New Roman" w:hAnsi="Calibri Light" w:cs="Times New Roman"/>
      <w:color w:val="1F3763"/>
    </w:rPr>
  </w:style>
  <w:style w:type="paragraph" w:styleId="Listparagraf">
    <w:name w:val="List Paragraph"/>
    <w:basedOn w:val="Normal"/>
    <w:uiPriority w:val="34"/>
    <w:qFormat/>
    <w:rsid w:val="00220BBD"/>
    <w:pPr>
      <w:ind w:left="720"/>
      <w:contextualSpacing/>
    </w:pPr>
  </w:style>
  <w:style w:type="table" w:styleId="Tabelgril">
    <w:name w:val="Table Grid"/>
    <w:basedOn w:val="TabelNormal"/>
    <w:uiPriority w:val="59"/>
    <w:rsid w:val="00220B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2">
    <w:name w:val="Grid Table 4 Accent 2"/>
    <w:basedOn w:val="TabelNormal"/>
    <w:uiPriority w:val="49"/>
    <w:rsid w:val="00220BBD"/>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Tabellist3-Accentuare2">
    <w:name w:val="List Table 3 Accent 2"/>
    <w:basedOn w:val="TabelNormal"/>
    <w:uiPriority w:val="48"/>
    <w:rsid w:val="00220BBD"/>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paragraph" w:styleId="Antet">
    <w:name w:val="header"/>
    <w:basedOn w:val="Normal"/>
    <w:link w:val="AntetCaracter"/>
    <w:uiPriority w:val="99"/>
    <w:unhideWhenUsed/>
    <w:rsid w:val="00220BBD"/>
    <w:pPr>
      <w:tabs>
        <w:tab w:val="center" w:pos="4680"/>
        <w:tab w:val="right" w:pos="9360"/>
      </w:tabs>
    </w:pPr>
  </w:style>
  <w:style w:type="character" w:customStyle="1" w:styleId="AntetCaracter">
    <w:name w:val="Antet Caracter"/>
    <w:basedOn w:val="Fontdeparagrafimplicit"/>
    <w:link w:val="Antet"/>
    <w:uiPriority w:val="99"/>
    <w:rsid w:val="00220BBD"/>
    <w:rPr>
      <w:sz w:val="24"/>
      <w:szCs w:val="24"/>
    </w:rPr>
  </w:style>
  <w:style w:type="paragraph" w:styleId="Subsol">
    <w:name w:val="footer"/>
    <w:basedOn w:val="Normal"/>
    <w:link w:val="SubsolCaracter"/>
    <w:uiPriority w:val="99"/>
    <w:unhideWhenUsed/>
    <w:rsid w:val="00220BBD"/>
    <w:pPr>
      <w:tabs>
        <w:tab w:val="center" w:pos="4680"/>
        <w:tab w:val="right" w:pos="9360"/>
      </w:tabs>
    </w:pPr>
  </w:style>
  <w:style w:type="character" w:customStyle="1" w:styleId="SubsolCaracter">
    <w:name w:val="Subsol Caracter"/>
    <w:basedOn w:val="Fontdeparagrafimplicit"/>
    <w:link w:val="Subsol"/>
    <w:uiPriority w:val="99"/>
    <w:rsid w:val="00220BBD"/>
    <w:rPr>
      <w:sz w:val="24"/>
      <w:szCs w:val="24"/>
    </w:rPr>
  </w:style>
  <w:style w:type="paragraph" w:styleId="Titlucuprins">
    <w:name w:val="TOC Heading"/>
    <w:basedOn w:val="Titlu1"/>
    <w:next w:val="Normal"/>
    <w:uiPriority w:val="39"/>
    <w:unhideWhenUsed/>
    <w:qFormat/>
    <w:rsid w:val="00BF07DD"/>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Cuprins2">
    <w:name w:val="toc 2"/>
    <w:basedOn w:val="Normal"/>
    <w:next w:val="Normal"/>
    <w:autoRedefine/>
    <w:uiPriority w:val="39"/>
    <w:unhideWhenUsed/>
    <w:rsid w:val="00BF07DD"/>
    <w:pPr>
      <w:spacing w:after="100"/>
      <w:ind w:left="240"/>
    </w:pPr>
  </w:style>
  <w:style w:type="paragraph" w:styleId="Cuprins3">
    <w:name w:val="toc 3"/>
    <w:basedOn w:val="Normal"/>
    <w:next w:val="Normal"/>
    <w:autoRedefine/>
    <w:uiPriority w:val="39"/>
    <w:unhideWhenUsed/>
    <w:rsid w:val="00BF07DD"/>
    <w:pPr>
      <w:spacing w:after="100"/>
      <w:ind w:left="480"/>
    </w:pPr>
  </w:style>
  <w:style w:type="character" w:styleId="Hyperlink">
    <w:name w:val="Hyperlink"/>
    <w:basedOn w:val="Fontdeparagrafimplicit"/>
    <w:uiPriority w:val="99"/>
    <w:unhideWhenUsed/>
    <w:rsid w:val="00BF07DD"/>
    <w:rPr>
      <w:color w:val="0000FF" w:themeColor="hyperlink"/>
      <w:u w:val="single"/>
    </w:rPr>
  </w:style>
  <w:style w:type="paragraph" w:styleId="Titlu">
    <w:name w:val="Title"/>
    <w:basedOn w:val="Normal"/>
    <w:next w:val="Normal"/>
    <w:link w:val="TitluCaracter"/>
    <w:uiPriority w:val="10"/>
    <w:qFormat/>
    <w:rsid w:val="00BF07DD"/>
    <w:pPr>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F07DD"/>
    <w:rPr>
      <w:rFonts w:asciiTheme="majorHAnsi" w:eastAsiaTheme="majorEastAsia" w:hAnsiTheme="majorHAnsi" w:cstheme="majorBidi"/>
      <w:spacing w:val="-10"/>
      <w:kern w:val="28"/>
      <w:sz w:val="56"/>
      <w:szCs w:val="56"/>
    </w:rPr>
  </w:style>
  <w:style w:type="character" w:styleId="MeniuneNerezolvat">
    <w:name w:val="Unresolved Mention"/>
    <w:basedOn w:val="Fontdeparagrafimplicit"/>
    <w:uiPriority w:val="99"/>
    <w:semiHidden/>
    <w:unhideWhenUsed/>
    <w:rsid w:val="00EA6E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cma-diversity-and-inclusion-strategy-2020-to-2024/equality-diversity-and-inclusion-strategy-2020-to-2024"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p.lse.ac.uk/_NEW/publications/abstract.asp?index=10574"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CBP-10752/" TargetMode="External"/><Relationship Id="rId23" Type="http://schemas.openxmlformats.org/officeDocument/2006/relationships/theme" Target="theme/theme1.xml"/><Relationship Id="rId10" Type="http://schemas.openxmlformats.org/officeDocument/2006/relationships/hyperlink" Target="https://www.bhf.org.uk/what-we-do/news-from-the-bhf/news-archive/2017/april/new-report-assesses-impact-of-physical-inactivity-on-uk-heart-health-and-economy"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ocal.gov.uk/publications/harnessing-culture-and-sport-deliver-social-prescribing-and-improve-health-outcom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305F2-1E67-4016-A498-D51CE298B4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3247</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Mihaela Alexe (2513664)</dc:creator>
  <cp:lastModifiedBy>Alexandra-Mihaela Alexe (2513664)</cp:lastModifiedBy>
  <cp:revision>5</cp:revision>
  <dcterms:created xsi:type="dcterms:W3CDTF">2026-08-20T11:30:00Z</dcterms:created>
  <dcterms:modified xsi:type="dcterms:W3CDTF">2026-08-21T06:36:00Z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2d06ee3f-85b5-4f4f-b6b7-e3bd57fff75f</vt:lpwstr>
  </property>
</Properties>
</file>