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1776A" w14:textId="40529B0E" w:rsidR="006D6CC7" w:rsidRPr="004420CD" w:rsidRDefault="006D6CC7" w:rsidP="006D6CC7">
      <w:pPr>
        <w:jc w:val="center"/>
        <w:rPr>
          <w:b/>
          <w:bCs/>
        </w:rPr>
      </w:pPr>
      <w:r>
        <w:rPr>
          <w:b/>
          <w:bCs/>
        </w:rPr>
        <w:t xml:space="preserve">Essay 1: </w:t>
      </w:r>
      <w:r w:rsidRPr="004420CD">
        <w:rPr>
          <w:b/>
          <w:bCs/>
        </w:rPr>
        <w:t>Assess the impact that cultural diversity has had on policing practice (e.g. neighbourhood policing) and professional policies and standards (PACE, Code of Ethics).</w:t>
      </w:r>
    </w:p>
    <w:p w14:paraId="579ED9AD" w14:textId="77777777" w:rsidR="006D6CC7" w:rsidRDefault="006D6CC7" w:rsidP="006D6CC7"/>
    <w:p w14:paraId="04119639" w14:textId="77777777" w:rsidR="006D6CC7" w:rsidRDefault="006D6CC7" w:rsidP="006D6CC7">
      <w:pPr>
        <w:spacing w:line="360" w:lineRule="auto"/>
        <w:jc w:val="both"/>
      </w:pPr>
      <w:r>
        <w:t xml:space="preserve">The United Kingdom consists of villages, towns, and cities of many different cultures, creating diverse community’s and making it a multi-cultural country. Due to the UK becoming more multi-cultural, policing in the UK has had to adapt to the ever-growing diverse communities for example, gender, race, ethnicity, age, sexual orientation, and disability. Understanding and respecting cultural diversity is essential to ensure good policing practice. Brown (2020) stated, that by understanding the various cultures in multiethnicity and multicultural communities, police agencies can become more effective. Developing this understanding of our multi-cultural communities and enhancing cultural competence may assist in identifying how police can best address policing problems in their communities. This in turn would also increase public trust in police abilities to assist and protect communities. </w:t>
      </w:r>
    </w:p>
    <w:p w14:paraId="31BCAA0D" w14:textId="77777777" w:rsidR="006D6CC7" w:rsidRDefault="006D6CC7" w:rsidP="006D6CC7">
      <w:pPr>
        <w:spacing w:line="360" w:lineRule="auto"/>
        <w:jc w:val="both"/>
      </w:pPr>
      <w:r>
        <w:t xml:space="preserve">Policing diverse communities can be challenging for the police force in ensuring that communities feel understood protected and supported. The Police can also face personal challenges due to lack of understanding and confidence. </w:t>
      </w:r>
      <w:proofErr w:type="spellStart"/>
      <w:r>
        <w:t>DeGeneste</w:t>
      </w:r>
      <w:proofErr w:type="spellEnd"/>
      <w:r>
        <w:t xml:space="preserve"> and Sullivan (1997) stated it is key that measures are implemented to address multicultural issues in the communities they serve, for example developing and maintain language skills, developing an understanding of cultural issues. This will enable police forces to create and maintain trust and rapport with their communities. </w:t>
      </w:r>
    </w:p>
    <w:p w14:paraId="2DD4880B" w14:textId="77777777" w:rsidR="006D6CC7" w:rsidRDefault="006D6CC7" w:rsidP="006D6CC7">
      <w:pPr>
        <w:spacing w:line="360" w:lineRule="auto"/>
        <w:jc w:val="both"/>
      </w:pPr>
      <w:r w:rsidRPr="00E1453C">
        <w:t xml:space="preserve">Following the Brixton riots 1981 a public enquiry into the riot was held. The Police and Criminal Evidence Act 1984 (PACE) created a code of practice for police behaviour and that there was need for accountability by the police in such circumstances to ensure their power was executed appropriately. </w:t>
      </w:r>
      <w:r>
        <w:t xml:space="preserve">Incorporating with the Police and Criminal Evidence act 1984 The Code of Ethics was introduced in 2014. College of Policing (2014) ensured that The Code of Ethics sets and defines the exemplary standards of behaviour for everyone who works in policing. It is a supportive, positive, everyday decision-making framework. It is intended to encourage personal responsibility and the exercise of professional judgement; empowering everyone in policing to ensure they always do the right thing. </w:t>
      </w:r>
    </w:p>
    <w:p w14:paraId="4D73E73C" w14:textId="77777777" w:rsidR="006D6CC7" w:rsidRDefault="006D6CC7" w:rsidP="006D6CC7">
      <w:pPr>
        <w:spacing w:line="360" w:lineRule="auto"/>
        <w:jc w:val="both"/>
      </w:pPr>
      <w:r>
        <w:t xml:space="preserve">There is a lack of police trust within the diverse communities, this is well founded and documented in many events in police history. An example of this would be the murder of Stephen Lawerence. During this trial police force were described by Shaw (2019) as “Marred by a combination of professional incompetence, institutional racism and a failure of leadership".  The </w:t>
      </w:r>
      <w:r>
        <w:lastRenderedPageBreak/>
        <w:t xml:space="preserve">findings in the 350-page report, particularly the charge of institutional racism (as the police force at that time being predominantly made of white British males) has had a profound effect on the culture, operations and practices of the Metropolitan Police Service, other forces across England and Wales and the wider criminal justice system.  An awareness of the notion of diversity in the force recognized that the provision of a service designed </w:t>
      </w:r>
      <w:proofErr w:type="spellStart"/>
      <w:r>
        <w:t>fir</w:t>
      </w:r>
      <w:proofErr w:type="spellEnd"/>
      <w:r>
        <w:t xml:space="preserve"> the white majority ethnic population was no longer effective. The image of the Police for has changed and diversity initiatives focused on Race Relation Awareness and community and race relations awareness have been implemented (</w:t>
      </w:r>
      <w:proofErr w:type="spellStart"/>
      <w:r>
        <w:t>Bhugowandeen</w:t>
      </w:r>
      <w:proofErr w:type="spellEnd"/>
      <w:r>
        <w:t>, 2013).</w:t>
      </w:r>
    </w:p>
    <w:p w14:paraId="727ACF72" w14:textId="77777777" w:rsidR="006D6CC7" w:rsidRDefault="006D6CC7" w:rsidP="006D6CC7">
      <w:pPr>
        <w:spacing w:line="360" w:lineRule="auto"/>
        <w:jc w:val="both"/>
      </w:pPr>
      <w:r>
        <w:t>Understanding cultural differences and respecting cultural norms is now an essential part of the policing role. There is a wide range of staff associations and staff working groups to provide advice and support and help promote diversity and equality within the police force.  To bridge the gap between police and the communities, The Police Reform Act (2002) saw the introduction of Police Community</w:t>
      </w:r>
      <w:r w:rsidRPr="003862B0">
        <w:t xml:space="preserve"> Support Officers (PCSOs) delivering neighbourhood </w:t>
      </w:r>
      <w:r>
        <w:t>policing. This alongside Neighbourhood policing Teams (NPT) ensure police presence was accessible for communities. South Wales Police (2022) stated that implementing PCSO support across communities focuses on communication ensuring the feeling of safety and encouraging confidence in the police. Innes, Roberts, Lowe and Innes (2020) stated that neighbourhood policing has been one of the most important innovations in Policing in the United Kingdom. The PCSOs high visibility patrol clearly allows them to contribute. Furthermore, with building community relations, PCSOs are in a better position to gather intelligence from within the community. NPT or PCSO’S are readily available and offer more access to the police as stated by South Wales Police (2021). South Wales Police are currently running a scheme called “South Wales listens” which invites local communities to take part in surveys to tell your local neighbourhood policing team concerns in your local community this also offers individuals the opportunity to have their say on issues they feel are important to them within their communities and enabling individuals to send direct messages to their local PCSO and Neighbourhood policing team.</w:t>
      </w:r>
    </w:p>
    <w:p w14:paraId="6C7542C5" w14:textId="77777777" w:rsidR="006D6CC7" w:rsidRDefault="006D6CC7" w:rsidP="006D6CC7">
      <w:pPr>
        <w:spacing w:line="360" w:lineRule="auto"/>
        <w:jc w:val="both"/>
      </w:pPr>
      <w:r>
        <w:t>Ethnic minority staff often start with an advantage when dealing with ethnic minority communities which could suggest that the perceived absence of racism or improved language skills shared cultural experiences can be used to improve community relations (</w:t>
      </w:r>
      <w:proofErr w:type="spellStart"/>
      <w:r>
        <w:t>Bhugowandeen</w:t>
      </w:r>
      <w:proofErr w:type="spellEnd"/>
      <w:r>
        <w:t xml:space="preserve">, 2013). South Wales Police </w:t>
      </w:r>
      <w:r w:rsidRPr="00E45B3D">
        <w:t>adopted The Positive Action Campaign with</w:t>
      </w:r>
      <w:r>
        <w:t xml:space="preserve"> the aim to </w:t>
      </w:r>
      <w:r w:rsidRPr="00B8765B">
        <w:t xml:space="preserve">attract, recruit, support and promote talented individuals who represent the diverse communities </w:t>
      </w:r>
      <w:r>
        <w:t xml:space="preserve">to ensure a fully inclusive work force. </w:t>
      </w:r>
    </w:p>
    <w:p w14:paraId="698F713B" w14:textId="77777777" w:rsidR="006D6CC7" w:rsidRDefault="006D6CC7" w:rsidP="006D6CC7">
      <w:pPr>
        <w:spacing w:line="360" w:lineRule="auto"/>
        <w:jc w:val="both"/>
      </w:pPr>
      <w:r>
        <w:lastRenderedPageBreak/>
        <w:t xml:space="preserve">To conclude, </w:t>
      </w:r>
      <w:r w:rsidRPr="001F5414">
        <w:t>cultural diversity has had</w:t>
      </w:r>
      <w:r>
        <w:t xml:space="preserve"> a significant impact</w:t>
      </w:r>
      <w:r w:rsidRPr="001F5414">
        <w:t xml:space="preserve"> on policing practice</w:t>
      </w:r>
      <w:r>
        <w:t xml:space="preserve"> </w:t>
      </w:r>
      <w:r w:rsidRPr="001F5414">
        <w:t>and professional policies and standards</w:t>
      </w:r>
      <w:r>
        <w:t xml:space="preserve"> across the years. Historical incidents have raised concerns over lack of cultural diversity understanding within the police force, impacting how the force work on a day-to-day basis to meet the needs of multi-cultural communities. The need for a diverse force has been recognised and this has been a target across England and Wales police forces to improve. Clear PCSO and NPT presence and effective communication has ensured a greater understanding of multicultural and diverse communities by the Police improving levels of trust in the Force. Professional policies and standards have been implemented to ensure the British Police Force have an increased awareness and encouraged police to adapt and change the way of thinking when dealing with individuals within diverse communities. Refining these policies and powers have allowed the Police forces in the United Kingdom to protect the public and themselves. </w:t>
      </w:r>
    </w:p>
    <w:p w14:paraId="3EF7D367" w14:textId="77777777" w:rsidR="006D6CC7" w:rsidRDefault="006D6CC7" w:rsidP="006D6CC7">
      <w:r>
        <w:t>Word Count 975</w:t>
      </w:r>
    </w:p>
    <w:p w14:paraId="44DECFEC" w14:textId="77777777" w:rsidR="006D6CC7" w:rsidRDefault="006D6CC7"/>
    <w:p w14:paraId="5C36D22A" w14:textId="77777777" w:rsidR="006D6CC7" w:rsidRDefault="006D6CC7"/>
    <w:p w14:paraId="55CEACCE" w14:textId="77777777" w:rsidR="006D6CC7" w:rsidRDefault="006D6CC7"/>
    <w:p w14:paraId="428500E5" w14:textId="77777777" w:rsidR="006D6CC7" w:rsidRDefault="006D6CC7"/>
    <w:p w14:paraId="675B9F70" w14:textId="77777777" w:rsidR="006D6CC7" w:rsidRDefault="006D6CC7"/>
    <w:p w14:paraId="4A6E593F" w14:textId="77777777" w:rsidR="006D6CC7" w:rsidRDefault="006D6CC7"/>
    <w:p w14:paraId="0ED6086C" w14:textId="77777777" w:rsidR="006D6CC7" w:rsidRDefault="006D6CC7"/>
    <w:p w14:paraId="5EB0CA9A" w14:textId="77777777" w:rsidR="006D6CC7" w:rsidRDefault="006D6CC7"/>
    <w:p w14:paraId="6011A6CB" w14:textId="77777777" w:rsidR="006D6CC7" w:rsidRDefault="006D6CC7"/>
    <w:p w14:paraId="38C44DA9" w14:textId="77777777" w:rsidR="006D6CC7" w:rsidRDefault="006D6CC7"/>
    <w:p w14:paraId="13AA2856" w14:textId="77777777" w:rsidR="006D6CC7" w:rsidRDefault="006D6CC7"/>
    <w:p w14:paraId="27EA89BE" w14:textId="77777777" w:rsidR="006D6CC7" w:rsidRDefault="006D6CC7"/>
    <w:p w14:paraId="4CE18D6A" w14:textId="77777777" w:rsidR="006D6CC7" w:rsidRDefault="006D6CC7"/>
    <w:p w14:paraId="4CC2F317" w14:textId="77777777" w:rsidR="006D6CC7" w:rsidRDefault="006D6CC7"/>
    <w:p w14:paraId="5CDC1E85" w14:textId="77777777" w:rsidR="006D6CC7" w:rsidRDefault="006D6CC7"/>
    <w:p w14:paraId="2539D171" w14:textId="77777777" w:rsidR="006D6CC7" w:rsidRDefault="006D6CC7"/>
    <w:p w14:paraId="348EB51C" w14:textId="77777777" w:rsidR="006D6CC7" w:rsidRDefault="006D6CC7"/>
    <w:p w14:paraId="23BC31DE" w14:textId="77777777" w:rsidR="006D6CC7" w:rsidRDefault="006D6CC7"/>
    <w:p w14:paraId="5C1F6750" w14:textId="77777777" w:rsidR="006D6CC7" w:rsidRDefault="006D6CC7"/>
    <w:p w14:paraId="00C0002E" w14:textId="77777777" w:rsidR="006D6CC7" w:rsidRDefault="006D6CC7"/>
    <w:p w14:paraId="4AF75080" w14:textId="03908934" w:rsidR="006D6CC7" w:rsidRDefault="006D6CC7" w:rsidP="006D6CC7">
      <w:pPr>
        <w:jc w:val="center"/>
        <w:rPr>
          <w:b/>
        </w:rPr>
      </w:pPr>
      <w:r>
        <w:t xml:space="preserve">Essay 2: </w:t>
      </w:r>
      <w:r w:rsidRPr="001B16A2">
        <w:rPr>
          <w:b/>
        </w:rPr>
        <w:t>Examine the various socio-economic and psychological characteristics which can make people vulnerable to exploitation by criminal gangs.</w:t>
      </w:r>
    </w:p>
    <w:p w14:paraId="3268DB46" w14:textId="77777777" w:rsidR="006D6CC7" w:rsidRPr="006D6CC7" w:rsidRDefault="006D6CC7" w:rsidP="006D6CC7">
      <w:pPr>
        <w:jc w:val="center"/>
        <w:rPr>
          <w:b/>
        </w:rPr>
      </w:pPr>
    </w:p>
    <w:p w14:paraId="1C68D014" w14:textId="268EAFB4" w:rsidR="006D6CC7" w:rsidRPr="001B16A2" w:rsidRDefault="006D6CC7" w:rsidP="006D6CC7">
      <w:pPr>
        <w:spacing w:line="360" w:lineRule="auto"/>
        <w:jc w:val="both"/>
      </w:pPr>
      <w:r w:rsidRPr="001B16A2">
        <w:t>Criminal exploitation is the deliberate manipulation or abuse of power over another individual</w:t>
      </w:r>
      <w:r>
        <w:t>,</w:t>
      </w:r>
      <w:r w:rsidRPr="001B16A2">
        <w:t xml:space="preserve"> </w:t>
      </w:r>
      <w:r>
        <w:t>i</w:t>
      </w:r>
      <w:r w:rsidRPr="001B16A2">
        <w:t>nvolving an unbalance of power between the abuser and abused</w:t>
      </w:r>
      <w:r>
        <w:t xml:space="preserve"> (Wales safer community networks, 2022).</w:t>
      </w:r>
      <w:r w:rsidRPr="001B16A2">
        <w:t xml:space="preserve"> Anyone can be subject to vulnerability through all different stages of their life. Socio-economic</w:t>
      </w:r>
      <w:r>
        <w:t xml:space="preserve"> characteristics </w:t>
      </w:r>
      <w:r w:rsidRPr="001B16A2">
        <w:t>such as poverty; unstable home environments; levels of education; history of abuse/neglect and psychological factors such as poor mental health;</w:t>
      </w:r>
      <w:r>
        <w:t xml:space="preserve"> </w:t>
      </w:r>
      <w:r w:rsidRPr="001B16A2">
        <w:t>substance abuse and neurological defects can have a significant effect on a person</w:t>
      </w:r>
      <w:r>
        <w:t>’s</w:t>
      </w:r>
      <w:r w:rsidRPr="001B16A2">
        <w:t xml:space="preserve"> level of vulnerability and play a huge part in their exploitations </w:t>
      </w:r>
      <w:r>
        <w:t>by</w:t>
      </w:r>
      <w:r w:rsidRPr="001B16A2">
        <w:t xml:space="preserve"> criminal gangs. </w:t>
      </w:r>
    </w:p>
    <w:p w14:paraId="7C034BBB" w14:textId="77777777" w:rsidR="006D6CC7" w:rsidRDefault="006D6CC7" w:rsidP="006D6CC7">
      <w:pPr>
        <w:shd w:val="clear" w:color="auto" w:fill="FFFFFF"/>
        <w:spacing w:after="0" w:line="360" w:lineRule="auto"/>
        <w:jc w:val="both"/>
        <w:rPr>
          <w:rFonts w:eastAsia="Times New Roman" w:cstheme="minorHAnsi"/>
          <w:lang w:eastAsia="cy-GB"/>
        </w:rPr>
      </w:pPr>
      <w:r w:rsidRPr="001B16A2">
        <w:rPr>
          <w:rFonts w:eastAsia="Times New Roman" w:cstheme="minorHAnsi"/>
          <w:lang w:eastAsia="cy-GB"/>
        </w:rPr>
        <w:t xml:space="preserve">Criminologists have long assumed that socio-economic conditions and social inequality play an important part in why individuals become involved with criminal activity (Newburn, 2016). Criminal gangs are a group of individuals for whom involvement in crime is for personal gain’ </w:t>
      </w:r>
      <w:r>
        <w:rPr>
          <w:rFonts w:eastAsia="Times New Roman" w:cstheme="minorHAnsi"/>
          <w:lang w:eastAsia="cy-GB"/>
        </w:rPr>
        <w:t>(</w:t>
      </w:r>
      <w:r w:rsidRPr="001B16A2">
        <w:rPr>
          <w:rFonts w:eastAsia="Times New Roman" w:cstheme="minorHAnsi"/>
          <w:lang w:eastAsia="cy-GB"/>
        </w:rPr>
        <w:t>NSPCC</w:t>
      </w:r>
      <w:r>
        <w:rPr>
          <w:rFonts w:eastAsia="Times New Roman" w:cstheme="minorHAnsi"/>
          <w:lang w:eastAsia="cy-GB"/>
        </w:rPr>
        <w:t>, 2</w:t>
      </w:r>
      <w:r w:rsidRPr="001B16A2">
        <w:rPr>
          <w:rFonts w:eastAsia="Times New Roman" w:cstheme="minorHAnsi"/>
          <w:lang w:eastAsia="cy-GB"/>
        </w:rPr>
        <w:t xml:space="preserve">023). </w:t>
      </w:r>
    </w:p>
    <w:p w14:paraId="257D352E" w14:textId="77777777" w:rsidR="006D6CC7" w:rsidRDefault="006D6CC7" w:rsidP="006D6CC7">
      <w:pPr>
        <w:shd w:val="clear" w:color="auto" w:fill="FFFFFF"/>
        <w:spacing w:after="0" w:line="360" w:lineRule="auto"/>
        <w:jc w:val="both"/>
        <w:rPr>
          <w:rFonts w:eastAsia="Times New Roman" w:cstheme="minorHAnsi"/>
          <w:lang w:eastAsia="cy-GB"/>
        </w:rPr>
      </w:pPr>
    </w:p>
    <w:p w14:paraId="4F6DDD15" w14:textId="77777777" w:rsidR="006D6CC7" w:rsidRDefault="006D6CC7" w:rsidP="006D6CC7">
      <w:pPr>
        <w:shd w:val="clear" w:color="auto" w:fill="FFFFFF"/>
        <w:spacing w:after="0" w:line="360" w:lineRule="auto"/>
        <w:jc w:val="both"/>
        <w:rPr>
          <w:rFonts w:eastAsia="Times New Roman" w:cstheme="minorHAnsi"/>
          <w:lang w:eastAsia="cy-GB"/>
        </w:rPr>
      </w:pPr>
      <w:r w:rsidRPr="001B16A2">
        <w:rPr>
          <w:rFonts w:eastAsia="Times New Roman" w:cstheme="minorHAnsi"/>
          <w:lang w:eastAsia="cy-GB"/>
        </w:rPr>
        <w:t>Organised criminal gangs target vulnerable children and young people as they are less suspicious</w:t>
      </w:r>
      <w:r>
        <w:rPr>
          <w:rFonts w:eastAsia="Times New Roman" w:cstheme="minorHAnsi"/>
          <w:lang w:eastAsia="cy-GB"/>
        </w:rPr>
        <w:t>,</w:t>
      </w:r>
      <w:r w:rsidRPr="001B16A2">
        <w:rPr>
          <w:rFonts w:eastAsia="Times New Roman" w:cstheme="minorHAnsi"/>
          <w:lang w:eastAsia="cy-GB"/>
        </w:rPr>
        <w:t xml:space="preserve"> and in comparison, to adults receive a lighter jail sentence. </w:t>
      </w:r>
      <w:r>
        <w:rPr>
          <w:rFonts w:eastAsia="Times New Roman" w:cstheme="minorHAnsi"/>
          <w:lang w:eastAsia="cy-GB"/>
        </w:rPr>
        <w:t xml:space="preserve">Age can make people vulnerable to exploitation by criminal gangs. An example of exploitation of children and young people would be the criminal acts of County Lines – a violent and exploitative form of drug supply distribution (Home Office, 2023). A common feature in County lines is the exploitation of children and adults with mental health or substance abuse issues (National Crime Agency,2022). Younger individuals are targeted. Age is a significant socio-economic characteristic which can lead to vulnerability in crime. Children and young people will often be exposed to mental, physical and sexual abuse. Children do not perceive themselves as victims of exploitation as they perceive it as a sense of belonging and security. </w:t>
      </w:r>
      <w:proofErr w:type="spellStart"/>
      <w:r>
        <w:rPr>
          <w:rFonts w:eastAsia="Times New Roman" w:cstheme="minorHAnsi"/>
          <w:lang w:eastAsia="cy-GB"/>
        </w:rPr>
        <w:t>Expolitation</w:t>
      </w:r>
      <w:proofErr w:type="spellEnd"/>
      <w:r>
        <w:rPr>
          <w:rFonts w:eastAsia="Times New Roman" w:cstheme="minorHAnsi"/>
          <w:lang w:eastAsia="cy-GB"/>
        </w:rPr>
        <w:t xml:space="preserve"> includes Children and young people doing most of the work and take most of the risks as perpetrators use children and young people to maximise profits and distance themselves from the criminal act (National Crime Agency, 2019). The Children Society (2021) stated that children as young as six years old are experiencing criminal exploitation and at least 46.000 children in England are thought to be involved in gangs. Some children also possess other socio-economic characteristics which make them vulnerable to the exploitation of criminal gangs. These include previous experience in neglect and/or abuse. </w:t>
      </w:r>
    </w:p>
    <w:p w14:paraId="44C75162" w14:textId="77777777" w:rsidR="006D6CC7" w:rsidRDefault="006D6CC7" w:rsidP="006D6CC7">
      <w:pPr>
        <w:spacing w:line="360" w:lineRule="auto"/>
        <w:jc w:val="both"/>
        <w:rPr>
          <w:rFonts w:eastAsia="Times New Roman" w:cstheme="minorHAnsi"/>
          <w:lang w:eastAsia="cy-GB"/>
        </w:rPr>
      </w:pPr>
      <w:r>
        <w:rPr>
          <w:rFonts w:eastAsia="Times New Roman" w:cstheme="minorHAnsi"/>
          <w:lang w:eastAsia="cy-GB"/>
        </w:rPr>
        <w:t>Other socio-economic characteristics that may heighten a person’s vulnerability is experience of neglect, physical abuse/exploitation, or a lack of safe/stable home environments. These socio-</w:t>
      </w:r>
      <w:r>
        <w:rPr>
          <w:rFonts w:eastAsia="Times New Roman" w:cstheme="minorHAnsi"/>
          <w:lang w:eastAsia="cy-GB"/>
        </w:rPr>
        <w:lastRenderedPageBreak/>
        <w:t xml:space="preserve">economic characteristics could have a negative impact on an individual’s ability to develop and maintain trusting relationships (Home Office 2023). With such poor or even non-existent support systems in </w:t>
      </w:r>
      <w:proofErr w:type="gramStart"/>
      <w:r>
        <w:rPr>
          <w:rFonts w:eastAsia="Times New Roman" w:cstheme="minorHAnsi"/>
          <w:lang w:eastAsia="cy-GB"/>
        </w:rPr>
        <w:t>place,  breakdown</w:t>
      </w:r>
      <w:proofErr w:type="gramEnd"/>
      <w:r>
        <w:rPr>
          <w:rFonts w:eastAsia="Times New Roman" w:cstheme="minorHAnsi"/>
          <w:lang w:eastAsia="cy-GB"/>
        </w:rPr>
        <w:t xml:space="preserve"> of family relationships, they are unable to identify the risks and dangers. Leaving individuals vulnerable to believing the false sense of security and belonging that criminal gangs are perceived to have and can provide. A range of vulnerable characteristics and dangerous behaviours in later life are the consequences of neglect and childhood abuse. The NSPCC stated that anti-social behaviour, substance misuse and running away from home are some of the riskiest behaviours that leave individuals vulnerable to criminal exploitation.</w:t>
      </w:r>
    </w:p>
    <w:p w14:paraId="2D8A05E1" w14:textId="77777777" w:rsidR="006D6CC7" w:rsidRDefault="006D6CC7" w:rsidP="006D6CC7">
      <w:pPr>
        <w:shd w:val="clear" w:color="auto" w:fill="FFFFFF"/>
        <w:spacing w:after="300" w:line="360" w:lineRule="auto"/>
        <w:jc w:val="both"/>
        <w:textAlignment w:val="baseline"/>
        <w:rPr>
          <w:rFonts w:eastAsia="Times New Roman" w:cstheme="minorHAnsi"/>
          <w:lang w:eastAsia="cy-GB"/>
        </w:rPr>
      </w:pPr>
      <w:proofErr w:type="spellStart"/>
      <w:r w:rsidRPr="003B1D61">
        <w:rPr>
          <w:rFonts w:eastAsia="Times New Roman" w:cstheme="minorHAnsi"/>
          <w:lang w:eastAsia="cy-GB"/>
        </w:rPr>
        <w:t>Siocio-ecomic</w:t>
      </w:r>
      <w:proofErr w:type="spellEnd"/>
      <w:r w:rsidRPr="003B1D61">
        <w:rPr>
          <w:rFonts w:eastAsia="Times New Roman" w:cstheme="minorHAnsi"/>
          <w:lang w:eastAsia="cy-GB"/>
        </w:rPr>
        <w:t xml:space="preserve"> characteristics alone can increase vulnerability in exploitation to criminal gangs. Additionally, the psychological effects these have on individuals can increase that vulnerability. Research by Neller and Fabian (2007) stated that people with trauma histories are at increased risk of incorrectly perceiving emotions of </w:t>
      </w:r>
      <w:r w:rsidRPr="00E83766">
        <w:rPr>
          <w:rFonts w:eastAsia="Times New Roman" w:cstheme="minorHAnsi"/>
          <w:lang w:eastAsia="cy-GB"/>
        </w:rPr>
        <w:t>others. Individuals who have been subjected to abuse and neglect causing historic trauma are at risk of falling victim to cuckooing, the term given to criminals who target the homes of vulnerable adults and use the property for criminal purposes (Metropolitan Police, 2021). Metropolitan police Service stated that there were 109 reported addresses cuckooed in 2022. Individuals with who struggle with mental health or have a history of trauma could be tasked to commit criminal activities, often under duress</w:t>
      </w:r>
      <w:r>
        <w:rPr>
          <w:rFonts w:eastAsia="Times New Roman" w:cstheme="minorHAnsi"/>
          <w:lang w:eastAsia="cy-GB"/>
        </w:rPr>
        <w:t>. Mental health issues or individuals with substance misuse and addictions are usually targeted and exploited as their lifestyles leave them vulnerable, allowing access to gangs taking over their properties. Environments where drug and alcohol consumption are the norm can easily lead to criminal gang exploitation. Once individuals become accustomed to the mind-altering substances it is difficult for that lifestyle to be left, therefore relationships within organised groups are strengthened. Leaving individua’s vulnerable to further exploitation.</w:t>
      </w:r>
    </w:p>
    <w:p w14:paraId="23104415" w14:textId="77777777" w:rsidR="006D6CC7" w:rsidRPr="00EA5EAF" w:rsidRDefault="006D6CC7" w:rsidP="006D6CC7">
      <w:pPr>
        <w:shd w:val="clear" w:color="auto" w:fill="FFFFFF"/>
        <w:spacing w:after="300" w:line="360" w:lineRule="auto"/>
        <w:jc w:val="both"/>
        <w:textAlignment w:val="baseline"/>
        <w:rPr>
          <w:rFonts w:ascii="inherit" w:eastAsia="Times New Roman" w:hAnsi="inherit" w:cs="Arial"/>
          <w:color w:val="333333"/>
          <w:sz w:val="29"/>
          <w:szCs w:val="29"/>
          <w:lang w:eastAsia="cy-GB"/>
        </w:rPr>
      </w:pPr>
      <w:r>
        <w:rPr>
          <w:rFonts w:eastAsia="Times New Roman" w:cstheme="minorHAnsi"/>
          <w:lang w:eastAsia="cy-GB"/>
        </w:rPr>
        <w:t xml:space="preserve">Criminal gangs also target those who are living in or leaving care systems. The context in which a n individual is on or has been in care can heighten a person’s vulnerability. Those moving out of area could have less access to support networks and feel more obliged to contact old gang members criminal associates (Home Office 2023). Financially deprived areas and absence from education can also be socio-economic characteristic increasing vulnerability. Centre of social justice (2023) stated that soaring rates of school absences risks creating 9.000 extra youth offenders by 2007. </w:t>
      </w:r>
    </w:p>
    <w:p w14:paraId="4210AE13" w14:textId="77777777" w:rsidR="006D6CC7" w:rsidRDefault="006D6CC7" w:rsidP="006D6CC7">
      <w:pPr>
        <w:shd w:val="clear" w:color="auto" w:fill="FFFFFF"/>
        <w:spacing w:after="0" w:line="360" w:lineRule="auto"/>
        <w:jc w:val="both"/>
        <w:rPr>
          <w:rFonts w:eastAsia="Times New Roman" w:cstheme="minorHAnsi"/>
          <w:lang w:eastAsia="cy-GB"/>
        </w:rPr>
      </w:pPr>
      <w:r>
        <w:rPr>
          <w:rFonts w:eastAsia="Times New Roman" w:cstheme="minorHAnsi"/>
          <w:lang w:eastAsia="cy-GB"/>
        </w:rPr>
        <w:t xml:space="preserve">Criminal exploitation does not always involve physical contact; it can also be using technology (Home Office, 2023). When approached online via gangs such as County Lines vulnerable people will develop sense of belonging and trust. Post Covid pandemic has seen a significant increase </w:t>
      </w:r>
      <w:r>
        <w:rPr>
          <w:rFonts w:eastAsia="Times New Roman" w:cstheme="minorHAnsi"/>
          <w:lang w:eastAsia="cy-GB"/>
        </w:rPr>
        <w:lastRenderedPageBreak/>
        <w:t>in the use of digital technology and social media and criminals have adapted methods to survive. Online exploitation has been shown to enable offending in the real world (National Crime Agency, 2021) Online provides a false sense of security and leads vulnerable individuals to believe that they are safe.</w:t>
      </w:r>
    </w:p>
    <w:p w14:paraId="14F2DD94" w14:textId="77777777" w:rsidR="006D6CC7" w:rsidRDefault="006D6CC7" w:rsidP="006D6CC7">
      <w:pPr>
        <w:shd w:val="clear" w:color="auto" w:fill="FFFFFF"/>
        <w:spacing w:after="0" w:line="360" w:lineRule="auto"/>
        <w:jc w:val="both"/>
        <w:rPr>
          <w:rFonts w:eastAsia="Times New Roman" w:cstheme="minorHAnsi"/>
          <w:lang w:eastAsia="cy-GB"/>
        </w:rPr>
      </w:pPr>
    </w:p>
    <w:p w14:paraId="442B45F7" w14:textId="77777777" w:rsidR="006D6CC7" w:rsidRPr="00DA1F2E" w:rsidRDefault="006D6CC7" w:rsidP="006D6CC7">
      <w:pPr>
        <w:shd w:val="clear" w:color="auto" w:fill="FFFFFF"/>
        <w:spacing w:after="0" w:line="360" w:lineRule="auto"/>
        <w:jc w:val="both"/>
        <w:rPr>
          <w:rFonts w:eastAsia="Times New Roman" w:cstheme="minorHAnsi"/>
          <w:bCs/>
          <w:lang w:eastAsia="cy-GB"/>
        </w:rPr>
      </w:pPr>
      <w:r>
        <w:rPr>
          <w:rFonts w:eastAsia="Times New Roman" w:cstheme="minorHAnsi"/>
          <w:lang w:eastAsia="cy-GB"/>
        </w:rPr>
        <w:t xml:space="preserve">There are multiple socio-economic and psychological characteristics </w:t>
      </w:r>
      <w:r w:rsidRPr="00DA1F2E">
        <w:rPr>
          <w:bCs/>
        </w:rPr>
        <w:t>which can make people vulnerable to exploitation by criminal gangs.</w:t>
      </w:r>
      <w:r>
        <w:rPr>
          <w:bCs/>
        </w:rPr>
        <w:t xml:space="preserve"> Individuals can be vulnerable at any age, through </w:t>
      </w:r>
      <w:proofErr w:type="gramStart"/>
      <w:r>
        <w:rPr>
          <w:bCs/>
        </w:rPr>
        <w:t>all;</w:t>
      </w:r>
      <w:proofErr w:type="gramEnd"/>
      <w:r>
        <w:rPr>
          <w:bCs/>
        </w:rPr>
        <w:t xml:space="preserve"> stages of life. Socio-economic characteristics such as past trauma and abuse; substance abuse unsafe home environments can all lead or influence the psychological characteristics that increase vulnerability. </w:t>
      </w:r>
    </w:p>
    <w:p w14:paraId="4B27EE58" w14:textId="77777777" w:rsidR="006D6CC7" w:rsidRDefault="006D6CC7" w:rsidP="006D6CC7">
      <w:pPr>
        <w:shd w:val="clear" w:color="auto" w:fill="FFFFFF"/>
        <w:spacing w:after="0" w:line="360" w:lineRule="auto"/>
        <w:jc w:val="both"/>
        <w:rPr>
          <w:rFonts w:eastAsia="Times New Roman" w:cstheme="minorHAnsi"/>
          <w:lang w:eastAsia="cy-GB"/>
        </w:rPr>
      </w:pPr>
    </w:p>
    <w:p w14:paraId="55EF8919" w14:textId="77777777" w:rsidR="006D6CC7" w:rsidRDefault="006D6CC7" w:rsidP="006D6CC7"/>
    <w:p w14:paraId="616B69D5" w14:textId="77777777" w:rsidR="006D6CC7" w:rsidRDefault="006D6CC7" w:rsidP="006D6CC7">
      <w:r>
        <w:t>Word count 934</w:t>
      </w:r>
    </w:p>
    <w:p w14:paraId="0BEFA600" w14:textId="70C803D7" w:rsidR="006D6CC7" w:rsidRDefault="006D6CC7"/>
    <w:p w14:paraId="4A510FD4" w14:textId="77777777" w:rsidR="006D6CC7" w:rsidRDefault="006D6CC7"/>
    <w:p w14:paraId="7B91DB9C" w14:textId="77777777" w:rsidR="006D6CC7" w:rsidRDefault="006D6CC7"/>
    <w:p w14:paraId="73A31B1B" w14:textId="77777777" w:rsidR="006D6CC7" w:rsidRDefault="006D6CC7"/>
    <w:p w14:paraId="5267BAE0" w14:textId="77777777" w:rsidR="006D6CC7" w:rsidRDefault="006D6CC7"/>
    <w:p w14:paraId="6BFE9F81" w14:textId="77777777" w:rsidR="006D6CC7" w:rsidRDefault="006D6CC7"/>
    <w:p w14:paraId="27E86AE0" w14:textId="77777777" w:rsidR="006D6CC7" w:rsidRDefault="006D6CC7"/>
    <w:p w14:paraId="5E1BA4F9" w14:textId="77777777" w:rsidR="006D6CC7" w:rsidRDefault="006D6CC7"/>
    <w:p w14:paraId="19493945" w14:textId="77777777" w:rsidR="006D6CC7" w:rsidRDefault="006D6CC7"/>
    <w:p w14:paraId="52CAB869" w14:textId="77777777" w:rsidR="006D6CC7" w:rsidRDefault="006D6CC7"/>
    <w:p w14:paraId="2886ADC2" w14:textId="77777777" w:rsidR="006D6CC7" w:rsidRDefault="006D6CC7"/>
    <w:p w14:paraId="04F7E46C" w14:textId="77777777" w:rsidR="006D6CC7" w:rsidRDefault="006D6CC7"/>
    <w:p w14:paraId="41CF70D1" w14:textId="77777777" w:rsidR="006D6CC7" w:rsidRDefault="006D6CC7"/>
    <w:p w14:paraId="6CAD82C6" w14:textId="77777777" w:rsidR="006D6CC7" w:rsidRDefault="006D6CC7"/>
    <w:p w14:paraId="39442434" w14:textId="77777777" w:rsidR="006D6CC7" w:rsidRDefault="006D6CC7"/>
    <w:p w14:paraId="1F4BFB31" w14:textId="77777777" w:rsidR="006D6CC7" w:rsidRDefault="006D6CC7"/>
    <w:p w14:paraId="5C0F5AEB" w14:textId="77777777" w:rsidR="006D6CC7" w:rsidRDefault="006D6CC7"/>
    <w:p w14:paraId="64D53AA7" w14:textId="77777777" w:rsidR="006D6CC7" w:rsidRDefault="006D6CC7"/>
    <w:p w14:paraId="788F66A8" w14:textId="77777777" w:rsidR="006D6CC7" w:rsidRDefault="006D6CC7"/>
    <w:p w14:paraId="431163EC" w14:textId="77777777" w:rsidR="006D6CC7" w:rsidRDefault="006D6CC7"/>
    <w:p w14:paraId="3C188FA8" w14:textId="77777777" w:rsidR="006D6CC7" w:rsidRDefault="006D6CC7" w:rsidP="006D6CC7">
      <w:pPr>
        <w:jc w:val="center"/>
        <w:rPr>
          <w:b/>
          <w:bCs/>
        </w:rPr>
      </w:pPr>
      <w:r w:rsidRPr="006D6CC7">
        <w:rPr>
          <w:b/>
          <w:bCs/>
        </w:rPr>
        <w:t>Essay 3:</w:t>
      </w:r>
      <w:r>
        <w:t xml:space="preserve"> </w:t>
      </w:r>
      <w:r w:rsidRPr="0007169E">
        <w:rPr>
          <w:b/>
          <w:bCs/>
        </w:rPr>
        <w:t>Is MAPPA an effective means of managing violent and sexual offenders? What increases or detracts from its effectiveness?</w:t>
      </w:r>
    </w:p>
    <w:p w14:paraId="154BF5C1" w14:textId="77777777" w:rsidR="006D6CC7" w:rsidRDefault="006D6CC7" w:rsidP="006D6CC7">
      <w:pPr>
        <w:jc w:val="center"/>
        <w:rPr>
          <w:b/>
          <w:bCs/>
        </w:rPr>
      </w:pPr>
    </w:p>
    <w:p w14:paraId="1E1F98CD" w14:textId="77777777" w:rsidR="006D6CC7" w:rsidRDefault="006D6CC7" w:rsidP="006D6CC7">
      <w:pPr>
        <w:shd w:val="clear" w:color="auto" w:fill="FFFFFF" w:themeFill="background1"/>
        <w:spacing w:line="360" w:lineRule="auto"/>
        <w:jc w:val="both"/>
      </w:pPr>
      <w:r>
        <w:t xml:space="preserve">The Multi-Agency Public Protection Arrangement (MAPPA) was introduced under the </w:t>
      </w:r>
      <w:r w:rsidRPr="00754B28">
        <w:t>Criminal Justice and Court Services Act (2000)</w:t>
      </w:r>
      <w:r>
        <w:t xml:space="preserve"> and became the statutory arrangement under the criminal justice act (2003) to ensure the successful management of violent and sexual offenders. MAPPA promotes effective information-sharing and collaboration between agencies. As a result, responsibilities are better discharged to protect the public in a co-ordinated way. HM Prison Service and National Probation Service combined with other agencies, are considered to have a duty to co-operate and are legally required to work together to control the hazards connected to these types of offenders, MAPPA aims to regulate the level of risks these convicted individuals pose in the community and lower the likelihood of reconviction. </w:t>
      </w:r>
    </w:p>
    <w:p w14:paraId="3D359FFA" w14:textId="77777777" w:rsidR="006D6CC7" w:rsidRDefault="006D6CC7" w:rsidP="006D6CC7">
      <w:pPr>
        <w:shd w:val="clear" w:color="auto" w:fill="FFFFFF" w:themeFill="background1"/>
        <w:spacing w:line="360" w:lineRule="auto"/>
        <w:jc w:val="both"/>
      </w:pPr>
      <w:r w:rsidRPr="006430D2">
        <w:t>There are 91,040 current offenders in England and Wales subject to MAPPA</w:t>
      </w:r>
      <w:r w:rsidRPr="006430D2">
        <w:rPr>
          <w:shd w:val="clear" w:color="auto" w:fill="FFFFFF" w:themeFill="background1"/>
        </w:rPr>
        <w:t xml:space="preserve"> (Ministry of Justice, 2023). Therefore. </w:t>
      </w:r>
      <w:r>
        <w:t xml:space="preserve">Establishing MAPPA eligibility is a structured process containing three categories of offenders. This factor increases the effectiveness of managing offender behaviours. Once an individual is identified as eligible for MAPPA it should guarantee that a risk assessment is conducted to assess and determine the appropriate level of risk management supervision. </w:t>
      </w:r>
    </w:p>
    <w:p w14:paraId="4D4719CE" w14:textId="77777777" w:rsidR="006D6CC7" w:rsidRDefault="006D6CC7" w:rsidP="006D6CC7">
      <w:pPr>
        <w:spacing w:line="360" w:lineRule="auto"/>
        <w:jc w:val="both"/>
      </w:pPr>
      <w:r w:rsidRPr="00754B28">
        <w:t xml:space="preserve">Bryant, Peck and </w:t>
      </w:r>
      <w:proofErr w:type="spellStart"/>
      <w:r w:rsidRPr="00754B28">
        <w:t>Lovebakke</w:t>
      </w:r>
      <w:proofErr w:type="spellEnd"/>
      <w:r w:rsidRPr="00754B28">
        <w:t xml:space="preserve"> (2015)</w:t>
      </w:r>
      <w:r>
        <w:t xml:space="preserve"> stated that offenders under MAPPA supervision should have a risk management plan in place. Criminal justice systems can never eliminate risk but ensure that all reasonable steps are taken to promote safety for the victims, public and the individuals themselves. Such risk managements could involve restrictive interventions therefore restricting ability to access specific areas or places of interest. Rehabilitation interventions are another factor of the risk management plan that can be implemented for offenders under MAPPA supervision. Risk management plans provide a thorough assessment and clear rationale that outline the risks offenders pose and enable the involvement of appropriate multi-agencies to safeguard the public by encouraging rehabilitation and lowering the chance of reoffending. It was an expectation by </w:t>
      </w:r>
      <w:r w:rsidRPr="00754B28">
        <w:t xml:space="preserve">Her </w:t>
      </w:r>
      <w:proofErr w:type="spellStart"/>
      <w:r w:rsidRPr="00754B28">
        <w:t>Majesity’s</w:t>
      </w:r>
      <w:proofErr w:type="spellEnd"/>
      <w:r w:rsidRPr="00754B28">
        <w:t xml:space="preserve"> Inspectorate of probation (2022)</w:t>
      </w:r>
      <w:r>
        <w:t xml:space="preserve"> that all MAPPA risk management plans are of high quality and reviews and updates are completes as necessary. This ensures that both offenders and the needs of the victims are given sufficient priority at a strategic and practical level. </w:t>
      </w:r>
    </w:p>
    <w:p w14:paraId="3BB5C176" w14:textId="77777777" w:rsidR="006D6CC7" w:rsidRDefault="006D6CC7" w:rsidP="006D6CC7">
      <w:pPr>
        <w:spacing w:line="360" w:lineRule="auto"/>
        <w:jc w:val="both"/>
      </w:pPr>
      <w:r>
        <w:t xml:space="preserve">The effectiveness of MAPPA relies on the collaboration between the Criminal Justice and other agencies to ensure a robust information exchange is essential. Previous inspections of MAPPA </w:t>
      </w:r>
      <w:r>
        <w:lastRenderedPageBreak/>
        <w:t>raised concerns that although information was readily shared it did not always lead to clear risk assessment management resulting in The Four Pillar approach (</w:t>
      </w:r>
      <w:proofErr w:type="spellStart"/>
      <w:r>
        <w:t>Kemshell</w:t>
      </w:r>
      <w:proofErr w:type="spellEnd"/>
      <w:r>
        <w:t xml:space="preserve">, 2010) being adopted. Following this approach within </w:t>
      </w:r>
      <w:proofErr w:type="gramStart"/>
      <w:r>
        <w:t>he</w:t>
      </w:r>
      <w:proofErr w:type="gramEnd"/>
      <w:r>
        <w:t xml:space="preserve"> MAPPA meetings allows risk management and the protection of others to become the centre of the process. Criminal Justice Joint Inspection (2022) noted the inconsistency in which MAPPA guidance is interpreted in local areas throughout England and Wales resulting in MAPPA </w:t>
      </w:r>
      <w:r w:rsidRPr="002103F5">
        <w:t>becoming marginalised and under used due to the interpretation of MAPPA criteria becoming too narrow</w:t>
      </w:r>
      <w:r>
        <w:t xml:space="preserve"> detracting from its effectiveness as a result varying practices by different agencies.  An example of this found by Criminal Justice Joint Inspection (2022) was that Over a fifth of the Level 1 cases we inspected should have been managed at Level 2. </w:t>
      </w:r>
    </w:p>
    <w:p w14:paraId="46CBAC99" w14:textId="77777777" w:rsidR="006D6CC7" w:rsidRDefault="006D6CC7" w:rsidP="006D6CC7">
      <w:pPr>
        <w:spacing w:line="360" w:lineRule="auto"/>
        <w:jc w:val="both"/>
      </w:pPr>
      <w:proofErr w:type="spellStart"/>
      <w:r>
        <w:t>Kemshall</w:t>
      </w:r>
      <w:proofErr w:type="spellEnd"/>
      <w:r>
        <w:t xml:space="preserve"> (2021) Desistance and risk management can be understood as two sides of the same coin and can work in tandem to achieve both non-offending and public safety. MAPPA population continues to grow with a 2% rise on the previous year in 2023 and up 51% since 2013 (Ministry of Justice, 2023). As part of the MAPPA thematic inspection conducted by </w:t>
      </w:r>
      <w:r w:rsidRPr="00754B28">
        <w:t xml:space="preserve">Her </w:t>
      </w:r>
      <w:proofErr w:type="spellStart"/>
      <w:r w:rsidRPr="00754B28">
        <w:t>Majesity’s</w:t>
      </w:r>
      <w:proofErr w:type="spellEnd"/>
      <w:r w:rsidRPr="00754B28">
        <w:t xml:space="preserve"> Inspectorate of probation (2022)</w:t>
      </w:r>
      <w:r>
        <w:t xml:space="preserve"> individuals were interviewed by Penal Reform Solutions to share their insight on being managed under MAPPA. 55% of individuals inspected were not aware that they were under MAPPA management or what level they were until contacted for the thematic inspection purpose. It was identified that there was a lack of communication and understanding about MAPPA at all stages of the process.  Offenders expressed during interviews how better explanations of MAPPA and its purpose was essential to ensure they understood how it fit their goals to keep themselves and others safe. Where MAPPA arrangements had worked in accordance </w:t>
      </w:r>
      <w:proofErr w:type="gramStart"/>
      <w:r>
        <w:t>to</w:t>
      </w:r>
      <w:proofErr w:type="gramEnd"/>
      <w:r>
        <w:t xml:space="preserve"> guidance results stated that offenders had built strong relationships through MAPPA this included relationships with the police. </w:t>
      </w:r>
    </w:p>
    <w:p w14:paraId="0EA95688" w14:textId="77777777" w:rsidR="006D6CC7" w:rsidRDefault="006D6CC7" w:rsidP="006D6CC7">
      <w:pPr>
        <w:spacing w:line="360" w:lineRule="auto"/>
        <w:jc w:val="both"/>
        <w:rPr>
          <w:rFonts w:cstheme="minorHAnsi"/>
          <w:color w:val="00B0F0"/>
          <w:shd w:val="clear" w:color="auto" w:fill="FFFFFF"/>
        </w:rPr>
      </w:pPr>
      <w:r>
        <w:t xml:space="preserve">Research by Policing Institute for the Eastern Region (2023) stated that reoffending rates of those managed by MAPPA are less than half of that of the national </w:t>
      </w:r>
      <w:r w:rsidRPr="00CE6F24">
        <w:t>average</w:t>
      </w:r>
      <w:r w:rsidRPr="00CE6F24">
        <w:rPr>
          <w:rFonts w:ascii="Helvetica" w:hAnsi="Helvetica" w:cs="Helvetica"/>
          <w:shd w:val="clear" w:color="auto" w:fill="FFFFFF"/>
        </w:rPr>
        <w:t xml:space="preserve"> </w:t>
      </w:r>
      <w:r w:rsidRPr="00CE6F24">
        <w:rPr>
          <w:rFonts w:cstheme="minorHAnsi"/>
          <w:shd w:val="clear" w:color="auto" w:fill="FFFFFF"/>
        </w:rPr>
        <w:t>that the reoffending rates of those managed under MAPPA are less than half of that of the national average. The one-year MAPPA proven reoffending rate at 12.2% compared to the national overall one year, proven reoffending rates of between 30.0% over a similar time frame (Ministry of Justice 2022). Such lower statistics were also found when comparing results to research conducted by Bryant et al (2015) who stated a 25-30% MAPPA reoffending rate and Peck (2011) who noted a reconviction rate of 19.9%.</w:t>
      </w:r>
      <w:r>
        <w:rPr>
          <w:rFonts w:cstheme="minorHAnsi"/>
          <w:shd w:val="clear" w:color="auto" w:fill="FFFFFF"/>
        </w:rPr>
        <w:t xml:space="preserve"> Suggesting that despite the areas of concern MAPPA is effective in reducing the re-offending rates. </w:t>
      </w:r>
    </w:p>
    <w:p w14:paraId="116956EE" w14:textId="77777777" w:rsidR="006D6CC7" w:rsidRPr="00793CB6" w:rsidRDefault="006D6CC7" w:rsidP="006D6CC7">
      <w:pPr>
        <w:spacing w:line="360" w:lineRule="auto"/>
        <w:jc w:val="both"/>
        <w:rPr>
          <w:rFonts w:cstheme="minorHAnsi"/>
        </w:rPr>
      </w:pPr>
      <w:r w:rsidRPr="00793CB6">
        <w:rPr>
          <w:rFonts w:cstheme="minorHAnsi"/>
          <w:shd w:val="clear" w:color="auto" w:fill="FFFFFF"/>
        </w:rPr>
        <w:lastRenderedPageBreak/>
        <w:t>To conclude research states that MAPPA</w:t>
      </w:r>
      <w:r w:rsidRPr="00793CB6">
        <w:rPr>
          <w:rFonts w:cstheme="minorHAnsi"/>
        </w:rPr>
        <w:t xml:space="preserve"> effective means of managing violent and sexual offenders</w:t>
      </w:r>
      <w:r w:rsidRPr="00793CB6">
        <w:rPr>
          <w:rFonts w:cstheme="minorHAnsi"/>
          <w:shd w:val="clear" w:color="auto" w:fill="FFFFFF"/>
        </w:rPr>
        <w:t xml:space="preserve"> and continues to reduce the reoffending rates across England and Wales. When used effectively </w:t>
      </w:r>
      <w:r w:rsidRPr="00793CB6">
        <w:rPr>
          <w:rFonts w:cstheme="minorHAnsi"/>
        </w:rPr>
        <w:t>support and resources are often gained that would have been unlikely without the MAPPA forum</w:t>
      </w:r>
      <w:r>
        <w:rPr>
          <w:rFonts w:cstheme="minorHAnsi"/>
        </w:rPr>
        <w:t xml:space="preserve"> and </w:t>
      </w:r>
      <w:r w:rsidRPr="00793CB6">
        <w:rPr>
          <w:rFonts w:cstheme="minorHAnsi"/>
        </w:rPr>
        <w:t xml:space="preserve">multi-agency meetings provide necessary scrutiny and oversight in complex cases. In addition, it has paved the way for better communication and joint working outside of the formal meeting structure. </w:t>
      </w:r>
      <w:r>
        <w:rPr>
          <w:rFonts w:cstheme="minorHAnsi"/>
        </w:rPr>
        <w:t>M</w:t>
      </w:r>
      <w:r>
        <w:t xml:space="preserve">APPA enhances risk management and protection of the public in most cases. </w:t>
      </w:r>
    </w:p>
    <w:p w14:paraId="7E273F3D" w14:textId="7E709C96" w:rsidR="006D6CC7" w:rsidRDefault="006D6CC7">
      <w:r>
        <w:t>Word count: 904</w:t>
      </w:r>
    </w:p>
    <w:p w14:paraId="07EB75EE" w14:textId="77777777" w:rsidR="006D6CC7" w:rsidRDefault="006D6CC7"/>
    <w:p w14:paraId="02ED020F" w14:textId="77777777" w:rsidR="006D6CC7" w:rsidRDefault="006D6CC7"/>
    <w:p w14:paraId="6E25FA3B" w14:textId="77777777" w:rsidR="006D6CC7" w:rsidRDefault="006D6CC7"/>
    <w:p w14:paraId="3B984194" w14:textId="77777777" w:rsidR="006D6CC7" w:rsidRDefault="006D6CC7"/>
    <w:p w14:paraId="5D38AB6B" w14:textId="77777777" w:rsidR="006D6CC7" w:rsidRDefault="006D6CC7"/>
    <w:p w14:paraId="5A685ADE" w14:textId="77777777" w:rsidR="006D6CC7" w:rsidRDefault="006D6CC7"/>
    <w:p w14:paraId="7FEBBA9F" w14:textId="77777777" w:rsidR="006D6CC7" w:rsidRDefault="006D6CC7"/>
    <w:p w14:paraId="2D00C9D7" w14:textId="77777777" w:rsidR="006D6CC7" w:rsidRDefault="006D6CC7"/>
    <w:p w14:paraId="0BE2760C" w14:textId="77777777" w:rsidR="006D6CC7" w:rsidRDefault="006D6CC7"/>
    <w:p w14:paraId="2662CA7A" w14:textId="77777777" w:rsidR="006D6CC7" w:rsidRDefault="006D6CC7"/>
    <w:p w14:paraId="598BF3D2" w14:textId="77777777" w:rsidR="006D6CC7" w:rsidRDefault="006D6CC7"/>
    <w:p w14:paraId="7E18E7B7" w14:textId="77777777" w:rsidR="006D6CC7" w:rsidRDefault="006D6CC7"/>
    <w:p w14:paraId="357B0BCF" w14:textId="77777777" w:rsidR="006D6CC7" w:rsidRDefault="006D6CC7"/>
    <w:p w14:paraId="0491314E" w14:textId="77777777" w:rsidR="006D6CC7" w:rsidRDefault="006D6CC7"/>
    <w:p w14:paraId="657C690A" w14:textId="77777777" w:rsidR="006D6CC7" w:rsidRDefault="006D6CC7"/>
    <w:p w14:paraId="703A5411" w14:textId="77777777" w:rsidR="006D6CC7" w:rsidRDefault="006D6CC7"/>
    <w:p w14:paraId="14BB94A2" w14:textId="77777777" w:rsidR="006D6CC7" w:rsidRDefault="006D6CC7"/>
    <w:p w14:paraId="22CDDE19" w14:textId="77777777" w:rsidR="006D6CC7" w:rsidRDefault="006D6CC7"/>
    <w:p w14:paraId="54BBEA2C" w14:textId="77777777" w:rsidR="006D6CC7" w:rsidRDefault="006D6CC7"/>
    <w:p w14:paraId="2C41037B" w14:textId="77777777" w:rsidR="006D6CC7" w:rsidRDefault="006D6CC7"/>
    <w:p w14:paraId="15EEE3AA" w14:textId="77777777" w:rsidR="006D6CC7" w:rsidRDefault="006D6CC7"/>
    <w:p w14:paraId="174A9224" w14:textId="77777777" w:rsidR="006D6CC7" w:rsidRDefault="006D6CC7"/>
    <w:p w14:paraId="69054BF1" w14:textId="77777777" w:rsidR="006D6CC7" w:rsidRDefault="006D6CC7"/>
    <w:p w14:paraId="14FF1604" w14:textId="77777777" w:rsidR="006D6CC7" w:rsidRDefault="006D6CC7"/>
    <w:p w14:paraId="2600AE07" w14:textId="77777777" w:rsidR="006D6CC7" w:rsidRDefault="006D6CC7"/>
    <w:p w14:paraId="31B6CFC9" w14:textId="77777777" w:rsidR="006D6CC7" w:rsidRDefault="006D6CC7" w:rsidP="006D6CC7">
      <w:pPr>
        <w:spacing w:line="360" w:lineRule="auto"/>
        <w:jc w:val="both"/>
        <w:rPr>
          <w:b/>
          <w:bCs/>
        </w:rPr>
      </w:pPr>
      <w:r>
        <w:t xml:space="preserve">Essay 4: </w:t>
      </w:r>
      <w:r w:rsidRPr="00474003">
        <w:rPr>
          <w:b/>
          <w:bCs/>
        </w:rPr>
        <w:t>According to the Institute for Government (20</w:t>
      </w:r>
      <w:r>
        <w:rPr>
          <w:b/>
          <w:bCs/>
        </w:rPr>
        <w:t>2</w:t>
      </w:r>
      <w:r w:rsidRPr="00474003">
        <w:rPr>
          <w:b/>
          <w:bCs/>
        </w:rPr>
        <w:t>3), recent scandals have exposed severe flaws in forces</w:t>
      </w:r>
      <w:r>
        <w:rPr>
          <w:b/>
          <w:bCs/>
        </w:rPr>
        <w:t>’</w:t>
      </w:r>
      <w:r w:rsidRPr="00474003">
        <w:rPr>
          <w:b/>
          <w:bCs/>
        </w:rPr>
        <w:t xml:space="preserve"> internal vetting and misconduct procedures and affected public confidence in the police. Therefore, why is it important that independent bodies exist to hold police officers accountable? </w:t>
      </w:r>
    </w:p>
    <w:p w14:paraId="4D4E172E" w14:textId="77777777" w:rsidR="006D6CC7" w:rsidRDefault="006D6CC7" w:rsidP="006D6CC7">
      <w:pPr>
        <w:spacing w:line="360" w:lineRule="auto"/>
        <w:jc w:val="both"/>
        <w:rPr>
          <w:b/>
          <w:bCs/>
        </w:rPr>
      </w:pPr>
    </w:p>
    <w:p w14:paraId="47DC0C4A" w14:textId="0FFAE8A9" w:rsidR="006D6CC7" w:rsidRDefault="006D6CC7" w:rsidP="006D6CC7">
      <w:pPr>
        <w:spacing w:line="360" w:lineRule="auto"/>
        <w:jc w:val="both"/>
      </w:pPr>
      <w:r>
        <w:t>Level of public trust in police is at an historical low. Public perception that police are doing a good or excellent job has declined from 62.7% in 2015/16 to 51% in 2023 (Institute for Government 2023). This is a consequence to the Police repeat failure to address scandals. Overall crime is also at an historic low.  The Office of National Statistics (2023) stated that total crime decreased by 15% over the past twelve months. Police must be accountable in their response to the public as British policing is based on consent. The ability to carry out their function’s rests on public approval of their existence, actions and behaviour (Institute for Government</w:t>
      </w:r>
      <w:r w:rsidR="00CC4C4B">
        <w:t xml:space="preserve"> </w:t>
      </w:r>
      <w:r>
        <w:t xml:space="preserve">2022). Independent bodies are a necessity to hold the police force and police officers accountable to ensure that a high level of support and protection is offered to the public and that procedures and guidelines are always followed. </w:t>
      </w:r>
    </w:p>
    <w:p w14:paraId="5FD03EC9" w14:textId="77777777" w:rsidR="006D6CC7" w:rsidRDefault="006D6CC7" w:rsidP="006D6CC7">
      <w:pPr>
        <w:spacing w:line="360" w:lineRule="auto"/>
        <w:jc w:val="both"/>
      </w:pPr>
      <w:r>
        <w:t xml:space="preserve">United Nations (2011) stated that accountability involves both internal and external checks that ensure failures are dealt with appropriately and effectively, and that police performance is of the highest standard. Breaching these codes can results in prosecution against police officers. Police accountability is essential.  Each Police force across England and Wales have an internal professional standards department that ensure complaints are dealt with appropriately. When needed, independent bodies investigate the most serious of matters. The Independent Office for Police Conduct (IOPC), supervise police complaints in England and Wales. IOPC not only investigates serious complaints against the police but monitor the complaint system and provides recommendations of improvements arising from misconduct issues. This ensures that the police complaint system delivers fair outcomes. The aim of IOPC is to ensure that everyone has confidence and trust in the police complaints system (IOPC, 2023).  </w:t>
      </w:r>
    </w:p>
    <w:p w14:paraId="53057EEF" w14:textId="5DFC7DB8" w:rsidR="006D6CC7" w:rsidRDefault="006D6CC7" w:rsidP="006D6CC7">
      <w:pPr>
        <w:spacing w:line="360" w:lineRule="auto"/>
        <w:jc w:val="both"/>
      </w:pPr>
      <w:r>
        <w:t xml:space="preserve">Incidents of police misconduct have had a negative effect on public perceptions of the police. An inspection into vetting, misconduct, and misogyny in the Police service by Her Majesties Inspectorate of Conduct (HMIFRC) in 2022, found that vetting standards are not good enough. </w:t>
      </w:r>
      <w:r w:rsidRPr="0093483F">
        <w:t>HMI</w:t>
      </w:r>
      <w:r w:rsidR="00302BC8">
        <w:t>FR</w:t>
      </w:r>
      <w:r w:rsidRPr="0093483F">
        <w:t>C (</w:t>
      </w:r>
      <w:r w:rsidR="000E4061">
        <w:t xml:space="preserve">2022) </w:t>
      </w:r>
      <w:r w:rsidR="00CB5993">
        <w:t>stated that v</w:t>
      </w:r>
      <w:r>
        <w:t xml:space="preserve">etting units were under substantial pressure to cope with higher caseloads due to demands to meet the Police Uplift Programme (Home Office, 2023). This </w:t>
      </w:r>
      <w:r>
        <w:lastRenderedPageBreak/>
        <w:t xml:space="preserve">suggests that the wrong type of people </w:t>
      </w:r>
      <w:proofErr w:type="gramStart"/>
      <w:r>
        <w:t>are</w:t>
      </w:r>
      <w:proofErr w:type="gramEnd"/>
      <w:r>
        <w:t xml:space="preserve"> able to both join and stay in the police. Police have the powers to arrest, detain, stop, and search, investigate and interview detainees. These powers are covered by the Police and Criminal Evidence Act 1984 (PACE). Breach of these codes could result criminal or civil proceedings against the police officers. Police ethics and following professional standards ensures that there can be no ill-treatment or misconduct- holding officers accountable. </w:t>
      </w:r>
    </w:p>
    <w:p w14:paraId="14E36F78" w14:textId="77777777" w:rsidR="006D6CC7" w:rsidRDefault="006D6CC7" w:rsidP="006D6CC7">
      <w:pPr>
        <w:spacing w:line="360" w:lineRule="auto"/>
        <w:jc w:val="both"/>
      </w:pPr>
      <w:r>
        <w:t xml:space="preserve">Independent bodies such as Her Majesties Inspectorate of Conduct (HMIFRC) and IOPC not only ensure that complaints are dealt with appropriately and policies and procedures are followed but also highlight good practice ad use evidence to drive improvements in the service provided to the public. The public are provided with authoritative information allowing them to compare performance of the police force against other forces (HMIFRC, 2022). Providing the public with this information of Police effectiveness, efficiency and legitimacy increases public confidence in local police forces. These regular published reports by independent bodies such as HMIRFC ensure that specific issue </w:t>
      </w:r>
      <w:proofErr w:type="gramStart"/>
      <w:r>
        <w:t>are</w:t>
      </w:r>
      <w:proofErr w:type="gramEnd"/>
      <w:r>
        <w:t xml:space="preserve"> investigated at a greater depth. This allows effective police accountability as all 43 polices forces across England and Wales are </w:t>
      </w:r>
      <w:r w:rsidRPr="00D3112E">
        <w:t>held accountable for their performance and actions. The Independent bodies reports stating these reliable statistics on police performance, related both to effectiveness in dealing with crime and public order as well as to their integrity and public confidence increase public confidence in the police force (United Nations Office of Drugs and Crime, 2011).</w:t>
      </w:r>
    </w:p>
    <w:p w14:paraId="7437FD7F" w14:textId="77777777" w:rsidR="006D6CC7" w:rsidRDefault="006D6CC7" w:rsidP="006D6CC7">
      <w:pPr>
        <w:spacing w:line="360" w:lineRule="auto"/>
        <w:jc w:val="both"/>
      </w:pPr>
      <w:r>
        <w:t xml:space="preserve">According to </w:t>
      </w:r>
      <w:proofErr w:type="spellStart"/>
      <w:r>
        <w:t>Balcioglu</w:t>
      </w:r>
      <w:proofErr w:type="spellEnd"/>
      <w:r>
        <w:t xml:space="preserve"> and Pala (2015) there is more to police accountability than how the community is protected and members of the public are made to feel. It is based on individual officers’ performance. </w:t>
      </w:r>
    </w:p>
    <w:p w14:paraId="2304E61A" w14:textId="77777777" w:rsidR="006D6CC7" w:rsidRDefault="006D6CC7" w:rsidP="006D6CC7">
      <w:pPr>
        <w:spacing w:line="276" w:lineRule="auto"/>
        <w:ind w:firstLine="720"/>
      </w:pPr>
      <w:r>
        <w:t xml:space="preserve">“Good policing is policing that is both effective and fair. Police who are ineffective, </w:t>
      </w:r>
    </w:p>
    <w:p w14:paraId="0DFC3BC1" w14:textId="77777777" w:rsidR="006D6CC7" w:rsidRDefault="006D6CC7" w:rsidP="006D6CC7">
      <w:pPr>
        <w:spacing w:line="276" w:lineRule="auto"/>
        <w:ind w:firstLine="720"/>
      </w:pPr>
      <w:r>
        <w:t xml:space="preserve">or illegitimate or unfair, in protecting the public against crime will lose the </w:t>
      </w:r>
    </w:p>
    <w:p w14:paraId="208D1975" w14:textId="77777777" w:rsidR="006D6CC7" w:rsidRDefault="006D6CC7" w:rsidP="006D6CC7">
      <w:pPr>
        <w:spacing w:line="276" w:lineRule="auto"/>
        <w:ind w:firstLine="720"/>
      </w:pPr>
      <w:r>
        <w:t xml:space="preserve">public’s confidence. Good policing is policing with legitimacy on the basis of </w:t>
      </w:r>
      <w:proofErr w:type="gramStart"/>
      <w:r>
        <w:t>public</w:t>
      </w:r>
      <w:proofErr w:type="gramEnd"/>
      <w:r>
        <w:t xml:space="preserve"> </w:t>
      </w:r>
    </w:p>
    <w:p w14:paraId="601655C6" w14:textId="77777777" w:rsidR="006D6CC7" w:rsidRDefault="006D6CC7" w:rsidP="006D6CC7">
      <w:pPr>
        <w:spacing w:line="360" w:lineRule="auto"/>
        <w:jc w:val="both"/>
      </w:pPr>
      <w:r>
        <w:t xml:space="preserve">                consent, rather than repression.” UNDOC (2011)</w:t>
      </w:r>
    </w:p>
    <w:p w14:paraId="53E57694" w14:textId="77777777" w:rsidR="006D6CC7" w:rsidRDefault="006D6CC7" w:rsidP="006D6CC7">
      <w:pPr>
        <w:spacing w:line="360" w:lineRule="auto"/>
        <w:jc w:val="both"/>
      </w:pPr>
      <w:r>
        <w:t xml:space="preserve">Independent bodies hold police accountable for their actions and ensure that accountability is entwined. Police forces are required to refer most serious of incident regardless of if a complaint has been made. They are also encouraged to report concerns about the conduct of their officers or staff. IOPC (2023) reported that they received more than 6,000 referrals from police in 2023/23. Independent bodies are then able to investigate and if required recommendations are put in place to ensure better practice.  For example, The Charing Cross scandal casted public doubt on the </w:t>
      </w:r>
      <w:r>
        <w:lastRenderedPageBreak/>
        <w:t xml:space="preserve">police vetting system. IOCP investigation led to fifteen recommendations being implemented to ensure standards were greatly improved, targeting internal bullying and harassment, including racial harassment. These recommendations are accepted ensuring police forces and police officers are held accountable for their actions. </w:t>
      </w:r>
    </w:p>
    <w:p w14:paraId="2502E9F4" w14:textId="77777777" w:rsidR="006D6CC7" w:rsidRDefault="006D6CC7" w:rsidP="006D6CC7">
      <w:pPr>
        <w:spacing w:line="360" w:lineRule="auto"/>
        <w:jc w:val="both"/>
      </w:pPr>
      <w:r>
        <w:t xml:space="preserve">To conclude, </w:t>
      </w:r>
      <w:r w:rsidRPr="007B09B5">
        <w:t xml:space="preserve">it is important that independent bodies exist to hold police officers accountable to ensure the correct support and care is provided to the public to keep them safe. Police forces have great responsibility and duty of care to ensure that they work effectively and follow all policy and procedures, always maintaining a high standard. The presence of independent bodies raises public confidence in the police complaint system enabling the </w:t>
      </w:r>
      <w:proofErr w:type="gramStart"/>
      <w:r w:rsidRPr="007B09B5">
        <w:t>general public</w:t>
      </w:r>
      <w:proofErr w:type="gramEnd"/>
      <w:r w:rsidRPr="007B09B5">
        <w:t xml:space="preserve"> to want to use it. Their work responds to issues which affect the public confidence in the police force. Evidence collected from misconduct is used to influence positive changes to policing, delivering fair outcomes and monitoring progress in areas of need by holding the police force accountable for their actions.</w:t>
      </w:r>
      <w:r>
        <w:rPr>
          <w:b/>
          <w:bCs/>
        </w:rPr>
        <w:t xml:space="preserve"> </w:t>
      </w:r>
    </w:p>
    <w:p w14:paraId="7BD5F57A" w14:textId="77777777" w:rsidR="006D6CC7" w:rsidRPr="00E31400" w:rsidRDefault="006D6CC7" w:rsidP="006D6CC7">
      <w:pPr>
        <w:spacing w:line="276" w:lineRule="auto"/>
      </w:pPr>
      <w:r>
        <w:t>Word count 944</w:t>
      </w:r>
    </w:p>
    <w:p w14:paraId="22B32DAE" w14:textId="5A37403B" w:rsidR="006D6CC7" w:rsidRDefault="006D6CC7"/>
    <w:p w14:paraId="73D37825" w14:textId="77777777" w:rsidR="00CB5993" w:rsidRDefault="00CB5993"/>
    <w:p w14:paraId="46A18B3E" w14:textId="77777777" w:rsidR="00CB5993" w:rsidRDefault="00CB5993"/>
    <w:p w14:paraId="28CD9A24" w14:textId="77777777" w:rsidR="00CB5993" w:rsidRDefault="00CB5993"/>
    <w:p w14:paraId="5C9B01C7" w14:textId="77777777" w:rsidR="00CB5993" w:rsidRDefault="00CB5993"/>
    <w:p w14:paraId="384DF831" w14:textId="77777777" w:rsidR="00CB5993" w:rsidRDefault="00CB5993"/>
    <w:p w14:paraId="3ADACF3D" w14:textId="77777777" w:rsidR="00CB5993" w:rsidRDefault="00CB5993"/>
    <w:p w14:paraId="65B431CF" w14:textId="77777777" w:rsidR="00CB5993" w:rsidRDefault="00CB5993"/>
    <w:p w14:paraId="73DE9254" w14:textId="77777777" w:rsidR="00CB5993" w:rsidRDefault="00CB5993"/>
    <w:p w14:paraId="79484454" w14:textId="77777777" w:rsidR="00CB5993" w:rsidRDefault="00CB5993"/>
    <w:p w14:paraId="0F67297E" w14:textId="77777777" w:rsidR="00CB5993" w:rsidRDefault="00CB5993"/>
    <w:p w14:paraId="00953C89" w14:textId="77777777" w:rsidR="00CB5993" w:rsidRDefault="00CB5993"/>
    <w:p w14:paraId="49EA3E80" w14:textId="77777777" w:rsidR="00CB5993" w:rsidRDefault="00CB5993"/>
    <w:p w14:paraId="73B41938" w14:textId="77777777" w:rsidR="00CB5993" w:rsidRDefault="00CB5993"/>
    <w:p w14:paraId="14A74118" w14:textId="77777777" w:rsidR="00CB5993" w:rsidRDefault="00CB5993"/>
    <w:p w14:paraId="0B18A60A" w14:textId="77777777" w:rsidR="00CB5993" w:rsidRDefault="00CB5993"/>
    <w:p w14:paraId="4F4C0E7B" w14:textId="77777777" w:rsidR="00CB5993" w:rsidRDefault="00CB5993"/>
    <w:p w14:paraId="73B41DF0" w14:textId="77777777" w:rsidR="00CB5993" w:rsidRDefault="00CB5993"/>
    <w:p w14:paraId="331328B8" w14:textId="77777777" w:rsidR="00CB5993" w:rsidRDefault="00CB5993"/>
    <w:p w14:paraId="0EE5F8F9" w14:textId="77777777" w:rsidR="0082389E" w:rsidRPr="00061FD7" w:rsidRDefault="0082389E" w:rsidP="0082389E">
      <w:pPr>
        <w:pStyle w:val="NormalWeb"/>
        <w:ind w:left="567" w:hanging="567"/>
        <w:jc w:val="both"/>
        <w:rPr>
          <w:rFonts w:asciiTheme="minorHAnsi" w:hAnsiTheme="minorHAnsi" w:cstheme="minorHAnsi"/>
          <w:sz w:val="28"/>
          <w:szCs w:val="28"/>
        </w:rPr>
      </w:pPr>
      <w:r w:rsidRPr="00061FD7">
        <w:rPr>
          <w:rFonts w:asciiTheme="minorHAnsi" w:hAnsiTheme="minorHAnsi" w:cstheme="minorHAnsi"/>
          <w:sz w:val="28"/>
          <w:szCs w:val="28"/>
        </w:rPr>
        <w:t>References</w:t>
      </w:r>
    </w:p>
    <w:p w14:paraId="278D2A9F" w14:textId="77777777" w:rsidR="0082389E" w:rsidRPr="00061FD7" w:rsidRDefault="0082389E" w:rsidP="0082389E">
      <w:pPr>
        <w:pStyle w:val="Heading1"/>
        <w:shd w:val="clear" w:color="auto" w:fill="FFFFFF"/>
        <w:spacing w:before="324" w:after="0"/>
        <w:jc w:val="both"/>
        <w:rPr>
          <w:rFonts w:asciiTheme="minorHAnsi" w:hAnsiTheme="minorHAnsi" w:cstheme="minorHAnsi"/>
          <w:color w:val="000000"/>
          <w:sz w:val="28"/>
          <w:szCs w:val="28"/>
        </w:rPr>
      </w:pPr>
      <w:proofErr w:type="spellStart"/>
      <w:r w:rsidRPr="00061FD7">
        <w:rPr>
          <w:rFonts w:asciiTheme="minorHAnsi" w:hAnsiTheme="minorHAnsi" w:cstheme="minorHAnsi"/>
          <w:sz w:val="28"/>
          <w:szCs w:val="28"/>
        </w:rPr>
        <w:t>Bhugowandeen</w:t>
      </w:r>
      <w:proofErr w:type="spellEnd"/>
      <w:r w:rsidRPr="00061FD7">
        <w:rPr>
          <w:rFonts w:asciiTheme="minorHAnsi" w:hAnsiTheme="minorHAnsi" w:cstheme="minorHAnsi"/>
          <w:sz w:val="28"/>
          <w:szCs w:val="28"/>
        </w:rPr>
        <w:t xml:space="preserve"> (2013) </w:t>
      </w:r>
      <w:r w:rsidRPr="00061FD7">
        <w:rPr>
          <w:rFonts w:asciiTheme="minorHAnsi" w:hAnsiTheme="minorHAnsi" w:cstheme="minorHAnsi"/>
          <w:b/>
          <w:bCs/>
          <w:color w:val="000000"/>
          <w:sz w:val="28"/>
          <w:szCs w:val="28"/>
        </w:rPr>
        <w:t>Diversity in the British police: Adapting to a multicultural society.</w:t>
      </w:r>
      <w:r w:rsidRPr="00061FD7">
        <w:rPr>
          <w:rFonts w:asciiTheme="minorHAnsi" w:hAnsiTheme="minorHAnsi" w:cstheme="minorHAnsi"/>
          <w:color w:val="000000"/>
          <w:sz w:val="28"/>
          <w:szCs w:val="28"/>
        </w:rPr>
        <w:t xml:space="preserve"> </w:t>
      </w:r>
      <w:r w:rsidRPr="00061FD7">
        <w:rPr>
          <w:rFonts w:asciiTheme="minorHAnsi" w:hAnsiTheme="minorHAnsi" w:cstheme="minorHAnsi"/>
          <w:b/>
          <w:bCs/>
          <w:color w:val="000000"/>
          <w:sz w:val="28"/>
          <w:szCs w:val="28"/>
        </w:rPr>
        <w:t xml:space="preserve">Available at  </w:t>
      </w:r>
      <w:hyperlink r:id="rId6" w:history="1">
        <w:r w:rsidRPr="00061FD7">
          <w:rPr>
            <w:rStyle w:val="Hyperlink"/>
            <w:rFonts w:asciiTheme="minorHAnsi" w:hAnsiTheme="minorHAnsi" w:cstheme="minorHAnsi"/>
            <w:sz w:val="28"/>
            <w:szCs w:val="28"/>
          </w:rPr>
          <w:t>https://journals.openedition.org/mimmoc/1340</w:t>
        </w:r>
      </w:hyperlink>
      <w:r w:rsidRPr="00061FD7">
        <w:rPr>
          <w:rFonts w:asciiTheme="minorHAnsi" w:hAnsiTheme="minorHAnsi" w:cstheme="minorHAnsi"/>
          <w:b/>
          <w:bCs/>
          <w:sz w:val="28"/>
          <w:szCs w:val="28"/>
        </w:rPr>
        <w:t xml:space="preserve"> (Accessed December 2023)</w:t>
      </w:r>
    </w:p>
    <w:p w14:paraId="6DA8D825" w14:textId="77777777" w:rsidR="0082389E" w:rsidRPr="00061FD7" w:rsidRDefault="0082389E" w:rsidP="0082389E">
      <w:pPr>
        <w:pStyle w:val="NormalWeb"/>
        <w:jc w:val="both"/>
        <w:rPr>
          <w:rFonts w:asciiTheme="minorHAnsi" w:hAnsiTheme="minorHAnsi" w:cstheme="minorHAnsi"/>
          <w:sz w:val="28"/>
          <w:szCs w:val="28"/>
        </w:rPr>
      </w:pPr>
      <w:r w:rsidRPr="00BE0AE2">
        <w:rPr>
          <w:rFonts w:asciiTheme="minorHAnsi" w:hAnsiTheme="minorHAnsi" w:cstheme="minorHAnsi"/>
          <w:sz w:val="28"/>
          <w:szCs w:val="28"/>
        </w:rPr>
        <w:t xml:space="preserve">BROWN, D.J. (2020) </w:t>
      </w:r>
      <w:r w:rsidRPr="00BE0AE2">
        <w:rPr>
          <w:rFonts w:asciiTheme="minorHAnsi" w:hAnsiTheme="minorHAnsi" w:cstheme="minorHAnsi"/>
          <w:i/>
          <w:iCs/>
          <w:sz w:val="28"/>
          <w:szCs w:val="28"/>
        </w:rPr>
        <w:t>“</w:t>
      </w:r>
      <w:r w:rsidRPr="00BE0AE2">
        <w:rPr>
          <w:rFonts w:asciiTheme="minorHAnsi" w:hAnsiTheme="minorHAnsi" w:cstheme="minorHAnsi"/>
          <w:sz w:val="28"/>
          <w:szCs w:val="28"/>
        </w:rPr>
        <w:t>Community Policing in Multicultural Communities: Adding Key Components to Make It Successful</w:t>
      </w:r>
      <w:proofErr w:type="gramStart"/>
      <w:r w:rsidRPr="00BE0AE2">
        <w:rPr>
          <w:rFonts w:asciiTheme="minorHAnsi" w:hAnsiTheme="minorHAnsi" w:cstheme="minorHAnsi"/>
          <w:sz w:val="28"/>
          <w:szCs w:val="28"/>
        </w:rPr>
        <w:t xml:space="preserve">,”  </w:t>
      </w:r>
      <w:r w:rsidRPr="00BE0AE2">
        <w:rPr>
          <w:rFonts w:asciiTheme="minorHAnsi" w:hAnsiTheme="minorHAnsi" w:cstheme="minorHAnsi"/>
          <w:i/>
          <w:iCs/>
          <w:sz w:val="28"/>
          <w:szCs w:val="28"/>
        </w:rPr>
        <w:t>Policechiefmagazine.org</w:t>
      </w:r>
      <w:proofErr w:type="gramEnd"/>
      <w:r w:rsidRPr="00BE0AE2">
        <w:rPr>
          <w:rFonts w:asciiTheme="minorHAnsi" w:hAnsiTheme="minorHAnsi" w:cstheme="minorHAnsi"/>
          <w:sz w:val="28"/>
          <w:szCs w:val="28"/>
        </w:rPr>
        <w:t xml:space="preserve">. Available at: </w:t>
      </w:r>
      <w:hyperlink r:id="rId7" w:anchor=":~:text=By%20understanding%20the%20various%20cultures%20in,in%20the%20viewpoint%20of%20the%20community.&amp;text=By%20understanding%20the%20various,viewpoint%20of%20the%20community.&amp;text=the%20various%20cultures%20in,in%20the%20viewpoint%20of" w:history="1">
        <w:r w:rsidRPr="00061FD7">
          <w:rPr>
            <w:rStyle w:val="Hyperlink"/>
            <w:rFonts w:eastAsiaTheme="majorEastAsia"/>
            <w:sz w:val="28"/>
            <w:szCs w:val="28"/>
          </w:rPr>
          <w:t>Community Policing in Multicultural Communities - Police Chief Magazine</w:t>
        </w:r>
      </w:hyperlink>
      <w:r w:rsidRPr="00BE0AE2">
        <w:rPr>
          <w:rFonts w:asciiTheme="minorHAnsi" w:hAnsiTheme="minorHAnsi" w:cstheme="minorHAnsi"/>
          <w:sz w:val="28"/>
          <w:szCs w:val="28"/>
        </w:rPr>
        <w:t xml:space="preserve"> (Accessed</w:t>
      </w:r>
      <w:r>
        <w:rPr>
          <w:rFonts w:asciiTheme="minorHAnsi" w:hAnsiTheme="minorHAnsi" w:cstheme="minorHAnsi"/>
          <w:sz w:val="28"/>
          <w:szCs w:val="28"/>
        </w:rPr>
        <w:t xml:space="preserve"> </w:t>
      </w:r>
      <w:r w:rsidRPr="00BE0AE2">
        <w:rPr>
          <w:rFonts w:asciiTheme="minorHAnsi" w:hAnsiTheme="minorHAnsi" w:cstheme="minorHAnsi"/>
          <w:sz w:val="28"/>
          <w:szCs w:val="28"/>
        </w:rPr>
        <w:t xml:space="preserve">January 2024). </w:t>
      </w:r>
    </w:p>
    <w:p w14:paraId="0179011A" w14:textId="77777777" w:rsidR="0082389E" w:rsidRPr="00061FD7" w:rsidRDefault="0082389E" w:rsidP="0082389E">
      <w:pPr>
        <w:rPr>
          <w:rFonts w:cstheme="minorHAnsi"/>
          <w:sz w:val="28"/>
          <w:szCs w:val="28"/>
        </w:rPr>
      </w:pPr>
      <w:r w:rsidRPr="00061FD7">
        <w:rPr>
          <w:rFonts w:cstheme="minorHAnsi"/>
          <w:sz w:val="28"/>
          <w:szCs w:val="28"/>
        </w:rPr>
        <w:t xml:space="preserve">Bryant, S., Peck, M., &amp; </w:t>
      </w:r>
      <w:proofErr w:type="spellStart"/>
      <w:r w:rsidRPr="00061FD7">
        <w:rPr>
          <w:rFonts w:cstheme="minorHAnsi"/>
          <w:sz w:val="28"/>
          <w:szCs w:val="28"/>
        </w:rPr>
        <w:t>Lovbakke</w:t>
      </w:r>
      <w:proofErr w:type="spellEnd"/>
      <w:r w:rsidRPr="00061FD7">
        <w:rPr>
          <w:rFonts w:cstheme="minorHAnsi"/>
          <w:sz w:val="28"/>
          <w:szCs w:val="28"/>
        </w:rPr>
        <w:t>, J. (2015). Reoffending Analysis of MAPPA Eligible Offenders. Ministry of Justice Analytical Series. Available from (Accessed February 2019)</w:t>
      </w:r>
    </w:p>
    <w:p w14:paraId="1A2BE716" w14:textId="77777777" w:rsidR="0082389E" w:rsidRPr="00061FD7" w:rsidRDefault="0082389E" w:rsidP="0082389E">
      <w:pPr>
        <w:pStyle w:val="NormalWeb"/>
        <w:jc w:val="both"/>
        <w:rPr>
          <w:rFonts w:asciiTheme="minorHAnsi" w:hAnsiTheme="minorHAnsi" w:cstheme="minorHAnsi"/>
          <w:sz w:val="28"/>
          <w:szCs w:val="28"/>
        </w:rPr>
      </w:pPr>
      <w:r w:rsidRPr="00061FD7">
        <w:rPr>
          <w:rFonts w:asciiTheme="minorHAnsi" w:hAnsiTheme="minorHAnsi" w:cstheme="minorHAnsi"/>
          <w:sz w:val="28"/>
          <w:szCs w:val="28"/>
        </w:rPr>
        <w:t xml:space="preserve">College of Policing (2014) Code of ethics, </w:t>
      </w:r>
      <w:r w:rsidRPr="00061FD7">
        <w:rPr>
          <w:rFonts w:asciiTheme="minorHAnsi" w:hAnsiTheme="minorHAnsi" w:cstheme="minorHAnsi"/>
          <w:i/>
          <w:iCs/>
          <w:sz w:val="28"/>
          <w:szCs w:val="28"/>
        </w:rPr>
        <w:t>College of Policing</w:t>
      </w:r>
      <w:r w:rsidRPr="00061FD7">
        <w:rPr>
          <w:rFonts w:asciiTheme="minorHAnsi" w:hAnsiTheme="minorHAnsi" w:cstheme="minorHAnsi"/>
          <w:sz w:val="28"/>
          <w:szCs w:val="28"/>
        </w:rPr>
        <w:t>. Available at: https://www.college.police.uk/ethics/code-of-ethics (Accessed</w:t>
      </w:r>
      <w:r>
        <w:rPr>
          <w:rFonts w:asciiTheme="minorHAnsi" w:hAnsiTheme="minorHAnsi" w:cstheme="minorHAnsi"/>
          <w:sz w:val="28"/>
          <w:szCs w:val="28"/>
        </w:rPr>
        <w:t xml:space="preserve"> </w:t>
      </w:r>
      <w:r w:rsidRPr="00061FD7">
        <w:rPr>
          <w:rFonts w:asciiTheme="minorHAnsi" w:hAnsiTheme="minorHAnsi" w:cstheme="minorHAnsi"/>
          <w:sz w:val="28"/>
          <w:szCs w:val="28"/>
        </w:rPr>
        <w:t xml:space="preserve">January 2024). </w:t>
      </w:r>
    </w:p>
    <w:p w14:paraId="214D0A04" w14:textId="77777777" w:rsidR="0082389E" w:rsidRPr="00061FD7" w:rsidRDefault="0082389E" w:rsidP="0082389E">
      <w:pPr>
        <w:pStyle w:val="NormalWeb"/>
        <w:jc w:val="both"/>
        <w:rPr>
          <w:rFonts w:asciiTheme="minorHAnsi" w:hAnsiTheme="minorHAnsi" w:cstheme="minorHAnsi"/>
          <w:sz w:val="28"/>
          <w:szCs w:val="28"/>
        </w:rPr>
      </w:pPr>
      <w:proofErr w:type="spellStart"/>
      <w:r w:rsidRPr="00BE0AE2">
        <w:rPr>
          <w:rFonts w:asciiTheme="minorHAnsi" w:hAnsiTheme="minorHAnsi" w:cstheme="minorHAnsi"/>
          <w:sz w:val="28"/>
          <w:szCs w:val="28"/>
        </w:rPr>
        <w:t>DeGeneste</w:t>
      </w:r>
      <w:proofErr w:type="spellEnd"/>
      <w:r w:rsidRPr="00061FD7">
        <w:rPr>
          <w:rFonts w:asciiTheme="minorHAnsi" w:hAnsiTheme="minorHAnsi" w:cstheme="minorHAnsi"/>
          <w:sz w:val="28"/>
          <w:szCs w:val="28"/>
        </w:rPr>
        <w:t>, H, I</w:t>
      </w:r>
      <w:r w:rsidRPr="00BE0AE2">
        <w:rPr>
          <w:rFonts w:asciiTheme="minorHAnsi" w:hAnsiTheme="minorHAnsi" w:cstheme="minorHAnsi"/>
          <w:sz w:val="28"/>
          <w:szCs w:val="28"/>
        </w:rPr>
        <w:t>., Sullivan</w:t>
      </w:r>
      <w:r w:rsidRPr="00061FD7">
        <w:rPr>
          <w:rFonts w:asciiTheme="minorHAnsi" w:hAnsiTheme="minorHAnsi" w:cstheme="minorHAnsi"/>
          <w:sz w:val="28"/>
          <w:szCs w:val="28"/>
        </w:rPr>
        <w:t xml:space="preserve">, </w:t>
      </w:r>
      <w:proofErr w:type="gramStart"/>
      <w:r w:rsidRPr="00061FD7">
        <w:rPr>
          <w:rFonts w:asciiTheme="minorHAnsi" w:hAnsiTheme="minorHAnsi" w:cstheme="minorHAnsi"/>
          <w:sz w:val="28"/>
          <w:szCs w:val="28"/>
        </w:rPr>
        <w:t>J.P</w:t>
      </w:r>
      <w:r w:rsidRPr="00BE0AE2">
        <w:rPr>
          <w:rFonts w:asciiTheme="minorHAnsi" w:hAnsiTheme="minorHAnsi" w:cstheme="minorHAnsi"/>
          <w:sz w:val="28"/>
          <w:szCs w:val="28"/>
        </w:rPr>
        <w:t>.,(</w:t>
      </w:r>
      <w:proofErr w:type="gramEnd"/>
      <w:r w:rsidRPr="00BE0AE2">
        <w:rPr>
          <w:rFonts w:asciiTheme="minorHAnsi" w:hAnsiTheme="minorHAnsi" w:cstheme="minorHAnsi"/>
          <w:sz w:val="28"/>
          <w:szCs w:val="28"/>
        </w:rPr>
        <w:t xml:space="preserve">1997) Policing a multicultural community, Policing a Multicultural Community </w:t>
      </w:r>
      <w:r w:rsidRPr="00BE0AE2">
        <w:rPr>
          <w:rFonts w:asciiTheme="minorHAnsi" w:hAnsiTheme="minorHAnsi" w:cstheme="minorHAnsi"/>
          <w:i/>
          <w:iCs/>
          <w:sz w:val="28"/>
          <w:szCs w:val="28"/>
        </w:rPr>
        <w:t>| Office of Justice Programs</w:t>
      </w:r>
      <w:r w:rsidRPr="00BE0AE2">
        <w:rPr>
          <w:rFonts w:asciiTheme="minorHAnsi" w:hAnsiTheme="minorHAnsi" w:cstheme="minorHAnsi"/>
          <w:sz w:val="28"/>
          <w:szCs w:val="28"/>
        </w:rPr>
        <w:t xml:space="preserve">. Available at: https://www.ojp.gov/ncjrs/virtual-library/abstracts/policing-multicultural-community (Accessed: 18 January 2024). </w:t>
      </w:r>
    </w:p>
    <w:p w14:paraId="23860453" w14:textId="77777777" w:rsidR="0082389E" w:rsidRPr="00061FD7" w:rsidRDefault="0082389E" w:rsidP="0082389E">
      <w:pPr>
        <w:jc w:val="both"/>
        <w:rPr>
          <w:rFonts w:cstheme="minorHAnsi"/>
          <w:sz w:val="28"/>
          <w:szCs w:val="28"/>
        </w:rPr>
      </w:pPr>
      <w:r w:rsidRPr="00061FD7">
        <w:rPr>
          <w:rFonts w:cstheme="minorHAnsi"/>
          <w:sz w:val="28"/>
          <w:szCs w:val="28"/>
        </w:rPr>
        <w:t xml:space="preserve">Home Office (2023) Criminal exploitation of children and vulnerable adults; county lines. Available at </w:t>
      </w:r>
      <w:hyperlink r:id="rId8" w:history="1">
        <w:r w:rsidRPr="00061FD7">
          <w:rPr>
            <w:rStyle w:val="Hyperlink"/>
            <w:rFonts w:cstheme="minorHAnsi"/>
            <w:sz w:val="28"/>
            <w:szCs w:val="28"/>
          </w:rPr>
          <w:t>www.gov.uk</w:t>
        </w:r>
      </w:hyperlink>
      <w:r w:rsidRPr="00061FD7">
        <w:rPr>
          <w:rFonts w:cstheme="minorHAnsi"/>
          <w:sz w:val="28"/>
          <w:szCs w:val="28"/>
        </w:rPr>
        <w:t xml:space="preserve"> </w:t>
      </w:r>
      <w:r>
        <w:rPr>
          <w:rFonts w:cstheme="minorHAnsi"/>
          <w:sz w:val="28"/>
          <w:szCs w:val="28"/>
        </w:rPr>
        <w:t>(</w:t>
      </w:r>
      <w:r w:rsidRPr="00061FD7">
        <w:rPr>
          <w:rFonts w:cstheme="minorHAnsi"/>
          <w:sz w:val="28"/>
          <w:szCs w:val="28"/>
        </w:rPr>
        <w:t>Accessed December 2023</w:t>
      </w:r>
      <w:r>
        <w:rPr>
          <w:rFonts w:cstheme="minorHAnsi"/>
          <w:sz w:val="28"/>
          <w:szCs w:val="28"/>
        </w:rPr>
        <w:t>)</w:t>
      </w:r>
    </w:p>
    <w:p w14:paraId="67609D35" w14:textId="77777777" w:rsidR="0082389E" w:rsidRPr="00061FD7" w:rsidRDefault="0082389E" w:rsidP="0082389E">
      <w:pPr>
        <w:pStyle w:val="Heading1"/>
        <w:spacing w:before="161" w:after="161"/>
        <w:rPr>
          <w:rFonts w:asciiTheme="minorHAnsi" w:hAnsiTheme="minorHAnsi" w:cstheme="minorHAnsi"/>
          <w:color w:val="282828"/>
          <w:sz w:val="28"/>
          <w:szCs w:val="28"/>
        </w:rPr>
      </w:pPr>
      <w:r w:rsidRPr="00061FD7">
        <w:rPr>
          <w:rFonts w:asciiTheme="minorHAnsi" w:hAnsiTheme="minorHAnsi" w:cstheme="minorHAnsi"/>
          <w:b/>
          <w:bCs/>
          <w:i/>
          <w:iCs/>
          <w:color w:val="282828"/>
          <w:sz w:val="28"/>
          <w:szCs w:val="28"/>
        </w:rPr>
        <w:t>His Majesty’s Inspectorate of Constabulary and Fire &amp; Rescue Services</w:t>
      </w:r>
      <w:r w:rsidRPr="00061FD7">
        <w:rPr>
          <w:rFonts w:asciiTheme="minorHAnsi" w:hAnsiTheme="minorHAnsi" w:cstheme="minorHAnsi"/>
          <w:color w:val="282828"/>
          <w:sz w:val="28"/>
          <w:szCs w:val="28"/>
        </w:rPr>
        <w:t xml:space="preserve"> </w:t>
      </w:r>
      <w:r w:rsidRPr="00061FD7">
        <w:rPr>
          <w:rFonts w:asciiTheme="minorHAnsi" w:hAnsiTheme="minorHAnsi" w:cstheme="minorHAnsi"/>
          <w:b/>
          <w:bCs/>
          <w:color w:val="282828"/>
          <w:sz w:val="28"/>
          <w:szCs w:val="28"/>
        </w:rPr>
        <w:t xml:space="preserve">(2022) Available at </w:t>
      </w:r>
      <w:hyperlink r:id="rId9" w:history="1">
        <w:r w:rsidRPr="00061FD7">
          <w:rPr>
            <w:rStyle w:val="Hyperlink"/>
            <w:rFonts w:asciiTheme="minorHAnsi" w:hAnsiTheme="minorHAnsi" w:cstheme="minorHAnsi"/>
            <w:sz w:val="28"/>
            <w:szCs w:val="28"/>
          </w:rPr>
          <w:t>https://hmicfrs.justiceinspectorates.gov.uk/</w:t>
        </w:r>
      </w:hyperlink>
      <w:r w:rsidRPr="00061FD7">
        <w:rPr>
          <w:rFonts w:asciiTheme="minorHAnsi" w:hAnsiTheme="minorHAnsi" w:cstheme="minorHAnsi"/>
          <w:b/>
          <w:bCs/>
          <w:color w:val="282828"/>
          <w:sz w:val="28"/>
          <w:szCs w:val="28"/>
        </w:rPr>
        <w:t xml:space="preserve"> (Accessed November 2023)</w:t>
      </w:r>
    </w:p>
    <w:p w14:paraId="007BF388" w14:textId="77777777" w:rsidR="0082389E" w:rsidRPr="00061FD7" w:rsidRDefault="0082389E" w:rsidP="0082389E">
      <w:pPr>
        <w:jc w:val="both"/>
        <w:rPr>
          <w:rFonts w:cstheme="minorHAnsi"/>
          <w:sz w:val="28"/>
          <w:szCs w:val="28"/>
        </w:rPr>
      </w:pPr>
    </w:p>
    <w:p w14:paraId="2E3A482D" w14:textId="77777777" w:rsidR="0082389E" w:rsidRPr="00061FD7" w:rsidRDefault="0082389E" w:rsidP="0082389E">
      <w:pPr>
        <w:jc w:val="both"/>
        <w:rPr>
          <w:rFonts w:cstheme="minorHAnsi"/>
          <w:sz w:val="28"/>
          <w:szCs w:val="28"/>
        </w:rPr>
      </w:pPr>
      <w:r w:rsidRPr="00061FD7">
        <w:rPr>
          <w:rFonts w:cstheme="minorHAnsi"/>
          <w:sz w:val="28"/>
          <w:szCs w:val="28"/>
        </w:rPr>
        <w:t>Institute for government (2022) Police Accountability. Available at www.instituteforgovernment.org.uk, (Accessed January 2024)</w:t>
      </w:r>
    </w:p>
    <w:p w14:paraId="0CEFC0CA" w14:textId="77777777" w:rsidR="0082389E" w:rsidRPr="00061FD7" w:rsidRDefault="0082389E" w:rsidP="0082389E">
      <w:pPr>
        <w:jc w:val="both"/>
        <w:rPr>
          <w:rFonts w:cstheme="minorHAnsi"/>
          <w:sz w:val="28"/>
          <w:szCs w:val="28"/>
        </w:rPr>
      </w:pPr>
      <w:r w:rsidRPr="00061FD7">
        <w:rPr>
          <w:rFonts w:cstheme="minorHAnsi"/>
          <w:sz w:val="28"/>
          <w:szCs w:val="28"/>
        </w:rPr>
        <w:t xml:space="preserve">Independent Office for Police Conduct (2022) Complaints, reviews and appeals. Available at </w:t>
      </w:r>
      <w:hyperlink r:id="rId10" w:history="1">
        <w:r w:rsidRPr="00061FD7">
          <w:rPr>
            <w:rStyle w:val="Hyperlink"/>
            <w:rFonts w:cstheme="minorHAnsi"/>
            <w:sz w:val="28"/>
            <w:szCs w:val="28"/>
          </w:rPr>
          <w:t>https://wwww.policeconduct.gov/complaints-reviews-and-appeals</w:t>
        </w:r>
      </w:hyperlink>
      <w:r w:rsidRPr="00061FD7">
        <w:rPr>
          <w:rFonts w:cstheme="minorHAnsi"/>
          <w:sz w:val="28"/>
          <w:szCs w:val="28"/>
        </w:rPr>
        <w:t xml:space="preserve"> (Accessed November 2023)</w:t>
      </w:r>
    </w:p>
    <w:p w14:paraId="64C3CD93" w14:textId="77777777" w:rsidR="0082389E" w:rsidRPr="00BE0AE2" w:rsidRDefault="0082389E" w:rsidP="0082389E">
      <w:pPr>
        <w:jc w:val="both"/>
        <w:rPr>
          <w:rFonts w:cstheme="minorHAnsi"/>
          <w:sz w:val="28"/>
          <w:szCs w:val="28"/>
        </w:rPr>
      </w:pPr>
      <w:r w:rsidRPr="00061FD7">
        <w:rPr>
          <w:rFonts w:cstheme="minorHAnsi"/>
          <w:sz w:val="28"/>
          <w:szCs w:val="28"/>
        </w:rPr>
        <w:lastRenderedPageBreak/>
        <w:t xml:space="preserve">Institute for Government (2022) Police Accountability. Available at </w:t>
      </w:r>
      <w:hyperlink r:id="rId11" w:anchor=":~:text=Why%20is%20police%20accountability%20important,police%27s20responsivness%20to%20the%20public" w:history="1">
        <w:r w:rsidRPr="00061FD7">
          <w:rPr>
            <w:rStyle w:val="Hyperlink"/>
            <w:rFonts w:cstheme="minorHAnsi"/>
            <w:sz w:val="28"/>
            <w:szCs w:val="28"/>
          </w:rPr>
          <w:t>https://wwww.instituteforgovernment.org.uk/article/explainer/police-accountability#:~:text=Why%20is%20police%20accountability%20important,police%27s20responsivness%20to%20the%20public</w:t>
        </w:r>
      </w:hyperlink>
      <w:r w:rsidRPr="00061FD7">
        <w:rPr>
          <w:rFonts w:cstheme="minorHAnsi"/>
          <w:sz w:val="28"/>
          <w:szCs w:val="28"/>
        </w:rPr>
        <w:t xml:space="preserve"> (Accessed December 2023)</w:t>
      </w:r>
    </w:p>
    <w:p w14:paraId="46B26DD6" w14:textId="77777777" w:rsidR="0082389E" w:rsidRPr="00061FD7" w:rsidRDefault="0082389E" w:rsidP="0082389E">
      <w:pPr>
        <w:pStyle w:val="NormalWeb"/>
        <w:jc w:val="both"/>
        <w:rPr>
          <w:rFonts w:asciiTheme="minorHAnsi" w:hAnsiTheme="minorHAnsi" w:cstheme="minorHAnsi"/>
          <w:sz w:val="28"/>
          <w:szCs w:val="28"/>
        </w:rPr>
      </w:pPr>
      <w:r w:rsidRPr="00BE0AE2">
        <w:rPr>
          <w:rFonts w:asciiTheme="minorHAnsi" w:hAnsiTheme="minorHAnsi" w:cstheme="minorHAnsi"/>
          <w:sz w:val="28"/>
          <w:szCs w:val="28"/>
        </w:rPr>
        <w:t xml:space="preserve">A.A. (2023) Impact of police community support officers, </w:t>
      </w:r>
      <w:r w:rsidRPr="00BE0AE2">
        <w:rPr>
          <w:rFonts w:asciiTheme="minorHAnsi" w:hAnsiTheme="minorHAnsi" w:cstheme="minorHAnsi"/>
          <w:i/>
          <w:iCs/>
          <w:sz w:val="28"/>
          <w:szCs w:val="28"/>
        </w:rPr>
        <w:t>UKDiss.com</w:t>
      </w:r>
      <w:r w:rsidRPr="00BE0AE2">
        <w:rPr>
          <w:rFonts w:asciiTheme="minorHAnsi" w:hAnsiTheme="minorHAnsi" w:cstheme="minorHAnsi"/>
          <w:sz w:val="28"/>
          <w:szCs w:val="28"/>
        </w:rPr>
        <w:t xml:space="preserve">. Available at: </w:t>
      </w:r>
      <w:hyperlink r:id="rId12" w:anchor=":~:text=This%20Report%20uses%20the%20British%20Crime%20Survey%20%28BCS%29,majority%20of%20crime%20levels%20have%20started%20to%20decrease" w:history="1">
        <w:r w:rsidRPr="00061FD7">
          <w:rPr>
            <w:rStyle w:val="Hyperlink"/>
            <w:rFonts w:eastAsiaTheme="majorEastAsia"/>
            <w:sz w:val="28"/>
            <w:szCs w:val="28"/>
          </w:rPr>
          <w:t>Impact of Police Community Support Officers (ukdiss.com)</w:t>
        </w:r>
      </w:hyperlink>
      <w:r w:rsidRPr="00BE0AE2">
        <w:rPr>
          <w:rFonts w:asciiTheme="minorHAnsi" w:hAnsiTheme="minorHAnsi" w:cstheme="minorHAnsi"/>
          <w:sz w:val="32"/>
          <w:szCs w:val="32"/>
        </w:rPr>
        <w:t xml:space="preserve">. </w:t>
      </w:r>
      <w:r w:rsidRPr="00BE0AE2">
        <w:rPr>
          <w:rFonts w:asciiTheme="minorHAnsi" w:hAnsiTheme="minorHAnsi" w:cstheme="minorHAnsi"/>
          <w:sz w:val="28"/>
          <w:szCs w:val="28"/>
        </w:rPr>
        <w:t xml:space="preserve">(Accessed: </w:t>
      </w:r>
      <w:r>
        <w:rPr>
          <w:rFonts w:asciiTheme="minorHAnsi" w:hAnsiTheme="minorHAnsi" w:cstheme="minorHAnsi"/>
          <w:sz w:val="28"/>
          <w:szCs w:val="28"/>
        </w:rPr>
        <w:t>J</w:t>
      </w:r>
      <w:r w:rsidRPr="00BE0AE2">
        <w:rPr>
          <w:rFonts w:asciiTheme="minorHAnsi" w:hAnsiTheme="minorHAnsi" w:cstheme="minorHAnsi"/>
          <w:sz w:val="28"/>
          <w:szCs w:val="28"/>
        </w:rPr>
        <w:t xml:space="preserve">anuary 2024). </w:t>
      </w:r>
    </w:p>
    <w:p w14:paraId="462C7C6A" w14:textId="77777777" w:rsidR="0082389E" w:rsidRPr="00BE0AE2" w:rsidRDefault="0082389E" w:rsidP="0082389E">
      <w:pPr>
        <w:jc w:val="both"/>
        <w:rPr>
          <w:rFonts w:cstheme="minorHAnsi"/>
          <w:sz w:val="28"/>
          <w:szCs w:val="28"/>
        </w:rPr>
      </w:pPr>
      <w:r w:rsidRPr="00061FD7">
        <w:rPr>
          <w:rFonts w:cstheme="minorHAnsi"/>
          <w:sz w:val="28"/>
          <w:szCs w:val="28"/>
        </w:rPr>
        <w:t xml:space="preserve">Metropolitan Police (2021) Adult and elder abuse. Available at </w:t>
      </w:r>
      <w:hyperlink r:id="rId13" w:history="1">
        <w:r w:rsidRPr="00061FD7">
          <w:rPr>
            <w:rStyle w:val="Hyperlink"/>
            <w:rFonts w:cstheme="minorHAnsi"/>
            <w:sz w:val="28"/>
            <w:szCs w:val="28"/>
          </w:rPr>
          <w:t>Adult and elder abuse | Metropolitan Police</w:t>
        </w:r>
      </w:hyperlink>
      <w:r w:rsidRPr="00061FD7">
        <w:rPr>
          <w:rFonts w:cstheme="minorHAnsi"/>
          <w:sz w:val="28"/>
          <w:szCs w:val="28"/>
        </w:rPr>
        <w:t xml:space="preserve"> [Accessed January 2024]</w:t>
      </w:r>
    </w:p>
    <w:p w14:paraId="33ADC7E6" w14:textId="77777777" w:rsidR="0082389E" w:rsidRPr="00061FD7" w:rsidRDefault="0082389E" w:rsidP="0082389E">
      <w:pPr>
        <w:pStyle w:val="NormalWeb"/>
        <w:jc w:val="both"/>
        <w:rPr>
          <w:rFonts w:asciiTheme="minorHAnsi" w:hAnsiTheme="minorHAnsi" w:cstheme="minorHAnsi"/>
          <w:sz w:val="28"/>
          <w:szCs w:val="28"/>
        </w:rPr>
      </w:pPr>
      <w:r w:rsidRPr="00BE0AE2">
        <w:rPr>
          <w:rFonts w:asciiTheme="minorHAnsi" w:hAnsiTheme="minorHAnsi" w:cstheme="minorHAnsi"/>
          <w:sz w:val="28"/>
          <w:szCs w:val="28"/>
        </w:rPr>
        <w:t>Miller, J. and Miller, J. (2019) The Police and Criminal Evidence Act 1984</w:t>
      </w:r>
      <w:r w:rsidRPr="00BE0AE2">
        <w:rPr>
          <w:rFonts w:asciiTheme="minorHAnsi" w:hAnsiTheme="minorHAnsi" w:cstheme="minorHAnsi"/>
          <w:i/>
          <w:iCs/>
          <w:sz w:val="28"/>
          <w:szCs w:val="28"/>
        </w:rPr>
        <w:t xml:space="preserve"> (PACE)</w:t>
      </w:r>
      <w:r w:rsidRPr="00BE0AE2">
        <w:rPr>
          <w:rFonts w:asciiTheme="minorHAnsi" w:hAnsiTheme="minorHAnsi" w:cstheme="minorHAnsi"/>
          <w:sz w:val="28"/>
          <w:szCs w:val="28"/>
        </w:rPr>
        <w:t xml:space="preserve">, </w:t>
      </w:r>
      <w:r w:rsidRPr="00BE0AE2">
        <w:rPr>
          <w:rFonts w:asciiTheme="minorHAnsi" w:hAnsiTheme="minorHAnsi" w:cstheme="minorHAnsi"/>
          <w:i/>
          <w:iCs/>
          <w:sz w:val="28"/>
          <w:szCs w:val="28"/>
        </w:rPr>
        <w:t>Geoffrey Miller Solicitors</w:t>
      </w:r>
      <w:r w:rsidRPr="00BE0AE2">
        <w:rPr>
          <w:rFonts w:asciiTheme="minorHAnsi" w:hAnsiTheme="minorHAnsi" w:cstheme="minorHAnsi"/>
          <w:sz w:val="28"/>
          <w:szCs w:val="28"/>
        </w:rPr>
        <w:t xml:space="preserve">. Available at: https://www.motoroffence.co.uk/the-police-and-criminal-evidence-act-1984-pace/ (Accessed: 18 January 2024). </w:t>
      </w:r>
    </w:p>
    <w:p w14:paraId="2CDA90C8" w14:textId="77777777" w:rsidR="0082389E" w:rsidRPr="00061FD7" w:rsidRDefault="0082389E" w:rsidP="0082389E">
      <w:pPr>
        <w:rPr>
          <w:rFonts w:cstheme="minorHAnsi"/>
          <w:sz w:val="28"/>
          <w:szCs w:val="28"/>
        </w:rPr>
      </w:pPr>
      <w:r w:rsidRPr="00061FD7">
        <w:rPr>
          <w:rFonts w:cstheme="minorHAnsi"/>
          <w:sz w:val="28"/>
          <w:szCs w:val="28"/>
        </w:rPr>
        <w:t xml:space="preserve">Ministry of Justice, (2023) Multi-Agency Public Protection Agency (MAPPA) Annual Report 2022/2023. Available at </w:t>
      </w:r>
      <w:hyperlink r:id="rId14" w:history="1">
        <w:r w:rsidRPr="00061FD7">
          <w:rPr>
            <w:rStyle w:val="Hyperlink"/>
            <w:rFonts w:cstheme="minorHAnsi"/>
            <w:sz w:val="28"/>
            <w:szCs w:val="28"/>
          </w:rPr>
          <w:t>https://assets.publishing.service.gov.uk/media/653966ade6c968000daa9b26/MAPPA_Annual_Report_2023.pdf</w:t>
        </w:r>
      </w:hyperlink>
      <w:r w:rsidRPr="00061FD7">
        <w:rPr>
          <w:rFonts w:cstheme="minorHAnsi"/>
          <w:sz w:val="28"/>
          <w:szCs w:val="28"/>
        </w:rPr>
        <w:t xml:space="preserve"> [Accessed: November 2023]</w:t>
      </w:r>
    </w:p>
    <w:p w14:paraId="57F11468" w14:textId="77777777" w:rsidR="0082389E" w:rsidRPr="00061FD7" w:rsidRDefault="0082389E" w:rsidP="0082389E">
      <w:pPr>
        <w:jc w:val="both"/>
        <w:rPr>
          <w:rFonts w:cstheme="minorHAnsi"/>
          <w:sz w:val="28"/>
          <w:szCs w:val="28"/>
        </w:rPr>
      </w:pPr>
      <w:r w:rsidRPr="00061FD7">
        <w:rPr>
          <w:rFonts w:eastAsia="Times New Roman" w:cstheme="minorHAnsi"/>
          <w:sz w:val="28"/>
          <w:szCs w:val="28"/>
          <w:lang w:eastAsia="cy-GB"/>
        </w:rPr>
        <w:t xml:space="preserve">National Crime Agency, (2021) Online is the new frontline in fight against organised crime. Available at </w:t>
      </w:r>
      <w:hyperlink r:id="rId15" w:history="1">
        <w:r w:rsidRPr="00061FD7">
          <w:rPr>
            <w:rStyle w:val="Hyperlink"/>
            <w:rFonts w:cstheme="minorHAnsi"/>
            <w:sz w:val="28"/>
            <w:szCs w:val="28"/>
          </w:rPr>
          <w:t>Online is the new frontline in fight against organised crime– says NCA on publication of annual threat assessment - National Crime Agency</w:t>
        </w:r>
      </w:hyperlink>
      <w:r w:rsidRPr="00061FD7">
        <w:rPr>
          <w:rFonts w:cstheme="minorHAnsi"/>
          <w:sz w:val="28"/>
          <w:szCs w:val="28"/>
        </w:rPr>
        <w:t xml:space="preserve"> [Accessed January 2024]</w:t>
      </w:r>
    </w:p>
    <w:p w14:paraId="56A8CC1F" w14:textId="77777777" w:rsidR="0082389E" w:rsidRPr="00061FD7" w:rsidRDefault="0082389E" w:rsidP="0082389E">
      <w:pPr>
        <w:jc w:val="both"/>
        <w:rPr>
          <w:rFonts w:cstheme="minorHAnsi"/>
          <w:sz w:val="28"/>
          <w:szCs w:val="28"/>
        </w:rPr>
      </w:pPr>
      <w:r w:rsidRPr="00061FD7">
        <w:rPr>
          <w:rFonts w:cstheme="minorHAnsi"/>
          <w:sz w:val="28"/>
          <w:szCs w:val="28"/>
        </w:rPr>
        <w:t xml:space="preserve">National Crime Agency (2022). County Lines. Protecting the public from serious and organised crime. Available at </w:t>
      </w:r>
      <w:hyperlink r:id="rId16" w:history="1">
        <w:r w:rsidRPr="00061FD7">
          <w:rPr>
            <w:rStyle w:val="Hyperlink"/>
            <w:rFonts w:cstheme="minorHAnsi"/>
            <w:sz w:val="28"/>
            <w:szCs w:val="28"/>
          </w:rPr>
          <w:t>www.nationalcrimeagency.gov.uk</w:t>
        </w:r>
      </w:hyperlink>
      <w:r w:rsidRPr="00061FD7">
        <w:rPr>
          <w:rFonts w:cstheme="minorHAnsi"/>
          <w:sz w:val="28"/>
          <w:szCs w:val="28"/>
        </w:rPr>
        <w:t xml:space="preserve"> [Accessed, January 2024]</w:t>
      </w:r>
    </w:p>
    <w:p w14:paraId="24ABA225" w14:textId="77777777" w:rsidR="0082389E" w:rsidRPr="00061FD7" w:rsidRDefault="0082389E" w:rsidP="0082389E">
      <w:pPr>
        <w:jc w:val="both"/>
        <w:rPr>
          <w:rFonts w:cstheme="minorHAnsi"/>
          <w:sz w:val="28"/>
          <w:szCs w:val="28"/>
        </w:rPr>
      </w:pPr>
      <w:r w:rsidRPr="00061FD7">
        <w:rPr>
          <w:rFonts w:cstheme="minorHAnsi"/>
          <w:sz w:val="28"/>
          <w:szCs w:val="28"/>
        </w:rPr>
        <w:t xml:space="preserve">Neller, </w:t>
      </w:r>
      <w:proofErr w:type="gramStart"/>
      <w:r w:rsidRPr="00061FD7">
        <w:rPr>
          <w:rFonts w:cstheme="minorHAnsi"/>
          <w:sz w:val="28"/>
          <w:szCs w:val="28"/>
        </w:rPr>
        <w:t>D.J,.</w:t>
      </w:r>
      <w:proofErr w:type="gramEnd"/>
      <w:r w:rsidRPr="00061FD7">
        <w:rPr>
          <w:rFonts w:cstheme="minorHAnsi"/>
          <w:sz w:val="28"/>
          <w:szCs w:val="28"/>
        </w:rPr>
        <w:t xml:space="preserve"> &amp; Fabian, J.M., (2007) Trauma and its contribution to violent behaviour. Centre for crime and Justice. Available at </w:t>
      </w:r>
      <w:hyperlink r:id="rId17" w:history="1">
        <w:r w:rsidRPr="00061FD7">
          <w:rPr>
            <w:rStyle w:val="Hyperlink"/>
            <w:rFonts w:cstheme="minorHAnsi"/>
            <w:sz w:val="28"/>
            <w:szCs w:val="28"/>
          </w:rPr>
          <w:t>crimeandjustice.org.uk/sites/crimeandjustice.org.uk/files/09627250608553387.pdf</w:t>
        </w:r>
      </w:hyperlink>
      <w:r w:rsidRPr="00061FD7">
        <w:rPr>
          <w:rFonts w:cstheme="minorHAnsi"/>
          <w:sz w:val="28"/>
          <w:szCs w:val="28"/>
        </w:rPr>
        <w:t xml:space="preserve">  [Accessed November 2023]</w:t>
      </w:r>
    </w:p>
    <w:p w14:paraId="677839F5" w14:textId="77777777" w:rsidR="0082389E" w:rsidRPr="00061FD7" w:rsidRDefault="0082389E" w:rsidP="0082389E">
      <w:pPr>
        <w:jc w:val="both"/>
        <w:rPr>
          <w:rFonts w:cstheme="minorHAnsi"/>
          <w:sz w:val="28"/>
          <w:szCs w:val="28"/>
        </w:rPr>
      </w:pPr>
      <w:r w:rsidRPr="00061FD7">
        <w:rPr>
          <w:rFonts w:cstheme="minorHAnsi"/>
          <w:sz w:val="28"/>
          <w:szCs w:val="28"/>
        </w:rPr>
        <w:t xml:space="preserve">NSPCC (2024). Criminal exploitation and gangs. Available at </w:t>
      </w:r>
      <w:hyperlink r:id="rId18" w:history="1">
        <w:r w:rsidRPr="00061FD7">
          <w:rPr>
            <w:rStyle w:val="Hyperlink"/>
            <w:rFonts w:cstheme="minorHAnsi"/>
            <w:sz w:val="28"/>
            <w:szCs w:val="28"/>
          </w:rPr>
          <w:t>www.nspcc.org.uk</w:t>
        </w:r>
      </w:hyperlink>
      <w:r w:rsidRPr="00061FD7">
        <w:rPr>
          <w:rFonts w:cstheme="minorHAnsi"/>
          <w:sz w:val="28"/>
          <w:szCs w:val="28"/>
        </w:rPr>
        <w:t xml:space="preserve">. [Accessed January 2024) </w:t>
      </w:r>
    </w:p>
    <w:p w14:paraId="0A546804" w14:textId="77777777" w:rsidR="0082389E" w:rsidRPr="00061FD7" w:rsidRDefault="0082389E" w:rsidP="0082389E">
      <w:pPr>
        <w:jc w:val="both"/>
        <w:rPr>
          <w:rFonts w:cstheme="minorHAnsi"/>
          <w:sz w:val="28"/>
          <w:szCs w:val="28"/>
        </w:rPr>
      </w:pPr>
      <w:r w:rsidRPr="00061FD7">
        <w:rPr>
          <w:rFonts w:cstheme="minorHAnsi"/>
          <w:sz w:val="28"/>
          <w:szCs w:val="28"/>
        </w:rPr>
        <w:lastRenderedPageBreak/>
        <w:t xml:space="preserve">Office for Statistics (2023)., Crime in England and Wales: year ending September 2023., Available at </w:t>
      </w:r>
      <w:hyperlink r:id="rId19" w:history="1">
        <w:r w:rsidRPr="00061FD7">
          <w:rPr>
            <w:rStyle w:val="Hyperlink"/>
            <w:rFonts w:cstheme="minorHAnsi"/>
            <w:sz w:val="28"/>
            <w:szCs w:val="28"/>
          </w:rPr>
          <w:t>Crime in England and Wales - Office for National Statistics (ons.gov.uk)</w:t>
        </w:r>
      </w:hyperlink>
      <w:r w:rsidRPr="00061FD7">
        <w:rPr>
          <w:rFonts w:cstheme="minorHAnsi"/>
          <w:sz w:val="28"/>
          <w:szCs w:val="28"/>
        </w:rPr>
        <w:t xml:space="preserve"> (Accessed November 2023)</w:t>
      </w:r>
    </w:p>
    <w:p w14:paraId="6327062B" w14:textId="77777777" w:rsidR="0082389E" w:rsidRPr="00061FD7" w:rsidRDefault="0082389E" w:rsidP="0082389E">
      <w:pPr>
        <w:jc w:val="both"/>
        <w:rPr>
          <w:rFonts w:cstheme="minorHAnsi"/>
          <w:sz w:val="28"/>
          <w:szCs w:val="28"/>
        </w:rPr>
      </w:pPr>
    </w:p>
    <w:p w14:paraId="6B24799C" w14:textId="77777777" w:rsidR="0082389E" w:rsidRPr="00061FD7" w:rsidRDefault="0082389E" w:rsidP="0082389E">
      <w:pPr>
        <w:rPr>
          <w:rFonts w:cstheme="minorHAnsi"/>
          <w:sz w:val="28"/>
          <w:szCs w:val="28"/>
        </w:rPr>
      </w:pPr>
      <w:r w:rsidRPr="00061FD7">
        <w:rPr>
          <w:rFonts w:cstheme="minorHAnsi"/>
          <w:sz w:val="28"/>
          <w:szCs w:val="28"/>
        </w:rPr>
        <w:t>Peck, M. (2011). Patterns of Reconviction Among Offenders Eligible for MAPPA. Available at: https://assets.publishing. service.gov.uk/government/uploads/system/uploads/atachment_data/file/217373/patterns-reconviction-mappa.pdf (Accessed 13th March 2018)</w:t>
      </w:r>
    </w:p>
    <w:p w14:paraId="715A3547" w14:textId="77777777" w:rsidR="0082389E" w:rsidRPr="00061FD7" w:rsidRDefault="0082389E" w:rsidP="0082389E">
      <w:pPr>
        <w:pStyle w:val="NormalWeb"/>
        <w:jc w:val="both"/>
        <w:rPr>
          <w:rStyle w:val="Hyperlink"/>
          <w:rFonts w:asciiTheme="minorHAnsi" w:eastAsiaTheme="majorEastAsia" w:hAnsiTheme="minorHAnsi" w:cstheme="minorHAnsi"/>
          <w:color w:val="auto"/>
          <w:sz w:val="28"/>
          <w:szCs w:val="28"/>
        </w:rPr>
      </w:pPr>
      <w:r w:rsidRPr="00061FD7">
        <w:rPr>
          <w:rFonts w:asciiTheme="minorHAnsi" w:hAnsiTheme="minorHAnsi" w:cstheme="minorHAnsi"/>
          <w:sz w:val="28"/>
          <w:szCs w:val="28"/>
        </w:rPr>
        <w:t xml:space="preserve">Police and Crime Commissioner (2023) Encouraging Diversity into South Wales. </w:t>
      </w:r>
      <w:proofErr w:type="spellStart"/>
      <w:r w:rsidRPr="00061FD7">
        <w:rPr>
          <w:rFonts w:asciiTheme="minorHAnsi" w:hAnsiTheme="minorHAnsi" w:cstheme="minorHAnsi"/>
          <w:i/>
          <w:iCs/>
          <w:sz w:val="28"/>
          <w:szCs w:val="28"/>
        </w:rPr>
        <w:t>Heddlu</w:t>
      </w:r>
      <w:proofErr w:type="spellEnd"/>
      <w:r w:rsidRPr="00061FD7">
        <w:rPr>
          <w:rFonts w:asciiTheme="minorHAnsi" w:hAnsiTheme="minorHAnsi" w:cstheme="minorHAnsi"/>
          <w:i/>
          <w:iCs/>
          <w:sz w:val="28"/>
          <w:szCs w:val="28"/>
        </w:rPr>
        <w:t xml:space="preserve"> De Cymru, </w:t>
      </w:r>
      <w:r w:rsidRPr="00061FD7">
        <w:rPr>
          <w:rFonts w:asciiTheme="minorHAnsi" w:hAnsiTheme="minorHAnsi" w:cstheme="minorHAnsi"/>
          <w:sz w:val="28"/>
          <w:szCs w:val="28"/>
        </w:rPr>
        <w:t>Available at</w:t>
      </w:r>
      <w:r w:rsidRPr="00061FD7">
        <w:rPr>
          <w:rFonts w:asciiTheme="minorHAnsi" w:hAnsiTheme="minorHAnsi" w:cstheme="minorHAnsi"/>
          <w:i/>
          <w:iCs/>
          <w:sz w:val="28"/>
          <w:szCs w:val="28"/>
        </w:rPr>
        <w:t xml:space="preserve"> </w:t>
      </w:r>
      <w:r w:rsidRPr="00061FD7">
        <w:rPr>
          <w:rFonts w:asciiTheme="minorHAnsi" w:hAnsiTheme="minorHAnsi" w:cstheme="minorHAnsi"/>
          <w:sz w:val="28"/>
          <w:szCs w:val="28"/>
        </w:rPr>
        <w:t xml:space="preserve"> </w:t>
      </w:r>
      <w:hyperlink r:id="rId20" w:history="1">
        <w:r w:rsidRPr="00061FD7">
          <w:rPr>
            <w:rStyle w:val="Hyperlink"/>
            <w:rFonts w:asciiTheme="minorHAnsi" w:eastAsiaTheme="majorEastAsia" w:hAnsiTheme="minorHAnsi" w:cstheme="minorHAnsi"/>
            <w:b/>
            <w:bCs/>
            <w:sz w:val="28"/>
            <w:szCs w:val="28"/>
          </w:rPr>
          <w:t>https://www.southwalescommissioner.org.uk/en/our-work/equality-inclusion/encouraging-diversity-into-south-wales-police/</w:t>
        </w:r>
      </w:hyperlink>
      <w:r w:rsidRPr="00061FD7">
        <w:rPr>
          <w:rStyle w:val="Hyperlink"/>
          <w:rFonts w:asciiTheme="minorHAnsi" w:eastAsiaTheme="majorEastAsia" w:hAnsiTheme="minorHAnsi" w:cstheme="minorHAnsi"/>
          <w:b/>
          <w:bCs/>
          <w:sz w:val="28"/>
          <w:szCs w:val="28"/>
        </w:rPr>
        <w:t xml:space="preserve"> </w:t>
      </w:r>
      <w:r w:rsidRPr="00061FD7">
        <w:rPr>
          <w:rStyle w:val="Hyperlink"/>
          <w:rFonts w:asciiTheme="minorHAnsi" w:eastAsiaTheme="majorEastAsia" w:hAnsiTheme="minorHAnsi" w:cstheme="minorHAnsi"/>
          <w:color w:val="auto"/>
          <w:sz w:val="28"/>
          <w:szCs w:val="28"/>
          <w:u w:val="none"/>
        </w:rPr>
        <w:t>(Accessed January 2024)</w:t>
      </w:r>
    </w:p>
    <w:p w14:paraId="2CBADC4E" w14:textId="77777777" w:rsidR="0082389E" w:rsidRPr="00061FD7" w:rsidRDefault="0082389E" w:rsidP="0082389E">
      <w:pPr>
        <w:rPr>
          <w:rFonts w:cstheme="minorHAnsi"/>
          <w:sz w:val="28"/>
          <w:szCs w:val="28"/>
        </w:rPr>
      </w:pPr>
      <w:r w:rsidRPr="00061FD7">
        <w:rPr>
          <w:rFonts w:cstheme="minorHAnsi"/>
          <w:sz w:val="28"/>
          <w:szCs w:val="28"/>
        </w:rPr>
        <w:t xml:space="preserve">Policing Institute for the Eastern region (2023) Available at </w:t>
      </w:r>
      <w:hyperlink r:id="rId21" w:history="1">
        <w:r w:rsidRPr="00061FD7">
          <w:rPr>
            <w:rStyle w:val="Hyperlink"/>
            <w:rFonts w:cstheme="minorHAnsi"/>
            <w:sz w:val="28"/>
            <w:szCs w:val="28"/>
          </w:rPr>
          <w:t>file://users/staff/gemma.griffiths/Downloads/The%20National%20MAPPA%20Research-%20Proven%20Reoffending%20Report%20(2).pdf</w:t>
        </w:r>
      </w:hyperlink>
      <w:r w:rsidRPr="00061FD7">
        <w:rPr>
          <w:rFonts w:cstheme="minorHAnsi"/>
          <w:sz w:val="28"/>
          <w:szCs w:val="28"/>
        </w:rPr>
        <w:t xml:space="preserve"> [Accessed November 2023]</w:t>
      </w:r>
    </w:p>
    <w:p w14:paraId="17A26B63" w14:textId="77777777" w:rsidR="0082389E" w:rsidRPr="00061FD7" w:rsidRDefault="0082389E" w:rsidP="0082389E">
      <w:pPr>
        <w:rPr>
          <w:rFonts w:cstheme="minorHAnsi"/>
          <w:sz w:val="28"/>
          <w:szCs w:val="28"/>
        </w:rPr>
      </w:pPr>
      <w:r w:rsidRPr="00061FD7">
        <w:rPr>
          <w:rFonts w:cstheme="minorHAnsi"/>
          <w:sz w:val="28"/>
          <w:szCs w:val="28"/>
        </w:rPr>
        <w:t xml:space="preserve">Russel, J., Taylor, C., and Williams, W. (2022). ‘Twenty Years on, is MAPPA achieving its objectives?’ Criminal Justice Joint Inspection. Available at </w:t>
      </w:r>
      <w:hyperlink r:id="rId22" w:history="1">
        <w:r w:rsidRPr="00061FD7">
          <w:rPr>
            <w:rStyle w:val="Hyperlink"/>
            <w:rFonts w:cstheme="minorHAnsi"/>
            <w:sz w:val="28"/>
            <w:szCs w:val="28"/>
          </w:rPr>
          <w:t>Twenty years on, is MAPPA achieving its objectives? A joint thematic inspection of Multi-Agency Public Protection Arrangements (justiceinspectorates.gov.uk)</w:t>
        </w:r>
      </w:hyperlink>
      <w:r w:rsidRPr="00061FD7">
        <w:rPr>
          <w:rFonts w:cstheme="minorHAnsi"/>
          <w:sz w:val="28"/>
          <w:szCs w:val="28"/>
        </w:rPr>
        <w:t xml:space="preserve"> (Accessed December 2023)</w:t>
      </w:r>
    </w:p>
    <w:p w14:paraId="4CFE80A4" w14:textId="77777777" w:rsidR="0082389E" w:rsidRPr="00061FD7" w:rsidRDefault="0082389E" w:rsidP="0082389E">
      <w:pPr>
        <w:pStyle w:val="NormalWeb"/>
        <w:jc w:val="both"/>
        <w:rPr>
          <w:rFonts w:asciiTheme="minorHAnsi" w:hAnsiTheme="minorHAnsi" w:cstheme="minorHAnsi"/>
          <w:sz w:val="28"/>
          <w:szCs w:val="28"/>
        </w:rPr>
      </w:pPr>
      <w:r w:rsidRPr="00BE0AE2">
        <w:rPr>
          <w:rFonts w:asciiTheme="minorHAnsi" w:hAnsiTheme="minorHAnsi" w:cstheme="minorHAnsi"/>
          <w:sz w:val="28"/>
          <w:szCs w:val="28"/>
        </w:rPr>
        <w:t xml:space="preserve">Shaw, D. (2019) Stephen Lawrence: How has his murder changed </w:t>
      </w:r>
      <w:proofErr w:type="gramStart"/>
      <w:r w:rsidRPr="00BE0AE2">
        <w:rPr>
          <w:rFonts w:asciiTheme="minorHAnsi" w:hAnsiTheme="minorHAnsi" w:cstheme="minorHAnsi"/>
          <w:sz w:val="28"/>
          <w:szCs w:val="28"/>
        </w:rPr>
        <w:t>policing</w:t>
      </w:r>
      <w:r w:rsidRPr="00BE0AE2">
        <w:rPr>
          <w:rFonts w:asciiTheme="minorHAnsi" w:hAnsiTheme="minorHAnsi" w:cstheme="minorHAnsi"/>
          <w:i/>
          <w:iCs/>
          <w:sz w:val="28"/>
          <w:szCs w:val="28"/>
        </w:rPr>
        <w:t>?</w:t>
      </w:r>
      <w:r w:rsidRPr="00BE0AE2">
        <w:rPr>
          <w:rFonts w:asciiTheme="minorHAnsi" w:hAnsiTheme="minorHAnsi" w:cstheme="minorHAnsi"/>
          <w:sz w:val="28"/>
          <w:szCs w:val="28"/>
        </w:rPr>
        <w:t>,</w:t>
      </w:r>
      <w:proofErr w:type="gramEnd"/>
      <w:r w:rsidRPr="00BE0AE2">
        <w:rPr>
          <w:rFonts w:asciiTheme="minorHAnsi" w:hAnsiTheme="minorHAnsi" w:cstheme="minorHAnsi"/>
          <w:sz w:val="28"/>
          <w:szCs w:val="28"/>
        </w:rPr>
        <w:t xml:space="preserve"> </w:t>
      </w:r>
      <w:r w:rsidRPr="00BE0AE2">
        <w:rPr>
          <w:rFonts w:asciiTheme="minorHAnsi" w:hAnsiTheme="minorHAnsi" w:cstheme="minorHAnsi"/>
          <w:i/>
          <w:iCs/>
          <w:sz w:val="28"/>
          <w:szCs w:val="28"/>
        </w:rPr>
        <w:t>BBC News</w:t>
      </w:r>
      <w:r w:rsidRPr="00BE0AE2">
        <w:rPr>
          <w:rFonts w:asciiTheme="minorHAnsi" w:hAnsiTheme="minorHAnsi" w:cstheme="minorHAnsi"/>
          <w:sz w:val="28"/>
          <w:szCs w:val="28"/>
        </w:rPr>
        <w:t xml:space="preserve">. Available at: https://www.bbc.co.uk/news/uk-47161480 (Accessed: 18 January 2024). </w:t>
      </w:r>
    </w:p>
    <w:p w14:paraId="5A99FEF3" w14:textId="77777777" w:rsidR="0082389E" w:rsidRPr="00061FD7" w:rsidRDefault="0082389E" w:rsidP="0082389E">
      <w:pPr>
        <w:jc w:val="both"/>
        <w:rPr>
          <w:rFonts w:cstheme="minorHAnsi"/>
          <w:sz w:val="28"/>
          <w:szCs w:val="28"/>
        </w:rPr>
      </w:pPr>
      <w:r w:rsidRPr="00BE0AE2">
        <w:rPr>
          <w:rFonts w:cstheme="minorHAnsi"/>
          <w:sz w:val="28"/>
          <w:szCs w:val="28"/>
        </w:rPr>
        <w:t xml:space="preserve">South </w:t>
      </w:r>
      <w:r w:rsidRPr="00061FD7">
        <w:rPr>
          <w:rFonts w:cstheme="minorHAnsi"/>
          <w:sz w:val="28"/>
          <w:szCs w:val="28"/>
        </w:rPr>
        <w:t>Wales</w:t>
      </w:r>
      <w:r w:rsidRPr="00BE0AE2">
        <w:rPr>
          <w:rFonts w:cstheme="minorHAnsi"/>
          <w:sz w:val="28"/>
          <w:szCs w:val="28"/>
        </w:rPr>
        <w:t xml:space="preserve"> Police (2021) </w:t>
      </w:r>
      <w:r w:rsidRPr="00BE0AE2">
        <w:rPr>
          <w:rFonts w:cstheme="minorHAnsi"/>
          <w:i/>
          <w:iCs/>
          <w:sz w:val="28"/>
          <w:szCs w:val="28"/>
        </w:rPr>
        <w:t xml:space="preserve">At the heart of our communities - south </w:t>
      </w:r>
      <w:r w:rsidRPr="00061FD7">
        <w:rPr>
          <w:rFonts w:cstheme="minorHAnsi"/>
          <w:i/>
          <w:iCs/>
          <w:sz w:val="28"/>
          <w:szCs w:val="28"/>
        </w:rPr>
        <w:t>Wales</w:t>
      </w:r>
      <w:r w:rsidRPr="00BE0AE2">
        <w:rPr>
          <w:rFonts w:cstheme="minorHAnsi"/>
          <w:i/>
          <w:iCs/>
          <w:sz w:val="28"/>
          <w:szCs w:val="28"/>
        </w:rPr>
        <w:t xml:space="preserve"> police</w:t>
      </w:r>
      <w:r w:rsidRPr="00BE0AE2">
        <w:rPr>
          <w:rFonts w:cstheme="minorHAnsi"/>
          <w:sz w:val="28"/>
          <w:szCs w:val="28"/>
        </w:rPr>
        <w:t xml:space="preserve">, </w:t>
      </w:r>
      <w:r w:rsidRPr="00BE0AE2">
        <w:rPr>
          <w:rFonts w:cstheme="minorHAnsi"/>
          <w:i/>
          <w:iCs/>
          <w:sz w:val="28"/>
          <w:szCs w:val="28"/>
        </w:rPr>
        <w:t xml:space="preserve">south </w:t>
      </w:r>
      <w:r w:rsidRPr="00061FD7">
        <w:rPr>
          <w:rFonts w:cstheme="minorHAnsi"/>
          <w:i/>
          <w:iCs/>
          <w:sz w:val="28"/>
          <w:szCs w:val="28"/>
        </w:rPr>
        <w:t>Wales</w:t>
      </w:r>
      <w:r w:rsidRPr="00BE0AE2">
        <w:rPr>
          <w:rFonts w:cstheme="minorHAnsi"/>
          <w:i/>
          <w:iCs/>
          <w:sz w:val="28"/>
          <w:szCs w:val="28"/>
        </w:rPr>
        <w:t xml:space="preserve"> police</w:t>
      </w:r>
      <w:r w:rsidRPr="00BE0AE2">
        <w:rPr>
          <w:rFonts w:cstheme="minorHAnsi"/>
          <w:sz w:val="28"/>
          <w:szCs w:val="28"/>
        </w:rPr>
        <w:t xml:space="preserve">. Available at: https://www.south-wales.police.uk/news/south-wales/news/2021/march/police-community-support-officers--at-the-heart-of-our-communities/ (Accessed: 19 January 2024). </w:t>
      </w:r>
    </w:p>
    <w:p w14:paraId="60D69547" w14:textId="77777777" w:rsidR="0082389E" w:rsidRPr="00BE0AE2" w:rsidRDefault="0082389E" w:rsidP="0082389E">
      <w:pPr>
        <w:jc w:val="both"/>
        <w:rPr>
          <w:rFonts w:cstheme="minorHAnsi"/>
          <w:sz w:val="28"/>
          <w:szCs w:val="28"/>
        </w:rPr>
      </w:pPr>
      <w:r w:rsidRPr="00061FD7">
        <w:rPr>
          <w:rFonts w:cstheme="minorHAnsi"/>
          <w:sz w:val="28"/>
          <w:szCs w:val="28"/>
        </w:rPr>
        <w:t xml:space="preserve">United Nations Office on Drugs and Crime (2011). Handbook on police accountability, oversight and integrity. Available at </w:t>
      </w:r>
      <w:hyperlink r:id="rId23" w:history="1">
        <w:r w:rsidRPr="00061FD7">
          <w:rPr>
            <w:rStyle w:val="Hyperlink"/>
            <w:rFonts w:cstheme="minorHAnsi"/>
            <w:sz w:val="28"/>
            <w:szCs w:val="28"/>
          </w:rPr>
          <w:t>https://www.undoc.org/pdf/criminal_justice/Handbook_on_poilce_Accountabiltiy_Oversight_and_Intergity .pdf</w:t>
        </w:r>
      </w:hyperlink>
      <w:r w:rsidRPr="00061FD7">
        <w:rPr>
          <w:rFonts w:cstheme="minorHAnsi"/>
          <w:sz w:val="28"/>
          <w:szCs w:val="28"/>
        </w:rPr>
        <w:t xml:space="preserve"> (Accessed January 2024)</w:t>
      </w:r>
    </w:p>
    <w:p w14:paraId="2329BF4E" w14:textId="77777777" w:rsidR="0082389E" w:rsidRPr="00061FD7" w:rsidRDefault="0082389E" w:rsidP="0082389E">
      <w:pPr>
        <w:jc w:val="both"/>
        <w:rPr>
          <w:rFonts w:cstheme="minorHAnsi"/>
          <w:sz w:val="28"/>
          <w:szCs w:val="28"/>
        </w:rPr>
      </w:pPr>
      <w:r w:rsidRPr="00061FD7">
        <w:rPr>
          <w:rFonts w:cstheme="minorHAnsi"/>
          <w:sz w:val="28"/>
          <w:szCs w:val="28"/>
        </w:rPr>
        <w:t xml:space="preserve">Wales safer communities (2022). Criminal exploitation. Available at </w:t>
      </w:r>
      <w:hyperlink r:id="rId24" w:history="1">
        <w:r w:rsidRPr="00061FD7">
          <w:rPr>
            <w:rStyle w:val="Hyperlink"/>
            <w:rFonts w:cstheme="minorHAnsi"/>
            <w:sz w:val="28"/>
            <w:szCs w:val="28"/>
          </w:rPr>
          <w:t>Criminal Exploitation - Wales Safer Communities</w:t>
        </w:r>
      </w:hyperlink>
      <w:r w:rsidRPr="00061FD7">
        <w:rPr>
          <w:rFonts w:cstheme="minorHAnsi"/>
          <w:sz w:val="28"/>
          <w:szCs w:val="28"/>
        </w:rPr>
        <w:t xml:space="preserve"> [Accessed January 2024]</w:t>
      </w:r>
    </w:p>
    <w:p w14:paraId="0470F112" w14:textId="77777777" w:rsidR="00CB5993" w:rsidRDefault="00CB5993"/>
    <w:sectPr w:rsidR="00CB5993" w:rsidSect="006D6CC7">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EC8A7" w14:textId="77777777" w:rsidR="006D6CC7" w:rsidRDefault="006D6CC7" w:rsidP="006D6CC7">
      <w:pPr>
        <w:spacing w:after="0" w:line="240" w:lineRule="auto"/>
      </w:pPr>
      <w:r>
        <w:separator/>
      </w:r>
    </w:p>
  </w:endnote>
  <w:endnote w:type="continuationSeparator" w:id="0">
    <w:p w14:paraId="535D0F27" w14:textId="77777777" w:rsidR="006D6CC7" w:rsidRDefault="006D6CC7" w:rsidP="006D6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F1EA2" w14:textId="77777777" w:rsidR="006D6CC7" w:rsidRDefault="006D6CC7" w:rsidP="006D6CC7">
      <w:pPr>
        <w:spacing w:after="0" w:line="240" w:lineRule="auto"/>
      </w:pPr>
      <w:r>
        <w:separator/>
      </w:r>
    </w:p>
  </w:footnote>
  <w:footnote w:type="continuationSeparator" w:id="0">
    <w:p w14:paraId="07F9D621" w14:textId="77777777" w:rsidR="006D6CC7" w:rsidRDefault="006D6CC7" w:rsidP="006D6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F0A2" w14:textId="74928DDA" w:rsidR="006D6CC7" w:rsidRDefault="006D6CC7" w:rsidP="004420CD">
    <w:pPr>
      <w:pStyle w:val="Header"/>
    </w:pPr>
    <w:r>
      <w:t>Operational Police Practice                    BMPP5002D</w:t>
    </w:r>
    <w:r>
      <w:tab/>
      <w:t>Liam Emanuel 2222268</w:t>
    </w:r>
  </w:p>
  <w:p w14:paraId="7B9D4500" w14:textId="77777777" w:rsidR="006D6CC7" w:rsidRDefault="006D6C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CC7"/>
    <w:rsid w:val="000E4061"/>
    <w:rsid w:val="00302BC8"/>
    <w:rsid w:val="006D6CC7"/>
    <w:rsid w:val="0082389E"/>
    <w:rsid w:val="0093483F"/>
    <w:rsid w:val="00B16AC5"/>
    <w:rsid w:val="00CB5993"/>
    <w:rsid w:val="00CC4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84D9"/>
  <w15:chartTrackingRefBased/>
  <w15:docId w15:val="{D2035624-BF26-4B08-BE0C-D220DDD4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CC7"/>
    <w:pPr>
      <w:spacing w:line="259" w:lineRule="auto"/>
    </w:pPr>
    <w:rPr>
      <w:sz w:val="22"/>
      <w:szCs w:val="22"/>
    </w:rPr>
  </w:style>
  <w:style w:type="paragraph" w:styleId="Heading1">
    <w:name w:val="heading 1"/>
    <w:basedOn w:val="Normal"/>
    <w:next w:val="Normal"/>
    <w:link w:val="Heading1Char"/>
    <w:uiPriority w:val="9"/>
    <w:qFormat/>
    <w:rsid w:val="006D6CC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CC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CC7"/>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CC7"/>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6D6CC7"/>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6D6CC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6D6CC7"/>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D6CC7"/>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6D6CC7"/>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CC7"/>
    <w:rPr>
      <w:rFonts w:eastAsiaTheme="majorEastAsia" w:cstheme="majorBidi"/>
      <w:color w:val="272727" w:themeColor="text1" w:themeTint="D8"/>
    </w:rPr>
  </w:style>
  <w:style w:type="paragraph" w:styleId="Title">
    <w:name w:val="Title"/>
    <w:basedOn w:val="Normal"/>
    <w:next w:val="Normal"/>
    <w:link w:val="TitleChar"/>
    <w:uiPriority w:val="10"/>
    <w:qFormat/>
    <w:rsid w:val="006D6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CC7"/>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CC7"/>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6D6CC7"/>
    <w:rPr>
      <w:i/>
      <w:iCs/>
      <w:color w:val="404040" w:themeColor="text1" w:themeTint="BF"/>
    </w:rPr>
  </w:style>
  <w:style w:type="paragraph" w:styleId="ListParagraph">
    <w:name w:val="List Paragraph"/>
    <w:basedOn w:val="Normal"/>
    <w:uiPriority w:val="34"/>
    <w:qFormat/>
    <w:rsid w:val="006D6CC7"/>
    <w:pPr>
      <w:spacing w:line="278" w:lineRule="auto"/>
      <w:ind w:left="720"/>
      <w:contextualSpacing/>
    </w:pPr>
    <w:rPr>
      <w:sz w:val="24"/>
      <w:szCs w:val="24"/>
    </w:rPr>
  </w:style>
  <w:style w:type="character" w:styleId="IntenseEmphasis">
    <w:name w:val="Intense Emphasis"/>
    <w:basedOn w:val="DefaultParagraphFont"/>
    <w:uiPriority w:val="21"/>
    <w:qFormat/>
    <w:rsid w:val="006D6CC7"/>
    <w:rPr>
      <w:i/>
      <w:iCs/>
      <w:color w:val="0F4761" w:themeColor="accent1" w:themeShade="BF"/>
    </w:rPr>
  </w:style>
  <w:style w:type="paragraph" w:styleId="IntenseQuote">
    <w:name w:val="Intense Quote"/>
    <w:basedOn w:val="Normal"/>
    <w:next w:val="Normal"/>
    <w:link w:val="IntenseQuoteChar"/>
    <w:uiPriority w:val="30"/>
    <w:qFormat/>
    <w:rsid w:val="006D6CC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6D6CC7"/>
    <w:rPr>
      <w:i/>
      <w:iCs/>
      <w:color w:val="0F4761" w:themeColor="accent1" w:themeShade="BF"/>
    </w:rPr>
  </w:style>
  <w:style w:type="character" w:styleId="IntenseReference">
    <w:name w:val="Intense Reference"/>
    <w:basedOn w:val="DefaultParagraphFont"/>
    <w:uiPriority w:val="32"/>
    <w:qFormat/>
    <w:rsid w:val="006D6CC7"/>
    <w:rPr>
      <w:b/>
      <w:bCs/>
      <w:smallCaps/>
      <w:color w:val="0F4761" w:themeColor="accent1" w:themeShade="BF"/>
      <w:spacing w:val="5"/>
    </w:rPr>
  </w:style>
  <w:style w:type="paragraph" w:styleId="Header">
    <w:name w:val="header"/>
    <w:basedOn w:val="Normal"/>
    <w:link w:val="HeaderChar"/>
    <w:uiPriority w:val="99"/>
    <w:unhideWhenUsed/>
    <w:rsid w:val="006D6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CC7"/>
    <w:rPr>
      <w:sz w:val="22"/>
      <w:szCs w:val="22"/>
    </w:rPr>
  </w:style>
  <w:style w:type="paragraph" w:styleId="Footer">
    <w:name w:val="footer"/>
    <w:basedOn w:val="Normal"/>
    <w:link w:val="FooterChar"/>
    <w:uiPriority w:val="99"/>
    <w:unhideWhenUsed/>
    <w:rsid w:val="006D6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CC7"/>
    <w:rPr>
      <w:sz w:val="22"/>
      <w:szCs w:val="22"/>
    </w:rPr>
  </w:style>
  <w:style w:type="paragraph" w:styleId="NormalWeb">
    <w:name w:val="Normal (Web)"/>
    <w:basedOn w:val="Normal"/>
    <w:uiPriority w:val="99"/>
    <w:unhideWhenUsed/>
    <w:rsid w:val="008238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2389E"/>
    <w:rPr>
      <w:color w:val="467886" w:themeColor="hyperlink"/>
      <w:u w:val="single"/>
    </w:rPr>
  </w:style>
  <w:style w:type="character" w:styleId="FollowedHyperlink">
    <w:name w:val="FollowedHyperlink"/>
    <w:basedOn w:val="DefaultParagraphFont"/>
    <w:uiPriority w:val="99"/>
    <w:semiHidden/>
    <w:unhideWhenUsed/>
    <w:rsid w:val="0082389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hyperlink" Target="https://www.met.police.uk/advice/advice-and-information/ap/adult-elder-abuse/" TargetMode="External"/><Relationship Id="rId18" Type="http://schemas.openxmlformats.org/officeDocument/2006/relationships/hyperlink" Target="http://www.nspcc.org.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file://users/staff/gemma.griffiths/Downloads/The%20National%20MAPPA%20Research-%20Proven%20Reoffending%20Report%20(2).pdf" TargetMode="External"/><Relationship Id="rId7" Type="http://schemas.openxmlformats.org/officeDocument/2006/relationships/hyperlink" Target="https://www.policechiefmagazine.org/community-policing-in-multicultural-communities/" TargetMode="External"/><Relationship Id="rId12" Type="http://schemas.openxmlformats.org/officeDocument/2006/relationships/hyperlink" Target="https://ukdiss.com/examples/police-community-support-officers.php" TargetMode="External"/><Relationship Id="rId17" Type="http://schemas.openxmlformats.org/officeDocument/2006/relationships/hyperlink" Target="https://www.crimeandjustice.org.uk/sites/crimeandjustice.org.uk/files/09627250608553387.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nationalcrimeagency.gov.uk" TargetMode="External"/><Relationship Id="rId20" Type="http://schemas.openxmlformats.org/officeDocument/2006/relationships/hyperlink" Target="https://www.southwalescommissioner.org.uk/en/our-work/equality-inclusion/encouraging-diversity-into-south-wales-police/" TargetMode="External"/><Relationship Id="rId1" Type="http://schemas.openxmlformats.org/officeDocument/2006/relationships/styles" Target="styles.xml"/><Relationship Id="rId6" Type="http://schemas.openxmlformats.org/officeDocument/2006/relationships/hyperlink" Target="https://journals.openedition.org/mimmoc/1340" TargetMode="External"/><Relationship Id="rId11" Type="http://schemas.openxmlformats.org/officeDocument/2006/relationships/hyperlink" Target="https://wwww.instituteforgovernment.org.uk/article/explainer/police-accountability" TargetMode="External"/><Relationship Id="rId24" Type="http://schemas.openxmlformats.org/officeDocument/2006/relationships/hyperlink" Target="https://safercommunities.wales/modern-slavery-exploitation/criminal-exploitation/" TargetMode="External"/><Relationship Id="rId5" Type="http://schemas.openxmlformats.org/officeDocument/2006/relationships/endnotes" Target="endnotes.xml"/><Relationship Id="rId15" Type="http://schemas.openxmlformats.org/officeDocument/2006/relationships/hyperlink" Target="https://nationalcrimeagency.gov.uk/news/online-is-the-new-frontline-in-fight-against-organised-crime-says-national-crime-agency-on-publication-of-annual-threat-assessment" TargetMode="External"/><Relationship Id="rId23" Type="http://schemas.openxmlformats.org/officeDocument/2006/relationships/hyperlink" Target="https://www.undoc.org/pdf/criminal_justice/Handbook_on_poilce_Accountabiltiy_Oversight_and_Intergity%20.pdf" TargetMode="External"/><Relationship Id="rId10" Type="http://schemas.openxmlformats.org/officeDocument/2006/relationships/hyperlink" Target="https://wwww.policeconduct.gov/complaints-reviews-and-appeals" TargetMode="External"/><Relationship Id="rId19" Type="http://schemas.openxmlformats.org/officeDocument/2006/relationships/hyperlink" Target="https://www.ons.gov.uk/peoplepopulationandcommunity/crimeandjustice/bulletins/crimeinenglandandwales/yearendingseptember2023" TargetMode="External"/><Relationship Id="rId4" Type="http://schemas.openxmlformats.org/officeDocument/2006/relationships/footnotes" Target="footnotes.xml"/><Relationship Id="rId9" Type="http://schemas.openxmlformats.org/officeDocument/2006/relationships/hyperlink" Target="https://hmicfrs.justiceinspectorates.gov.uk/" TargetMode="External"/><Relationship Id="rId14" Type="http://schemas.openxmlformats.org/officeDocument/2006/relationships/hyperlink" Target="https://assets.publishing.service.gov.uk/media/653966ade6c968000daa9b26/MAPPA_Annual_Report_2023.pdf" TargetMode="External"/><Relationship Id="rId22" Type="http://schemas.openxmlformats.org/officeDocument/2006/relationships/hyperlink" Target="https://www.justiceinspectorates.gov.uk/hmiprobation/inspections/mappa-themati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5053</Words>
  <Characters>28804</Characters>
  <Application>Microsoft Office Word</Application>
  <DocSecurity>4</DocSecurity>
  <Lines>240</Lines>
  <Paragraphs>67</Paragraphs>
  <ScaleCrop>false</ScaleCrop>
  <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Emanuel</dc:creator>
  <cp:keywords/>
  <dc:description/>
  <cp:lastModifiedBy>Emanuel,Liam swp8394</cp:lastModifiedBy>
  <cp:revision>2</cp:revision>
  <dcterms:created xsi:type="dcterms:W3CDTF">2024-01-28T20:54:00Z</dcterms:created>
  <dcterms:modified xsi:type="dcterms:W3CDTF">2024-01-28T20:54:00Z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2024-01-28T20:54:30Z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a887d0da-3af7-42a2-9f07-9eb2a87bef19</vt:lpwstr>
  </property>
  <property fmtid="{D5CDD505-2E9C-101B-9397-08002B2CF9AE}" pid="8" name="MSIP_Label_66cf8fe5-b7b7-4df7-b38d-1c61ac2f6639_ContentBits">
    <vt:lpwstr>0</vt:lpwstr>
  </property>
</Properties>
</file>