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88774" w14:textId="77777777" w:rsidR="00EC7CDD" w:rsidRPr="00EC7CDD" w:rsidRDefault="00EC7CDD" w:rsidP="00EC7CDD">
      <w:pPr>
        <w:spacing w:after="0" w:line="240" w:lineRule="auto"/>
        <w:jc w:val="right"/>
        <w:rPr>
          <w:rFonts w:ascii="Arial" w:eastAsia="Times New Roman" w:hAnsi="Arial" w:cs="Arial"/>
          <w:b/>
          <w:sz w:val="28"/>
          <w:szCs w:val="28"/>
          <w:lang w:eastAsia="en-GB"/>
        </w:rPr>
      </w:pPr>
      <w:r w:rsidRPr="00EC7CDD">
        <w:rPr>
          <w:rFonts w:ascii="Arial" w:eastAsia="Times New Roman" w:hAnsi="Arial" w:cs="Arial"/>
          <w:b/>
          <w:sz w:val="28"/>
          <w:szCs w:val="28"/>
          <w:lang w:eastAsia="en-GB"/>
        </w:rPr>
        <w:t>APPENDIX GA36a</w:t>
      </w:r>
    </w:p>
    <w:p w14:paraId="3C3155D1" w14:textId="77777777" w:rsidR="00EC7CDD" w:rsidRPr="00EC7CDD" w:rsidRDefault="00EC7CDD" w:rsidP="00EC7CDD">
      <w:pPr>
        <w:spacing w:after="0" w:line="240" w:lineRule="auto"/>
        <w:rPr>
          <w:rFonts w:ascii="Arial" w:eastAsia="Times New Roman" w:hAnsi="Arial" w:cs="Arial"/>
          <w:sz w:val="20"/>
          <w:szCs w:val="20"/>
          <w:lang w:eastAsia="en-G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EC7CDD" w:rsidRPr="00EC7CDD" w14:paraId="20A77D4D" w14:textId="77777777" w:rsidTr="00EC7CDD">
        <w:tc>
          <w:tcPr>
            <w:tcW w:w="8624" w:type="dxa"/>
            <w:shd w:val="clear" w:color="auto" w:fill="C0C0C0"/>
          </w:tcPr>
          <w:p w14:paraId="4BB60340" w14:textId="77777777" w:rsidR="00EC7CDD" w:rsidRPr="00EC7CDD" w:rsidRDefault="00EC7CDD" w:rsidP="00EC7CDD">
            <w:pPr>
              <w:keepNext/>
              <w:spacing w:before="120" w:after="120" w:line="240" w:lineRule="auto"/>
              <w:jc w:val="center"/>
              <w:outlineLvl w:val="3"/>
              <w:rPr>
                <w:rFonts w:ascii="Arial" w:eastAsia="Times New Roman" w:hAnsi="Arial" w:cs="Arial"/>
                <w:b/>
                <w:sz w:val="40"/>
                <w:szCs w:val="20"/>
                <w:lang w:eastAsia="en-GB"/>
              </w:rPr>
            </w:pPr>
            <w:r w:rsidRPr="00EC7CDD">
              <w:rPr>
                <w:rFonts w:ascii="Arial" w:eastAsia="Times New Roman" w:hAnsi="Arial" w:cs="Arial"/>
                <w:b/>
                <w:sz w:val="40"/>
                <w:szCs w:val="20"/>
                <w:lang w:eastAsia="en-GB"/>
              </w:rPr>
              <w:t xml:space="preserve">LEVEL 4 ASSESSMENT SPECIFICATION </w:t>
            </w:r>
          </w:p>
        </w:tc>
      </w:tr>
    </w:tbl>
    <w:p w14:paraId="547EBEA6" w14:textId="77777777" w:rsidR="00EC7CDD" w:rsidRPr="00EC7CDD" w:rsidRDefault="00EC7CDD" w:rsidP="00EC7CDD">
      <w:pPr>
        <w:spacing w:after="0" w:line="240" w:lineRule="auto"/>
        <w:jc w:val="center"/>
        <w:rPr>
          <w:rFonts w:ascii="Arial" w:eastAsia="Times New Roman" w:hAnsi="Arial" w:cs="Arial"/>
          <w:b/>
          <w:i/>
          <w:sz w:val="32"/>
          <w:szCs w:val="20"/>
          <w:lang w:eastAsia="en-GB"/>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C7CDD" w:rsidRPr="00EC7CDD" w14:paraId="4708EC40" w14:textId="77777777" w:rsidTr="00EC7CDD">
        <w:tc>
          <w:tcPr>
            <w:tcW w:w="2093" w:type="dxa"/>
            <w:shd w:val="pct15" w:color="auto" w:fill="auto"/>
          </w:tcPr>
          <w:p w14:paraId="1D64D1AE"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Student name:</w:t>
            </w:r>
          </w:p>
        </w:tc>
        <w:tc>
          <w:tcPr>
            <w:tcW w:w="3293" w:type="dxa"/>
          </w:tcPr>
          <w:p w14:paraId="3FCCBEDA" w14:textId="00D9B27E" w:rsidR="00EC7CDD" w:rsidRPr="00EC7CDD" w:rsidRDefault="00EC7CDD" w:rsidP="00EC7CD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Khairuzzaman Rob</w:t>
            </w:r>
          </w:p>
        </w:tc>
        <w:tc>
          <w:tcPr>
            <w:tcW w:w="2268" w:type="dxa"/>
            <w:shd w:val="clear" w:color="auto" w:fill="D9D9D9"/>
          </w:tcPr>
          <w:p w14:paraId="2CC28557"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Student ID number:</w:t>
            </w:r>
          </w:p>
        </w:tc>
        <w:tc>
          <w:tcPr>
            <w:tcW w:w="2268" w:type="dxa"/>
          </w:tcPr>
          <w:p w14:paraId="3D8233C5" w14:textId="13AA6238" w:rsidR="00EC7CDD" w:rsidRPr="00EC7CDD" w:rsidRDefault="00EC7CDD" w:rsidP="00EC7CDD">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1915327</w:t>
            </w:r>
          </w:p>
        </w:tc>
      </w:tr>
      <w:tr w:rsidR="00EC7CDD" w:rsidRPr="00EC7CDD" w14:paraId="76536B72" w14:textId="77777777" w:rsidTr="00EC7CDD">
        <w:tc>
          <w:tcPr>
            <w:tcW w:w="2093" w:type="dxa"/>
            <w:shd w:val="pct15" w:color="auto" w:fill="auto"/>
          </w:tcPr>
          <w:p w14:paraId="3C5C2B5E"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Programme:</w:t>
            </w:r>
          </w:p>
        </w:tc>
        <w:tc>
          <w:tcPr>
            <w:tcW w:w="7829" w:type="dxa"/>
            <w:gridSpan w:val="3"/>
          </w:tcPr>
          <w:p w14:paraId="36F88001"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Law and Legal Practice</w:t>
            </w:r>
          </w:p>
        </w:tc>
      </w:tr>
      <w:tr w:rsidR="00EC7CDD" w:rsidRPr="00EC7CDD" w14:paraId="6B437465" w14:textId="77777777" w:rsidTr="00EC7CDD">
        <w:tc>
          <w:tcPr>
            <w:tcW w:w="2093" w:type="dxa"/>
            <w:shd w:val="pct15" w:color="auto" w:fill="auto"/>
          </w:tcPr>
          <w:p w14:paraId="794DE062"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Module:</w:t>
            </w:r>
          </w:p>
        </w:tc>
        <w:tc>
          <w:tcPr>
            <w:tcW w:w="7829" w:type="dxa"/>
            <w:gridSpan w:val="3"/>
            <w:shd w:val="clear" w:color="auto" w:fill="auto"/>
          </w:tcPr>
          <w:p w14:paraId="3BA60610"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Criminal Litigation</w:t>
            </w:r>
          </w:p>
        </w:tc>
      </w:tr>
      <w:tr w:rsidR="00EC7CDD" w:rsidRPr="00EC7CDD" w14:paraId="11C4A245" w14:textId="77777777" w:rsidTr="00EC7CDD">
        <w:tc>
          <w:tcPr>
            <w:tcW w:w="2093" w:type="dxa"/>
            <w:shd w:val="pct15" w:color="auto" w:fill="auto"/>
          </w:tcPr>
          <w:p w14:paraId="15D525B4"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Module code:</w:t>
            </w:r>
          </w:p>
        </w:tc>
        <w:tc>
          <w:tcPr>
            <w:tcW w:w="3293" w:type="dxa"/>
          </w:tcPr>
          <w:p w14:paraId="2D142A28"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BMLW4000</w:t>
            </w:r>
          </w:p>
        </w:tc>
        <w:tc>
          <w:tcPr>
            <w:tcW w:w="2268" w:type="dxa"/>
            <w:shd w:val="clear" w:color="auto" w:fill="D9D9D9"/>
          </w:tcPr>
          <w:p w14:paraId="79A20A1C" w14:textId="77777777" w:rsidR="00EC7CDD" w:rsidRPr="00EC7CDD" w:rsidRDefault="00EC7CDD" w:rsidP="00EC7CDD">
            <w:pPr>
              <w:keepNext/>
              <w:spacing w:after="0" w:line="240" w:lineRule="auto"/>
              <w:jc w:val="both"/>
              <w:outlineLvl w:val="1"/>
              <w:rPr>
                <w:rFonts w:ascii="Arial" w:eastAsia="Times New Roman" w:hAnsi="Arial" w:cs="Arial"/>
                <w:b/>
                <w:lang w:eastAsia="en-GB"/>
              </w:rPr>
            </w:pPr>
            <w:r w:rsidRPr="00EC7CDD">
              <w:rPr>
                <w:rFonts w:ascii="Arial" w:eastAsia="Times New Roman" w:hAnsi="Arial" w:cs="Arial"/>
                <w:b/>
                <w:lang w:eastAsia="en-GB"/>
              </w:rPr>
              <w:t>Contribution to Overall Module Assessment (%):</w:t>
            </w:r>
          </w:p>
        </w:tc>
        <w:tc>
          <w:tcPr>
            <w:tcW w:w="2268" w:type="dxa"/>
          </w:tcPr>
          <w:p w14:paraId="586ABC3F"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50%</w:t>
            </w:r>
          </w:p>
        </w:tc>
      </w:tr>
      <w:tr w:rsidR="00EC7CDD" w:rsidRPr="00EC7CDD" w14:paraId="68FC56CA" w14:textId="77777777" w:rsidTr="00EC7CDD">
        <w:tc>
          <w:tcPr>
            <w:tcW w:w="2093" w:type="dxa"/>
            <w:shd w:val="pct15" w:color="auto" w:fill="auto"/>
          </w:tcPr>
          <w:p w14:paraId="3F91DB54"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Lecturer:</w:t>
            </w:r>
          </w:p>
        </w:tc>
        <w:tc>
          <w:tcPr>
            <w:tcW w:w="3293" w:type="dxa"/>
          </w:tcPr>
          <w:p w14:paraId="5997EA13"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Sian Turvey</w:t>
            </w:r>
          </w:p>
        </w:tc>
        <w:tc>
          <w:tcPr>
            <w:tcW w:w="2268" w:type="dxa"/>
            <w:shd w:val="clear" w:color="auto" w:fill="D9D9D9"/>
          </w:tcPr>
          <w:p w14:paraId="33FBBC76"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Internal Verifier:</w:t>
            </w:r>
          </w:p>
        </w:tc>
        <w:tc>
          <w:tcPr>
            <w:tcW w:w="2268" w:type="dxa"/>
          </w:tcPr>
          <w:p w14:paraId="5B79C160"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Bronwen Williams</w:t>
            </w:r>
          </w:p>
        </w:tc>
      </w:tr>
      <w:tr w:rsidR="00EC7CDD" w:rsidRPr="00EC7CDD" w14:paraId="4AAB3612" w14:textId="77777777" w:rsidTr="00EC7CDD">
        <w:tc>
          <w:tcPr>
            <w:tcW w:w="2093" w:type="dxa"/>
            <w:shd w:val="pct15" w:color="auto" w:fill="auto"/>
          </w:tcPr>
          <w:p w14:paraId="339A7832"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Assignment Title:</w:t>
            </w:r>
          </w:p>
        </w:tc>
        <w:tc>
          <w:tcPr>
            <w:tcW w:w="3293" w:type="dxa"/>
          </w:tcPr>
          <w:p w14:paraId="4801F6D2"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Case Study – The Case of William Brown</w:t>
            </w:r>
          </w:p>
        </w:tc>
        <w:tc>
          <w:tcPr>
            <w:tcW w:w="2268" w:type="dxa"/>
            <w:shd w:val="pct15" w:color="auto" w:fill="auto"/>
          </w:tcPr>
          <w:p w14:paraId="0E66BC45"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Word count (or equivalent):</w:t>
            </w:r>
          </w:p>
        </w:tc>
        <w:tc>
          <w:tcPr>
            <w:tcW w:w="2268" w:type="dxa"/>
          </w:tcPr>
          <w:p w14:paraId="16515EB6"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2000</w:t>
            </w:r>
          </w:p>
        </w:tc>
      </w:tr>
      <w:tr w:rsidR="00EC7CDD" w:rsidRPr="00EC7CDD" w14:paraId="12223CA9" w14:textId="77777777" w:rsidTr="00EC7CDD">
        <w:tc>
          <w:tcPr>
            <w:tcW w:w="2093" w:type="dxa"/>
            <w:shd w:val="pct15" w:color="auto" w:fill="auto"/>
          </w:tcPr>
          <w:p w14:paraId="25463518"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Submission deadline:</w:t>
            </w:r>
          </w:p>
        </w:tc>
        <w:tc>
          <w:tcPr>
            <w:tcW w:w="3293" w:type="dxa"/>
            <w:shd w:val="clear" w:color="auto" w:fill="auto"/>
          </w:tcPr>
          <w:p w14:paraId="116FAA6B"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7 May 2021</w:t>
            </w:r>
          </w:p>
        </w:tc>
        <w:tc>
          <w:tcPr>
            <w:tcW w:w="2268" w:type="dxa"/>
            <w:shd w:val="pct15" w:color="auto" w:fill="auto"/>
          </w:tcPr>
          <w:p w14:paraId="03E99667"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Return date of provisional marks &amp; written feedback:</w:t>
            </w:r>
          </w:p>
        </w:tc>
        <w:tc>
          <w:tcPr>
            <w:tcW w:w="2268" w:type="dxa"/>
          </w:tcPr>
          <w:p w14:paraId="333BA47E"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7 June 2021</w:t>
            </w:r>
          </w:p>
        </w:tc>
      </w:tr>
      <w:tr w:rsidR="00EC7CDD" w:rsidRPr="00EC7CDD" w14:paraId="463CD606" w14:textId="77777777" w:rsidTr="00EC7CDD">
        <w:tc>
          <w:tcPr>
            <w:tcW w:w="2093" w:type="dxa"/>
            <w:shd w:val="pct15" w:color="auto" w:fill="auto"/>
          </w:tcPr>
          <w:p w14:paraId="467DCC6D"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Submission method:</w:t>
            </w:r>
          </w:p>
        </w:tc>
        <w:tc>
          <w:tcPr>
            <w:tcW w:w="7829" w:type="dxa"/>
            <w:gridSpan w:val="3"/>
            <w:shd w:val="clear" w:color="auto" w:fill="auto"/>
          </w:tcPr>
          <w:p w14:paraId="631851CE" w14:textId="77777777" w:rsidR="00EC7CDD" w:rsidRPr="00EC7CDD" w:rsidRDefault="00EC7CDD" w:rsidP="00EC7CDD">
            <w:pPr>
              <w:spacing w:after="0" w:line="240" w:lineRule="auto"/>
              <w:rPr>
                <w:rFonts w:ascii="Arial" w:eastAsia="Times New Roman" w:hAnsi="Arial" w:cs="Arial"/>
                <w:lang w:eastAsia="en-GB"/>
              </w:rPr>
            </w:pPr>
            <w:r w:rsidRPr="00EC7CDD">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072E5E"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 xml:space="preserve">Alternative submission method (if applicable): </w:t>
            </w:r>
          </w:p>
          <w:p w14:paraId="298AA085" w14:textId="77777777" w:rsidR="00EC7CDD" w:rsidRPr="00EC7CDD" w:rsidRDefault="00EC7CDD" w:rsidP="00EC7CDD">
            <w:pPr>
              <w:spacing w:before="120" w:after="120" w:line="240" w:lineRule="auto"/>
              <w:jc w:val="both"/>
              <w:rPr>
                <w:rFonts w:ascii="Arial" w:eastAsia="Times New Roman" w:hAnsi="Arial" w:cs="Arial"/>
                <w:b/>
                <w:lang w:eastAsia="en-GB"/>
              </w:rPr>
            </w:pPr>
            <w:r w:rsidRPr="00EC7CDD">
              <w:rPr>
                <w:rFonts w:ascii="Arial" w:eastAsia="Times New Roman" w:hAnsi="Arial" w:cs="Arial"/>
                <w:b/>
                <w:lang w:eastAsia="en-GB"/>
              </w:rPr>
              <w:t xml:space="preserve">Late submission of the assessment will result in a late penalty mark.  </w:t>
            </w:r>
            <w:r w:rsidRPr="00EC7CDD">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EC7CDD" w:rsidRPr="00EC7CDD" w14:paraId="6591334F" w14:textId="77777777" w:rsidTr="00EC7CDD">
        <w:tc>
          <w:tcPr>
            <w:tcW w:w="2093" w:type="dxa"/>
            <w:shd w:val="pct15" w:color="auto" w:fill="auto"/>
          </w:tcPr>
          <w:p w14:paraId="26EB7780" w14:textId="77777777" w:rsidR="00EC7CDD" w:rsidRPr="00EC7CDD" w:rsidRDefault="00EC7CDD" w:rsidP="00EC7CDD">
            <w:pPr>
              <w:spacing w:before="120" w:after="120" w:line="240" w:lineRule="auto"/>
              <w:rPr>
                <w:rFonts w:ascii="Arial" w:eastAsia="Times New Roman" w:hAnsi="Arial" w:cs="Arial"/>
                <w:b/>
                <w:lang w:eastAsia="en-GB"/>
              </w:rPr>
            </w:pPr>
            <w:r w:rsidRPr="00EC7CDD">
              <w:rPr>
                <w:rFonts w:ascii="Arial" w:eastAsia="Times New Roman" w:hAnsi="Arial" w:cs="Arial"/>
                <w:b/>
                <w:lang w:eastAsia="en-GB"/>
              </w:rPr>
              <w:t>Academic honesty / referencing:</w:t>
            </w:r>
          </w:p>
        </w:tc>
        <w:tc>
          <w:tcPr>
            <w:tcW w:w="7829" w:type="dxa"/>
            <w:gridSpan w:val="3"/>
            <w:shd w:val="clear" w:color="auto" w:fill="auto"/>
          </w:tcPr>
          <w:p w14:paraId="325442BE" w14:textId="77777777" w:rsidR="00EC7CDD" w:rsidRPr="00EC7CDD" w:rsidRDefault="00EC7CDD" w:rsidP="00EC7CDD">
            <w:pPr>
              <w:spacing w:before="120" w:after="120" w:line="240" w:lineRule="auto"/>
              <w:jc w:val="both"/>
              <w:rPr>
                <w:rFonts w:ascii="Arial" w:eastAsia="Times New Roman" w:hAnsi="Arial" w:cs="Arial"/>
                <w:lang w:eastAsia="en-GB"/>
              </w:rPr>
            </w:pPr>
            <w:r w:rsidRPr="00EC7CDD">
              <w:rPr>
                <w:rFonts w:ascii="Arial" w:eastAsia="Times New Roman" w:hAnsi="Arial" w:cs="Arial"/>
                <w:lang w:eastAsia="en-GB"/>
              </w:rPr>
              <w:t xml:space="preserve">Academic honesty is required. In the main body of your </w:t>
            </w:r>
            <w:proofErr w:type="gramStart"/>
            <w:r w:rsidRPr="00EC7CDD">
              <w:rPr>
                <w:rFonts w:ascii="Arial" w:eastAsia="Times New Roman" w:hAnsi="Arial" w:cs="Arial"/>
                <w:lang w:eastAsia="en-GB"/>
              </w:rPr>
              <w:t>submission</w:t>
            </w:r>
            <w:proofErr w:type="gramEnd"/>
            <w:r w:rsidRPr="00EC7CDD">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EC7CDD">
              <w:rPr>
                <w:rFonts w:ascii="Arial" w:eastAsia="Times New Roman" w:hAnsi="Arial" w:cs="Arial"/>
                <w:lang w:eastAsia="en-GB"/>
              </w:rPr>
              <w:t>cited</w:t>
            </w:r>
            <w:proofErr w:type="gramEnd"/>
            <w:r w:rsidRPr="00EC7CDD">
              <w:rPr>
                <w:rFonts w:ascii="Arial" w:eastAsia="Times New Roman" w:hAnsi="Arial" w:cs="Arial"/>
                <w:lang w:eastAsia="en-GB"/>
              </w:rPr>
              <w:t xml:space="preserve"> or quoted in order to complete this assessment.  </w:t>
            </w:r>
          </w:p>
        </w:tc>
      </w:tr>
    </w:tbl>
    <w:p w14:paraId="3F655D6D" w14:textId="37495810" w:rsidR="00E57D2F" w:rsidRDefault="00E57D2F" w:rsidP="00EC7CDD">
      <w:pPr>
        <w:spacing w:after="200" w:line="360" w:lineRule="auto"/>
        <w:rPr>
          <w:rFonts w:ascii="Times New Roman" w:eastAsia="SimSun" w:hAnsi="Times New Roman" w:cs="Times New Roman"/>
          <w:lang w:eastAsia="zh-CN"/>
        </w:rPr>
      </w:pPr>
    </w:p>
    <w:p w14:paraId="13C430FC" w14:textId="6897FED9" w:rsidR="00EC7CDD" w:rsidRDefault="00EC7CDD" w:rsidP="00EC7CDD">
      <w:pPr>
        <w:spacing w:after="200" w:line="360" w:lineRule="auto"/>
        <w:rPr>
          <w:rFonts w:ascii="Times New Roman" w:eastAsia="SimSun" w:hAnsi="Times New Roman" w:cs="Times New Roman"/>
          <w:lang w:eastAsia="zh-CN"/>
        </w:rPr>
      </w:pPr>
    </w:p>
    <w:p w14:paraId="2A18B9BA" w14:textId="1199E7D2" w:rsidR="00EC7CDD" w:rsidRDefault="00EC7CDD" w:rsidP="00EC7CDD">
      <w:pPr>
        <w:spacing w:after="200" w:line="360" w:lineRule="auto"/>
        <w:rPr>
          <w:rFonts w:ascii="Times New Roman" w:eastAsia="SimSun" w:hAnsi="Times New Roman" w:cs="Times New Roman"/>
          <w:lang w:eastAsia="zh-CN"/>
        </w:rPr>
      </w:pPr>
    </w:p>
    <w:p w14:paraId="585F0F32" w14:textId="51D6DBF0" w:rsidR="00EC7CDD" w:rsidRDefault="00EC7CDD" w:rsidP="00EC7CDD">
      <w:pPr>
        <w:spacing w:after="200" w:line="360" w:lineRule="auto"/>
        <w:rPr>
          <w:rFonts w:ascii="Times New Roman" w:eastAsia="SimSun" w:hAnsi="Times New Roman" w:cs="Times New Roman"/>
          <w:lang w:eastAsia="zh-CN"/>
        </w:rPr>
      </w:pPr>
    </w:p>
    <w:p w14:paraId="3AC059CF" w14:textId="77777777" w:rsidR="00EC7CDD" w:rsidRPr="00EC7CDD" w:rsidRDefault="00EC7CDD" w:rsidP="00EC7CDD">
      <w:pPr>
        <w:spacing w:after="200" w:line="360" w:lineRule="auto"/>
        <w:rPr>
          <w:rFonts w:ascii="Times New Roman" w:eastAsia="SimSun" w:hAnsi="Times New Roman" w:cs="Times New Roman"/>
          <w:color w:val="000000"/>
          <w:sz w:val="40"/>
          <w:szCs w:val="40"/>
          <w:lang w:val="en-US" w:eastAsia="zh-CN"/>
        </w:rPr>
      </w:pPr>
    </w:p>
    <w:p w14:paraId="2EBDEE06" w14:textId="77777777" w:rsidR="00E57D2F" w:rsidRPr="00E57D2F" w:rsidRDefault="00E57D2F" w:rsidP="00E57D2F">
      <w:pPr>
        <w:keepNext/>
        <w:keepLines/>
        <w:spacing w:before="480" w:after="0" w:line="360" w:lineRule="auto"/>
        <w:jc w:val="center"/>
        <w:outlineLvl w:val="0"/>
        <w:rPr>
          <w:rFonts w:ascii="Times New Roman" w:eastAsia="SimSun" w:hAnsi="Times New Roman" w:cs="Times New Roman"/>
          <w:b/>
          <w:bCs/>
          <w:smallCaps/>
          <w:color w:val="000000"/>
          <w:spacing w:val="5"/>
          <w:sz w:val="36"/>
          <w:szCs w:val="36"/>
          <w:lang w:val="en-US" w:eastAsia="zh-CN"/>
        </w:rPr>
      </w:pPr>
      <w:r w:rsidRPr="00E57D2F">
        <w:rPr>
          <w:rFonts w:ascii="Times New Roman" w:eastAsia="SimSun" w:hAnsi="Times New Roman" w:cs="Times New Roman"/>
          <w:b/>
          <w:bCs/>
          <w:smallCaps/>
          <w:color w:val="000000"/>
          <w:spacing w:val="5"/>
          <w:sz w:val="36"/>
          <w:szCs w:val="36"/>
          <w:lang w:val="en-US" w:eastAsia="zh-CN"/>
        </w:rPr>
        <w:lastRenderedPageBreak/>
        <w:t>Memorandum</w:t>
      </w:r>
    </w:p>
    <w:p w14:paraId="47612456" w14:textId="77777777" w:rsidR="00E57D2F" w:rsidRPr="00E57D2F" w:rsidRDefault="00E57D2F" w:rsidP="00E57D2F">
      <w:pPr>
        <w:spacing w:after="200" w:line="276" w:lineRule="auto"/>
        <w:rPr>
          <w:rFonts w:ascii="Calibri" w:eastAsia="SimSun" w:hAnsi="Calibri" w:cs="Times New Roman"/>
          <w:lang w:val="en-US" w:eastAsia="zh-CN"/>
        </w:rPr>
      </w:pPr>
    </w:p>
    <w:p w14:paraId="74BBCE02"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Date: 3rd April 2021. </w:t>
      </w:r>
    </w:p>
    <w:p w14:paraId="63DB099A"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Re: William Brown theft prosecution. </w:t>
      </w:r>
    </w:p>
    <w:p w14:paraId="650C41EB"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______________________________________________________________</w:t>
      </w:r>
    </w:p>
    <w:p w14:paraId="2249C092" w14:textId="77777777" w:rsidR="00E57D2F" w:rsidRPr="00E57D2F" w:rsidRDefault="00E57D2F" w:rsidP="00E57D2F">
      <w:pPr>
        <w:keepNext/>
        <w:keepLines/>
        <w:numPr>
          <w:ilvl w:val="0"/>
          <w:numId w:val="1"/>
        </w:numPr>
        <w:spacing w:before="480" w:after="0" w:line="276" w:lineRule="auto"/>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QUESTION PRESENTED</w:t>
      </w:r>
    </w:p>
    <w:p w14:paraId="026D5F9C"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It is agreed upon that an essential part of any case is (1) a particular state of mind (</w:t>
      </w:r>
      <w:proofErr w:type="spellStart"/>
      <w:r w:rsidRPr="00E57D2F">
        <w:rPr>
          <w:rFonts w:ascii="Times New Roman" w:eastAsia="SimSun" w:hAnsi="Times New Roman" w:cs="Times New Roman"/>
          <w:sz w:val="24"/>
          <w:szCs w:val="24"/>
          <w:lang w:val="en-US" w:eastAsia="zh-CN"/>
        </w:rPr>
        <w:t>Mens</w:t>
      </w:r>
      <w:proofErr w:type="spellEnd"/>
      <w:r w:rsidRPr="00E57D2F">
        <w:rPr>
          <w:rFonts w:ascii="Times New Roman" w:eastAsia="SimSun" w:hAnsi="Times New Roman" w:cs="Times New Roman"/>
          <w:sz w:val="24"/>
          <w:szCs w:val="24"/>
          <w:lang w:val="en-US" w:eastAsia="zh-CN"/>
        </w:rPr>
        <w:t xml:space="preserve"> rea), (2) an omission or voluntary act to be able to hold liable under substantial law under criminal law regulation. Any act is associated with some kind of human behavior. William Brown has been accused of theft under two different categories: he has been charged with stealing wine and theft of case. The total amount of the theft is estimated to be £3000. Under substantive law, any kind of movement made by a somnambulist right before awakening or act performed in a condition of epileptic seizure is not considered as a crime because the acts do not fulfill the requirements of </w:t>
      </w:r>
      <w:proofErr w:type="spellStart"/>
      <w:r w:rsidRPr="00E57D2F">
        <w:rPr>
          <w:rFonts w:ascii="Times New Roman" w:eastAsia="SimSun" w:hAnsi="Times New Roman" w:cs="Times New Roman"/>
          <w:sz w:val="24"/>
          <w:szCs w:val="24"/>
          <w:lang w:val="en-US" w:eastAsia="zh-CN"/>
        </w:rPr>
        <w:t>Mens</w:t>
      </w:r>
      <w:proofErr w:type="spellEnd"/>
      <w:r w:rsidRPr="00E57D2F">
        <w:rPr>
          <w:rFonts w:ascii="Times New Roman" w:eastAsia="SimSun" w:hAnsi="Times New Roman" w:cs="Times New Roman"/>
          <w:sz w:val="24"/>
          <w:szCs w:val="24"/>
          <w:lang w:val="en-US" w:eastAsia="zh-CN"/>
        </w:rPr>
        <w:t xml:space="preserve"> rea and Actus rea, even if the condition ends up in the death of someone. In relation to the case, the defendant is pleading that he was not directly or indirectly involved in the theft</w:t>
      </w:r>
      <w:r w:rsidRPr="00E57D2F">
        <w:rPr>
          <w:rFonts w:ascii="Times New Roman" w:eastAsia="SimSun" w:hAnsi="Times New Roman" w:cs="Times New Roman"/>
          <w:vertAlign w:val="superscript"/>
          <w:lang w:val="en-US" w:eastAsia="zh-CN"/>
        </w:rPr>
        <w:footnoteReference w:id="1"/>
      </w:r>
      <w:r w:rsidRPr="00E57D2F">
        <w:rPr>
          <w:rFonts w:ascii="Times New Roman" w:eastAsia="SimSun" w:hAnsi="Times New Roman" w:cs="Times New Roman"/>
          <w:noProof/>
          <w:sz w:val="24"/>
          <w:szCs w:val="24"/>
          <w:lang w:val="en-US" w:eastAsia="zh-CN"/>
        </w:rPr>
        <w:t xml:space="preserve"> (Morgan, 2018)</w:t>
      </w:r>
      <w:r w:rsidRPr="00E57D2F">
        <w:rPr>
          <w:rFonts w:ascii="Times New Roman" w:eastAsia="SimSun" w:hAnsi="Times New Roman" w:cs="Times New Roman"/>
          <w:sz w:val="24"/>
          <w:szCs w:val="24"/>
          <w:lang w:val="en-US" w:eastAsia="zh-CN"/>
        </w:rPr>
        <w:t>. The substantive law explains the relationship between result and conduct that suggests the factors that would have contributed to the direct participation in the act; however, in the above case, these two factors are not directly associated because the defendant has been claiming that he was not involved in the action or the behavior of theft. William Brown is accused of theft in the bar because he had access to the financial taking of the bar, and he was in charge of supplying</w:t>
      </w:r>
      <w:r w:rsidRPr="00E57D2F">
        <w:rPr>
          <w:rFonts w:ascii="Times New Roman" w:eastAsia="SimSun" w:hAnsi="Times New Roman" w:cs="Times New Roman"/>
          <w:noProof/>
          <w:sz w:val="24"/>
          <w:szCs w:val="24"/>
          <w:lang w:val="en-US" w:eastAsia="zh-CN"/>
        </w:rPr>
        <w:t xml:space="preserve"> (Morgan, 2018)</w:t>
      </w:r>
      <w:r w:rsidRPr="00E57D2F">
        <w:rPr>
          <w:rFonts w:ascii="Times New Roman" w:eastAsia="SimSun" w:hAnsi="Times New Roman" w:cs="Times New Roman"/>
          <w:sz w:val="24"/>
          <w:szCs w:val="24"/>
          <w:lang w:val="en-US" w:eastAsia="zh-CN"/>
        </w:rPr>
        <w:t xml:space="preserve">. Moreover, he was responsible for protecting the financial assets of the bar. </w:t>
      </w:r>
      <w:proofErr w:type="gramStart"/>
      <w:r w:rsidRPr="00E57D2F">
        <w:rPr>
          <w:rFonts w:ascii="Times New Roman" w:eastAsia="SimSun" w:hAnsi="Times New Roman" w:cs="Times New Roman"/>
          <w:sz w:val="24"/>
          <w:szCs w:val="24"/>
          <w:lang w:val="en-US" w:eastAsia="zh-CN"/>
        </w:rPr>
        <w:t>So</w:t>
      </w:r>
      <w:proofErr w:type="gramEnd"/>
      <w:r w:rsidRPr="00E57D2F">
        <w:rPr>
          <w:rFonts w:ascii="Times New Roman" w:eastAsia="SimSun" w:hAnsi="Times New Roman" w:cs="Times New Roman"/>
          <w:sz w:val="24"/>
          <w:szCs w:val="24"/>
          <w:lang w:val="en-US" w:eastAsia="zh-CN"/>
        </w:rPr>
        <w:t xml:space="preserve"> if he is pleaded guilty?</w:t>
      </w:r>
    </w:p>
    <w:p w14:paraId="38F98A7C" w14:textId="77777777" w:rsidR="00E57D2F" w:rsidRPr="00E57D2F" w:rsidRDefault="00E57D2F" w:rsidP="00E57D2F">
      <w:pPr>
        <w:keepNext/>
        <w:keepLines/>
        <w:numPr>
          <w:ilvl w:val="0"/>
          <w:numId w:val="3"/>
        </w:numPr>
        <w:spacing w:before="480" w:after="0" w:line="276" w:lineRule="auto"/>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FACTS:</w:t>
      </w:r>
    </w:p>
    <w:p w14:paraId="58429455"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Under criminal liability, William brown can be accused of failing to act because he was the bar secretary, so even if he was not involved in theft, he was under a legal duty to protect the assets of the bar. For this reason, the lawyer should prepare for this argument that can be raised against the client. The defendant can protect himself by claiming that he has been working for many </w:t>
      </w:r>
      <w:r w:rsidRPr="00E57D2F">
        <w:rPr>
          <w:rFonts w:ascii="Times New Roman" w:eastAsia="SimSun" w:hAnsi="Times New Roman" w:cs="Times New Roman"/>
          <w:sz w:val="24"/>
          <w:szCs w:val="24"/>
          <w:lang w:val="en-US" w:eastAsia="zh-CN"/>
        </w:rPr>
        <w:lastRenderedPageBreak/>
        <w:t>years with a good record and moral conduct</w:t>
      </w:r>
      <w:r w:rsidRPr="00E57D2F">
        <w:rPr>
          <w:rFonts w:ascii="Times New Roman" w:eastAsia="SimSun" w:hAnsi="Times New Roman" w:cs="Times New Roman"/>
          <w:noProof/>
          <w:sz w:val="24"/>
          <w:szCs w:val="24"/>
          <w:lang w:val="en-US" w:eastAsia="zh-CN"/>
        </w:rPr>
        <w:t xml:space="preserve"> (Bakurova, 2019)</w:t>
      </w:r>
      <w:r w:rsidRPr="00E57D2F">
        <w:rPr>
          <w:rFonts w:ascii="Times New Roman" w:eastAsia="SimSun" w:hAnsi="Times New Roman" w:cs="Times New Roman"/>
          <w:sz w:val="24"/>
          <w:szCs w:val="24"/>
          <w:lang w:val="en-US" w:eastAsia="zh-CN"/>
        </w:rPr>
        <w:t>. He was responsible for performing specific duties in the bar. He was successful in his actions to be an accountable secretary, and as far as the accusations of theft are concerned, the client has a good moral record. He is in a well-established position with a net worth of £12,000 per annum, and he has recently been awarded £50,000 will after the death of his grandmother. So, why would the defendant risk his excellent reputation and his services to the territorial army for something that is worth £3000?</w:t>
      </w:r>
    </w:p>
    <w:p w14:paraId="0D417732" w14:textId="77777777" w:rsidR="00E57D2F" w:rsidRPr="00E57D2F" w:rsidRDefault="00E57D2F" w:rsidP="00E57D2F">
      <w:pPr>
        <w:keepNext/>
        <w:keepLines/>
        <w:numPr>
          <w:ilvl w:val="0"/>
          <w:numId w:val="3"/>
        </w:numPr>
        <w:spacing w:before="480" w:after="0" w:line="276" w:lineRule="auto"/>
        <w:ind w:left="540"/>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DISCUSSION AND ANALYSIS:</w:t>
      </w:r>
    </w:p>
    <w:p w14:paraId="23866560"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What is the right medium for hearing? Whether the case should be forwarded to the magistrate or the hearing should be done in crown court? Which is a better option considering the case of William brown? Both magistrate and crown court have advantages and disadvantages, and the decision can be based on the following Analysis:</w:t>
      </w:r>
    </w:p>
    <w:p w14:paraId="75EBCDCB"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In the magistrates, the trials are heard by a district judge of magistrates, while in the crown court, the trials are heard by a jury. There are various factors that can help in deciding whether to select a jury or trial in crown court or to have magistrates give the verdict of not guilty or guilty. Only the most serious offends are referred and tried in crown court. The magistrate sends the trial to the crown court when they considered the crime to be too serious</w:t>
      </w:r>
      <w:r w:rsidRPr="00E57D2F">
        <w:rPr>
          <w:rFonts w:ascii="Times New Roman" w:eastAsia="SimSun" w:hAnsi="Times New Roman" w:cs="Times New Roman"/>
          <w:vertAlign w:val="superscript"/>
          <w:lang w:val="en-US" w:eastAsia="zh-CN"/>
        </w:rPr>
        <w:footnoteReference w:id="2"/>
      </w:r>
      <w:r w:rsidRPr="00E57D2F">
        <w:rPr>
          <w:rFonts w:ascii="Times New Roman" w:eastAsia="SimSun" w:hAnsi="Times New Roman" w:cs="Times New Roman"/>
          <w:sz w:val="24"/>
          <w:szCs w:val="24"/>
          <w:lang w:val="en-US" w:eastAsia="zh-CN"/>
        </w:rPr>
        <w:t>. The advantage of a magistrate is that if found guilty, they give less sentence, and the disadvantage is that they may send the case to the crown court for further decision in case</w:t>
      </w:r>
      <w:r w:rsidRPr="00E57D2F">
        <w:rPr>
          <w:rFonts w:ascii="Times New Roman" w:eastAsia="SimSun" w:hAnsi="Times New Roman" w:cs="Times New Roman"/>
          <w:noProof/>
          <w:sz w:val="24"/>
          <w:szCs w:val="24"/>
          <w:lang w:val="en-US" w:eastAsia="zh-CN"/>
        </w:rPr>
        <w:t xml:space="preserve"> (Li, 2020)</w:t>
      </w:r>
      <w:r w:rsidRPr="00E57D2F">
        <w:rPr>
          <w:rFonts w:ascii="Times New Roman" w:eastAsia="SimSun" w:hAnsi="Times New Roman" w:cs="Times New Roman"/>
          <w:sz w:val="24"/>
          <w:szCs w:val="24"/>
          <w:lang w:val="en-US" w:eastAsia="zh-CN"/>
        </w:rPr>
        <w:t xml:space="preserve">. At the same time, a case in crown court can take a long time which is both an advantage and disadvantage because the defendant can collect enough evidence during this time while it also wastes the time of both parties. </w:t>
      </w:r>
    </w:p>
    <w:p w14:paraId="7242CE3E"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Some lawyers perceive the Magistrate as the better option for the above case because William brown is to be treated for </w:t>
      </w:r>
      <w:proofErr w:type="gramStart"/>
      <w:r w:rsidRPr="00E57D2F">
        <w:rPr>
          <w:rFonts w:ascii="Times New Roman" w:eastAsia="SimSun" w:hAnsi="Times New Roman" w:cs="Times New Roman"/>
          <w:sz w:val="24"/>
          <w:szCs w:val="24"/>
          <w:lang w:val="en-US" w:eastAsia="zh-CN"/>
        </w:rPr>
        <w:t>theft</w:t>
      </w:r>
      <w:proofErr w:type="gramEnd"/>
      <w:r w:rsidRPr="00E57D2F">
        <w:rPr>
          <w:rFonts w:ascii="Times New Roman" w:eastAsia="SimSun" w:hAnsi="Times New Roman" w:cs="Times New Roman"/>
          <w:sz w:val="24"/>
          <w:szCs w:val="24"/>
          <w:lang w:val="en-US" w:eastAsia="zh-CN"/>
        </w:rPr>
        <w:t xml:space="preserve"> which is not very serious like murder, so that magistrates will be the better option for such allegations. In either case, if the magistrates accept that they should try the offense, the defendant William can select if he wants to stay in the magistrate court or if he wants to select trial under crown court. Under such conditions, William should select Magistrates</w:t>
      </w:r>
      <w:r w:rsidRPr="00E57D2F">
        <w:rPr>
          <w:rFonts w:ascii="Times New Roman" w:eastAsia="SimSun" w:hAnsi="Times New Roman" w:cs="Times New Roman"/>
          <w:noProof/>
          <w:sz w:val="24"/>
          <w:szCs w:val="24"/>
          <w:lang w:val="en-US" w:eastAsia="zh-CN"/>
        </w:rPr>
        <w:t xml:space="preserve"> (Li, 2020)</w:t>
      </w:r>
      <w:r w:rsidRPr="00E57D2F">
        <w:rPr>
          <w:rFonts w:ascii="Times New Roman" w:eastAsia="SimSun" w:hAnsi="Times New Roman" w:cs="Times New Roman"/>
          <w:sz w:val="24"/>
          <w:szCs w:val="24"/>
          <w:lang w:val="en-US" w:eastAsia="zh-CN"/>
        </w:rPr>
        <w:t xml:space="preserve">. There are chances that the case of William can be sent to crown court because even the case does not involve murder, but the defendant is 28 years old, and most of </w:t>
      </w:r>
      <w:r w:rsidRPr="00E57D2F">
        <w:rPr>
          <w:rFonts w:ascii="Times New Roman" w:eastAsia="SimSun" w:hAnsi="Times New Roman" w:cs="Times New Roman"/>
          <w:sz w:val="24"/>
          <w:szCs w:val="24"/>
          <w:lang w:val="en-US" w:eastAsia="zh-CN"/>
        </w:rPr>
        <w:lastRenderedPageBreak/>
        <w:t>the cases with juveniles are treated under youth courts, and most of the cases with adults are sent to the crown court. However, the memorandum is biased in favor of the jury, and the reason for selecting a jury is explained below:</w:t>
      </w:r>
    </w:p>
    <w:p w14:paraId="07EF1724" w14:textId="77777777" w:rsidR="00E57D2F" w:rsidRPr="00E57D2F" w:rsidRDefault="00E57D2F" w:rsidP="00E57D2F">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REASON FOR SELECTING JURY</w:t>
      </w:r>
    </w:p>
    <w:p w14:paraId="7A5761DE"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It is to be referred that every lawyer agrees on the same ground, but many lawyers argue that clients in the crown court and magistrate court have somehow similar reviews. The following is the rough guide of advantages and disadvantages of trial by jury:</w:t>
      </w:r>
    </w:p>
    <w:p w14:paraId="05527EC8"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A trial by your equals: in most criminal cases, the jury is made of 12 people who do not know a person and do not have direct knowledge of the case. The jury is based on random people that are selected on electoral registration. The jury can have any individual based on different people from different ages and experiences, and most of them have contrasting backgrounds. As a group of people, they are people who judge on the basis of facts, so they evaluate cases on the basis of evidence, and then they implement the law by following the guidance of the judge</w:t>
      </w:r>
      <w:r w:rsidRPr="00E57D2F">
        <w:rPr>
          <w:rFonts w:ascii="Times New Roman" w:eastAsia="SimSun" w:hAnsi="Times New Roman" w:cs="Times New Roman"/>
          <w:noProof/>
          <w:sz w:val="24"/>
          <w:szCs w:val="24"/>
          <w:lang w:val="en-US" w:eastAsia="zh-CN"/>
        </w:rPr>
        <w:t xml:space="preserve"> (Clack, 2018)</w:t>
      </w:r>
      <w:r w:rsidRPr="00E57D2F">
        <w:rPr>
          <w:rFonts w:ascii="Times New Roman" w:eastAsia="SimSun" w:hAnsi="Times New Roman" w:cs="Times New Roman"/>
          <w:sz w:val="24"/>
          <w:szCs w:val="24"/>
          <w:lang w:val="en-US" w:eastAsia="zh-CN"/>
        </w:rPr>
        <w:t xml:space="preserve">. A jury will have the final verdict, not the judge, and it can be difficult to deal with the jury because no one can tell them the defendant is not guilty. The jury uses their common sense and makes decisions based on their judgment and the provided evidence. The reason for selecting a jury is that it is one the fairest method that gives a verdict based on their common sense and evidence to evaluate whether the defendant is guilty or not. </w:t>
      </w:r>
    </w:p>
    <w:p w14:paraId="48D67F52" w14:textId="77777777" w:rsidR="00E57D2F" w:rsidRPr="00E57D2F" w:rsidRDefault="00E57D2F" w:rsidP="00E57D2F">
      <w:pPr>
        <w:keepNext/>
        <w:keepLines/>
        <w:numPr>
          <w:ilvl w:val="0"/>
          <w:numId w:val="3"/>
        </w:numPr>
        <w:spacing w:before="480" w:after="0" w:line="276" w:lineRule="auto"/>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CONVICTION RATE:</w:t>
      </w:r>
    </w:p>
    <w:p w14:paraId="67DF3D43"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It is a common opinion that the conviction rate by magistrate court is relatively higher than the crown court. According to the annual report of crown prosecution report, "2019/2020 reveals that in 2019/2020, the CPs reveals that around 35,252 estimated trials had been conducted by magistrate court out of which there was around 23,943 total convicted that makes around 68%. The same report suggests that around the same time, the CPS prosecuted around 8,806 trials in the crown court, out of which there were 5,146 to take conviction that makes around 59%. There is the various numbers of views about the situation and why there is a huge gap between the numbers</w:t>
      </w:r>
      <w:r w:rsidRPr="00E57D2F">
        <w:rPr>
          <w:rFonts w:ascii="Times New Roman" w:eastAsia="SimSun" w:hAnsi="Times New Roman" w:cs="Times New Roman"/>
          <w:noProof/>
          <w:sz w:val="24"/>
          <w:szCs w:val="24"/>
          <w:lang w:val="en-US" w:eastAsia="zh-CN"/>
        </w:rPr>
        <w:t xml:space="preserve"> (Clack, 2018)</w:t>
      </w:r>
      <w:r w:rsidRPr="00E57D2F">
        <w:rPr>
          <w:rFonts w:ascii="Times New Roman" w:eastAsia="SimSun" w:hAnsi="Times New Roman" w:cs="Times New Roman"/>
          <w:sz w:val="24"/>
          <w:szCs w:val="24"/>
          <w:lang w:val="en-US" w:eastAsia="zh-CN"/>
        </w:rPr>
        <w:t xml:space="preserve">. However, there is a concept that many criminals agree that juries are more expected to give the defendant what is known as "benefits of doubt." </w:t>
      </w:r>
    </w:p>
    <w:p w14:paraId="7A3E1053"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Many people do not get the critical opportunity to have jury services. Still, people who have it usually take the process very seriously. In William's case, </w:t>
      </w:r>
      <w:proofErr w:type="gramStart"/>
      <w:r w:rsidRPr="00E57D2F">
        <w:rPr>
          <w:rFonts w:ascii="Times New Roman" w:eastAsia="SimSun" w:hAnsi="Times New Roman" w:cs="Times New Roman"/>
          <w:sz w:val="24"/>
          <w:szCs w:val="24"/>
          <w:lang w:val="en-US" w:eastAsia="zh-CN"/>
        </w:rPr>
        <w:t>it's</w:t>
      </w:r>
      <w:proofErr w:type="gramEnd"/>
      <w:r w:rsidRPr="00E57D2F">
        <w:rPr>
          <w:rFonts w:ascii="Times New Roman" w:eastAsia="SimSun" w:hAnsi="Times New Roman" w:cs="Times New Roman"/>
          <w:sz w:val="24"/>
          <w:szCs w:val="24"/>
          <w:lang w:val="en-US" w:eastAsia="zh-CN"/>
        </w:rPr>
        <w:t xml:space="preserve"> even more crucial to evaluate </w:t>
      </w:r>
      <w:r w:rsidRPr="00E57D2F">
        <w:rPr>
          <w:rFonts w:ascii="Times New Roman" w:eastAsia="SimSun" w:hAnsi="Times New Roman" w:cs="Times New Roman"/>
          <w:sz w:val="24"/>
          <w:szCs w:val="24"/>
          <w:lang w:val="en-US" w:eastAsia="zh-CN"/>
        </w:rPr>
        <w:lastRenderedPageBreak/>
        <w:t>each point of the case to have a final decision on the situation. The reason for taking the chance so seriously is because it is one of their chances to take the civil role crucially, and they must perform the services in their two weeks of jury services. They feel pressured to judge fellow humans in a fair-minded and conscious way. The brief service tenure of the people in a jury can be contrasted to the judges in the district court who have their full-time work shift in the court and even if working part time often have judges working for many years. Some lawyers may argue that over time the magistrates and district judges may become cynical, and the case handed in their particular approach. Therefore, they are less likely to give a defendant the ‘benefits of the doubt</w:t>
      </w:r>
      <w:r w:rsidRPr="00E57D2F">
        <w:rPr>
          <w:rFonts w:ascii="Times New Roman" w:eastAsia="SimSun" w:hAnsi="Times New Roman" w:cs="Times New Roman"/>
          <w:vertAlign w:val="superscript"/>
          <w:lang w:val="en-US" w:eastAsia="zh-CN"/>
        </w:rPr>
        <w:footnoteReference w:id="3"/>
      </w:r>
      <w:r w:rsidRPr="00E57D2F">
        <w:rPr>
          <w:rFonts w:ascii="Times New Roman" w:eastAsia="SimSun" w:hAnsi="Times New Roman" w:cs="Times New Roman"/>
          <w:sz w:val="24"/>
          <w:szCs w:val="24"/>
          <w:lang w:val="en-US" w:eastAsia="zh-CN"/>
        </w:rPr>
        <w:t xml:space="preserve">. Even though both magistrates and juries have like-minded people, the statistical data shows that juries may provide their decision in favor of the defendant, and they may not find him guilty. So even though the case of William may take more time in the </w:t>
      </w:r>
      <w:proofErr w:type="gramStart"/>
      <w:r w:rsidRPr="00E57D2F">
        <w:rPr>
          <w:rFonts w:ascii="Times New Roman" w:eastAsia="SimSun" w:hAnsi="Times New Roman" w:cs="Times New Roman"/>
          <w:sz w:val="24"/>
          <w:szCs w:val="24"/>
          <w:lang w:val="en-US" w:eastAsia="zh-CN"/>
        </w:rPr>
        <w:t>jury</w:t>
      </w:r>
      <w:proofErr w:type="gramEnd"/>
      <w:r w:rsidRPr="00E57D2F">
        <w:rPr>
          <w:rFonts w:ascii="Times New Roman" w:eastAsia="SimSun" w:hAnsi="Times New Roman" w:cs="Times New Roman"/>
          <w:sz w:val="24"/>
          <w:szCs w:val="24"/>
          <w:lang w:val="en-US" w:eastAsia="zh-CN"/>
        </w:rPr>
        <w:t xml:space="preserve"> but it is most expected that William will not be found guilty</w:t>
      </w:r>
      <w:r w:rsidRPr="00E57D2F">
        <w:rPr>
          <w:rFonts w:ascii="Times New Roman" w:eastAsia="SimSun" w:hAnsi="Times New Roman" w:cs="Times New Roman"/>
          <w:noProof/>
          <w:sz w:val="24"/>
          <w:szCs w:val="24"/>
          <w:lang w:val="en-US" w:eastAsia="zh-CN"/>
        </w:rPr>
        <w:t xml:space="preserve"> (Bakurova, 2019)</w:t>
      </w:r>
      <w:r w:rsidRPr="00E57D2F">
        <w:rPr>
          <w:rFonts w:ascii="Times New Roman" w:eastAsia="SimSun" w:hAnsi="Times New Roman" w:cs="Times New Roman"/>
          <w:sz w:val="24"/>
          <w:szCs w:val="24"/>
          <w:lang w:val="en-US" w:eastAsia="zh-CN"/>
        </w:rPr>
        <w:t xml:space="preserve">. </w:t>
      </w:r>
    </w:p>
    <w:p w14:paraId="3A0529F4"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In the crown court, the matters are dealt with by the judges in the absence of any jury. This also suggests that judges exclude any evidence for the trial, such as "confession," which the judge may considered unreliable, or they can eliminate the previous conviction on which the prosecution can be relied upon. The jury will not hear anything about the evidence during the period of trial.</w:t>
      </w:r>
    </w:p>
    <w:p w14:paraId="73273B65"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 xml:space="preserve">In the magistrate court, there is no concept of a jury, so if the district judge or magistrate were to be asked about the exclusion of the evidence regarding the trial, even if they agree to include the evidence, they would initially be heard about the trials. Then they will go in to have these trials in the case. It might also get difficult for them to remove this evidence from the trials when they decide about the verdict. </w:t>
      </w:r>
    </w:p>
    <w:p w14:paraId="431E9604" w14:textId="77777777" w:rsidR="00E57D2F" w:rsidRPr="00E57D2F" w:rsidRDefault="00E57D2F" w:rsidP="00E57D2F">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LEGAL EXPERTISE</w:t>
      </w:r>
    </w:p>
    <w:p w14:paraId="076DE8E7"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Finally, an essential reason for selecting the crown court is the judges are more professional, wherein magistrates there are only some professional judges such as district judges. Still, the remaining magistrate is not just volunteers and not professional lawyers. Magistrates are guided by procedural and legal matters by the legal advice in the justice system</w:t>
      </w:r>
      <w:r w:rsidRPr="00E57D2F">
        <w:rPr>
          <w:rFonts w:ascii="Times New Roman" w:eastAsia="SimSun" w:hAnsi="Times New Roman" w:cs="Times New Roman"/>
          <w:noProof/>
          <w:sz w:val="24"/>
          <w:szCs w:val="24"/>
          <w:lang w:val="en-US" w:eastAsia="zh-CN"/>
        </w:rPr>
        <w:t xml:space="preserve"> (Clack, 2018)</w:t>
      </w:r>
      <w:r w:rsidRPr="00E57D2F">
        <w:rPr>
          <w:rFonts w:ascii="Times New Roman" w:eastAsia="SimSun" w:hAnsi="Times New Roman" w:cs="Times New Roman"/>
          <w:sz w:val="24"/>
          <w:szCs w:val="24"/>
          <w:lang w:val="en-US" w:eastAsia="zh-CN"/>
        </w:rPr>
        <w:t xml:space="preserve">. In the magistrates' court of there is a complex legal submission; the case may be dealt with under </w:t>
      </w:r>
      <w:r w:rsidRPr="00E57D2F">
        <w:rPr>
          <w:rFonts w:ascii="Times New Roman" w:eastAsia="SimSun" w:hAnsi="Times New Roman" w:cs="Times New Roman"/>
          <w:sz w:val="24"/>
          <w:szCs w:val="24"/>
          <w:lang w:val="en-US" w:eastAsia="zh-CN"/>
        </w:rPr>
        <w:lastRenderedPageBreak/>
        <w:t>District judge, but in the crown court, the legal arguments may be heard by experienced and legal professionals.</w:t>
      </w:r>
    </w:p>
    <w:p w14:paraId="1E8CAA68" w14:textId="77777777" w:rsidR="00E57D2F" w:rsidRPr="00E57D2F" w:rsidRDefault="00E57D2F" w:rsidP="00E57D2F">
      <w:pPr>
        <w:spacing w:after="200" w:line="360" w:lineRule="auto"/>
        <w:jc w:val="both"/>
        <w:rPr>
          <w:rFonts w:ascii="Times New Roman" w:eastAsia="SimSun" w:hAnsi="Times New Roman" w:cs="Times New Roman"/>
          <w:sz w:val="24"/>
          <w:szCs w:val="24"/>
          <w:lang w:val="en-US" w:eastAsia="zh-CN"/>
        </w:rPr>
      </w:pPr>
      <w:r w:rsidRPr="00E57D2F">
        <w:rPr>
          <w:rFonts w:ascii="Times New Roman" w:eastAsia="SimSun" w:hAnsi="Times New Roman" w:cs="Times New Roman"/>
          <w:sz w:val="24"/>
          <w:szCs w:val="24"/>
          <w:lang w:val="en-US" w:eastAsia="zh-CN"/>
        </w:rPr>
        <w:t>One of the disadvantages of having heard in crown court is that it takes a lot of time and cost for the hearing in the crown court, but most defendants get the benefits overhearing by magistrates. In the case of William, there are small details in the case that can be used in his favor, so it would be better to select the crown court for the hearing because they are professionals and take more considerations in the case.</w:t>
      </w:r>
    </w:p>
    <w:p w14:paraId="15720C02" w14:textId="77777777" w:rsidR="00E57D2F" w:rsidRPr="00E57D2F" w:rsidRDefault="00E57D2F" w:rsidP="00E57D2F">
      <w:pPr>
        <w:keepNext/>
        <w:keepLines/>
        <w:numPr>
          <w:ilvl w:val="0"/>
          <w:numId w:val="3"/>
        </w:numPr>
        <w:spacing w:before="480" w:after="0" w:line="276" w:lineRule="auto"/>
        <w:ind w:left="540"/>
        <w:outlineLvl w:val="0"/>
        <w:rPr>
          <w:rFonts w:ascii="Times New Roman" w:eastAsia="SimSun" w:hAnsi="Times New Roman" w:cs="Times New Roman"/>
          <w:b/>
          <w:bCs/>
          <w:color w:val="000000"/>
          <w:sz w:val="28"/>
          <w:szCs w:val="28"/>
          <w:lang w:val="en-US" w:eastAsia="zh-CN"/>
        </w:rPr>
      </w:pPr>
      <w:r w:rsidRPr="00E57D2F">
        <w:rPr>
          <w:rFonts w:ascii="Times New Roman" w:eastAsia="SimSun" w:hAnsi="Times New Roman" w:cs="Times New Roman"/>
          <w:b/>
          <w:bCs/>
          <w:color w:val="000000"/>
          <w:sz w:val="28"/>
          <w:szCs w:val="28"/>
          <w:lang w:val="en-US" w:eastAsia="zh-CN"/>
        </w:rPr>
        <w:t>WHAT IF THE CLIENT FOUND GUILTY?</w:t>
      </w:r>
    </w:p>
    <w:p w14:paraId="5343735B" w14:textId="77777777" w:rsidR="00E57D2F" w:rsidRPr="00E57D2F" w:rsidRDefault="00E57D2F" w:rsidP="00E57D2F">
      <w:pPr>
        <w:spacing w:after="200" w:line="360" w:lineRule="auto"/>
        <w:jc w:val="both"/>
        <w:rPr>
          <w:rFonts w:ascii="Times New Roman" w:eastAsia="SimSun" w:hAnsi="Times New Roman" w:cs="Times New Roman"/>
          <w:lang w:val="en-US" w:eastAsia="zh-CN"/>
        </w:rPr>
      </w:pPr>
      <w:r w:rsidRPr="00E57D2F">
        <w:rPr>
          <w:rFonts w:ascii="Times New Roman" w:eastAsia="SimSun" w:hAnsi="Times New Roman" w:cs="Times New Roman"/>
          <w:sz w:val="24"/>
          <w:szCs w:val="24"/>
          <w:lang w:val="en-US" w:eastAsia="zh-CN"/>
        </w:rPr>
        <w:t>If William would find guilty in the Crown court or in Magistrate court, then the court will decide on his sentence. At the hearing, the court will assess all-important findings of the offender's side to give the appropriate verdict. The defendant will be eligible for a guilty plea to reduce his sentence</w:t>
      </w:r>
      <w:r w:rsidRPr="00E57D2F">
        <w:rPr>
          <w:rFonts w:ascii="Times New Roman" w:eastAsia="SimSun" w:hAnsi="Times New Roman" w:cs="Times New Roman"/>
          <w:vertAlign w:val="superscript"/>
          <w:lang w:val="en-US" w:eastAsia="zh-CN"/>
        </w:rPr>
        <w:footnoteReference w:id="4"/>
      </w:r>
      <w:r w:rsidRPr="00E57D2F">
        <w:rPr>
          <w:rFonts w:ascii="Times New Roman" w:eastAsia="SimSun" w:hAnsi="Times New Roman" w:cs="Times New Roman"/>
          <w:noProof/>
          <w:sz w:val="24"/>
          <w:szCs w:val="24"/>
          <w:lang w:val="en-US" w:eastAsia="zh-CN"/>
        </w:rPr>
        <w:t xml:space="preserve"> (Bakurova, 2019)</w:t>
      </w:r>
      <w:r w:rsidRPr="00E57D2F">
        <w:rPr>
          <w:rFonts w:ascii="Times New Roman" w:eastAsia="SimSun" w:hAnsi="Times New Roman" w:cs="Times New Roman"/>
          <w:sz w:val="24"/>
          <w:szCs w:val="24"/>
          <w:lang w:val="en-US" w:eastAsia="zh-CN"/>
        </w:rPr>
        <w:t>. The court would present his previous records and how he has been a responsible person in his life. The lawyer will highlight facts that will make William’s case more or less severe. It will be made possible that the case is not referred to magistrate’s court or it is not categorized as serious case.</w:t>
      </w:r>
    </w:p>
    <w:p w14:paraId="5DAD4099" w14:textId="77777777" w:rsidR="00E57D2F" w:rsidRPr="00E57D2F" w:rsidRDefault="00E57D2F" w:rsidP="00E57D2F">
      <w:pPr>
        <w:spacing w:after="200" w:line="360" w:lineRule="auto"/>
        <w:jc w:val="both"/>
        <w:rPr>
          <w:rFonts w:ascii="Times New Roman" w:eastAsia="SimSun" w:hAnsi="Times New Roman" w:cs="Times New Roman"/>
          <w:lang w:val="en-US" w:eastAsia="zh-CN"/>
        </w:rPr>
      </w:pPr>
    </w:p>
    <w:p w14:paraId="5A9425EA" w14:textId="77777777" w:rsidR="00E57D2F" w:rsidRPr="00E57D2F" w:rsidRDefault="00E57D2F" w:rsidP="00E57D2F">
      <w:pPr>
        <w:spacing w:after="200" w:line="360" w:lineRule="auto"/>
        <w:jc w:val="both"/>
        <w:rPr>
          <w:rFonts w:ascii="Times New Roman" w:eastAsia="SimSun" w:hAnsi="Times New Roman" w:cs="Times New Roman"/>
          <w:lang w:val="en-US" w:eastAsia="zh-CN"/>
        </w:rPr>
      </w:pPr>
    </w:p>
    <w:p w14:paraId="007F7746" w14:textId="77777777" w:rsidR="00E57D2F" w:rsidRPr="00E57D2F" w:rsidRDefault="00E57D2F" w:rsidP="00E57D2F">
      <w:pPr>
        <w:keepNext/>
        <w:keepLines/>
        <w:numPr>
          <w:ilvl w:val="0"/>
          <w:numId w:val="3"/>
        </w:numPr>
        <w:spacing w:before="480" w:after="0" w:line="276" w:lineRule="auto"/>
        <w:ind w:left="450"/>
        <w:outlineLvl w:val="0"/>
        <w:rPr>
          <w:rFonts w:ascii="Times New Roman" w:eastAsia="SimSun" w:hAnsi="Times New Roman" w:cs="Times New Roman"/>
          <w:b/>
          <w:bCs/>
          <w:color w:val="000000"/>
          <w:sz w:val="28"/>
          <w:szCs w:val="28"/>
          <w:u w:val="single"/>
          <w:lang w:val="en-US" w:eastAsia="zh-CN"/>
        </w:rPr>
      </w:pPr>
      <w:r w:rsidRPr="00E57D2F">
        <w:rPr>
          <w:rFonts w:ascii="Times New Roman" w:eastAsia="SimSun" w:hAnsi="Times New Roman" w:cs="Times New Roman"/>
          <w:b/>
          <w:bCs/>
          <w:color w:val="000000"/>
          <w:sz w:val="28"/>
          <w:szCs w:val="28"/>
          <w:u w:val="single"/>
          <w:lang w:val="en-US" w:eastAsia="zh-CN"/>
        </w:rPr>
        <w:t>REFERENCES:</w:t>
      </w:r>
    </w:p>
    <w:p w14:paraId="350F762C" w14:textId="77777777" w:rsidR="00E57D2F" w:rsidRPr="00E57D2F" w:rsidRDefault="00E57D2F" w:rsidP="00E57D2F">
      <w:pPr>
        <w:numPr>
          <w:ilvl w:val="0"/>
          <w:numId w:val="2"/>
        </w:numPr>
        <w:spacing w:after="200" w:line="276" w:lineRule="auto"/>
        <w:rPr>
          <w:rFonts w:ascii="Arial" w:eastAsia="SimSun" w:hAnsi="Arial" w:cs="Arial"/>
          <w:color w:val="222222"/>
          <w:sz w:val="20"/>
          <w:szCs w:val="20"/>
          <w:shd w:val="clear" w:color="auto" w:fill="FFFFFF"/>
          <w:lang w:val="en-US" w:eastAsia="zh-CN"/>
        </w:rPr>
      </w:pPr>
      <w:r w:rsidRPr="00E57D2F">
        <w:rPr>
          <w:rFonts w:ascii="Arial" w:eastAsia="SimSun" w:hAnsi="Arial" w:cs="Arial"/>
          <w:color w:val="222222"/>
          <w:sz w:val="20"/>
          <w:szCs w:val="20"/>
          <w:shd w:val="clear" w:color="auto" w:fill="FFFFFF"/>
          <w:lang w:val="en-US" w:eastAsia="zh-CN"/>
        </w:rPr>
        <w:t xml:space="preserve">Morgan, R.E. and </w:t>
      </w:r>
      <w:proofErr w:type="spellStart"/>
      <w:r w:rsidRPr="00E57D2F">
        <w:rPr>
          <w:rFonts w:ascii="Arial" w:eastAsia="SimSun" w:hAnsi="Arial" w:cs="Arial"/>
          <w:color w:val="222222"/>
          <w:sz w:val="20"/>
          <w:szCs w:val="20"/>
          <w:shd w:val="clear" w:color="auto" w:fill="FFFFFF"/>
          <w:lang w:val="en-US" w:eastAsia="zh-CN"/>
        </w:rPr>
        <w:t>Kena</w:t>
      </w:r>
      <w:proofErr w:type="spellEnd"/>
      <w:r w:rsidRPr="00E57D2F">
        <w:rPr>
          <w:rFonts w:ascii="Arial" w:eastAsia="SimSun" w:hAnsi="Arial" w:cs="Arial"/>
          <w:color w:val="222222"/>
          <w:sz w:val="20"/>
          <w:szCs w:val="20"/>
          <w:shd w:val="clear" w:color="auto" w:fill="FFFFFF"/>
          <w:lang w:val="en-US" w:eastAsia="zh-CN"/>
        </w:rPr>
        <w:t>, G., 2018. Criminal victimization, 2016: revised. </w:t>
      </w:r>
      <w:r w:rsidRPr="00E57D2F">
        <w:rPr>
          <w:rFonts w:ascii="Arial" w:eastAsia="SimSun" w:hAnsi="Arial" w:cs="Arial"/>
          <w:i/>
          <w:iCs/>
          <w:color w:val="222222"/>
          <w:sz w:val="20"/>
          <w:szCs w:val="20"/>
          <w:shd w:val="clear" w:color="auto" w:fill="FFFFFF"/>
          <w:lang w:val="en-US" w:eastAsia="zh-CN"/>
        </w:rPr>
        <w:t>Washington, DC: Bureau of Justice Statistics</w:t>
      </w:r>
      <w:r w:rsidRPr="00E57D2F">
        <w:rPr>
          <w:rFonts w:ascii="Arial" w:eastAsia="SimSun" w:hAnsi="Arial" w:cs="Arial"/>
          <w:color w:val="222222"/>
          <w:sz w:val="20"/>
          <w:szCs w:val="20"/>
          <w:shd w:val="clear" w:color="auto" w:fill="FFFFFF"/>
          <w:lang w:val="en-US" w:eastAsia="zh-CN"/>
        </w:rPr>
        <w:t>.</w:t>
      </w:r>
    </w:p>
    <w:p w14:paraId="2D35433D" w14:textId="77777777" w:rsidR="00E57D2F" w:rsidRPr="00E57D2F" w:rsidRDefault="00E57D2F" w:rsidP="00E57D2F">
      <w:pPr>
        <w:numPr>
          <w:ilvl w:val="0"/>
          <w:numId w:val="2"/>
        </w:numPr>
        <w:spacing w:after="200" w:line="276" w:lineRule="auto"/>
        <w:rPr>
          <w:rFonts w:ascii="Arial" w:eastAsia="SimSun" w:hAnsi="Arial" w:cs="Arial"/>
          <w:color w:val="222222"/>
          <w:sz w:val="20"/>
          <w:szCs w:val="20"/>
          <w:shd w:val="clear" w:color="auto" w:fill="FFFFFF"/>
          <w:lang w:val="en-US" w:eastAsia="zh-CN"/>
        </w:rPr>
      </w:pPr>
      <w:proofErr w:type="spellStart"/>
      <w:r w:rsidRPr="00E57D2F">
        <w:rPr>
          <w:rFonts w:ascii="Arial" w:eastAsia="SimSun" w:hAnsi="Arial" w:cs="Arial"/>
          <w:color w:val="222222"/>
          <w:sz w:val="20"/>
          <w:szCs w:val="20"/>
          <w:shd w:val="clear" w:color="auto" w:fill="FFFFFF"/>
          <w:lang w:val="en-US" w:eastAsia="zh-CN"/>
        </w:rPr>
        <w:t>Bakurova</w:t>
      </w:r>
      <w:proofErr w:type="spellEnd"/>
      <w:r w:rsidRPr="00E57D2F">
        <w:rPr>
          <w:rFonts w:ascii="Arial" w:eastAsia="SimSun" w:hAnsi="Arial" w:cs="Arial"/>
          <w:color w:val="222222"/>
          <w:sz w:val="20"/>
          <w:szCs w:val="20"/>
          <w:shd w:val="clear" w:color="auto" w:fill="FFFFFF"/>
          <w:lang w:val="en-US" w:eastAsia="zh-CN"/>
        </w:rPr>
        <w:t xml:space="preserve">, A., </w:t>
      </w:r>
      <w:proofErr w:type="spellStart"/>
      <w:r w:rsidRPr="00E57D2F">
        <w:rPr>
          <w:rFonts w:ascii="Arial" w:eastAsia="SimSun" w:hAnsi="Arial" w:cs="Arial"/>
          <w:color w:val="222222"/>
          <w:sz w:val="20"/>
          <w:szCs w:val="20"/>
          <w:shd w:val="clear" w:color="auto" w:fill="FFFFFF"/>
          <w:lang w:val="en-US" w:eastAsia="zh-CN"/>
        </w:rPr>
        <w:t>Pasichnyk</w:t>
      </w:r>
      <w:proofErr w:type="spellEnd"/>
      <w:r w:rsidRPr="00E57D2F">
        <w:rPr>
          <w:rFonts w:ascii="Arial" w:eastAsia="SimSun" w:hAnsi="Arial" w:cs="Arial"/>
          <w:color w:val="222222"/>
          <w:sz w:val="20"/>
          <w:szCs w:val="20"/>
          <w:shd w:val="clear" w:color="auto" w:fill="FFFFFF"/>
          <w:lang w:val="en-US" w:eastAsia="zh-CN"/>
        </w:rPr>
        <w:t xml:space="preserve">, M., </w:t>
      </w:r>
      <w:proofErr w:type="spellStart"/>
      <w:r w:rsidRPr="00E57D2F">
        <w:rPr>
          <w:rFonts w:ascii="Arial" w:eastAsia="SimSun" w:hAnsi="Arial" w:cs="Arial"/>
          <w:color w:val="222222"/>
          <w:sz w:val="20"/>
          <w:szCs w:val="20"/>
          <w:shd w:val="clear" w:color="auto" w:fill="FFFFFF"/>
          <w:lang w:val="en-US" w:eastAsia="zh-CN"/>
        </w:rPr>
        <w:t>Tereschenko</w:t>
      </w:r>
      <w:proofErr w:type="spellEnd"/>
      <w:r w:rsidRPr="00E57D2F">
        <w:rPr>
          <w:rFonts w:ascii="Arial" w:eastAsia="SimSun" w:hAnsi="Arial" w:cs="Arial"/>
          <w:color w:val="222222"/>
          <w:sz w:val="20"/>
          <w:szCs w:val="20"/>
          <w:shd w:val="clear" w:color="auto" w:fill="FFFFFF"/>
          <w:lang w:val="en-US" w:eastAsia="zh-CN"/>
        </w:rPr>
        <w:t xml:space="preserve">, E. and </w:t>
      </w:r>
      <w:proofErr w:type="spellStart"/>
      <w:r w:rsidRPr="00E57D2F">
        <w:rPr>
          <w:rFonts w:ascii="Arial" w:eastAsia="SimSun" w:hAnsi="Arial" w:cs="Arial"/>
          <w:color w:val="222222"/>
          <w:sz w:val="20"/>
          <w:szCs w:val="20"/>
          <w:shd w:val="clear" w:color="auto" w:fill="FFFFFF"/>
          <w:lang w:val="en-US" w:eastAsia="zh-CN"/>
        </w:rPr>
        <w:t>Filei</w:t>
      </w:r>
      <w:proofErr w:type="spellEnd"/>
      <w:r w:rsidRPr="00E57D2F">
        <w:rPr>
          <w:rFonts w:ascii="Arial" w:eastAsia="SimSun" w:hAnsi="Arial" w:cs="Arial"/>
          <w:color w:val="222222"/>
          <w:sz w:val="20"/>
          <w:szCs w:val="20"/>
          <w:shd w:val="clear" w:color="auto" w:fill="FFFFFF"/>
          <w:lang w:val="en-US" w:eastAsia="zh-CN"/>
        </w:rPr>
        <w:t>, Y., 2019. Production model for administration of judicial decisions in the case of theft. In </w:t>
      </w:r>
      <w:r w:rsidRPr="00E57D2F">
        <w:rPr>
          <w:rFonts w:ascii="Arial" w:eastAsia="SimSun" w:hAnsi="Arial" w:cs="Arial"/>
          <w:i/>
          <w:iCs/>
          <w:color w:val="222222"/>
          <w:sz w:val="20"/>
          <w:szCs w:val="20"/>
          <w:shd w:val="clear" w:color="auto" w:fill="FFFFFF"/>
          <w:lang w:val="en-US" w:eastAsia="zh-CN"/>
        </w:rPr>
        <w:t>SHS Web of Conferences</w:t>
      </w:r>
      <w:r w:rsidRPr="00E57D2F">
        <w:rPr>
          <w:rFonts w:ascii="Arial" w:eastAsia="SimSun" w:hAnsi="Arial" w:cs="Arial"/>
          <w:color w:val="222222"/>
          <w:sz w:val="20"/>
          <w:szCs w:val="20"/>
          <w:shd w:val="clear" w:color="auto" w:fill="FFFFFF"/>
          <w:lang w:val="en-US" w:eastAsia="zh-CN"/>
        </w:rPr>
        <w:t> (Vol. 65, p. 04012). EDP Sciences.</w:t>
      </w:r>
    </w:p>
    <w:p w14:paraId="6F61448D" w14:textId="77777777" w:rsidR="00E57D2F" w:rsidRPr="00E57D2F" w:rsidRDefault="00E57D2F" w:rsidP="00E57D2F">
      <w:pPr>
        <w:numPr>
          <w:ilvl w:val="0"/>
          <w:numId w:val="2"/>
        </w:numPr>
        <w:spacing w:after="200" w:line="276" w:lineRule="auto"/>
        <w:rPr>
          <w:rFonts w:ascii="Arial" w:eastAsia="SimSun" w:hAnsi="Arial" w:cs="Arial"/>
          <w:color w:val="222222"/>
          <w:sz w:val="20"/>
          <w:szCs w:val="20"/>
          <w:shd w:val="clear" w:color="auto" w:fill="FFFFFF"/>
          <w:lang w:val="en-US" w:eastAsia="zh-CN"/>
        </w:rPr>
      </w:pPr>
      <w:r w:rsidRPr="00E57D2F">
        <w:rPr>
          <w:rFonts w:ascii="Arial" w:eastAsia="SimSun" w:hAnsi="Arial" w:cs="Arial"/>
          <w:color w:val="222222"/>
          <w:sz w:val="20"/>
          <w:szCs w:val="20"/>
          <w:shd w:val="clear" w:color="auto" w:fill="FFFFFF"/>
          <w:lang w:val="en-US" w:eastAsia="zh-CN"/>
        </w:rPr>
        <w:t>Clack, W., 2018, September. Livestock theft a global and South African perspective. In </w:t>
      </w:r>
      <w:r w:rsidRPr="00E57D2F">
        <w:rPr>
          <w:rFonts w:ascii="Arial" w:eastAsia="SimSun" w:hAnsi="Arial" w:cs="Arial"/>
          <w:i/>
          <w:iCs/>
          <w:color w:val="222222"/>
          <w:sz w:val="20"/>
          <w:szCs w:val="20"/>
          <w:shd w:val="clear" w:color="auto" w:fill="FFFFFF"/>
          <w:lang w:val="en-US" w:eastAsia="zh-CN"/>
        </w:rPr>
        <w:t xml:space="preserve">Red Meat Producers’ </w:t>
      </w:r>
      <w:proofErr w:type="spellStart"/>
      <w:r w:rsidRPr="00E57D2F">
        <w:rPr>
          <w:rFonts w:ascii="Arial" w:eastAsia="SimSun" w:hAnsi="Arial" w:cs="Arial"/>
          <w:i/>
          <w:iCs/>
          <w:color w:val="222222"/>
          <w:sz w:val="20"/>
          <w:szCs w:val="20"/>
          <w:shd w:val="clear" w:color="auto" w:fill="FFFFFF"/>
          <w:lang w:val="en-US" w:eastAsia="zh-CN"/>
        </w:rPr>
        <w:t>Organisation</w:t>
      </w:r>
      <w:proofErr w:type="spellEnd"/>
      <w:r w:rsidRPr="00E57D2F">
        <w:rPr>
          <w:rFonts w:ascii="Arial" w:eastAsia="SimSun" w:hAnsi="Arial" w:cs="Arial"/>
          <w:i/>
          <w:iCs/>
          <w:color w:val="222222"/>
          <w:sz w:val="20"/>
          <w:szCs w:val="20"/>
          <w:shd w:val="clear" w:color="auto" w:fill="FFFFFF"/>
          <w:lang w:val="en-US" w:eastAsia="zh-CN"/>
        </w:rPr>
        <w:t xml:space="preserve"> Conference, Pretoria</w:t>
      </w:r>
      <w:r w:rsidRPr="00E57D2F">
        <w:rPr>
          <w:rFonts w:ascii="Arial" w:eastAsia="SimSun" w:hAnsi="Arial" w:cs="Arial"/>
          <w:color w:val="222222"/>
          <w:sz w:val="20"/>
          <w:szCs w:val="20"/>
          <w:shd w:val="clear" w:color="auto" w:fill="FFFFFF"/>
          <w:lang w:val="en-US" w:eastAsia="zh-CN"/>
        </w:rPr>
        <w:t>.</w:t>
      </w:r>
    </w:p>
    <w:p w14:paraId="018FBF10" w14:textId="77777777" w:rsidR="00E57D2F" w:rsidRPr="00E57D2F" w:rsidRDefault="00E57D2F" w:rsidP="00E57D2F">
      <w:pPr>
        <w:numPr>
          <w:ilvl w:val="0"/>
          <w:numId w:val="2"/>
        </w:numPr>
        <w:spacing w:after="200" w:line="276" w:lineRule="auto"/>
        <w:rPr>
          <w:rFonts w:ascii="Arial" w:eastAsia="SimSun" w:hAnsi="Arial" w:cs="Arial"/>
          <w:color w:val="222222"/>
          <w:sz w:val="20"/>
          <w:szCs w:val="20"/>
          <w:shd w:val="clear" w:color="auto" w:fill="FFFFFF"/>
          <w:lang w:val="en-US" w:eastAsia="zh-CN"/>
        </w:rPr>
      </w:pPr>
      <w:r w:rsidRPr="00E57D2F">
        <w:rPr>
          <w:rFonts w:ascii="Arial" w:eastAsia="SimSun" w:hAnsi="Arial" w:cs="Arial"/>
          <w:color w:val="222222"/>
          <w:sz w:val="20"/>
          <w:szCs w:val="20"/>
          <w:shd w:val="clear" w:color="auto" w:fill="FFFFFF"/>
          <w:lang w:val="en-US" w:eastAsia="zh-CN"/>
        </w:rPr>
        <w:t xml:space="preserve">Li, S., Zhang, H., Ye, L., </w:t>
      </w:r>
      <w:proofErr w:type="spellStart"/>
      <w:r w:rsidRPr="00E57D2F">
        <w:rPr>
          <w:rFonts w:ascii="Arial" w:eastAsia="SimSun" w:hAnsi="Arial" w:cs="Arial"/>
          <w:color w:val="222222"/>
          <w:sz w:val="20"/>
          <w:szCs w:val="20"/>
          <w:shd w:val="clear" w:color="auto" w:fill="FFFFFF"/>
          <w:lang w:val="en-US" w:eastAsia="zh-CN"/>
        </w:rPr>
        <w:t>Su</w:t>
      </w:r>
      <w:proofErr w:type="spellEnd"/>
      <w:r w:rsidRPr="00E57D2F">
        <w:rPr>
          <w:rFonts w:ascii="Arial" w:eastAsia="SimSun" w:hAnsi="Arial" w:cs="Arial"/>
          <w:color w:val="222222"/>
          <w:sz w:val="20"/>
          <w:szCs w:val="20"/>
          <w:shd w:val="clear" w:color="auto" w:fill="FFFFFF"/>
          <w:lang w:val="en-US" w:eastAsia="zh-CN"/>
        </w:rPr>
        <w:t>, S., Guo, X., Yu, H. and Fang, B., 2020. Prison term prediction on criminal case description with deep learning. </w:t>
      </w:r>
      <w:r w:rsidRPr="00E57D2F">
        <w:rPr>
          <w:rFonts w:ascii="Arial" w:eastAsia="SimSun" w:hAnsi="Arial" w:cs="Arial"/>
          <w:i/>
          <w:iCs/>
          <w:color w:val="222222"/>
          <w:sz w:val="20"/>
          <w:szCs w:val="20"/>
          <w:shd w:val="clear" w:color="auto" w:fill="FFFFFF"/>
          <w:lang w:val="en-US" w:eastAsia="zh-CN"/>
        </w:rPr>
        <w:t>Computers, Materials &amp; Continua</w:t>
      </w:r>
      <w:r w:rsidRPr="00E57D2F">
        <w:rPr>
          <w:rFonts w:ascii="Arial" w:eastAsia="SimSun" w:hAnsi="Arial" w:cs="Arial"/>
          <w:color w:val="222222"/>
          <w:sz w:val="20"/>
          <w:szCs w:val="20"/>
          <w:shd w:val="clear" w:color="auto" w:fill="FFFFFF"/>
          <w:lang w:val="en-US" w:eastAsia="zh-CN"/>
        </w:rPr>
        <w:t>, </w:t>
      </w:r>
      <w:r w:rsidRPr="00E57D2F">
        <w:rPr>
          <w:rFonts w:ascii="Arial" w:eastAsia="SimSun" w:hAnsi="Arial" w:cs="Arial"/>
          <w:i/>
          <w:iCs/>
          <w:color w:val="222222"/>
          <w:sz w:val="20"/>
          <w:szCs w:val="20"/>
          <w:shd w:val="clear" w:color="auto" w:fill="FFFFFF"/>
          <w:lang w:val="en-US" w:eastAsia="zh-CN"/>
        </w:rPr>
        <w:t>62</w:t>
      </w:r>
      <w:r w:rsidRPr="00E57D2F">
        <w:rPr>
          <w:rFonts w:ascii="Arial" w:eastAsia="SimSun" w:hAnsi="Arial" w:cs="Arial"/>
          <w:color w:val="222222"/>
          <w:sz w:val="20"/>
          <w:szCs w:val="20"/>
          <w:shd w:val="clear" w:color="auto" w:fill="FFFFFF"/>
          <w:lang w:val="en-US" w:eastAsia="zh-CN"/>
        </w:rPr>
        <w:t>(3), pp.1217-1231.</w:t>
      </w:r>
    </w:p>
    <w:p w14:paraId="43151026" w14:textId="77777777" w:rsidR="00FE3CB4" w:rsidRDefault="00FE3CB4"/>
    <w:sectPr w:rsidR="00FE3C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7F8BB" w14:textId="77777777" w:rsidR="00BB66AC" w:rsidRDefault="00BB66AC" w:rsidP="00E57D2F">
      <w:pPr>
        <w:spacing w:after="0" w:line="240" w:lineRule="auto"/>
      </w:pPr>
      <w:r>
        <w:separator/>
      </w:r>
    </w:p>
  </w:endnote>
  <w:endnote w:type="continuationSeparator" w:id="0">
    <w:p w14:paraId="56C41243" w14:textId="77777777" w:rsidR="00BB66AC" w:rsidRDefault="00BB66AC" w:rsidP="00E57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7E97A4" w14:textId="77777777" w:rsidR="00BB66AC" w:rsidRDefault="00BB66AC" w:rsidP="00E57D2F">
      <w:pPr>
        <w:spacing w:after="0" w:line="240" w:lineRule="auto"/>
      </w:pPr>
      <w:r>
        <w:separator/>
      </w:r>
    </w:p>
  </w:footnote>
  <w:footnote w:type="continuationSeparator" w:id="0">
    <w:p w14:paraId="4A0E98BB" w14:textId="77777777" w:rsidR="00BB66AC" w:rsidRDefault="00BB66AC" w:rsidP="00E57D2F">
      <w:pPr>
        <w:spacing w:after="0" w:line="240" w:lineRule="auto"/>
      </w:pPr>
      <w:r>
        <w:continuationSeparator/>
      </w:r>
    </w:p>
  </w:footnote>
  <w:footnote w:id="1">
    <w:p w14:paraId="02A17EFD" w14:textId="77777777" w:rsidR="00E57D2F" w:rsidRDefault="00E57D2F" w:rsidP="00E57D2F">
      <w:pPr>
        <w:pStyle w:val="FootnoteText"/>
      </w:pPr>
      <w:r>
        <w:rPr>
          <w:rStyle w:val="FootnoteReference"/>
        </w:rPr>
        <w:footnoteRef/>
      </w:r>
      <w:r>
        <w:t xml:space="preserve"> Rachel, E. 2018. Criminal victimization, 2016: revised, Washington, DC: Bureau of Justice Statistics.</w:t>
      </w:r>
    </w:p>
    <w:p w14:paraId="08916FE7" w14:textId="77777777" w:rsidR="00E57D2F" w:rsidRDefault="00E57D2F" w:rsidP="00E57D2F"/>
  </w:footnote>
  <w:footnote w:id="2">
    <w:p w14:paraId="4E7EB48A" w14:textId="77777777" w:rsidR="00E57D2F" w:rsidRDefault="00E57D2F" w:rsidP="00E57D2F">
      <w:pPr>
        <w:pStyle w:val="FootnoteText"/>
      </w:pPr>
      <w:r>
        <w:rPr>
          <w:rStyle w:val="FootnoteReference"/>
        </w:rPr>
        <w:footnoteRef/>
      </w:r>
      <w:r>
        <w:t xml:space="preserve"> Shang L, Prison term prediction on criminal case description with deep </w:t>
      </w:r>
      <w:proofErr w:type="spellStart"/>
      <w:r>
        <w:t>learningComputers</w:t>
      </w:r>
      <w:proofErr w:type="spellEnd"/>
      <w:r>
        <w:t>, Materials &amp; Continua 62 (3), 1217-1231, 2020</w:t>
      </w:r>
    </w:p>
  </w:footnote>
  <w:footnote w:id="3">
    <w:p w14:paraId="6DE0E57F" w14:textId="77777777" w:rsidR="00E57D2F" w:rsidRDefault="00E57D2F" w:rsidP="00E57D2F">
      <w:pPr>
        <w:pStyle w:val="FootnoteText"/>
      </w:pPr>
      <w:r>
        <w:rPr>
          <w:rStyle w:val="FootnoteReference"/>
        </w:rPr>
        <w:footnoteRef/>
      </w:r>
      <w:r>
        <w:t xml:space="preserve"> </w:t>
      </w:r>
      <w:proofErr w:type="gramStart"/>
      <w:r>
        <w:t>Willie ,</w:t>
      </w:r>
      <w:proofErr w:type="gramEnd"/>
      <w:r>
        <w:t xml:space="preserve"> Clack. Livestock theft a global and South African perspective, Red Meat Producers’ Organisation Conference, Pretoria, 2018</w:t>
      </w:r>
    </w:p>
  </w:footnote>
  <w:footnote w:id="4">
    <w:p w14:paraId="67D1384A" w14:textId="77777777" w:rsidR="00E57D2F" w:rsidRDefault="00E57D2F" w:rsidP="00E57D2F">
      <w:pPr>
        <w:pStyle w:val="FootnoteText"/>
      </w:pPr>
      <w:r>
        <w:rPr>
          <w:rStyle w:val="FootnoteReference"/>
        </w:rPr>
        <w:footnoteRef/>
      </w:r>
      <w:r>
        <w:t xml:space="preserve"> Anna, B. 2019. Production model for administration of judicial decisions in the case of theft, SHS Web of Conferences 65, 04012.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B2BF8"/>
    <w:multiLevelType w:val="hybridMultilevel"/>
    <w:tmpl w:val="25E06E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C06A05"/>
    <w:multiLevelType w:val="hybridMultilevel"/>
    <w:tmpl w:val="4146A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247446"/>
    <w:multiLevelType w:val="hybridMultilevel"/>
    <w:tmpl w:val="13FE6860"/>
    <w:lvl w:ilvl="0" w:tplc="56F44192">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D2F"/>
    <w:rsid w:val="00BB66AC"/>
    <w:rsid w:val="00BF1B5B"/>
    <w:rsid w:val="00E57D2F"/>
    <w:rsid w:val="00EC7CDD"/>
    <w:rsid w:val="00FE3C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8785B"/>
  <w15:chartTrackingRefBased/>
  <w15:docId w15:val="{CFB7E37B-29CC-44EF-8472-90DDC4F31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57D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57D2F"/>
    <w:rPr>
      <w:sz w:val="20"/>
      <w:szCs w:val="20"/>
    </w:rPr>
  </w:style>
  <w:style w:type="character" w:styleId="FootnoteReference">
    <w:name w:val="footnote reference"/>
    <w:uiPriority w:val="99"/>
    <w:rsid w:val="00E57D2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1913</Words>
  <Characters>10906</Characters>
  <Application>Microsoft Office Word</Application>
  <DocSecurity>0</DocSecurity>
  <Lines>90</Lines>
  <Paragraphs>25</Paragraphs>
  <ScaleCrop>false</ScaleCrop>
  <Company/>
  <LinksUpToDate>false</LinksUpToDate>
  <CharactersWithSpaces>12794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Khairuzzaman Rob (1915327)</dc:creator>
  <cp:keywords/>
  <dc:description/>
  <cp:lastModifiedBy>Khairuzzaman Rob (1915327)</cp:lastModifiedBy>
  <cp:revision>2</cp:revision>
  <dcterms:created xsi:type="dcterms:W3CDTF">2021-04-24T13:20:00Z</dcterms:created>
  <dcterms:modified xsi:type="dcterms:W3CDTF">2021-04-24T13:20:00Z</dcterms:modified>
</cp:coreProperties>
</file>