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517F3"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BF77BA9" wp14:editId="004FB533">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18802A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27A365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CE71EDA" wp14:editId="199742F4">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ADFFA8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D9A1FE0"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1D64A8D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AF03D82" wp14:editId="4D747BA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12FEF097" w14:textId="77777777" w:rsidR="00530E16" w:rsidRDefault="004468F8">
                            <w:pPr>
                              <w:spacing w:after="0" w:line="240" w:lineRule="auto"/>
                              <w:textDirection w:val="btLr"/>
                            </w:pPr>
                            <w:r>
                              <w:rPr>
                                <w:rFonts w:ascii="Play" w:eastAsia="Play" w:hAnsi="Play" w:cs="Play"/>
                                <w:color w:val="262626"/>
                                <w:sz w:val="72"/>
                              </w:rPr>
                              <w:t>Individual Report</w:t>
                            </w:r>
                          </w:p>
                          <w:p w14:paraId="59609D5B" w14:textId="77777777" w:rsidR="00530E16" w:rsidRDefault="004468F8">
                            <w:pPr>
                              <w:spacing w:before="120" w:line="277" w:lineRule="auto"/>
                              <w:textDirection w:val="btLr"/>
                            </w:pPr>
                            <w:r>
                              <w:rPr>
                                <w:color w:val="404040"/>
                                <w:sz w:val="36"/>
                              </w:rPr>
                              <w:t>Module Name: Digital Skills and Research Methods</w:t>
                            </w:r>
                          </w:p>
                          <w:p w14:paraId="6A81975B" w14:textId="77777777" w:rsidR="00530E16" w:rsidRDefault="004468F8">
                            <w:pPr>
                              <w:spacing w:before="120" w:line="277" w:lineRule="auto"/>
                              <w:textDirection w:val="btLr"/>
                            </w:pPr>
                            <w:r>
                              <w:rPr>
                                <w:color w:val="404040"/>
                                <w:sz w:val="36"/>
                              </w:rPr>
                              <w:t>Module Code: LCHS 4007</w:t>
                            </w:r>
                          </w:p>
                          <w:p w14:paraId="08985C19" w14:textId="177E3D27" w:rsidR="00530E16" w:rsidRDefault="004468F8">
                            <w:pPr>
                              <w:spacing w:before="120" w:line="277" w:lineRule="auto"/>
                              <w:textDirection w:val="btLr"/>
                            </w:pPr>
                            <w:r>
                              <w:rPr>
                                <w:color w:val="404040"/>
                                <w:sz w:val="36"/>
                              </w:rPr>
                              <w:t xml:space="preserve">Student name: </w:t>
                            </w:r>
                            <w:r w:rsidR="00937419">
                              <w:rPr>
                                <w:color w:val="404040"/>
                                <w:sz w:val="36"/>
                              </w:rPr>
                              <w:t>Elizabeth Adesaogun</w:t>
                            </w:r>
                          </w:p>
                          <w:p w14:paraId="5811DCFC" w14:textId="66FA477D" w:rsidR="00530E16" w:rsidRDefault="004468F8">
                            <w:pPr>
                              <w:spacing w:before="120" w:line="277" w:lineRule="auto"/>
                              <w:textDirection w:val="btLr"/>
                            </w:pPr>
                            <w:r>
                              <w:rPr>
                                <w:color w:val="404040"/>
                                <w:sz w:val="36"/>
                              </w:rPr>
                              <w:t>Student ID:</w:t>
                            </w:r>
                            <w:r w:rsidR="00937419">
                              <w:rPr>
                                <w:color w:val="404040"/>
                                <w:sz w:val="36"/>
                              </w:rPr>
                              <w:t xml:space="preserve"> 2515702</w:t>
                            </w:r>
                          </w:p>
                          <w:p w14:paraId="40578856" w14:textId="378C8756" w:rsidR="00530E16" w:rsidRDefault="004468F8">
                            <w:pPr>
                              <w:spacing w:before="120" w:line="277" w:lineRule="auto"/>
                              <w:textDirection w:val="btLr"/>
                            </w:pPr>
                            <w:r>
                              <w:rPr>
                                <w:color w:val="404040"/>
                                <w:sz w:val="36"/>
                              </w:rPr>
                              <w:t xml:space="preserve">Lecturer’s Name: </w:t>
                            </w:r>
                            <w:proofErr w:type="spellStart"/>
                            <w:r w:rsidR="00937419">
                              <w:rPr>
                                <w:color w:val="404040"/>
                                <w:sz w:val="36"/>
                              </w:rPr>
                              <w:t>Sadeque</w:t>
                            </w:r>
                            <w:proofErr w:type="spellEnd"/>
                            <w:r w:rsidR="00937419">
                              <w:rPr>
                                <w:color w:val="404040"/>
                                <w:sz w:val="36"/>
                              </w:rPr>
                              <w:t xml:space="preserve"> Imam Shakih</w:t>
                            </w:r>
                          </w:p>
                        </w:txbxContent>
                      </wps:txbx>
                      <wps:bodyPr spcFirstLastPara="1" wrap="square" lIns="0" tIns="0" rIns="0" bIns="0" anchor="t" anchorCtr="0">
                        <a:noAutofit/>
                      </wps:bodyPr>
                    </wps:wsp>
                  </a:graphicData>
                </a:graphic>
              </wp:anchor>
            </w:drawing>
          </mc:Choice>
          <mc:Fallback>
            <w:pict>
              <v:rect w14:anchorId="5AF03D82"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12FEF097" w14:textId="77777777" w:rsidR="00530E16" w:rsidRDefault="004468F8">
                      <w:pPr>
                        <w:spacing w:after="0" w:line="240" w:lineRule="auto"/>
                        <w:textDirection w:val="btLr"/>
                      </w:pPr>
                      <w:r>
                        <w:rPr>
                          <w:rFonts w:ascii="Play" w:eastAsia="Play" w:hAnsi="Play" w:cs="Play"/>
                          <w:color w:val="262626"/>
                          <w:sz w:val="72"/>
                        </w:rPr>
                        <w:t>Individual Report</w:t>
                      </w:r>
                    </w:p>
                    <w:p w14:paraId="59609D5B" w14:textId="77777777" w:rsidR="00530E16" w:rsidRDefault="004468F8">
                      <w:pPr>
                        <w:spacing w:before="120" w:line="277" w:lineRule="auto"/>
                        <w:textDirection w:val="btLr"/>
                      </w:pPr>
                      <w:r>
                        <w:rPr>
                          <w:color w:val="404040"/>
                          <w:sz w:val="36"/>
                        </w:rPr>
                        <w:t>Module Name: Digital Skills and Research Methods</w:t>
                      </w:r>
                    </w:p>
                    <w:p w14:paraId="6A81975B" w14:textId="77777777" w:rsidR="00530E16" w:rsidRDefault="004468F8">
                      <w:pPr>
                        <w:spacing w:before="120" w:line="277" w:lineRule="auto"/>
                        <w:textDirection w:val="btLr"/>
                      </w:pPr>
                      <w:r>
                        <w:rPr>
                          <w:color w:val="404040"/>
                          <w:sz w:val="36"/>
                        </w:rPr>
                        <w:t>Module Code: LCHS 4007</w:t>
                      </w:r>
                    </w:p>
                    <w:p w14:paraId="08985C19" w14:textId="177E3D27" w:rsidR="00530E16" w:rsidRDefault="004468F8">
                      <w:pPr>
                        <w:spacing w:before="120" w:line="277" w:lineRule="auto"/>
                        <w:textDirection w:val="btLr"/>
                      </w:pPr>
                      <w:r>
                        <w:rPr>
                          <w:color w:val="404040"/>
                          <w:sz w:val="36"/>
                        </w:rPr>
                        <w:t xml:space="preserve">Student name: </w:t>
                      </w:r>
                      <w:r w:rsidR="00937419">
                        <w:rPr>
                          <w:color w:val="404040"/>
                          <w:sz w:val="36"/>
                        </w:rPr>
                        <w:t>Elizabeth Adesaogun</w:t>
                      </w:r>
                    </w:p>
                    <w:p w14:paraId="5811DCFC" w14:textId="66FA477D" w:rsidR="00530E16" w:rsidRDefault="004468F8">
                      <w:pPr>
                        <w:spacing w:before="120" w:line="277" w:lineRule="auto"/>
                        <w:textDirection w:val="btLr"/>
                      </w:pPr>
                      <w:r>
                        <w:rPr>
                          <w:color w:val="404040"/>
                          <w:sz w:val="36"/>
                        </w:rPr>
                        <w:t>Student ID:</w:t>
                      </w:r>
                      <w:r w:rsidR="00937419">
                        <w:rPr>
                          <w:color w:val="404040"/>
                          <w:sz w:val="36"/>
                        </w:rPr>
                        <w:t xml:space="preserve"> 2515702</w:t>
                      </w:r>
                    </w:p>
                    <w:p w14:paraId="40578856" w14:textId="378C8756" w:rsidR="00530E16" w:rsidRDefault="004468F8">
                      <w:pPr>
                        <w:spacing w:before="120" w:line="277" w:lineRule="auto"/>
                        <w:textDirection w:val="btLr"/>
                      </w:pPr>
                      <w:r>
                        <w:rPr>
                          <w:color w:val="404040"/>
                          <w:sz w:val="36"/>
                        </w:rPr>
                        <w:t xml:space="preserve">Lecturer’s Name: </w:t>
                      </w:r>
                      <w:proofErr w:type="spellStart"/>
                      <w:r w:rsidR="00937419">
                        <w:rPr>
                          <w:color w:val="404040"/>
                          <w:sz w:val="36"/>
                        </w:rPr>
                        <w:t>Sadeque</w:t>
                      </w:r>
                      <w:proofErr w:type="spellEnd"/>
                      <w:r w:rsidR="00937419">
                        <w:rPr>
                          <w:color w:val="404040"/>
                          <w:sz w:val="36"/>
                        </w:rPr>
                        <w:t xml:space="preserve"> Imam Shakih</w:t>
                      </w:r>
                    </w:p>
                  </w:txbxContent>
                </v:textbox>
                <w10:wrap anchorx="page" anchory="page"/>
              </v:rect>
            </w:pict>
          </mc:Fallback>
        </mc:AlternateContent>
      </w:r>
      <w:r>
        <w:br w:type="page"/>
      </w:r>
    </w:p>
    <w:p w14:paraId="39AEC2D5" w14:textId="77777777" w:rsidR="00530E16" w:rsidRDefault="00530E16">
      <w:pPr>
        <w:rPr>
          <w:rFonts w:ascii="Arial" w:eastAsia="Arial" w:hAnsi="Arial" w:cs="Arial"/>
        </w:rPr>
      </w:pPr>
    </w:p>
    <w:p w14:paraId="00754717"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2CBD29E2" w14:textId="2062F778" w:rsidR="00937419"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6614987" w:history="1">
            <w:r w:rsidR="00937419" w:rsidRPr="00EA1CCD">
              <w:rPr>
                <w:rStyle w:val="Hyperlink"/>
                <w:noProof/>
              </w:rPr>
              <w:t>Insufficient funding within th</w:t>
            </w:r>
            <w:r w:rsidR="00937419" w:rsidRPr="00EA1CCD">
              <w:rPr>
                <w:rStyle w:val="Hyperlink"/>
                <w:noProof/>
              </w:rPr>
              <w:t>e</w:t>
            </w:r>
            <w:r w:rsidR="00937419" w:rsidRPr="00EA1CCD">
              <w:rPr>
                <w:rStyle w:val="Hyperlink"/>
                <w:noProof/>
              </w:rPr>
              <w:t xml:space="preserve"> UK health sector</w:t>
            </w:r>
            <w:r w:rsidR="00937419">
              <w:rPr>
                <w:noProof/>
                <w:webHidden/>
              </w:rPr>
              <w:tab/>
            </w:r>
            <w:r w:rsidR="00937419">
              <w:rPr>
                <w:noProof/>
                <w:webHidden/>
              </w:rPr>
              <w:fldChar w:fldCharType="begin"/>
            </w:r>
            <w:r w:rsidR="00937419">
              <w:rPr>
                <w:noProof/>
                <w:webHidden/>
              </w:rPr>
              <w:instrText xml:space="preserve"> PAGEREF _Toc216614987 \h </w:instrText>
            </w:r>
            <w:r w:rsidR="00937419">
              <w:rPr>
                <w:noProof/>
                <w:webHidden/>
              </w:rPr>
            </w:r>
            <w:r w:rsidR="00937419">
              <w:rPr>
                <w:noProof/>
                <w:webHidden/>
              </w:rPr>
              <w:fldChar w:fldCharType="separate"/>
            </w:r>
            <w:r w:rsidR="00937419">
              <w:rPr>
                <w:noProof/>
                <w:webHidden/>
              </w:rPr>
              <w:t>2</w:t>
            </w:r>
            <w:r w:rsidR="00937419">
              <w:rPr>
                <w:noProof/>
                <w:webHidden/>
              </w:rPr>
              <w:fldChar w:fldCharType="end"/>
            </w:r>
          </w:hyperlink>
        </w:p>
        <w:p w14:paraId="6FFC8CC1" w14:textId="4CBC2980" w:rsidR="00937419" w:rsidRDefault="00937419">
          <w:pPr>
            <w:pStyle w:val="TOC1"/>
            <w:tabs>
              <w:tab w:val="right" w:leader="dot" w:pos="9016"/>
            </w:tabs>
            <w:rPr>
              <w:rFonts w:asciiTheme="minorHAnsi" w:eastAsiaTheme="minorEastAsia" w:hAnsiTheme="minorHAnsi" w:cstheme="minorBidi"/>
              <w:noProof/>
              <w:kern w:val="2"/>
              <w14:ligatures w14:val="standardContextual"/>
            </w:rPr>
          </w:pPr>
          <w:hyperlink w:anchor="_Toc216614988" w:history="1">
            <w:r w:rsidRPr="00EA1CCD">
              <w:rPr>
                <w:rStyle w:val="Hyperlink"/>
                <w:noProof/>
              </w:rPr>
              <w:t>Introduction</w:t>
            </w:r>
            <w:r>
              <w:rPr>
                <w:noProof/>
                <w:webHidden/>
              </w:rPr>
              <w:tab/>
            </w:r>
            <w:r>
              <w:rPr>
                <w:noProof/>
                <w:webHidden/>
              </w:rPr>
              <w:fldChar w:fldCharType="begin"/>
            </w:r>
            <w:r>
              <w:rPr>
                <w:noProof/>
                <w:webHidden/>
              </w:rPr>
              <w:instrText xml:space="preserve"> PAGEREF _Toc216614988 \h </w:instrText>
            </w:r>
            <w:r>
              <w:rPr>
                <w:noProof/>
                <w:webHidden/>
              </w:rPr>
            </w:r>
            <w:r>
              <w:rPr>
                <w:noProof/>
                <w:webHidden/>
              </w:rPr>
              <w:fldChar w:fldCharType="separate"/>
            </w:r>
            <w:r>
              <w:rPr>
                <w:noProof/>
                <w:webHidden/>
              </w:rPr>
              <w:t>2</w:t>
            </w:r>
            <w:r>
              <w:rPr>
                <w:noProof/>
                <w:webHidden/>
              </w:rPr>
              <w:fldChar w:fldCharType="end"/>
            </w:r>
          </w:hyperlink>
        </w:p>
        <w:p w14:paraId="46B0B728" w14:textId="78BCEAF6" w:rsidR="00937419" w:rsidRDefault="00937419">
          <w:pPr>
            <w:pStyle w:val="TOC2"/>
            <w:tabs>
              <w:tab w:val="right" w:leader="dot" w:pos="9016"/>
            </w:tabs>
            <w:rPr>
              <w:rFonts w:asciiTheme="minorHAnsi" w:eastAsiaTheme="minorEastAsia" w:hAnsiTheme="minorHAnsi" w:cstheme="minorBidi"/>
              <w:noProof/>
              <w:kern w:val="2"/>
              <w14:ligatures w14:val="standardContextual"/>
            </w:rPr>
          </w:pPr>
          <w:hyperlink w:anchor="_Toc216614989" w:history="1">
            <w:r w:rsidRPr="00EA1CCD">
              <w:rPr>
                <w:rStyle w:val="Hyperlink"/>
                <w:noProof/>
              </w:rPr>
              <w:t>Problem Statement</w:t>
            </w:r>
            <w:r>
              <w:rPr>
                <w:noProof/>
                <w:webHidden/>
              </w:rPr>
              <w:tab/>
            </w:r>
            <w:r>
              <w:rPr>
                <w:noProof/>
                <w:webHidden/>
              </w:rPr>
              <w:fldChar w:fldCharType="begin"/>
            </w:r>
            <w:r>
              <w:rPr>
                <w:noProof/>
                <w:webHidden/>
              </w:rPr>
              <w:instrText xml:space="preserve"> PAGEREF _Toc216614989 \h </w:instrText>
            </w:r>
            <w:r>
              <w:rPr>
                <w:noProof/>
                <w:webHidden/>
              </w:rPr>
            </w:r>
            <w:r>
              <w:rPr>
                <w:noProof/>
                <w:webHidden/>
              </w:rPr>
              <w:fldChar w:fldCharType="separate"/>
            </w:r>
            <w:r>
              <w:rPr>
                <w:noProof/>
                <w:webHidden/>
              </w:rPr>
              <w:t>2</w:t>
            </w:r>
            <w:r>
              <w:rPr>
                <w:noProof/>
                <w:webHidden/>
              </w:rPr>
              <w:fldChar w:fldCharType="end"/>
            </w:r>
          </w:hyperlink>
        </w:p>
        <w:p w14:paraId="046F5AB8" w14:textId="3F9964F9" w:rsidR="00937419" w:rsidRDefault="00937419">
          <w:pPr>
            <w:pStyle w:val="TOC2"/>
            <w:tabs>
              <w:tab w:val="right" w:leader="dot" w:pos="9016"/>
            </w:tabs>
            <w:rPr>
              <w:rFonts w:asciiTheme="minorHAnsi" w:eastAsiaTheme="minorEastAsia" w:hAnsiTheme="minorHAnsi" w:cstheme="minorBidi"/>
              <w:noProof/>
              <w:kern w:val="2"/>
              <w14:ligatures w14:val="standardContextual"/>
            </w:rPr>
          </w:pPr>
          <w:hyperlink w:anchor="_Toc216614990" w:history="1">
            <w:r w:rsidRPr="00EA1CCD">
              <w:rPr>
                <w:rStyle w:val="Hyperlink"/>
                <w:noProof/>
              </w:rPr>
              <w:t>Justification</w:t>
            </w:r>
            <w:r>
              <w:rPr>
                <w:noProof/>
                <w:webHidden/>
              </w:rPr>
              <w:tab/>
            </w:r>
            <w:r>
              <w:rPr>
                <w:noProof/>
                <w:webHidden/>
              </w:rPr>
              <w:fldChar w:fldCharType="begin"/>
            </w:r>
            <w:r>
              <w:rPr>
                <w:noProof/>
                <w:webHidden/>
              </w:rPr>
              <w:instrText xml:space="preserve"> PAGEREF _Toc216614990 \h </w:instrText>
            </w:r>
            <w:r>
              <w:rPr>
                <w:noProof/>
                <w:webHidden/>
              </w:rPr>
            </w:r>
            <w:r>
              <w:rPr>
                <w:noProof/>
                <w:webHidden/>
              </w:rPr>
              <w:fldChar w:fldCharType="separate"/>
            </w:r>
            <w:r>
              <w:rPr>
                <w:noProof/>
                <w:webHidden/>
              </w:rPr>
              <w:t>3</w:t>
            </w:r>
            <w:r>
              <w:rPr>
                <w:noProof/>
                <w:webHidden/>
              </w:rPr>
              <w:fldChar w:fldCharType="end"/>
            </w:r>
          </w:hyperlink>
        </w:p>
        <w:p w14:paraId="3EF7E883" w14:textId="39FEE4B5" w:rsidR="00937419" w:rsidRDefault="00937419">
          <w:pPr>
            <w:pStyle w:val="TOC2"/>
            <w:tabs>
              <w:tab w:val="right" w:leader="dot" w:pos="9016"/>
            </w:tabs>
            <w:rPr>
              <w:rFonts w:asciiTheme="minorHAnsi" w:eastAsiaTheme="minorEastAsia" w:hAnsiTheme="minorHAnsi" w:cstheme="minorBidi"/>
              <w:noProof/>
              <w:kern w:val="2"/>
              <w14:ligatures w14:val="standardContextual"/>
            </w:rPr>
          </w:pPr>
          <w:hyperlink w:anchor="_Toc216614991" w:history="1">
            <w:r w:rsidRPr="00EA1CCD">
              <w:rPr>
                <w:rStyle w:val="Hyperlink"/>
                <w:noProof/>
              </w:rPr>
              <w:t>Information Sources and Justification</w:t>
            </w:r>
            <w:r>
              <w:rPr>
                <w:noProof/>
                <w:webHidden/>
              </w:rPr>
              <w:tab/>
            </w:r>
            <w:r>
              <w:rPr>
                <w:noProof/>
                <w:webHidden/>
              </w:rPr>
              <w:fldChar w:fldCharType="begin"/>
            </w:r>
            <w:r>
              <w:rPr>
                <w:noProof/>
                <w:webHidden/>
              </w:rPr>
              <w:instrText xml:space="preserve"> PAGEREF _Toc216614991 \h </w:instrText>
            </w:r>
            <w:r>
              <w:rPr>
                <w:noProof/>
                <w:webHidden/>
              </w:rPr>
            </w:r>
            <w:r>
              <w:rPr>
                <w:noProof/>
                <w:webHidden/>
              </w:rPr>
              <w:fldChar w:fldCharType="separate"/>
            </w:r>
            <w:r>
              <w:rPr>
                <w:noProof/>
                <w:webHidden/>
              </w:rPr>
              <w:t>3</w:t>
            </w:r>
            <w:r>
              <w:rPr>
                <w:noProof/>
                <w:webHidden/>
              </w:rPr>
              <w:fldChar w:fldCharType="end"/>
            </w:r>
          </w:hyperlink>
        </w:p>
        <w:p w14:paraId="479FAEC0" w14:textId="380BF4CF" w:rsidR="00937419" w:rsidRDefault="00937419">
          <w:pPr>
            <w:pStyle w:val="TOC1"/>
            <w:tabs>
              <w:tab w:val="right" w:leader="dot" w:pos="9016"/>
            </w:tabs>
            <w:rPr>
              <w:rFonts w:asciiTheme="minorHAnsi" w:eastAsiaTheme="minorEastAsia" w:hAnsiTheme="minorHAnsi" w:cstheme="minorBidi"/>
              <w:noProof/>
              <w:kern w:val="2"/>
              <w14:ligatures w14:val="standardContextual"/>
            </w:rPr>
          </w:pPr>
          <w:hyperlink w:anchor="_Toc216614992" w:history="1">
            <w:r w:rsidRPr="00EA1CCD">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_Toc216614992 \h </w:instrText>
            </w:r>
            <w:r>
              <w:rPr>
                <w:noProof/>
                <w:webHidden/>
              </w:rPr>
            </w:r>
            <w:r>
              <w:rPr>
                <w:noProof/>
                <w:webHidden/>
              </w:rPr>
              <w:fldChar w:fldCharType="separate"/>
            </w:r>
            <w:r>
              <w:rPr>
                <w:noProof/>
                <w:webHidden/>
              </w:rPr>
              <w:t>4</w:t>
            </w:r>
            <w:r>
              <w:rPr>
                <w:noProof/>
                <w:webHidden/>
              </w:rPr>
              <w:fldChar w:fldCharType="end"/>
            </w:r>
          </w:hyperlink>
        </w:p>
        <w:p w14:paraId="53FFC853" w14:textId="5D937FD3" w:rsidR="00937419" w:rsidRDefault="00937419">
          <w:pPr>
            <w:pStyle w:val="TOC1"/>
            <w:tabs>
              <w:tab w:val="right" w:leader="dot" w:pos="9016"/>
            </w:tabs>
            <w:rPr>
              <w:rFonts w:asciiTheme="minorHAnsi" w:eastAsiaTheme="minorEastAsia" w:hAnsiTheme="minorHAnsi" w:cstheme="minorBidi"/>
              <w:noProof/>
              <w:kern w:val="2"/>
              <w14:ligatures w14:val="standardContextual"/>
            </w:rPr>
          </w:pPr>
          <w:hyperlink w:anchor="_Toc216614993" w:history="1">
            <w:r w:rsidRPr="00EA1CCD">
              <w:rPr>
                <w:rStyle w:val="Hyperlink"/>
                <w:noProof/>
              </w:rPr>
              <w:t>Data Collection</w:t>
            </w:r>
            <w:r>
              <w:rPr>
                <w:noProof/>
                <w:webHidden/>
              </w:rPr>
              <w:tab/>
            </w:r>
            <w:r>
              <w:rPr>
                <w:noProof/>
                <w:webHidden/>
              </w:rPr>
              <w:fldChar w:fldCharType="begin"/>
            </w:r>
            <w:r>
              <w:rPr>
                <w:noProof/>
                <w:webHidden/>
              </w:rPr>
              <w:instrText xml:space="preserve"> PAGEREF _Toc216614993 \h </w:instrText>
            </w:r>
            <w:r>
              <w:rPr>
                <w:noProof/>
                <w:webHidden/>
              </w:rPr>
            </w:r>
            <w:r>
              <w:rPr>
                <w:noProof/>
                <w:webHidden/>
              </w:rPr>
              <w:fldChar w:fldCharType="separate"/>
            </w:r>
            <w:r>
              <w:rPr>
                <w:noProof/>
                <w:webHidden/>
              </w:rPr>
              <w:t>5</w:t>
            </w:r>
            <w:r>
              <w:rPr>
                <w:noProof/>
                <w:webHidden/>
              </w:rPr>
              <w:fldChar w:fldCharType="end"/>
            </w:r>
          </w:hyperlink>
        </w:p>
        <w:p w14:paraId="16B50A6C" w14:textId="33B4566B" w:rsidR="00937419" w:rsidRDefault="00937419">
          <w:pPr>
            <w:pStyle w:val="TOC1"/>
            <w:tabs>
              <w:tab w:val="right" w:leader="dot" w:pos="9016"/>
            </w:tabs>
            <w:rPr>
              <w:rFonts w:asciiTheme="minorHAnsi" w:eastAsiaTheme="minorEastAsia" w:hAnsiTheme="minorHAnsi" w:cstheme="minorBidi"/>
              <w:noProof/>
              <w:kern w:val="2"/>
              <w14:ligatures w14:val="standardContextual"/>
            </w:rPr>
          </w:pPr>
          <w:hyperlink w:anchor="_Toc216614994" w:history="1">
            <w:r w:rsidRPr="00EA1CCD">
              <w:rPr>
                <w:rStyle w:val="Hyperlink"/>
                <w:noProof/>
              </w:rPr>
              <w:t>Conclusion</w:t>
            </w:r>
            <w:r>
              <w:rPr>
                <w:noProof/>
                <w:webHidden/>
              </w:rPr>
              <w:tab/>
            </w:r>
            <w:r>
              <w:rPr>
                <w:noProof/>
                <w:webHidden/>
              </w:rPr>
              <w:fldChar w:fldCharType="begin"/>
            </w:r>
            <w:r>
              <w:rPr>
                <w:noProof/>
                <w:webHidden/>
              </w:rPr>
              <w:instrText xml:space="preserve"> PAGEREF _Toc216614994 \h </w:instrText>
            </w:r>
            <w:r>
              <w:rPr>
                <w:noProof/>
                <w:webHidden/>
              </w:rPr>
            </w:r>
            <w:r>
              <w:rPr>
                <w:noProof/>
                <w:webHidden/>
              </w:rPr>
              <w:fldChar w:fldCharType="separate"/>
            </w:r>
            <w:r>
              <w:rPr>
                <w:noProof/>
                <w:webHidden/>
              </w:rPr>
              <w:t>5</w:t>
            </w:r>
            <w:r>
              <w:rPr>
                <w:noProof/>
                <w:webHidden/>
              </w:rPr>
              <w:fldChar w:fldCharType="end"/>
            </w:r>
          </w:hyperlink>
        </w:p>
        <w:p w14:paraId="3A5D84C9" w14:textId="2447B7CB" w:rsidR="00937419" w:rsidRDefault="00937419">
          <w:pPr>
            <w:pStyle w:val="TOC1"/>
            <w:tabs>
              <w:tab w:val="right" w:leader="dot" w:pos="9016"/>
            </w:tabs>
            <w:rPr>
              <w:rFonts w:asciiTheme="minorHAnsi" w:eastAsiaTheme="minorEastAsia" w:hAnsiTheme="minorHAnsi" w:cstheme="minorBidi"/>
              <w:noProof/>
              <w:kern w:val="2"/>
              <w14:ligatures w14:val="standardContextual"/>
            </w:rPr>
          </w:pPr>
          <w:hyperlink w:anchor="_Toc216614995" w:history="1">
            <w:r w:rsidRPr="00EA1CCD">
              <w:rPr>
                <w:rStyle w:val="Hyperlink"/>
                <w:noProof/>
              </w:rPr>
              <w:t>Refe</w:t>
            </w:r>
            <w:r w:rsidRPr="00EA1CCD">
              <w:rPr>
                <w:rStyle w:val="Hyperlink"/>
                <w:noProof/>
              </w:rPr>
              <w:t>r</w:t>
            </w:r>
            <w:r w:rsidRPr="00EA1CCD">
              <w:rPr>
                <w:rStyle w:val="Hyperlink"/>
                <w:noProof/>
              </w:rPr>
              <w:t>ences</w:t>
            </w:r>
            <w:r>
              <w:rPr>
                <w:noProof/>
                <w:webHidden/>
              </w:rPr>
              <w:tab/>
            </w:r>
            <w:r>
              <w:rPr>
                <w:noProof/>
                <w:webHidden/>
              </w:rPr>
              <w:fldChar w:fldCharType="begin"/>
            </w:r>
            <w:r>
              <w:rPr>
                <w:noProof/>
                <w:webHidden/>
              </w:rPr>
              <w:instrText xml:space="preserve"> PAGEREF _Toc216614995 \h </w:instrText>
            </w:r>
            <w:r>
              <w:rPr>
                <w:noProof/>
                <w:webHidden/>
              </w:rPr>
            </w:r>
            <w:r>
              <w:rPr>
                <w:noProof/>
                <w:webHidden/>
              </w:rPr>
              <w:fldChar w:fldCharType="separate"/>
            </w:r>
            <w:r>
              <w:rPr>
                <w:noProof/>
                <w:webHidden/>
              </w:rPr>
              <w:t>6</w:t>
            </w:r>
            <w:r>
              <w:rPr>
                <w:noProof/>
                <w:webHidden/>
              </w:rPr>
              <w:fldChar w:fldCharType="end"/>
            </w:r>
          </w:hyperlink>
        </w:p>
        <w:p w14:paraId="399B8B05" w14:textId="30BBEBA9" w:rsidR="00530E16" w:rsidRPr="00CF650B" w:rsidRDefault="004468F8">
          <w:r>
            <w:fldChar w:fldCharType="end"/>
          </w:r>
        </w:p>
      </w:sdtContent>
    </w:sdt>
    <w:p w14:paraId="1F3109AC" w14:textId="77777777" w:rsidR="00530E16" w:rsidRDefault="00530E16">
      <w:pPr>
        <w:rPr>
          <w:rFonts w:ascii="Arial" w:eastAsia="Arial" w:hAnsi="Arial" w:cs="Arial"/>
        </w:rPr>
      </w:pPr>
    </w:p>
    <w:p w14:paraId="374CD092" w14:textId="77777777" w:rsidR="00530E16" w:rsidRDefault="00530E16">
      <w:pPr>
        <w:rPr>
          <w:rFonts w:ascii="Arial" w:eastAsia="Arial" w:hAnsi="Arial" w:cs="Arial"/>
        </w:rPr>
      </w:pPr>
    </w:p>
    <w:p w14:paraId="18EA36A6" w14:textId="77777777" w:rsidR="00530E16" w:rsidRDefault="00530E16">
      <w:pPr>
        <w:rPr>
          <w:rFonts w:ascii="Arial" w:eastAsia="Arial" w:hAnsi="Arial" w:cs="Arial"/>
        </w:rPr>
      </w:pPr>
    </w:p>
    <w:p w14:paraId="6C3F4E53" w14:textId="77777777" w:rsidR="00530E16" w:rsidRDefault="00530E16">
      <w:pPr>
        <w:rPr>
          <w:rFonts w:ascii="Arial" w:eastAsia="Arial" w:hAnsi="Arial" w:cs="Arial"/>
        </w:rPr>
      </w:pPr>
    </w:p>
    <w:p w14:paraId="53ACC60E" w14:textId="77777777" w:rsidR="00530E16" w:rsidRDefault="00530E16">
      <w:pPr>
        <w:rPr>
          <w:rFonts w:ascii="Arial" w:eastAsia="Arial" w:hAnsi="Arial" w:cs="Arial"/>
        </w:rPr>
      </w:pPr>
    </w:p>
    <w:p w14:paraId="2636E353" w14:textId="77777777" w:rsidR="00530E16" w:rsidRDefault="00530E16">
      <w:pPr>
        <w:rPr>
          <w:rFonts w:ascii="Arial" w:eastAsia="Arial" w:hAnsi="Arial" w:cs="Arial"/>
        </w:rPr>
      </w:pPr>
    </w:p>
    <w:p w14:paraId="22BBB1A2" w14:textId="77777777" w:rsidR="00530E16" w:rsidRDefault="00530E16">
      <w:pPr>
        <w:rPr>
          <w:rFonts w:ascii="Arial" w:eastAsia="Arial" w:hAnsi="Arial" w:cs="Arial"/>
        </w:rPr>
      </w:pPr>
    </w:p>
    <w:p w14:paraId="159A5C76" w14:textId="77777777" w:rsidR="00530E16" w:rsidRDefault="00530E16">
      <w:pPr>
        <w:rPr>
          <w:rFonts w:ascii="Arial" w:eastAsia="Arial" w:hAnsi="Arial" w:cs="Arial"/>
        </w:rPr>
      </w:pPr>
    </w:p>
    <w:p w14:paraId="5DD9CEB7" w14:textId="77777777" w:rsidR="00530E16" w:rsidRDefault="00530E16">
      <w:pPr>
        <w:rPr>
          <w:rFonts w:ascii="Arial" w:eastAsia="Arial" w:hAnsi="Arial" w:cs="Arial"/>
        </w:rPr>
      </w:pPr>
    </w:p>
    <w:p w14:paraId="07DC36FF" w14:textId="77777777" w:rsidR="00530E16" w:rsidRDefault="00530E16">
      <w:pPr>
        <w:rPr>
          <w:rFonts w:ascii="Arial" w:eastAsia="Arial" w:hAnsi="Arial" w:cs="Arial"/>
        </w:rPr>
      </w:pPr>
    </w:p>
    <w:p w14:paraId="2636996C" w14:textId="77777777" w:rsidR="00530E16" w:rsidRDefault="00530E16">
      <w:pPr>
        <w:rPr>
          <w:rFonts w:ascii="Arial" w:eastAsia="Arial" w:hAnsi="Arial" w:cs="Arial"/>
        </w:rPr>
      </w:pPr>
    </w:p>
    <w:p w14:paraId="17A89456" w14:textId="77777777" w:rsidR="00530E16" w:rsidRDefault="00530E16">
      <w:pPr>
        <w:rPr>
          <w:rFonts w:ascii="Arial" w:eastAsia="Arial" w:hAnsi="Arial" w:cs="Arial"/>
        </w:rPr>
      </w:pPr>
    </w:p>
    <w:p w14:paraId="394F6163" w14:textId="77777777" w:rsidR="00530E16" w:rsidRDefault="00530E16">
      <w:pPr>
        <w:rPr>
          <w:rFonts w:ascii="Arial" w:eastAsia="Arial" w:hAnsi="Arial" w:cs="Arial"/>
        </w:rPr>
      </w:pPr>
    </w:p>
    <w:p w14:paraId="3557EB02" w14:textId="77777777" w:rsidR="00530E16" w:rsidRDefault="00530E16">
      <w:pPr>
        <w:rPr>
          <w:rFonts w:ascii="Arial" w:eastAsia="Arial" w:hAnsi="Arial" w:cs="Arial"/>
        </w:rPr>
      </w:pPr>
    </w:p>
    <w:p w14:paraId="08DF6F9E"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EC9A33D" w14:textId="77777777" w:rsidR="00530E16" w:rsidRDefault="00530E16">
      <w:pPr>
        <w:rPr>
          <w:rFonts w:ascii="Arial" w:eastAsia="Arial" w:hAnsi="Arial" w:cs="Arial"/>
        </w:rPr>
      </w:pPr>
    </w:p>
    <w:p w14:paraId="188846C3" w14:textId="3AEBAE9D" w:rsidR="00530E16" w:rsidRPr="00937419" w:rsidRDefault="00937419">
      <w:pPr>
        <w:pStyle w:val="Heading1"/>
        <w:rPr>
          <w:sz w:val="32"/>
          <w:szCs w:val="32"/>
        </w:rPr>
      </w:pPr>
      <w:bookmarkStart w:id="0" w:name="_Toc216614987"/>
      <w:r w:rsidRPr="00937419">
        <w:rPr>
          <w:sz w:val="32"/>
          <w:szCs w:val="32"/>
        </w:rPr>
        <w:lastRenderedPageBreak/>
        <w:t>Insufficient funding within the UK health sector</w:t>
      </w:r>
      <w:bookmarkEnd w:id="0"/>
      <w:r w:rsidRPr="00937419">
        <w:rPr>
          <w:sz w:val="32"/>
          <w:szCs w:val="32"/>
        </w:rPr>
        <w:t> </w:t>
      </w:r>
    </w:p>
    <w:p w14:paraId="4A1731F6" w14:textId="3C1930E6" w:rsidR="00BA0043" w:rsidRPr="00937419" w:rsidRDefault="00BA0043" w:rsidP="00937419">
      <w:pPr>
        <w:pStyle w:val="Heading1"/>
        <w:rPr>
          <w:sz w:val="32"/>
          <w:szCs w:val="32"/>
        </w:rPr>
      </w:pPr>
      <w:bookmarkStart w:id="1" w:name="_Toc216614988"/>
      <w:r>
        <w:rPr>
          <w:sz w:val="32"/>
          <w:szCs w:val="32"/>
        </w:rPr>
        <w:t>Introduction</w:t>
      </w:r>
      <w:bookmarkEnd w:id="1"/>
    </w:p>
    <w:p w14:paraId="62FA9D2E" w14:textId="1E83E615" w:rsidR="004468F8" w:rsidRPr="00937419" w:rsidRDefault="00937419" w:rsidP="00937419">
      <w:pPr>
        <w:spacing w:line="360" w:lineRule="auto"/>
        <w:jc w:val="both"/>
        <w:rPr>
          <w:rFonts w:ascii="Arial" w:hAnsi="Arial"/>
        </w:rPr>
      </w:pPr>
      <w:r w:rsidRPr="00937419">
        <w:rPr>
          <w:rFonts w:ascii="Arial" w:hAnsi="Arial"/>
          <w:sz w:val="22"/>
          <w:szCs w:val="22"/>
        </w:rPr>
        <w:t>The health and social care system is under systemic pressure, with the major cause being the chronic shortages of workforce that continue to jeopardize the quality of care and patient safety (Senek et al., 2022). This report analyses the topic and explains the necessity to concentrate on empirical research in the framework of modern UK practice. Particularly, it examines how incessant understaffing compromises the safety practices at the frontline, the professional judgement, and the standards of care in health and adult social care systems. This report suggests a solid and ethically sound research design, comprising of a suitable approach to research and data gathering strategy that will be able to make informed policy changes, better service provisions, and regulatory measures to systemic risks in quality and safety</w:t>
      </w:r>
      <w:r w:rsidRPr="007C1DCA">
        <w:rPr>
          <w:rFonts w:ascii="Arial" w:hAnsi="Arial"/>
        </w:rPr>
        <w:t>.</w:t>
      </w:r>
    </w:p>
    <w:p w14:paraId="436CD783" w14:textId="77777777" w:rsidR="00530E16" w:rsidRDefault="004468F8">
      <w:pPr>
        <w:pStyle w:val="Heading2"/>
        <w:jc w:val="both"/>
      </w:pPr>
      <w:bookmarkStart w:id="2" w:name="_Toc216614989"/>
      <w:r>
        <w:t>Problem Statement</w:t>
      </w:r>
      <w:bookmarkEnd w:id="2"/>
    </w:p>
    <w:p w14:paraId="494AE56A"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The issue of the evident correlation between continuous staffing shortfalls and the loss of quality of services and patient safety is one of the pressing and urgent concerns in the UK health and social care sector. The levels of vacancy rates in the NHS and adult social care are also at record levels, which are due to the chronic inability to recruit and retain personnel due to pay levels, workload, and a lack of career development (Teo, </w:t>
      </w:r>
      <w:proofErr w:type="spellStart"/>
      <w:r w:rsidRPr="00937419">
        <w:rPr>
          <w:rFonts w:ascii="Arial" w:eastAsia="Calibri" w:hAnsi="Arial" w:cs="Times New Roman"/>
          <w:sz w:val="22"/>
          <w:szCs w:val="22"/>
          <w:lang w:eastAsia="en-US"/>
        </w:rPr>
        <w:t>Vadean</w:t>
      </w:r>
      <w:proofErr w:type="spellEnd"/>
      <w:r w:rsidRPr="00937419">
        <w:rPr>
          <w:rFonts w:ascii="Arial" w:eastAsia="Calibri" w:hAnsi="Arial" w:cs="Times New Roman"/>
          <w:sz w:val="22"/>
          <w:szCs w:val="22"/>
          <w:lang w:eastAsia="en-US"/>
        </w:rPr>
        <w:t xml:space="preserve"> and </w:t>
      </w:r>
      <w:proofErr w:type="spellStart"/>
      <w:r w:rsidRPr="00937419">
        <w:rPr>
          <w:rFonts w:ascii="Arial" w:eastAsia="Calibri" w:hAnsi="Arial" w:cs="Times New Roman"/>
          <w:sz w:val="22"/>
          <w:szCs w:val="22"/>
          <w:lang w:eastAsia="en-US"/>
        </w:rPr>
        <w:t>Saloniki</w:t>
      </w:r>
      <w:proofErr w:type="spellEnd"/>
      <w:r w:rsidRPr="00937419">
        <w:rPr>
          <w:rFonts w:ascii="Arial" w:eastAsia="Calibri" w:hAnsi="Arial" w:cs="Times New Roman"/>
          <w:sz w:val="22"/>
          <w:szCs w:val="22"/>
          <w:lang w:eastAsia="en-US"/>
        </w:rPr>
        <w:t>, 2022). It is a structural issue, not an acute one: the lowered staffing level increases the working load of the remaining personnel, burns out and moral damage, and psychological trauma, as well as worsens the resilience of the workforce (Hines et al., 2021).</w:t>
      </w:r>
    </w:p>
    <w:p w14:paraId="594FFC55"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These pressures have been shown to be a direct threat to safety based on regulatory evidence. The understaffing in relation to the Clinical Assessment, its omissions, and Fundamental care omissions is linked to the increased errors in medication, delay in clinical assessment, and increased adverse incidents during the Care Quality Commission (CQC) inspections (</w:t>
      </w:r>
      <w:proofErr w:type="spellStart"/>
      <w:r w:rsidRPr="00937419">
        <w:rPr>
          <w:rFonts w:ascii="Arial" w:eastAsia="Calibri" w:hAnsi="Arial" w:cs="Times New Roman"/>
          <w:sz w:val="22"/>
          <w:szCs w:val="22"/>
          <w:lang w:eastAsia="en-US"/>
        </w:rPr>
        <w:t>Unnissa</w:t>
      </w:r>
      <w:proofErr w:type="spellEnd"/>
      <w:r w:rsidRPr="00937419">
        <w:rPr>
          <w:rFonts w:ascii="Arial" w:eastAsia="Calibri" w:hAnsi="Arial" w:cs="Times New Roman"/>
          <w:sz w:val="22"/>
          <w:szCs w:val="22"/>
          <w:lang w:eastAsia="en-US"/>
        </w:rPr>
        <w:t>, Unnisa and Khan, 2024). Practically, shortage of staff diminishes the possibility of supervision, reflective practice and compliance with safety measures, which adds to the risk of avoidable injuries. The issue is consequently a structural risk within the context of service delivery and not individual professional failure.</w:t>
      </w:r>
    </w:p>
    <w:p w14:paraId="578AC98E" w14:textId="5726A06D" w:rsidR="004468F8"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The effect of a shortage of workforce is multi-dimensional. Patients and service users are exposed to prolonged waiting times, lack of continuity of care and increased risk of preventable harm especially in older people and those with complex needs (Dyer et al., 2022). The professionals in health and social care experience long-term stress, deteriorating morale, and decreased ability to provide person-centred care in a compassionate manner (Van Diepen et </w:t>
      </w:r>
      <w:r w:rsidRPr="00937419">
        <w:rPr>
          <w:rFonts w:ascii="Arial" w:eastAsia="Calibri" w:hAnsi="Arial" w:cs="Times New Roman"/>
          <w:sz w:val="22"/>
          <w:szCs w:val="22"/>
          <w:lang w:eastAsia="en-US"/>
        </w:rPr>
        <w:lastRenderedPageBreak/>
        <w:t>al., 2021). At the organisational level, the providers face regulatory non-compliance, downward CQC scores, damaged reputation and increasing financial burdens linked to agency staffing, employee absence, and lawsuits (Bullock et al., 2020). Together, they negatively affect statutory duties of care and jeopardise the sustainability of the health and social care system in the UK in the long term.</w:t>
      </w:r>
    </w:p>
    <w:p w14:paraId="02633FAE" w14:textId="77777777" w:rsidR="00530E16" w:rsidRDefault="004468F8">
      <w:pPr>
        <w:pStyle w:val="Heading2"/>
        <w:jc w:val="both"/>
      </w:pPr>
      <w:bookmarkStart w:id="3" w:name="_Toc216614990"/>
      <w:r>
        <w:t>Justification</w:t>
      </w:r>
      <w:bookmarkEnd w:id="3"/>
    </w:p>
    <w:p w14:paraId="3D968588"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This problem is of utmost importance to warrant the research because of its direct consequences to the safety of the population and delivery of ethical care.  </w:t>
      </w:r>
      <w:proofErr w:type="gramStart"/>
      <w:r w:rsidRPr="00937419">
        <w:rPr>
          <w:rFonts w:ascii="Arial" w:eastAsia="Calibri" w:hAnsi="Arial" w:cs="Times New Roman"/>
          <w:sz w:val="22"/>
          <w:szCs w:val="22"/>
          <w:lang w:eastAsia="en-US"/>
        </w:rPr>
        <w:t>Despite the fact that</w:t>
      </w:r>
      <w:proofErr w:type="gramEnd"/>
      <w:r w:rsidRPr="00937419">
        <w:rPr>
          <w:rFonts w:ascii="Arial" w:eastAsia="Calibri" w:hAnsi="Arial" w:cs="Times New Roman"/>
          <w:sz w:val="22"/>
          <w:szCs w:val="22"/>
          <w:lang w:eastAsia="en-US"/>
        </w:rPr>
        <w:t xml:space="preserve"> the extent of workforce shortages is well reported using quantitative measures, like the rate of vacancies and workforce forecasts, the gap in knowledge about the ways in which understaffing is converted into the actual safety failures is substantial (Naseem, Naseem and Amir, 2024). The available body of knowledge explains what is happening, but there is a dearth of information on how frontline safety habits are decreasing under continual pressure.</w:t>
      </w:r>
    </w:p>
    <w:p w14:paraId="6898B5F4" w14:textId="1CF23346"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This study is thus right in proceeding to the second phase, which is the exploration of lived experiences of frontline employees and operational managers who operate in understaffed conditions. Limited qualitative data has been gathered on how practitioners work out safety behaviours, competing demands, and bargain professional standards. The knowledge of the processes is critical to recognizing the </w:t>
      </w:r>
      <w:proofErr w:type="gramStart"/>
      <w:r w:rsidRPr="00937419">
        <w:rPr>
          <w:rFonts w:ascii="Arial" w:eastAsia="Calibri" w:hAnsi="Arial" w:cs="Times New Roman"/>
          <w:sz w:val="22"/>
          <w:szCs w:val="22"/>
          <w:lang w:eastAsia="en-US"/>
        </w:rPr>
        <w:t>particular failure</w:t>
      </w:r>
      <w:proofErr w:type="gramEnd"/>
      <w:r w:rsidRPr="00937419">
        <w:rPr>
          <w:rFonts w:ascii="Arial" w:eastAsia="Calibri" w:hAnsi="Arial" w:cs="Times New Roman"/>
          <w:sz w:val="22"/>
          <w:szCs w:val="22"/>
          <w:lang w:eastAsia="en-US"/>
        </w:rPr>
        <w:t xml:space="preserve"> points due to workforce shortages and formulating context-sensitive solutions. The results can be used to guide policy interventions based on staff retention, safe staffing levels, workload control, and supportive leadership. </w:t>
      </w:r>
    </w:p>
    <w:p w14:paraId="3B83A3E5" w14:textId="77777777" w:rsidR="00530E16" w:rsidRDefault="004468F8">
      <w:pPr>
        <w:pStyle w:val="Heading2"/>
        <w:jc w:val="both"/>
      </w:pPr>
      <w:bookmarkStart w:id="4" w:name="_Toc216614991"/>
      <w:r>
        <w:t>Information Sources and Justification</w:t>
      </w:r>
      <w:bookmarkEnd w:id="4"/>
    </w:p>
    <w:p w14:paraId="231645C5" w14:textId="77777777" w:rsidR="00937419" w:rsidRPr="00937419" w:rsidRDefault="00937419" w:rsidP="00937419">
      <w:pPr>
        <w:spacing w:line="360" w:lineRule="auto"/>
        <w:jc w:val="both"/>
        <w:rPr>
          <w:rFonts w:ascii="Arial" w:eastAsia="Calibri" w:hAnsi="Arial" w:cs="Times New Roman"/>
          <w:sz w:val="22"/>
          <w:szCs w:val="22"/>
          <w:lang w:eastAsia="en-US"/>
        </w:rPr>
      </w:pPr>
      <w:proofErr w:type="gramStart"/>
      <w:r w:rsidRPr="00937419">
        <w:rPr>
          <w:rFonts w:ascii="Arial" w:eastAsia="Calibri" w:hAnsi="Arial" w:cs="Times New Roman"/>
          <w:sz w:val="22"/>
          <w:szCs w:val="22"/>
          <w:lang w:eastAsia="en-US"/>
        </w:rPr>
        <w:t>In order to</w:t>
      </w:r>
      <w:proofErr w:type="gramEnd"/>
      <w:r w:rsidRPr="00937419">
        <w:rPr>
          <w:rFonts w:ascii="Arial" w:eastAsia="Calibri" w:hAnsi="Arial" w:cs="Times New Roman"/>
          <w:sz w:val="22"/>
          <w:szCs w:val="22"/>
          <w:lang w:eastAsia="en-US"/>
        </w:rPr>
        <w:t xml:space="preserve"> achieve the outstanding involvement of the attention to the related and trustworthy literature, this study is based on three major groups of authoritative materials, which directly meet the discovered issue of workforce shortages and the resulting quality and safety aspects of UK health and social care.</w:t>
      </w:r>
    </w:p>
    <w:p w14:paraId="287F5E46"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Empirical data in Senek et al. (2022), Hines et al. (2021), and Dyer et al. (2022) show a high degree of staffing levels in patient safety outcomes, staff well-being, and quality of care. The choice of such sources is based on their methodological rigour and their direct investigation into the ways that the workforce pressures are transferred into burnout, compromised care, and the heightened risk of harm. They are useful in basing the research on available academic evidence. </w:t>
      </w:r>
    </w:p>
    <w:p w14:paraId="395076C0"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A study by Teo, </w:t>
      </w:r>
      <w:proofErr w:type="spellStart"/>
      <w:r w:rsidRPr="00937419">
        <w:rPr>
          <w:rFonts w:ascii="Arial" w:eastAsia="Calibri" w:hAnsi="Arial" w:cs="Times New Roman"/>
          <w:sz w:val="22"/>
          <w:szCs w:val="22"/>
          <w:lang w:eastAsia="en-US"/>
        </w:rPr>
        <w:t>Vadean</w:t>
      </w:r>
      <w:proofErr w:type="spellEnd"/>
      <w:r w:rsidRPr="00937419">
        <w:rPr>
          <w:rFonts w:ascii="Arial" w:eastAsia="Calibri" w:hAnsi="Arial" w:cs="Times New Roman"/>
          <w:sz w:val="22"/>
          <w:szCs w:val="22"/>
          <w:lang w:eastAsia="en-US"/>
        </w:rPr>
        <w:t xml:space="preserve"> and </w:t>
      </w:r>
      <w:proofErr w:type="spellStart"/>
      <w:r w:rsidRPr="00937419">
        <w:rPr>
          <w:rFonts w:ascii="Arial" w:eastAsia="Calibri" w:hAnsi="Arial" w:cs="Times New Roman"/>
          <w:sz w:val="22"/>
          <w:szCs w:val="22"/>
          <w:lang w:eastAsia="en-US"/>
        </w:rPr>
        <w:t>Saloniki</w:t>
      </w:r>
      <w:proofErr w:type="spellEnd"/>
      <w:r w:rsidRPr="00937419">
        <w:rPr>
          <w:rFonts w:ascii="Arial" w:eastAsia="Calibri" w:hAnsi="Arial" w:cs="Times New Roman"/>
          <w:sz w:val="22"/>
          <w:szCs w:val="22"/>
          <w:lang w:eastAsia="en-US"/>
        </w:rPr>
        <w:t xml:space="preserve"> (2022) and Bullock et al. (2020) provides a critical look at the structural and economic factors of the workforce shortages, pay limits, retention issues, and organisational implications. The sources are selected because they are relevant to the </w:t>
      </w:r>
      <w:r w:rsidRPr="00937419">
        <w:rPr>
          <w:rFonts w:ascii="Arial" w:eastAsia="Calibri" w:hAnsi="Arial" w:cs="Times New Roman"/>
          <w:sz w:val="22"/>
          <w:szCs w:val="22"/>
          <w:lang w:eastAsia="en-US"/>
        </w:rPr>
        <w:lastRenderedPageBreak/>
        <w:t>UK workforce policy and help to understand the systemic quality of the shortages in the staffing.</w:t>
      </w:r>
    </w:p>
    <w:p w14:paraId="5EE87CFD" w14:textId="2EC00FB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The evidence presented by Unnissa, Unnisa and Khan (2024) </w:t>
      </w:r>
      <w:r w:rsidRPr="00937419">
        <w:rPr>
          <w:rFonts w:ascii="Arial" w:eastAsia="Calibri" w:hAnsi="Arial" w:cs="Times New Roman"/>
          <w:sz w:val="22"/>
          <w:szCs w:val="22"/>
          <w:lang w:eastAsia="en-US"/>
        </w:rPr>
        <w:t>offer</w:t>
      </w:r>
      <w:r w:rsidRPr="00937419">
        <w:rPr>
          <w:rFonts w:ascii="Arial" w:eastAsia="Calibri" w:hAnsi="Arial" w:cs="Times New Roman"/>
          <w:sz w:val="22"/>
          <w:szCs w:val="22"/>
          <w:lang w:eastAsia="en-US"/>
        </w:rPr>
        <w:t xml:space="preserve"> an understanding of the phenomenon of staffing shortages during the Care Quality Commission inspections, relating the problem of understaffing to medication errors, delays in assessment, and missing basic care. The source is chosen as shows how workforce shortages have a direct impact on regulatory compliance and quality of provided services in practice.</w:t>
      </w:r>
    </w:p>
    <w:p w14:paraId="180FDC91"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The empirical research, workforce policy analysis and regulatory evidence triangulation will guarantee a holistic, valid and context sensitive basis of the study. The method corresponds to high-level referencing competence and contributes to building thoughtful and evidence-based solutions to the systemic workforce concerns in the UK health and social care.</w:t>
      </w:r>
    </w:p>
    <w:p w14:paraId="4402951D" w14:textId="66E16E65" w:rsidR="004468F8" w:rsidRPr="00937419" w:rsidRDefault="00172AD1" w:rsidP="00937419">
      <w:pPr>
        <w:pStyle w:val="Heading1"/>
        <w:jc w:val="both"/>
        <w:rPr>
          <w:sz w:val="32"/>
          <w:szCs w:val="32"/>
        </w:rPr>
      </w:pPr>
      <w:bookmarkStart w:id="5" w:name="_Toc216614992"/>
      <w:r w:rsidRPr="00937419">
        <w:rPr>
          <w:rFonts w:eastAsia="Aptos" w:cs="Arial"/>
          <w:bCs/>
          <w:kern w:val="2"/>
          <w:sz w:val="32"/>
          <w:szCs w:val="32"/>
          <w:lang w:eastAsia="en-US"/>
          <w14:ligatures w14:val="standardContextual"/>
        </w:rPr>
        <w:t>Research M</w:t>
      </w:r>
      <w:r w:rsidR="004468F8" w:rsidRPr="00937419">
        <w:rPr>
          <w:rFonts w:eastAsia="Aptos" w:cs="Arial"/>
          <w:bCs/>
          <w:kern w:val="2"/>
          <w:sz w:val="32"/>
          <w:szCs w:val="32"/>
          <w:lang w:eastAsia="en-US"/>
          <w14:ligatures w14:val="standardContextual"/>
        </w:rPr>
        <w:t>ethodologie</w:t>
      </w:r>
      <w:r w:rsidR="00937419" w:rsidRPr="00937419">
        <w:rPr>
          <w:rFonts w:eastAsia="Aptos" w:cs="Arial"/>
          <w:bCs/>
          <w:kern w:val="2"/>
          <w:sz w:val="32"/>
          <w:szCs w:val="32"/>
          <w:lang w:eastAsia="en-US"/>
          <w14:ligatures w14:val="standardContextual"/>
        </w:rPr>
        <w:t>s</w:t>
      </w:r>
      <w:bookmarkEnd w:id="5"/>
    </w:p>
    <w:p w14:paraId="1794EB7C"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There are usually two classifications of research methodologies, namely, quantitative and qualitative research, which rely on the various epistemological assumptions in relation to knowledge and reality (Ugwu, </w:t>
      </w:r>
      <w:proofErr w:type="spellStart"/>
      <w:r w:rsidRPr="00937419">
        <w:rPr>
          <w:rFonts w:ascii="Arial" w:eastAsia="Calibri" w:hAnsi="Arial" w:cs="Times New Roman"/>
          <w:sz w:val="22"/>
          <w:szCs w:val="22"/>
          <w:lang w:eastAsia="en-US"/>
        </w:rPr>
        <w:t>Ekere</w:t>
      </w:r>
      <w:proofErr w:type="spellEnd"/>
      <w:r w:rsidRPr="00937419">
        <w:rPr>
          <w:rFonts w:ascii="Arial" w:eastAsia="Calibri" w:hAnsi="Arial" w:cs="Times New Roman"/>
          <w:sz w:val="22"/>
          <w:szCs w:val="22"/>
          <w:lang w:eastAsia="en-US"/>
        </w:rPr>
        <w:t xml:space="preserve"> and </w:t>
      </w:r>
      <w:proofErr w:type="spellStart"/>
      <w:r w:rsidRPr="00937419">
        <w:rPr>
          <w:rFonts w:ascii="Arial" w:eastAsia="Calibri" w:hAnsi="Arial" w:cs="Times New Roman"/>
          <w:sz w:val="22"/>
          <w:szCs w:val="22"/>
          <w:lang w:eastAsia="en-US"/>
        </w:rPr>
        <w:t>Onoh</w:t>
      </w:r>
      <w:proofErr w:type="spellEnd"/>
      <w:r w:rsidRPr="00937419">
        <w:rPr>
          <w:rFonts w:ascii="Arial" w:eastAsia="Calibri" w:hAnsi="Arial" w:cs="Times New Roman"/>
          <w:sz w:val="22"/>
          <w:szCs w:val="22"/>
          <w:lang w:eastAsia="en-US"/>
        </w:rPr>
        <w:t>, 2021). Quantitative research is concerned with the measurement of variables, the testing of relationships using the numbers and statistical methods. Quantitative methods are especially useful in the determination of such trends as the rate of vacancies and the distribution of the workforce (Ayodele, Chang-Richards and González, 2020).</w:t>
      </w:r>
    </w:p>
    <w:p w14:paraId="471AACD8"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On the other hand, qualitative research aims to know about the social things in terms of subjective meanings and experiences of people or groups (Lim, 2024). Qualitative methods are particularly applicable to investigate such intricate organisational and ethical problems in which human judgment and circumstances are the key elements.</w:t>
      </w:r>
    </w:p>
    <w:p w14:paraId="28945674" w14:textId="1CEF8B8D" w:rsidR="004468F8" w:rsidRPr="00937419" w:rsidRDefault="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In this paper, the qualitative methodology is used. As quantitative data can define the magnitude of workforce shortages, the qualitative approach is required to investigate the impact of such shortages on safety practices and quality of care. Using a detailed analysis of staff stories, this methodology allows to analyse the process of how the practitioners cope with risk and professional tension in conditions of ongoing understaffing (Beadle et al., 2024). It is this methodology that is in line with the aim of the research and helps to gain a subtle insight into the systemic risk in UK health and social care.</w:t>
      </w:r>
    </w:p>
    <w:p w14:paraId="0B9BEB00" w14:textId="070C3D82" w:rsidR="004468F8" w:rsidRPr="00937419" w:rsidRDefault="004468F8" w:rsidP="00937419">
      <w:pPr>
        <w:pStyle w:val="Heading1"/>
        <w:jc w:val="both"/>
        <w:rPr>
          <w:sz w:val="32"/>
          <w:szCs w:val="32"/>
        </w:rPr>
      </w:pPr>
      <w:bookmarkStart w:id="6" w:name="_Toc216614993"/>
      <w:r w:rsidRPr="00937419">
        <w:rPr>
          <w:sz w:val="32"/>
          <w:szCs w:val="32"/>
        </w:rPr>
        <w:lastRenderedPageBreak/>
        <w:t>Data Collection</w:t>
      </w:r>
      <w:bookmarkEnd w:id="6"/>
      <w:r w:rsidRPr="00937419">
        <w:rPr>
          <w:sz w:val="32"/>
          <w:szCs w:val="32"/>
        </w:rPr>
        <w:t xml:space="preserve"> </w:t>
      </w:r>
    </w:p>
    <w:p w14:paraId="515586AD"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Data collection methods are broadly divided into primary and secondary forms. Primary data are collected directly by the researcher to address a specific research question and may include interviews, focus groups, surveys, or observation (Chand, 2025). This approach enables the generation of data that are highly relevant to the study’s aims and sensitive to contextual factors within specific care environments. Secondary data consist of existing information such as government statistics, policy reports, workforce datasets, and academic literature (Johnson et al., 2021) </w:t>
      </w:r>
    </w:p>
    <w:p w14:paraId="591C68D9"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This research will primarily utilise primary data, consistent with its qualitative methodology. Semi-structured interviews with frontline health and social care staff will enable detailed exploration of how workforce shortages influence safety practices, clinical judgement, and care quality. Focus groups may also be employed to capture shared experiences and collective problem-solving strategies. Secondary data will be used to contextualise findings and support triangulation.</w:t>
      </w:r>
    </w:p>
    <w:p w14:paraId="0DE36E89" w14:textId="31EF2A0B" w:rsidR="004468F8" w:rsidRPr="00DB181C" w:rsidRDefault="00937419" w:rsidP="00937419">
      <w:pPr>
        <w:rPr>
          <w:color w:val="FF0000"/>
          <w:sz w:val="22"/>
          <w:szCs w:val="22"/>
        </w:rPr>
      </w:pPr>
      <w:r w:rsidRPr="00937419">
        <w:rPr>
          <w:rFonts w:ascii="Arial" w:eastAsia="Calibri" w:hAnsi="Arial" w:cs="Times New Roman"/>
          <w:sz w:val="22"/>
          <w:szCs w:val="22"/>
          <w:lang w:eastAsia="en-US"/>
        </w:rPr>
        <w:t>Ethical considerations will underpin all data collection activities. Participants will provide informed consent, confidentiality will be maintained, and measures will be taken to minimise potential distress when discussing workplace pressures. Adherence to ethical and governance</w:t>
      </w:r>
    </w:p>
    <w:p w14:paraId="691440C1" w14:textId="77777777" w:rsidR="004468F8" w:rsidRDefault="004468F8" w:rsidP="004468F8"/>
    <w:p w14:paraId="490514CA" w14:textId="77777777" w:rsidR="004468F8" w:rsidRPr="00937419" w:rsidRDefault="004468F8" w:rsidP="004468F8">
      <w:pPr>
        <w:rPr>
          <w:sz w:val="32"/>
          <w:szCs w:val="32"/>
        </w:rPr>
      </w:pPr>
    </w:p>
    <w:p w14:paraId="62FB59B4" w14:textId="77777777" w:rsidR="00530E16" w:rsidRPr="00937419" w:rsidRDefault="004468F8">
      <w:pPr>
        <w:pStyle w:val="Heading1"/>
        <w:jc w:val="both"/>
        <w:rPr>
          <w:sz w:val="32"/>
          <w:szCs w:val="32"/>
        </w:rPr>
      </w:pPr>
      <w:bookmarkStart w:id="7" w:name="_Toc216614994"/>
      <w:r w:rsidRPr="00937419">
        <w:rPr>
          <w:sz w:val="32"/>
          <w:szCs w:val="32"/>
        </w:rPr>
        <w:t>Conclusion</w:t>
      </w:r>
      <w:bookmarkEnd w:id="7"/>
    </w:p>
    <w:p w14:paraId="07BE60D9" w14:textId="77777777" w:rsidR="00937419" w:rsidRPr="00937419" w:rsidRDefault="00937419" w:rsidP="00937419">
      <w:pPr>
        <w:spacing w:line="360"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Workforce shortages represent the most significant systemic threat to quality and safety within the UK health and social care sector (</w:t>
      </w:r>
      <w:proofErr w:type="spellStart"/>
      <w:r w:rsidRPr="00937419">
        <w:rPr>
          <w:rFonts w:ascii="Arial" w:eastAsia="Calibri" w:hAnsi="Arial" w:cs="Times New Roman"/>
          <w:sz w:val="22"/>
          <w:szCs w:val="22"/>
          <w:lang w:eastAsia="en-US"/>
        </w:rPr>
        <w:t>Shemtob</w:t>
      </w:r>
      <w:proofErr w:type="spellEnd"/>
      <w:r w:rsidRPr="00937419">
        <w:rPr>
          <w:rFonts w:ascii="Arial" w:eastAsia="Calibri" w:hAnsi="Arial" w:cs="Times New Roman"/>
          <w:sz w:val="22"/>
          <w:szCs w:val="22"/>
          <w:lang w:eastAsia="en-US"/>
        </w:rPr>
        <w:t xml:space="preserve"> et al., 2023). This report has demonstrated that chronic understaffing compromises patient outcomes, increases the risk of preventable harm, and exposes staff to burnout, moral injury, and professional attrition. By adopting a qualitative methodology supported by primary data collection, the proposed research is positioned to address critical gaps in existing evidence and to capture the lived realities of frontline practice. The findings will provide valuable insight into how safety failures emerge under sustained workforce pressure and will inform thoughtful, evidence-based solutions focused on retention, safe staffing, and system resilience. </w:t>
      </w:r>
    </w:p>
    <w:p w14:paraId="150F0184" w14:textId="77777777" w:rsidR="004468F8" w:rsidRPr="004468F8" w:rsidRDefault="004468F8" w:rsidP="004468F8"/>
    <w:p w14:paraId="7BB9E9F5" w14:textId="77777777" w:rsidR="00530E16" w:rsidRPr="00937419" w:rsidRDefault="004468F8">
      <w:pPr>
        <w:pStyle w:val="Heading1"/>
        <w:rPr>
          <w:sz w:val="32"/>
          <w:szCs w:val="32"/>
        </w:rPr>
      </w:pPr>
      <w:bookmarkStart w:id="8" w:name="_Toc216614995"/>
      <w:r w:rsidRPr="00937419">
        <w:rPr>
          <w:sz w:val="32"/>
          <w:szCs w:val="32"/>
        </w:rPr>
        <w:lastRenderedPageBreak/>
        <w:t>References</w:t>
      </w:r>
      <w:bookmarkEnd w:id="8"/>
    </w:p>
    <w:p w14:paraId="06FF6CEE"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Ayodele, O.A., Chang-Richards, A. and González, V. (2020) ‘Factors affecting workforce turnover in the construction sector: A systematic review’, </w:t>
      </w:r>
      <w:r w:rsidRPr="00937419">
        <w:rPr>
          <w:rFonts w:ascii="Arial" w:eastAsia="Calibri" w:hAnsi="Arial" w:cs="Times New Roman"/>
          <w:i/>
          <w:iCs/>
          <w:sz w:val="22"/>
          <w:szCs w:val="22"/>
          <w:lang w:eastAsia="en-US"/>
        </w:rPr>
        <w:t>Journal of Construction Engineering and Management</w:t>
      </w:r>
      <w:r w:rsidRPr="00937419">
        <w:rPr>
          <w:rFonts w:ascii="Arial" w:eastAsia="Calibri" w:hAnsi="Arial" w:cs="Times New Roman"/>
          <w:sz w:val="22"/>
          <w:szCs w:val="22"/>
          <w:lang w:eastAsia="en-US"/>
        </w:rPr>
        <w:t>, 146(2), p. 03119010.</w:t>
      </w:r>
    </w:p>
    <w:p w14:paraId="10028E8D"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Beadle, E.S., Walecka, A., Sangam, A.V., Moorhouse, J., Winter, M., Wild, H.M., Trivedi, D. and Casarin, A. (2024) ‘Triggers and factors associated with moral distress and moral injury in health and social care workers: A systematic review of qualitative studies’, </w:t>
      </w:r>
      <w:r w:rsidRPr="00937419">
        <w:rPr>
          <w:rFonts w:ascii="Arial" w:eastAsia="Calibri" w:hAnsi="Arial" w:cs="Times New Roman"/>
          <w:i/>
          <w:iCs/>
          <w:sz w:val="22"/>
          <w:szCs w:val="22"/>
          <w:lang w:eastAsia="en-US"/>
        </w:rPr>
        <w:t>PLOS ONE</w:t>
      </w:r>
      <w:r w:rsidRPr="00937419">
        <w:rPr>
          <w:rFonts w:ascii="Arial" w:eastAsia="Calibri" w:hAnsi="Arial" w:cs="Times New Roman"/>
          <w:sz w:val="22"/>
          <w:szCs w:val="22"/>
          <w:lang w:eastAsia="en-US"/>
        </w:rPr>
        <w:t xml:space="preserve">, 19(6), pp. e0303013–e0303013. </w:t>
      </w:r>
      <w:hyperlink r:id="rId10" w:tgtFrame="_new" w:history="1">
        <w:r w:rsidRPr="00937419">
          <w:rPr>
            <w:rFonts w:ascii="Arial" w:eastAsia="Calibri" w:hAnsi="Arial" w:cs="Times New Roman"/>
            <w:color w:val="0563C1"/>
            <w:sz w:val="22"/>
            <w:szCs w:val="22"/>
            <w:u w:val="single"/>
            <w:lang w:eastAsia="en-US"/>
          </w:rPr>
          <w:t>https://doi.org/10.1371/journal.pone.0303013</w:t>
        </w:r>
      </w:hyperlink>
    </w:p>
    <w:p w14:paraId="4D237184"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Bullock, A., Browne, J., Poletti, C., </w:t>
      </w:r>
      <w:proofErr w:type="spellStart"/>
      <w:r w:rsidRPr="00937419">
        <w:rPr>
          <w:rFonts w:ascii="Arial" w:eastAsia="Calibri" w:hAnsi="Arial" w:cs="Times New Roman"/>
          <w:sz w:val="22"/>
          <w:szCs w:val="22"/>
          <w:lang w:eastAsia="en-US"/>
        </w:rPr>
        <w:t>Cserző</w:t>
      </w:r>
      <w:proofErr w:type="spellEnd"/>
      <w:r w:rsidRPr="00937419">
        <w:rPr>
          <w:rFonts w:ascii="Arial" w:eastAsia="Calibri" w:hAnsi="Arial" w:cs="Times New Roman"/>
          <w:sz w:val="22"/>
          <w:szCs w:val="22"/>
          <w:lang w:eastAsia="en-US"/>
        </w:rPr>
        <w:t xml:space="preserve">, D. and Russ, E. (2020) </w:t>
      </w:r>
      <w:r w:rsidRPr="00937419">
        <w:rPr>
          <w:rFonts w:ascii="Arial" w:eastAsia="Calibri" w:hAnsi="Arial" w:cs="Times New Roman"/>
          <w:i/>
          <w:iCs/>
          <w:sz w:val="22"/>
          <w:szCs w:val="22"/>
          <w:lang w:eastAsia="en-US"/>
        </w:rPr>
        <w:t>A review of research into health and care professional regulation</w:t>
      </w:r>
      <w:r w:rsidRPr="00937419">
        <w:rPr>
          <w:rFonts w:ascii="Arial" w:eastAsia="Calibri" w:hAnsi="Arial" w:cs="Times New Roman"/>
          <w:sz w:val="22"/>
          <w:szCs w:val="22"/>
          <w:lang w:eastAsia="en-US"/>
        </w:rPr>
        <w:t xml:space="preserve">. Available at: </w:t>
      </w:r>
      <w:hyperlink r:id="rId11" w:tgtFrame="_new" w:history="1">
        <w:r w:rsidRPr="00937419">
          <w:rPr>
            <w:rFonts w:ascii="Arial" w:eastAsia="Calibri" w:hAnsi="Arial" w:cs="Times New Roman"/>
            <w:color w:val="0563C1"/>
            <w:sz w:val="22"/>
            <w:szCs w:val="22"/>
            <w:u w:val="single"/>
            <w:lang w:eastAsia="en-US"/>
          </w:rPr>
          <w:t>https://www.professionalstandards.org.uk/sites/default/files/attachments/review-of-research-into-health-care-regulation.pdf</w:t>
        </w:r>
      </w:hyperlink>
      <w:r w:rsidRPr="00937419">
        <w:rPr>
          <w:rFonts w:ascii="Arial" w:eastAsia="Calibri" w:hAnsi="Arial" w:cs="Times New Roman"/>
          <w:sz w:val="22"/>
          <w:szCs w:val="22"/>
          <w:lang w:eastAsia="en-US"/>
        </w:rPr>
        <w:t xml:space="preserve"> (Accessed: 14 December 2025).</w:t>
      </w:r>
    </w:p>
    <w:p w14:paraId="63C6BAEE"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Chand, S.P. (2025) ‘Methods of data collection in qualitative research: Interviews, focus groups, observations, and document analysis’, </w:t>
      </w:r>
      <w:r w:rsidRPr="00937419">
        <w:rPr>
          <w:rFonts w:ascii="Arial" w:eastAsia="Calibri" w:hAnsi="Arial" w:cs="Times New Roman"/>
          <w:i/>
          <w:iCs/>
          <w:sz w:val="22"/>
          <w:szCs w:val="22"/>
          <w:lang w:eastAsia="en-US"/>
        </w:rPr>
        <w:t>Advances in Educational Research and Evaluation</w:t>
      </w:r>
      <w:r w:rsidRPr="00937419">
        <w:rPr>
          <w:rFonts w:ascii="Arial" w:eastAsia="Calibri" w:hAnsi="Arial" w:cs="Times New Roman"/>
          <w:sz w:val="22"/>
          <w:szCs w:val="22"/>
          <w:lang w:eastAsia="en-US"/>
        </w:rPr>
        <w:t xml:space="preserve">, 6(1), pp. 303–317. </w:t>
      </w:r>
      <w:hyperlink r:id="rId12" w:tgtFrame="_new" w:history="1">
        <w:r w:rsidRPr="00937419">
          <w:rPr>
            <w:rFonts w:ascii="Arial" w:eastAsia="Calibri" w:hAnsi="Arial" w:cs="Times New Roman"/>
            <w:color w:val="0563C1"/>
            <w:sz w:val="22"/>
            <w:szCs w:val="22"/>
            <w:u w:val="single"/>
            <w:lang w:eastAsia="en-US"/>
          </w:rPr>
          <w:t>https://doi.org/10.25082/aere.2025.01.001</w:t>
        </w:r>
      </w:hyperlink>
    </w:p>
    <w:p w14:paraId="59FE1E77"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Dyer, S.M., Suen, J., Williams, H., Inacio, M.C., Harvey, G., </w:t>
      </w:r>
      <w:proofErr w:type="spellStart"/>
      <w:r w:rsidRPr="00937419">
        <w:rPr>
          <w:rFonts w:ascii="Arial" w:eastAsia="Calibri" w:hAnsi="Arial" w:cs="Times New Roman"/>
          <w:sz w:val="22"/>
          <w:szCs w:val="22"/>
          <w:lang w:eastAsia="en-US"/>
        </w:rPr>
        <w:t>Roder</w:t>
      </w:r>
      <w:proofErr w:type="spellEnd"/>
      <w:r w:rsidRPr="00937419">
        <w:rPr>
          <w:rFonts w:ascii="Arial" w:eastAsia="Calibri" w:hAnsi="Arial" w:cs="Times New Roman"/>
          <w:sz w:val="22"/>
          <w:szCs w:val="22"/>
          <w:lang w:eastAsia="en-US"/>
        </w:rPr>
        <w:t xml:space="preserve">, D., </w:t>
      </w:r>
      <w:proofErr w:type="spellStart"/>
      <w:r w:rsidRPr="00937419">
        <w:rPr>
          <w:rFonts w:ascii="Arial" w:eastAsia="Calibri" w:hAnsi="Arial" w:cs="Times New Roman"/>
          <w:sz w:val="22"/>
          <w:szCs w:val="22"/>
          <w:lang w:eastAsia="en-US"/>
        </w:rPr>
        <w:t>Wesselingh</w:t>
      </w:r>
      <w:proofErr w:type="spellEnd"/>
      <w:r w:rsidRPr="00937419">
        <w:rPr>
          <w:rFonts w:ascii="Arial" w:eastAsia="Calibri" w:hAnsi="Arial" w:cs="Times New Roman"/>
          <w:sz w:val="22"/>
          <w:szCs w:val="22"/>
          <w:lang w:eastAsia="en-US"/>
        </w:rPr>
        <w:t xml:space="preserve">, S., Kellie, A., Crotty, M. and Caughey, G.E. (2022) ‘Impact of relational continuity of primary care in aged care: A systematic review’, </w:t>
      </w:r>
      <w:r w:rsidRPr="00937419">
        <w:rPr>
          <w:rFonts w:ascii="Arial" w:eastAsia="Calibri" w:hAnsi="Arial" w:cs="Times New Roman"/>
          <w:i/>
          <w:iCs/>
          <w:sz w:val="22"/>
          <w:szCs w:val="22"/>
          <w:lang w:eastAsia="en-US"/>
        </w:rPr>
        <w:t>BMC Geriatrics</w:t>
      </w:r>
      <w:r w:rsidRPr="00937419">
        <w:rPr>
          <w:rFonts w:ascii="Arial" w:eastAsia="Calibri" w:hAnsi="Arial" w:cs="Times New Roman"/>
          <w:sz w:val="22"/>
          <w:szCs w:val="22"/>
          <w:lang w:eastAsia="en-US"/>
        </w:rPr>
        <w:t xml:space="preserve">, 22(1). </w:t>
      </w:r>
      <w:hyperlink r:id="rId13" w:tgtFrame="_new" w:history="1">
        <w:r w:rsidRPr="00937419">
          <w:rPr>
            <w:rFonts w:ascii="Arial" w:eastAsia="Calibri" w:hAnsi="Arial" w:cs="Times New Roman"/>
            <w:color w:val="0563C1"/>
            <w:sz w:val="22"/>
            <w:szCs w:val="22"/>
            <w:u w:val="single"/>
            <w:lang w:eastAsia="en-US"/>
          </w:rPr>
          <w:t>https://doi.org/10.1186/s12877-022-03131-2</w:t>
        </w:r>
      </w:hyperlink>
    </w:p>
    <w:p w14:paraId="04E3AB8D"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Hines, S.E., Chin, K.H., Glick, D.R. and Wickwire, E.M. (2021) ‘Trends in moral injury, distress, and resilience factors among healthcare workers at the beginning of the COVID-19 pandemic’, </w:t>
      </w:r>
      <w:r w:rsidRPr="00937419">
        <w:rPr>
          <w:rFonts w:ascii="Arial" w:eastAsia="Calibri" w:hAnsi="Arial" w:cs="Times New Roman"/>
          <w:i/>
          <w:iCs/>
          <w:sz w:val="22"/>
          <w:szCs w:val="22"/>
          <w:lang w:eastAsia="en-US"/>
        </w:rPr>
        <w:t>International Journal of Environmental Research and Public Health</w:t>
      </w:r>
      <w:r w:rsidRPr="00937419">
        <w:rPr>
          <w:rFonts w:ascii="Arial" w:eastAsia="Calibri" w:hAnsi="Arial" w:cs="Times New Roman"/>
          <w:sz w:val="22"/>
          <w:szCs w:val="22"/>
          <w:lang w:eastAsia="en-US"/>
        </w:rPr>
        <w:t xml:space="preserve">, 18(2), p. 488. </w:t>
      </w:r>
      <w:hyperlink r:id="rId14" w:tgtFrame="_new" w:history="1">
        <w:r w:rsidRPr="00937419">
          <w:rPr>
            <w:rFonts w:ascii="Arial" w:eastAsia="Calibri" w:hAnsi="Arial" w:cs="Times New Roman"/>
            <w:color w:val="0563C1"/>
            <w:sz w:val="22"/>
            <w:szCs w:val="22"/>
            <w:u w:val="single"/>
            <w:lang w:eastAsia="en-US"/>
          </w:rPr>
          <w:t>https://doi.org/10.3390/ijerph18020488</w:t>
        </w:r>
      </w:hyperlink>
    </w:p>
    <w:p w14:paraId="2D38FE6A"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Johnson, M., Jain, R., Brennan-Tonetta, P., Swartz, E., Silver, D., Paolini, J., Mamonov, S. and Hill, C. (2021) ‘Impact of big data and artificial intelligence on industry: Developing a workforce roadmap for a data-driven economy’, </w:t>
      </w:r>
      <w:r w:rsidRPr="00937419">
        <w:rPr>
          <w:rFonts w:ascii="Arial" w:eastAsia="Calibri" w:hAnsi="Arial" w:cs="Times New Roman"/>
          <w:i/>
          <w:iCs/>
          <w:sz w:val="22"/>
          <w:szCs w:val="22"/>
          <w:lang w:eastAsia="en-US"/>
        </w:rPr>
        <w:t>Global Journal of Flexible Systems Management</w:t>
      </w:r>
      <w:r w:rsidRPr="00937419">
        <w:rPr>
          <w:rFonts w:ascii="Arial" w:eastAsia="Calibri" w:hAnsi="Arial" w:cs="Times New Roman"/>
          <w:sz w:val="22"/>
          <w:szCs w:val="22"/>
          <w:lang w:eastAsia="en-US"/>
        </w:rPr>
        <w:t xml:space="preserve">, 22(3), pp. 197–217. Available at: </w:t>
      </w:r>
      <w:hyperlink r:id="rId15" w:tgtFrame="_new" w:history="1">
        <w:r w:rsidRPr="00937419">
          <w:rPr>
            <w:rFonts w:ascii="Arial" w:eastAsia="Calibri" w:hAnsi="Arial" w:cs="Times New Roman"/>
            <w:color w:val="0563C1"/>
            <w:sz w:val="22"/>
            <w:szCs w:val="22"/>
            <w:u w:val="single"/>
            <w:lang w:eastAsia="en-US"/>
          </w:rPr>
          <w:t>https://link.springer.com/article/10.1007/s40171-021-00272-y</w:t>
        </w:r>
      </w:hyperlink>
      <w:r w:rsidRPr="00937419">
        <w:rPr>
          <w:rFonts w:ascii="Arial" w:eastAsia="Calibri" w:hAnsi="Arial" w:cs="Times New Roman"/>
          <w:sz w:val="22"/>
          <w:szCs w:val="22"/>
          <w:lang w:eastAsia="en-US"/>
        </w:rPr>
        <w:t xml:space="preserve"> (Accessed: 14 December 2025).</w:t>
      </w:r>
    </w:p>
    <w:p w14:paraId="7E84F934"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Lim, W.M. (2024) ‘What is qualitative research? An overview and guidelines’, </w:t>
      </w:r>
      <w:r w:rsidRPr="00937419">
        <w:rPr>
          <w:rFonts w:ascii="Arial" w:eastAsia="Calibri" w:hAnsi="Arial" w:cs="Times New Roman"/>
          <w:i/>
          <w:iCs/>
          <w:sz w:val="22"/>
          <w:szCs w:val="22"/>
          <w:lang w:eastAsia="en-US"/>
        </w:rPr>
        <w:t>Australasian Marketing Journal</w:t>
      </w:r>
      <w:r w:rsidRPr="00937419">
        <w:rPr>
          <w:rFonts w:ascii="Arial" w:eastAsia="Calibri" w:hAnsi="Arial" w:cs="Times New Roman"/>
          <w:sz w:val="22"/>
          <w:szCs w:val="22"/>
          <w:lang w:eastAsia="en-US"/>
        </w:rPr>
        <w:t xml:space="preserve">, 33(2), pp. 199–229. </w:t>
      </w:r>
      <w:hyperlink r:id="rId16" w:tgtFrame="_new" w:history="1">
        <w:r w:rsidRPr="00937419">
          <w:rPr>
            <w:rFonts w:ascii="Arial" w:eastAsia="Calibri" w:hAnsi="Arial" w:cs="Times New Roman"/>
            <w:color w:val="0563C1"/>
            <w:sz w:val="22"/>
            <w:szCs w:val="22"/>
            <w:u w:val="single"/>
            <w:lang w:eastAsia="en-US"/>
          </w:rPr>
          <w:t>https://doi.org/10.1177/14413582241264619</w:t>
        </w:r>
      </w:hyperlink>
    </w:p>
    <w:p w14:paraId="4E5931C8"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Naseem, S., Naseem, S. and Amir, Z. (2024) ‘Effect of staff shortage on patient safety and quality of care’, </w:t>
      </w:r>
      <w:r w:rsidRPr="00937419">
        <w:rPr>
          <w:rFonts w:ascii="Arial" w:eastAsia="Calibri" w:hAnsi="Arial" w:cs="Times New Roman"/>
          <w:i/>
          <w:iCs/>
          <w:sz w:val="22"/>
          <w:szCs w:val="22"/>
          <w:lang w:eastAsia="en-US"/>
        </w:rPr>
        <w:t>Annals of Human and Social Sciences</w:t>
      </w:r>
      <w:r w:rsidRPr="00937419">
        <w:rPr>
          <w:rFonts w:ascii="Arial" w:eastAsia="Calibri" w:hAnsi="Arial" w:cs="Times New Roman"/>
          <w:sz w:val="22"/>
          <w:szCs w:val="22"/>
          <w:lang w:eastAsia="en-US"/>
        </w:rPr>
        <w:t xml:space="preserve">, 5(4), pp. 158–164. </w:t>
      </w:r>
      <w:hyperlink r:id="rId17" w:tgtFrame="_new" w:history="1">
        <w:r w:rsidRPr="00937419">
          <w:rPr>
            <w:rFonts w:ascii="Arial" w:eastAsia="Calibri" w:hAnsi="Arial" w:cs="Times New Roman"/>
            <w:color w:val="0563C1"/>
            <w:sz w:val="22"/>
            <w:szCs w:val="22"/>
            <w:u w:val="single"/>
            <w:lang w:eastAsia="en-US"/>
          </w:rPr>
          <w:t>https://doi.org/10.35484/ahss.2024(5-IV)16</w:t>
        </w:r>
      </w:hyperlink>
    </w:p>
    <w:p w14:paraId="4ED7A317"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Senek, M., Robertson, S., Taylor, B., Wood, E., King, R. and Ryan, T. (2022) ‘Consequences of understaffing on type of missed community care: A cross-sectional study’, </w:t>
      </w:r>
      <w:r w:rsidRPr="00937419">
        <w:rPr>
          <w:rFonts w:ascii="Arial" w:eastAsia="Calibri" w:hAnsi="Arial" w:cs="Times New Roman"/>
          <w:i/>
          <w:iCs/>
          <w:sz w:val="22"/>
          <w:szCs w:val="22"/>
          <w:lang w:eastAsia="en-US"/>
        </w:rPr>
        <w:t>International Journal of Nursing Studies Advances</w:t>
      </w:r>
      <w:r w:rsidRPr="00937419">
        <w:rPr>
          <w:rFonts w:ascii="Arial" w:eastAsia="Calibri" w:hAnsi="Arial" w:cs="Times New Roman"/>
          <w:sz w:val="22"/>
          <w:szCs w:val="22"/>
          <w:lang w:eastAsia="en-US"/>
        </w:rPr>
        <w:t xml:space="preserve">, 4(1), p. 100075. </w:t>
      </w:r>
      <w:hyperlink r:id="rId18" w:tgtFrame="_new" w:history="1">
        <w:r w:rsidRPr="00937419">
          <w:rPr>
            <w:rFonts w:ascii="Arial" w:eastAsia="Calibri" w:hAnsi="Arial" w:cs="Times New Roman"/>
            <w:color w:val="0563C1"/>
            <w:sz w:val="22"/>
            <w:szCs w:val="22"/>
            <w:u w:val="single"/>
            <w:lang w:eastAsia="en-US"/>
          </w:rPr>
          <w:t>https://doi.org/10.1016/j.ijnsa.2022.100075</w:t>
        </w:r>
      </w:hyperlink>
    </w:p>
    <w:p w14:paraId="4198969A" w14:textId="77777777" w:rsidR="00937419" w:rsidRPr="00937419" w:rsidRDefault="00937419" w:rsidP="00937419">
      <w:pPr>
        <w:spacing w:line="259" w:lineRule="auto"/>
        <w:jc w:val="both"/>
        <w:rPr>
          <w:rFonts w:ascii="Arial" w:eastAsia="Calibri" w:hAnsi="Arial" w:cs="Times New Roman"/>
          <w:sz w:val="22"/>
          <w:szCs w:val="22"/>
          <w:lang w:eastAsia="en-US"/>
        </w:rPr>
      </w:pPr>
      <w:proofErr w:type="spellStart"/>
      <w:r w:rsidRPr="00937419">
        <w:rPr>
          <w:rFonts w:ascii="Arial" w:eastAsia="Calibri" w:hAnsi="Arial" w:cs="Times New Roman"/>
          <w:sz w:val="22"/>
          <w:szCs w:val="22"/>
          <w:lang w:eastAsia="en-US"/>
        </w:rPr>
        <w:t>Shemtob</w:t>
      </w:r>
      <w:proofErr w:type="spellEnd"/>
      <w:r w:rsidRPr="00937419">
        <w:rPr>
          <w:rFonts w:ascii="Arial" w:eastAsia="Calibri" w:hAnsi="Arial" w:cs="Times New Roman"/>
          <w:sz w:val="22"/>
          <w:szCs w:val="22"/>
          <w:lang w:eastAsia="en-US"/>
        </w:rPr>
        <w:t xml:space="preserve">, L., </w:t>
      </w:r>
      <w:proofErr w:type="spellStart"/>
      <w:r w:rsidRPr="00937419">
        <w:rPr>
          <w:rFonts w:ascii="Arial" w:eastAsia="Calibri" w:hAnsi="Arial" w:cs="Times New Roman"/>
          <w:sz w:val="22"/>
          <w:szCs w:val="22"/>
          <w:lang w:eastAsia="en-US"/>
        </w:rPr>
        <w:t>Asanati</w:t>
      </w:r>
      <w:proofErr w:type="spellEnd"/>
      <w:r w:rsidRPr="00937419">
        <w:rPr>
          <w:rFonts w:ascii="Arial" w:eastAsia="Calibri" w:hAnsi="Arial" w:cs="Times New Roman"/>
          <w:sz w:val="22"/>
          <w:szCs w:val="22"/>
          <w:lang w:eastAsia="en-US"/>
        </w:rPr>
        <w:t xml:space="preserve">, K., Pahl, N. and Majeed, A. (2023) ‘What needs to be done to address staffing shortages in health and social care?’, </w:t>
      </w:r>
      <w:r w:rsidRPr="00937419">
        <w:rPr>
          <w:rFonts w:ascii="Arial" w:eastAsia="Calibri" w:hAnsi="Arial" w:cs="Times New Roman"/>
          <w:i/>
          <w:iCs/>
          <w:sz w:val="22"/>
          <w:szCs w:val="22"/>
          <w:lang w:eastAsia="en-US"/>
        </w:rPr>
        <w:t>British Journal of General Practice</w:t>
      </w:r>
      <w:r w:rsidRPr="00937419">
        <w:rPr>
          <w:rFonts w:ascii="Arial" w:eastAsia="Calibri" w:hAnsi="Arial" w:cs="Times New Roman"/>
          <w:sz w:val="22"/>
          <w:szCs w:val="22"/>
          <w:lang w:eastAsia="en-US"/>
        </w:rPr>
        <w:t xml:space="preserve">, 73(728), pp. 102–103. </w:t>
      </w:r>
      <w:hyperlink r:id="rId19" w:tgtFrame="_new" w:history="1">
        <w:r w:rsidRPr="00937419">
          <w:rPr>
            <w:rFonts w:ascii="Arial" w:eastAsia="Calibri" w:hAnsi="Arial" w:cs="Times New Roman"/>
            <w:color w:val="0563C1"/>
            <w:sz w:val="22"/>
            <w:szCs w:val="22"/>
            <w:u w:val="single"/>
            <w:lang w:eastAsia="en-US"/>
          </w:rPr>
          <w:t>https://doi.org/10.3399/bjgp23x732045</w:t>
        </w:r>
      </w:hyperlink>
    </w:p>
    <w:p w14:paraId="15D66558"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lastRenderedPageBreak/>
        <w:t xml:space="preserve">Teo, H., </w:t>
      </w:r>
      <w:proofErr w:type="spellStart"/>
      <w:r w:rsidRPr="00937419">
        <w:rPr>
          <w:rFonts w:ascii="Arial" w:eastAsia="Calibri" w:hAnsi="Arial" w:cs="Times New Roman"/>
          <w:sz w:val="22"/>
          <w:szCs w:val="22"/>
          <w:lang w:eastAsia="en-US"/>
        </w:rPr>
        <w:t>Vadean</w:t>
      </w:r>
      <w:proofErr w:type="spellEnd"/>
      <w:r w:rsidRPr="00937419">
        <w:rPr>
          <w:rFonts w:ascii="Arial" w:eastAsia="Calibri" w:hAnsi="Arial" w:cs="Times New Roman"/>
          <w:sz w:val="22"/>
          <w:szCs w:val="22"/>
          <w:lang w:eastAsia="en-US"/>
        </w:rPr>
        <w:t xml:space="preserve">, F. and </w:t>
      </w:r>
      <w:proofErr w:type="spellStart"/>
      <w:r w:rsidRPr="00937419">
        <w:rPr>
          <w:rFonts w:ascii="Arial" w:eastAsia="Calibri" w:hAnsi="Arial" w:cs="Times New Roman"/>
          <w:sz w:val="22"/>
          <w:szCs w:val="22"/>
          <w:lang w:eastAsia="en-US"/>
        </w:rPr>
        <w:t>Saloniki</w:t>
      </w:r>
      <w:proofErr w:type="spellEnd"/>
      <w:r w:rsidRPr="00937419">
        <w:rPr>
          <w:rFonts w:ascii="Arial" w:eastAsia="Calibri" w:hAnsi="Arial" w:cs="Times New Roman"/>
          <w:sz w:val="22"/>
          <w:szCs w:val="22"/>
          <w:lang w:eastAsia="en-US"/>
        </w:rPr>
        <w:t xml:space="preserve">, E.-C. (2022) ‘Recruitment, retention and employment growth in the long-term care sector in England’, </w:t>
      </w:r>
      <w:r w:rsidRPr="00937419">
        <w:rPr>
          <w:rFonts w:ascii="Arial" w:eastAsia="Calibri" w:hAnsi="Arial" w:cs="Times New Roman"/>
          <w:i/>
          <w:iCs/>
          <w:sz w:val="22"/>
          <w:szCs w:val="22"/>
          <w:lang w:eastAsia="en-US"/>
        </w:rPr>
        <w:t>Frontiers in Public Health</w:t>
      </w:r>
      <w:r w:rsidRPr="00937419">
        <w:rPr>
          <w:rFonts w:ascii="Arial" w:eastAsia="Calibri" w:hAnsi="Arial" w:cs="Times New Roman"/>
          <w:sz w:val="22"/>
          <w:szCs w:val="22"/>
          <w:lang w:eastAsia="en-US"/>
        </w:rPr>
        <w:t xml:space="preserve">, 10. </w:t>
      </w:r>
      <w:hyperlink r:id="rId20" w:tgtFrame="_new" w:history="1">
        <w:r w:rsidRPr="00937419">
          <w:rPr>
            <w:rFonts w:ascii="Arial" w:eastAsia="Calibri" w:hAnsi="Arial" w:cs="Times New Roman"/>
            <w:color w:val="0563C1"/>
            <w:sz w:val="22"/>
            <w:szCs w:val="22"/>
            <w:u w:val="single"/>
            <w:lang w:eastAsia="en-US"/>
          </w:rPr>
          <w:t>https://doi.org/10.3389/fpubh.2022.969098</w:t>
        </w:r>
      </w:hyperlink>
    </w:p>
    <w:p w14:paraId="5CFA9AD0"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Ugwu, C., </w:t>
      </w:r>
      <w:proofErr w:type="spellStart"/>
      <w:r w:rsidRPr="00937419">
        <w:rPr>
          <w:rFonts w:ascii="Arial" w:eastAsia="Calibri" w:hAnsi="Arial" w:cs="Times New Roman"/>
          <w:sz w:val="22"/>
          <w:szCs w:val="22"/>
          <w:lang w:eastAsia="en-US"/>
        </w:rPr>
        <w:t>Ekere</w:t>
      </w:r>
      <w:proofErr w:type="spellEnd"/>
      <w:r w:rsidRPr="00937419">
        <w:rPr>
          <w:rFonts w:ascii="Arial" w:eastAsia="Calibri" w:hAnsi="Arial" w:cs="Times New Roman"/>
          <w:sz w:val="22"/>
          <w:szCs w:val="22"/>
          <w:lang w:eastAsia="en-US"/>
        </w:rPr>
        <w:t xml:space="preserve">, J. and </w:t>
      </w:r>
      <w:proofErr w:type="spellStart"/>
      <w:r w:rsidRPr="00937419">
        <w:rPr>
          <w:rFonts w:ascii="Arial" w:eastAsia="Calibri" w:hAnsi="Arial" w:cs="Times New Roman"/>
          <w:sz w:val="22"/>
          <w:szCs w:val="22"/>
          <w:lang w:eastAsia="en-US"/>
        </w:rPr>
        <w:t>Onoh</w:t>
      </w:r>
      <w:proofErr w:type="spellEnd"/>
      <w:r w:rsidRPr="00937419">
        <w:rPr>
          <w:rFonts w:ascii="Arial" w:eastAsia="Calibri" w:hAnsi="Arial" w:cs="Times New Roman"/>
          <w:sz w:val="22"/>
          <w:szCs w:val="22"/>
          <w:lang w:eastAsia="en-US"/>
        </w:rPr>
        <w:t xml:space="preserve">, C. (2021) ‘Research paradigms and methodological choices in the research process’, </w:t>
      </w:r>
      <w:r w:rsidRPr="00937419">
        <w:rPr>
          <w:rFonts w:ascii="Arial" w:eastAsia="Calibri" w:hAnsi="Arial" w:cs="Times New Roman"/>
          <w:i/>
          <w:iCs/>
          <w:sz w:val="22"/>
          <w:szCs w:val="22"/>
          <w:lang w:eastAsia="en-US"/>
        </w:rPr>
        <w:t>Information Science and Technology</w:t>
      </w:r>
      <w:r w:rsidRPr="00937419">
        <w:rPr>
          <w:rFonts w:ascii="Arial" w:eastAsia="Calibri" w:hAnsi="Arial" w:cs="Times New Roman"/>
          <w:sz w:val="22"/>
          <w:szCs w:val="22"/>
          <w:lang w:eastAsia="en-US"/>
        </w:rPr>
        <w:t xml:space="preserve">, 14(2), pp. 116–124. Available at: </w:t>
      </w:r>
      <w:hyperlink r:id="rId21" w:tgtFrame="_new" w:history="1">
        <w:r w:rsidRPr="00937419">
          <w:rPr>
            <w:rFonts w:ascii="Arial" w:eastAsia="Calibri" w:hAnsi="Arial" w:cs="Times New Roman"/>
            <w:color w:val="0563C1"/>
            <w:sz w:val="22"/>
            <w:szCs w:val="22"/>
            <w:u w:val="single"/>
            <w:lang w:eastAsia="en-US"/>
          </w:rPr>
          <w:t>https://www.jaistonline.org/14vol2/12.pdf</w:t>
        </w:r>
      </w:hyperlink>
      <w:r w:rsidRPr="00937419">
        <w:rPr>
          <w:rFonts w:ascii="Arial" w:eastAsia="Calibri" w:hAnsi="Arial" w:cs="Times New Roman"/>
          <w:sz w:val="22"/>
          <w:szCs w:val="22"/>
          <w:lang w:eastAsia="en-US"/>
        </w:rPr>
        <w:t xml:space="preserve"> (Accessed: 14 December 2025).</w:t>
      </w:r>
    </w:p>
    <w:p w14:paraId="15120019" w14:textId="77777777" w:rsidR="00937419" w:rsidRPr="00937419" w:rsidRDefault="00937419" w:rsidP="00937419">
      <w:pPr>
        <w:spacing w:line="259" w:lineRule="auto"/>
        <w:jc w:val="both"/>
        <w:rPr>
          <w:rFonts w:ascii="Arial" w:eastAsia="Calibri" w:hAnsi="Arial" w:cs="Times New Roman"/>
          <w:sz w:val="22"/>
          <w:szCs w:val="22"/>
          <w:lang w:eastAsia="en-US"/>
        </w:rPr>
      </w:pPr>
      <w:proofErr w:type="spellStart"/>
      <w:r w:rsidRPr="00937419">
        <w:rPr>
          <w:rFonts w:ascii="Arial" w:eastAsia="Calibri" w:hAnsi="Arial" w:cs="Times New Roman"/>
          <w:sz w:val="22"/>
          <w:szCs w:val="22"/>
          <w:lang w:eastAsia="en-US"/>
        </w:rPr>
        <w:t>Unnissa</w:t>
      </w:r>
      <w:proofErr w:type="spellEnd"/>
      <w:r w:rsidRPr="00937419">
        <w:rPr>
          <w:rFonts w:ascii="Arial" w:eastAsia="Calibri" w:hAnsi="Arial" w:cs="Times New Roman"/>
          <w:sz w:val="22"/>
          <w:szCs w:val="22"/>
          <w:lang w:eastAsia="en-US"/>
        </w:rPr>
        <w:t xml:space="preserve">, Z., Unnisa, M. and Khan, S. (2024) ‘A comprehensive review of medication errors in modern healthcare’, </w:t>
      </w:r>
      <w:r w:rsidRPr="00937419">
        <w:rPr>
          <w:rFonts w:ascii="Arial" w:eastAsia="Calibri" w:hAnsi="Arial" w:cs="Times New Roman"/>
          <w:i/>
          <w:iCs/>
          <w:sz w:val="22"/>
          <w:szCs w:val="22"/>
          <w:lang w:eastAsia="en-US"/>
        </w:rPr>
        <w:t>Journal of Drug Delivery and Therapeutics</w:t>
      </w:r>
      <w:r w:rsidRPr="00937419">
        <w:rPr>
          <w:rFonts w:ascii="Arial" w:eastAsia="Calibri" w:hAnsi="Arial" w:cs="Times New Roman"/>
          <w:sz w:val="22"/>
          <w:szCs w:val="22"/>
          <w:lang w:eastAsia="en-US"/>
        </w:rPr>
        <w:t xml:space="preserve">, 14(5), pp. 220–228. </w:t>
      </w:r>
      <w:hyperlink r:id="rId22" w:tgtFrame="_new" w:history="1">
        <w:r w:rsidRPr="00937419">
          <w:rPr>
            <w:rFonts w:ascii="Arial" w:eastAsia="Calibri" w:hAnsi="Arial" w:cs="Times New Roman"/>
            <w:color w:val="0563C1"/>
            <w:sz w:val="22"/>
            <w:szCs w:val="22"/>
            <w:u w:val="single"/>
            <w:lang w:eastAsia="en-US"/>
          </w:rPr>
          <w:t>https://doi.org/10.22270/jddt.v14i5.6565</w:t>
        </w:r>
      </w:hyperlink>
    </w:p>
    <w:p w14:paraId="6E9A6D16" w14:textId="77777777" w:rsidR="00937419" w:rsidRPr="00937419" w:rsidRDefault="00937419" w:rsidP="00937419">
      <w:pPr>
        <w:spacing w:line="259" w:lineRule="auto"/>
        <w:jc w:val="both"/>
        <w:rPr>
          <w:rFonts w:ascii="Arial" w:eastAsia="Calibri" w:hAnsi="Arial" w:cs="Times New Roman"/>
          <w:sz w:val="22"/>
          <w:szCs w:val="22"/>
          <w:lang w:eastAsia="en-US"/>
        </w:rPr>
      </w:pPr>
      <w:r w:rsidRPr="00937419">
        <w:rPr>
          <w:rFonts w:ascii="Arial" w:eastAsia="Calibri" w:hAnsi="Arial" w:cs="Times New Roman"/>
          <w:sz w:val="22"/>
          <w:szCs w:val="22"/>
          <w:lang w:eastAsia="en-US"/>
        </w:rPr>
        <w:t xml:space="preserve">Van Diepen, C., Fors, A., Ekman, I., Bertilsson, M. and Hensing, G. (2021) ‘Associations between person-centred care and job strain, stress of conscience, and intent to leave among hospital personnel’, </w:t>
      </w:r>
      <w:r w:rsidRPr="00937419">
        <w:rPr>
          <w:rFonts w:ascii="Arial" w:eastAsia="Calibri" w:hAnsi="Arial" w:cs="Times New Roman"/>
          <w:i/>
          <w:iCs/>
          <w:sz w:val="22"/>
          <w:szCs w:val="22"/>
          <w:lang w:eastAsia="en-US"/>
        </w:rPr>
        <w:t>Journal of Clinical Nursing</w:t>
      </w:r>
      <w:r w:rsidRPr="00937419">
        <w:rPr>
          <w:rFonts w:ascii="Arial" w:eastAsia="Calibri" w:hAnsi="Arial" w:cs="Times New Roman"/>
          <w:sz w:val="22"/>
          <w:szCs w:val="22"/>
          <w:lang w:eastAsia="en-US"/>
        </w:rPr>
        <w:t xml:space="preserve">, 31(5–6). </w:t>
      </w:r>
      <w:hyperlink r:id="rId23" w:tgtFrame="_new" w:history="1">
        <w:r w:rsidRPr="00937419">
          <w:rPr>
            <w:rFonts w:ascii="Arial" w:eastAsia="Calibri" w:hAnsi="Arial" w:cs="Times New Roman"/>
            <w:color w:val="0563C1"/>
            <w:sz w:val="22"/>
            <w:szCs w:val="22"/>
            <w:u w:val="single"/>
            <w:lang w:eastAsia="en-US"/>
          </w:rPr>
          <w:t>https://doi.org/10.1111/jocn.15919</w:t>
        </w:r>
      </w:hyperlink>
    </w:p>
    <w:p w14:paraId="2651675F" w14:textId="5798920D" w:rsidR="00530E16" w:rsidRPr="007637E9" w:rsidRDefault="00530E16">
      <w:pPr>
        <w:rPr>
          <w:rFonts w:ascii="Arial" w:eastAsia="Arial" w:hAnsi="Arial" w:cs="Arial"/>
          <w:color w:val="FF0000"/>
          <w:sz w:val="22"/>
          <w:szCs w:val="22"/>
        </w:rPr>
      </w:pPr>
    </w:p>
    <w:sectPr w:rsidR="00530E16" w:rsidRPr="007637E9" w:rsidSect="00722EFE">
      <w:footerReference w:type="first" r:id="rId2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6E8D4" w14:textId="77777777" w:rsidR="008425CF" w:rsidRDefault="008425CF" w:rsidP="002A1842">
      <w:pPr>
        <w:spacing w:after="0" w:line="240" w:lineRule="auto"/>
      </w:pPr>
      <w:r>
        <w:separator/>
      </w:r>
    </w:p>
  </w:endnote>
  <w:endnote w:type="continuationSeparator" w:id="0">
    <w:p w14:paraId="1EA46207" w14:textId="77777777" w:rsidR="008425CF" w:rsidRDefault="008425C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FA8F670"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10032013"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118C5D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2E6A9B9A"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BD330" w14:textId="77777777" w:rsidR="008425CF" w:rsidRDefault="008425CF" w:rsidP="002A1842">
      <w:pPr>
        <w:spacing w:after="0" w:line="240" w:lineRule="auto"/>
      </w:pPr>
      <w:r>
        <w:separator/>
      </w:r>
    </w:p>
  </w:footnote>
  <w:footnote w:type="continuationSeparator" w:id="0">
    <w:p w14:paraId="7267CD8F" w14:textId="77777777" w:rsidR="008425CF" w:rsidRDefault="008425C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9299699">
    <w:abstractNumId w:val="5"/>
  </w:num>
  <w:num w:numId="2" w16cid:durableId="1738093877">
    <w:abstractNumId w:val="3"/>
  </w:num>
  <w:num w:numId="3" w16cid:durableId="1584139925">
    <w:abstractNumId w:val="2"/>
  </w:num>
  <w:num w:numId="4" w16cid:durableId="1575511032">
    <w:abstractNumId w:val="1"/>
  </w:num>
  <w:num w:numId="5" w16cid:durableId="2112360366">
    <w:abstractNumId w:val="4"/>
  </w:num>
  <w:num w:numId="6" w16cid:durableId="622618114">
    <w:abstractNumId w:val="0"/>
  </w:num>
  <w:num w:numId="7" w16cid:durableId="331228166">
    <w:abstractNumId w:val="7"/>
  </w:num>
  <w:num w:numId="8" w16cid:durableId="2245350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86D64"/>
    <w:rsid w:val="002A1842"/>
    <w:rsid w:val="004468F8"/>
    <w:rsid w:val="00530E16"/>
    <w:rsid w:val="00722EFE"/>
    <w:rsid w:val="007637E9"/>
    <w:rsid w:val="008425CF"/>
    <w:rsid w:val="008E7834"/>
    <w:rsid w:val="00937419"/>
    <w:rsid w:val="009F60D1"/>
    <w:rsid w:val="00A75B15"/>
    <w:rsid w:val="00AE06EA"/>
    <w:rsid w:val="00B65ED6"/>
    <w:rsid w:val="00BA0043"/>
    <w:rsid w:val="00BB02AE"/>
    <w:rsid w:val="00CF650B"/>
    <w:rsid w:val="00D62A9C"/>
    <w:rsid w:val="00DB181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9663A"/>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86/s12877-022-03131-2" TargetMode="External"/><Relationship Id="rId18" Type="http://schemas.openxmlformats.org/officeDocument/2006/relationships/hyperlink" Target="https://doi.org/10.1016/j.ijnsa.2022.100075"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jaistonline.org/14vol2/12.pdf" TargetMode="External"/><Relationship Id="rId7" Type="http://schemas.openxmlformats.org/officeDocument/2006/relationships/footnotes" Target="footnotes.xml"/><Relationship Id="rId12" Type="http://schemas.openxmlformats.org/officeDocument/2006/relationships/hyperlink" Target="https://doi.org/10.25082/aere.2025.01.001" TargetMode="External"/><Relationship Id="rId17" Type="http://schemas.openxmlformats.org/officeDocument/2006/relationships/hyperlink" Target="https://doi.org/10.35484/ahss.2024(5-IV)16"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77/14413582241264619" TargetMode="External"/><Relationship Id="rId20" Type="http://schemas.openxmlformats.org/officeDocument/2006/relationships/hyperlink" Target="https://doi.org/10.3389/fpubh.2022.96909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ofessionalstandards.org.uk/sites/default/files/attachments/review-of-research-into-health-care-regulation.pdf"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link.springer.com/article/10.1007/s40171-021-00272-y" TargetMode="External"/><Relationship Id="rId23" Type="http://schemas.openxmlformats.org/officeDocument/2006/relationships/hyperlink" Target="https://doi.org/10.1111/jocn.15919" TargetMode="External"/><Relationship Id="rId10" Type="http://schemas.openxmlformats.org/officeDocument/2006/relationships/hyperlink" Target="https://doi.org/10.1371/journal.pone.0303013" TargetMode="External"/><Relationship Id="rId19" Type="http://schemas.openxmlformats.org/officeDocument/2006/relationships/hyperlink" Target="https://doi.org/10.3399/bjgp23x732045"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3390/ijerph18020488" TargetMode="External"/><Relationship Id="rId22" Type="http://schemas.openxmlformats.org/officeDocument/2006/relationships/hyperlink" Target="https://doi.org/10.22270/jddt.v14i5.65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2401</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Elizabeth Adesaogun (2515702)</cp:lastModifiedBy>
  <cp:revision>3</cp:revision>
  <dcterms:created xsi:type="dcterms:W3CDTF">2025-12-14T14:12:00Z</dcterms:created>
  <dcterms:modified xsi:type="dcterms:W3CDTF">2025-12-14T14:38:00Z</dcterms:modified>
</cp:coreProperties>
</file>