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426F09">
      <w:pPr>
        <w:tabs>
          <w:tab w:val="left" w:pos="6540"/>
        </w:tabs>
        <w:spacing w:line="360" w:lineRule="auto"/>
        <w:rPr>
          <w:rFonts w:ascii="Arial" w:hAnsi="Arial" w:cs="Arial"/>
          <w:sz w:val="28"/>
          <w:szCs w:val="28"/>
        </w:rPr>
      </w:pPr>
    </w:p>
    <w:p w14:paraId="5818B88A" w14:textId="2472F886" w:rsidR="00833470" w:rsidRPr="00C83A82" w:rsidRDefault="00833470" w:rsidP="00426F09">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E60CAC">
        <w:rPr>
          <w:rFonts w:ascii="Arial" w:hAnsi="Arial" w:cs="Arial"/>
          <w:sz w:val="28"/>
          <w:szCs w:val="28"/>
        </w:rPr>
        <w:t>Bushra Ayub</w:t>
      </w:r>
    </w:p>
    <w:p w14:paraId="476C763A" w14:textId="14834D97" w:rsidR="00833470" w:rsidRPr="00C83A82" w:rsidRDefault="00833470" w:rsidP="00426F09">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E60CAC">
        <w:rPr>
          <w:rFonts w:ascii="Arial" w:hAnsi="Arial" w:cs="Arial"/>
          <w:sz w:val="28"/>
          <w:szCs w:val="28"/>
          <w:lang w:val="nl-NL"/>
        </w:rPr>
        <w:t xml:space="preserve"> </w:t>
      </w:r>
      <w:r w:rsidR="00275303">
        <w:rPr>
          <w:rFonts w:ascii="Arial" w:hAnsi="Arial" w:cs="Arial"/>
          <w:sz w:val="28"/>
          <w:szCs w:val="28"/>
          <w:lang w:val="nl-NL"/>
        </w:rPr>
        <w:t>25</w:t>
      </w:r>
      <w:r w:rsidR="00E52AE6">
        <w:rPr>
          <w:rFonts w:ascii="Arial" w:hAnsi="Arial" w:cs="Arial"/>
          <w:sz w:val="28"/>
          <w:szCs w:val="28"/>
          <w:lang w:val="nl-NL"/>
        </w:rPr>
        <w:t>12516</w:t>
      </w:r>
    </w:p>
    <w:p w14:paraId="27005EB9" w14:textId="77777777" w:rsidR="00833470" w:rsidRPr="00C83A82" w:rsidRDefault="00833470" w:rsidP="00426F09">
      <w:pPr>
        <w:tabs>
          <w:tab w:val="left" w:pos="6540"/>
        </w:tabs>
        <w:spacing w:line="360" w:lineRule="auto"/>
        <w:rPr>
          <w:rFonts w:ascii="Arial" w:hAnsi="Arial" w:cs="Arial"/>
          <w:sz w:val="28"/>
          <w:szCs w:val="28"/>
          <w:lang w:val="nl-NL"/>
        </w:rPr>
      </w:pPr>
    </w:p>
    <w:p w14:paraId="543E95E7" w14:textId="0B3C93B7" w:rsidR="00833470" w:rsidRPr="00C83A82" w:rsidRDefault="00833470" w:rsidP="00426F09">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CB719D">
        <w:rPr>
          <w:rFonts w:ascii="Arial" w:hAnsi="Arial" w:cs="Arial"/>
          <w:sz w:val="28"/>
          <w:szCs w:val="28"/>
          <w:lang w:val="nl-NL"/>
        </w:rPr>
        <w:t>Introduction to Health and Social Care</w:t>
      </w:r>
    </w:p>
    <w:p w14:paraId="4F76F3BE" w14:textId="77777777" w:rsidR="00426F09" w:rsidRDefault="00833470" w:rsidP="00426F09">
      <w:pPr>
        <w:spacing w:line="360" w:lineRule="auto"/>
        <w:rPr>
          <w:rFonts w:ascii="Arial" w:hAnsi="Arial" w:cs="Arial"/>
          <w:sz w:val="28"/>
          <w:szCs w:val="28"/>
          <w:lang w:val="nl-NL"/>
        </w:rPr>
      </w:pPr>
      <w:r w:rsidRPr="0020413D">
        <w:rPr>
          <w:rFonts w:ascii="Arial" w:hAnsi="Arial" w:cs="Arial"/>
          <w:b/>
          <w:bCs/>
          <w:sz w:val="28"/>
          <w:szCs w:val="28"/>
        </w:rPr>
        <w:t>Module code</w:t>
      </w:r>
      <w:r w:rsidRPr="0020413D">
        <w:rPr>
          <w:rFonts w:ascii="Arial" w:hAnsi="Arial" w:cs="Arial"/>
          <w:sz w:val="28"/>
          <w:szCs w:val="28"/>
        </w:rPr>
        <w:t>:</w:t>
      </w:r>
      <w:r w:rsidR="00CB719D">
        <w:rPr>
          <w:rFonts w:ascii="Arial" w:hAnsi="Arial" w:cs="Arial"/>
          <w:sz w:val="28"/>
          <w:szCs w:val="28"/>
        </w:rPr>
        <w:t xml:space="preserve"> LCHS4003</w:t>
      </w:r>
      <w:r w:rsidR="00CB719D">
        <w:rPr>
          <w:rFonts w:ascii="Arial" w:hAnsi="Arial" w:cs="Arial"/>
          <w:sz w:val="28"/>
          <w:szCs w:val="28"/>
        </w:rPr>
        <w:br/>
      </w:r>
      <w:r w:rsidR="00426F09" w:rsidRPr="0020413D">
        <w:rPr>
          <w:rFonts w:ascii="Arial" w:hAnsi="Arial" w:cs="Arial"/>
          <w:b/>
          <w:bCs/>
          <w:sz w:val="28"/>
          <w:szCs w:val="28"/>
        </w:rPr>
        <w:t>Lecturer name</w:t>
      </w:r>
      <w:r w:rsidR="00426F09">
        <w:t xml:space="preserve">:   </w:t>
      </w:r>
      <w:r w:rsidR="00426F09" w:rsidRPr="00CB719D">
        <w:rPr>
          <w:rFonts w:ascii="Arial" w:hAnsi="Arial" w:cs="Arial"/>
          <w:sz w:val="28"/>
          <w:szCs w:val="28"/>
          <w:lang w:val="nl-NL"/>
        </w:rPr>
        <w:t>Muhammad</w:t>
      </w:r>
      <w:r w:rsidR="00426F09">
        <w:t xml:space="preserve"> </w:t>
      </w:r>
      <w:r w:rsidR="00426F09" w:rsidRPr="00CB719D">
        <w:rPr>
          <w:rFonts w:ascii="Arial" w:hAnsi="Arial" w:cs="Arial"/>
          <w:sz w:val="28"/>
          <w:szCs w:val="28"/>
          <w:lang w:val="nl-NL"/>
        </w:rPr>
        <w:t>Aliyu</w:t>
      </w:r>
    </w:p>
    <w:p w14:paraId="084FFE12" w14:textId="77777777" w:rsidR="00426F09" w:rsidRDefault="00CB719D" w:rsidP="00426F09">
      <w:pPr>
        <w:tabs>
          <w:tab w:val="left" w:pos="6540"/>
        </w:tabs>
        <w:spacing w:line="360" w:lineRule="auto"/>
        <w:rPr>
          <w:rFonts w:ascii="Arial" w:hAnsi="Arial" w:cs="Arial"/>
          <w:sz w:val="28"/>
          <w:szCs w:val="28"/>
        </w:rPr>
      </w:pPr>
      <w:r w:rsidRPr="00CB719D">
        <w:rPr>
          <w:rFonts w:ascii="Arial" w:hAnsi="Arial" w:cs="Arial"/>
          <w:b/>
          <w:bCs/>
          <w:sz w:val="28"/>
          <w:szCs w:val="28"/>
        </w:rPr>
        <w:t>Assignment</w:t>
      </w:r>
      <w:r>
        <w:rPr>
          <w:rFonts w:ascii="Arial" w:hAnsi="Arial" w:cs="Arial"/>
          <w:sz w:val="28"/>
          <w:szCs w:val="28"/>
        </w:rPr>
        <w:t xml:space="preserve"> </w:t>
      </w:r>
      <w:r w:rsidRPr="00CB719D">
        <w:rPr>
          <w:rFonts w:ascii="Arial" w:hAnsi="Arial" w:cs="Arial"/>
          <w:b/>
          <w:bCs/>
          <w:sz w:val="28"/>
          <w:szCs w:val="28"/>
        </w:rPr>
        <w:t>title</w:t>
      </w:r>
      <w:r>
        <w:rPr>
          <w:rFonts w:ascii="Arial" w:hAnsi="Arial" w:cs="Arial"/>
          <w:sz w:val="28"/>
          <w:szCs w:val="28"/>
        </w:rPr>
        <w:t>: Portfolio – Two Task</w:t>
      </w:r>
      <w:r w:rsidR="00426F09">
        <w:rPr>
          <w:rFonts w:ascii="Arial" w:hAnsi="Arial" w:cs="Arial"/>
          <w:sz w:val="28"/>
          <w:szCs w:val="28"/>
        </w:rPr>
        <w:t>s</w:t>
      </w:r>
    </w:p>
    <w:p w14:paraId="37962E01" w14:textId="65D06F70" w:rsidR="00426F09" w:rsidRDefault="00426F09" w:rsidP="00426F09">
      <w:pPr>
        <w:tabs>
          <w:tab w:val="left" w:pos="6540"/>
        </w:tabs>
        <w:spacing w:line="360" w:lineRule="auto"/>
        <w:rPr>
          <w:rFonts w:ascii="Arial" w:hAnsi="Arial" w:cs="Arial"/>
          <w:sz w:val="28"/>
          <w:szCs w:val="28"/>
        </w:rPr>
      </w:pPr>
      <w:r w:rsidRPr="00426F09">
        <w:rPr>
          <w:rFonts w:ascii="Arial" w:hAnsi="Arial" w:cs="Arial"/>
          <w:b/>
          <w:bCs/>
          <w:sz w:val="28"/>
          <w:szCs w:val="28"/>
        </w:rPr>
        <w:t>Task 1:</w:t>
      </w:r>
      <w:r>
        <w:rPr>
          <w:rFonts w:ascii="Arial" w:hAnsi="Arial" w:cs="Arial"/>
          <w:sz w:val="28"/>
          <w:szCs w:val="28"/>
        </w:rPr>
        <w:t xml:space="preserve"> Community Mental Health Services poster</w:t>
      </w:r>
    </w:p>
    <w:p w14:paraId="396C2B08" w14:textId="20728885" w:rsidR="00426F09" w:rsidRPr="00426F09" w:rsidRDefault="00426F09" w:rsidP="00426F09">
      <w:pPr>
        <w:tabs>
          <w:tab w:val="left" w:pos="6540"/>
        </w:tabs>
        <w:spacing w:line="360" w:lineRule="auto"/>
        <w:rPr>
          <w:rFonts w:ascii="Arial" w:hAnsi="Arial" w:cs="Arial"/>
          <w:sz w:val="28"/>
          <w:szCs w:val="28"/>
        </w:rPr>
      </w:pPr>
      <w:r w:rsidRPr="00426F09">
        <w:rPr>
          <w:rFonts w:ascii="Arial" w:hAnsi="Arial" w:cs="Arial"/>
          <w:b/>
          <w:bCs/>
          <w:sz w:val="28"/>
          <w:szCs w:val="28"/>
        </w:rPr>
        <w:t>Task</w:t>
      </w:r>
      <w:r>
        <w:rPr>
          <w:rFonts w:ascii="Arial" w:hAnsi="Arial" w:cs="Arial"/>
          <w:sz w:val="28"/>
          <w:szCs w:val="28"/>
        </w:rPr>
        <w:t xml:space="preserve"> </w:t>
      </w:r>
      <w:r w:rsidRPr="00426F09">
        <w:rPr>
          <w:rFonts w:ascii="Arial" w:hAnsi="Arial" w:cs="Arial"/>
          <w:b/>
          <w:bCs/>
          <w:sz w:val="28"/>
          <w:szCs w:val="28"/>
        </w:rPr>
        <w:t>2:</w:t>
      </w:r>
      <w:r>
        <w:rPr>
          <w:rFonts w:ascii="Arial" w:hAnsi="Arial" w:cs="Arial"/>
          <w:sz w:val="28"/>
          <w:szCs w:val="28"/>
        </w:rPr>
        <w:t xml:space="preserve"> Pharmacy Services essay</w:t>
      </w:r>
    </w:p>
    <w:p w14:paraId="74E7498A" w14:textId="77777777" w:rsidR="00426F09" w:rsidRPr="0020413D" w:rsidRDefault="00426F09" w:rsidP="00426F09">
      <w:pPr>
        <w:tabs>
          <w:tab w:val="left" w:pos="6540"/>
        </w:tabs>
        <w:spacing w:line="360" w:lineRule="auto"/>
        <w:rPr>
          <w:rFonts w:ascii="Arial" w:hAnsi="Arial" w:cs="Arial"/>
          <w:sz w:val="28"/>
          <w:szCs w:val="28"/>
        </w:rPr>
      </w:pPr>
    </w:p>
    <w:bookmarkEnd w:id="0"/>
    <w:p w14:paraId="3D63A025" w14:textId="77777777" w:rsidR="00CB719D" w:rsidRDefault="00CB719D">
      <w:pPr>
        <w:rPr>
          <w:rFonts w:ascii="Arial" w:hAnsi="Arial" w:cs="Arial"/>
          <w:sz w:val="28"/>
          <w:szCs w:val="28"/>
          <w:lang w:val="nl-NL"/>
        </w:rPr>
      </w:pPr>
    </w:p>
    <w:p w14:paraId="4973AB7A" w14:textId="77777777" w:rsidR="00CB719D" w:rsidRDefault="00CB719D">
      <w:pPr>
        <w:rPr>
          <w:rFonts w:ascii="Arial" w:hAnsi="Arial" w:cs="Arial"/>
          <w:sz w:val="28"/>
          <w:szCs w:val="28"/>
          <w:lang w:val="nl-NL"/>
        </w:rPr>
      </w:pPr>
    </w:p>
    <w:p w14:paraId="5924E53A" w14:textId="208267BE" w:rsidR="00CB719D" w:rsidRDefault="00CB719D">
      <w:pPr>
        <w:rPr>
          <w:rFonts w:ascii="Arial" w:hAnsi="Arial" w:cs="Arial"/>
          <w:sz w:val="28"/>
          <w:szCs w:val="28"/>
          <w:lang w:val="nl-NL"/>
        </w:rPr>
      </w:pPr>
      <w:r w:rsidRPr="00CB719D">
        <w:rPr>
          <w:rFonts w:ascii="Arial" w:hAnsi="Arial" w:cs="Arial"/>
          <w:b/>
          <w:bCs/>
          <w:sz w:val="28"/>
          <w:szCs w:val="28"/>
          <w:lang w:val="nl-NL"/>
        </w:rPr>
        <w:t>Submission</w:t>
      </w:r>
      <w:r>
        <w:rPr>
          <w:rFonts w:ascii="Arial" w:hAnsi="Arial" w:cs="Arial"/>
          <w:sz w:val="28"/>
          <w:szCs w:val="28"/>
          <w:lang w:val="nl-NL"/>
        </w:rPr>
        <w:t xml:space="preserve"> </w:t>
      </w:r>
      <w:r w:rsidRPr="00CB719D">
        <w:rPr>
          <w:rFonts w:ascii="Arial" w:hAnsi="Arial" w:cs="Arial"/>
          <w:b/>
          <w:bCs/>
          <w:sz w:val="28"/>
          <w:szCs w:val="28"/>
          <w:lang w:val="nl-NL"/>
        </w:rPr>
        <w:t>Date</w:t>
      </w:r>
      <w:r>
        <w:rPr>
          <w:rFonts w:ascii="Arial" w:hAnsi="Arial" w:cs="Arial"/>
          <w:sz w:val="28"/>
          <w:szCs w:val="28"/>
          <w:lang w:val="nl-NL"/>
        </w:rPr>
        <w:t>: 23 March 2026</w:t>
      </w:r>
    </w:p>
    <w:p w14:paraId="410C101D" w14:textId="4D66C04C" w:rsidR="00CB719D" w:rsidRPr="00CB719D" w:rsidRDefault="00CB719D">
      <w:pPr>
        <w:rPr>
          <w:rFonts w:ascii="Arial" w:hAnsi="Arial" w:cs="Arial"/>
          <w:sz w:val="28"/>
          <w:szCs w:val="28"/>
          <w:lang w:val="nl-NL"/>
        </w:rPr>
        <w:sectPr w:rsidR="00CB719D" w:rsidRPr="00CB719D">
          <w:headerReference w:type="default" r:id="rId9"/>
          <w:footerReference w:type="default" r:id="rId10"/>
          <w:pgSz w:w="11906" w:h="16838"/>
          <w:pgMar w:top="1440" w:right="1440" w:bottom="1440" w:left="1440" w:header="708" w:footer="708" w:gutter="0"/>
          <w:cols w:space="708"/>
          <w:docGrid w:linePitch="360"/>
        </w:sectPr>
      </w:pPr>
    </w:p>
    <w:sdt>
      <w:sdtPr>
        <w:rPr>
          <w:rFonts w:asciiTheme="minorHAnsi" w:eastAsiaTheme="minorEastAsia" w:hAnsiTheme="minorHAnsi" w:cstheme="minorBidi"/>
          <w:color w:val="auto"/>
          <w:sz w:val="22"/>
          <w:szCs w:val="22"/>
          <w:lang w:eastAsia="zh-CN"/>
        </w:rPr>
        <w:id w:val="-562560869"/>
        <w:docPartObj>
          <w:docPartGallery w:val="Table of Contents"/>
          <w:docPartUnique/>
        </w:docPartObj>
      </w:sdtPr>
      <w:sdtEndPr>
        <w:rPr>
          <w:b/>
          <w:bCs/>
        </w:rPr>
      </w:sdtEndPr>
      <w:sdtContent>
        <w:p w14:paraId="3CA754BF" w14:textId="69655360" w:rsidR="002F727E" w:rsidRDefault="002F727E">
          <w:pPr>
            <w:pStyle w:val="TOCHeading"/>
          </w:pPr>
          <w:r>
            <w:t>Contents</w:t>
          </w:r>
        </w:p>
        <w:p w14:paraId="3D4774BF" w14:textId="559D7222" w:rsidR="002F727E" w:rsidRDefault="002F727E">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4693116" w:history="1">
            <w:r w:rsidRPr="00723CD5">
              <w:rPr>
                <w:rStyle w:val="Hyperlink"/>
                <w:noProof/>
              </w:rPr>
              <w:t>Element 1: Poster</w:t>
            </w:r>
            <w:r>
              <w:rPr>
                <w:noProof/>
                <w:webHidden/>
              </w:rPr>
              <w:tab/>
            </w:r>
            <w:r>
              <w:rPr>
                <w:noProof/>
                <w:webHidden/>
              </w:rPr>
              <w:fldChar w:fldCharType="begin"/>
            </w:r>
            <w:r>
              <w:rPr>
                <w:noProof/>
                <w:webHidden/>
              </w:rPr>
              <w:instrText xml:space="preserve"> PAGEREF _Toc224693116 \h </w:instrText>
            </w:r>
            <w:r>
              <w:rPr>
                <w:noProof/>
                <w:webHidden/>
              </w:rPr>
            </w:r>
            <w:r>
              <w:rPr>
                <w:noProof/>
                <w:webHidden/>
              </w:rPr>
              <w:fldChar w:fldCharType="separate"/>
            </w:r>
            <w:r>
              <w:rPr>
                <w:noProof/>
                <w:webHidden/>
              </w:rPr>
              <w:t>3</w:t>
            </w:r>
            <w:r>
              <w:rPr>
                <w:noProof/>
                <w:webHidden/>
              </w:rPr>
              <w:fldChar w:fldCharType="end"/>
            </w:r>
          </w:hyperlink>
        </w:p>
        <w:p w14:paraId="795686BE" w14:textId="1D1A0350" w:rsidR="002F727E" w:rsidRDefault="002F727E">
          <w:pPr>
            <w:pStyle w:val="TOC1"/>
            <w:tabs>
              <w:tab w:val="right" w:leader="dot" w:pos="9016"/>
            </w:tabs>
            <w:rPr>
              <w:noProof/>
              <w:kern w:val="2"/>
              <w:sz w:val="24"/>
              <w:szCs w:val="24"/>
              <w:lang w:eastAsia="en-GB"/>
              <w14:ligatures w14:val="standardContextual"/>
            </w:rPr>
          </w:pPr>
          <w:hyperlink w:anchor="_Toc224693117" w:history="1">
            <w:r w:rsidRPr="00723CD5">
              <w:rPr>
                <w:rStyle w:val="Hyperlink"/>
                <w:noProof/>
              </w:rPr>
              <w:t>Element 2: Essay – Pharmacy Services</w:t>
            </w:r>
            <w:r>
              <w:rPr>
                <w:noProof/>
                <w:webHidden/>
              </w:rPr>
              <w:tab/>
            </w:r>
            <w:r>
              <w:rPr>
                <w:noProof/>
                <w:webHidden/>
              </w:rPr>
              <w:fldChar w:fldCharType="begin"/>
            </w:r>
            <w:r>
              <w:rPr>
                <w:noProof/>
                <w:webHidden/>
              </w:rPr>
              <w:instrText xml:space="preserve"> PAGEREF _Toc224693117 \h </w:instrText>
            </w:r>
            <w:r>
              <w:rPr>
                <w:noProof/>
                <w:webHidden/>
              </w:rPr>
            </w:r>
            <w:r>
              <w:rPr>
                <w:noProof/>
                <w:webHidden/>
              </w:rPr>
              <w:fldChar w:fldCharType="separate"/>
            </w:r>
            <w:r>
              <w:rPr>
                <w:noProof/>
                <w:webHidden/>
              </w:rPr>
              <w:t>4</w:t>
            </w:r>
            <w:r>
              <w:rPr>
                <w:noProof/>
                <w:webHidden/>
              </w:rPr>
              <w:fldChar w:fldCharType="end"/>
            </w:r>
          </w:hyperlink>
        </w:p>
        <w:p w14:paraId="077C328B" w14:textId="6AA2CADC" w:rsidR="002F727E" w:rsidRDefault="002F727E">
          <w:pPr>
            <w:pStyle w:val="TOC1"/>
            <w:tabs>
              <w:tab w:val="right" w:leader="dot" w:pos="9016"/>
            </w:tabs>
            <w:rPr>
              <w:noProof/>
              <w:kern w:val="2"/>
              <w:sz w:val="24"/>
              <w:szCs w:val="24"/>
              <w:lang w:eastAsia="en-GB"/>
              <w14:ligatures w14:val="standardContextual"/>
            </w:rPr>
          </w:pPr>
          <w:hyperlink w:anchor="_Toc224693118" w:history="1">
            <w:r w:rsidRPr="00723CD5">
              <w:rPr>
                <w:rStyle w:val="Hyperlink"/>
                <w:noProof/>
              </w:rPr>
              <w:t>References</w:t>
            </w:r>
            <w:r>
              <w:rPr>
                <w:noProof/>
                <w:webHidden/>
              </w:rPr>
              <w:tab/>
            </w:r>
            <w:r>
              <w:rPr>
                <w:noProof/>
                <w:webHidden/>
              </w:rPr>
              <w:fldChar w:fldCharType="begin"/>
            </w:r>
            <w:r>
              <w:rPr>
                <w:noProof/>
                <w:webHidden/>
              </w:rPr>
              <w:instrText xml:space="preserve"> PAGEREF _Toc224693118 \h </w:instrText>
            </w:r>
            <w:r>
              <w:rPr>
                <w:noProof/>
                <w:webHidden/>
              </w:rPr>
            </w:r>
            <w:r>
              <w:rPr>
                <w:noProof/>
                <w:webHidden/>
              </w:rPr>
              <w:fldChar w:fldCharType="separate"/>
            </w:r>
            <w:r>
              <w:rPr>
                <w:noProof/>
                <w:webHidden/>
              </w:rPr>
              <w:t>6</w:t>
            </w:r>
            <w:r>
              <w:rPr>
                <w:noProof/>
                <w:webHidden/>
              </w:rPr>
              <w:fldChar w:fldCharType="end"/>
            </w:r>
          </w:hyperlink>
        </w:p>
        <w:p w14:paraId="7A6B09F6" w14:textId="024D4539" w:rsidR="002F727E" w:rsidRDefault="002F727E">
          <w:r>
            <w:rPr>
              <w:b/>
              <w:bCs/>
            </w:rPr>
            <w:fldChar w:fldCharType="end"/>
          </w:r>
        </w:p>
      </w:sdtContent>
    </w:sdt>
    <w:p w14:paraId="270EF872" w14:textId="77777777" w:rsidR="00321334" w:rsidRDefault="00321334" w:rsidP="00321334">
      <w:pPr>
        <w:rPr>
          <w:lang w:val="en-US" w:eastAsia="en-US"/>
        </w:rPr>
      </w:pPr>
    </w:p>
    <w:p w14:paraId="2F2D77A8" w14:textId="21797955" w:rsidR="00321334" w:rsidRPr="00321334" w:rsidRDefault="00321334" w:rsidP="00321334">
      <w:pPr>
        <w:rPr>
          <w:lang w:val="en-US" w:eastAsia="en-US"/>
        </w:rPr>
        <w:sectPr w:rsidR="00321334" w:rsidRPr="00321334" w:rsidSect="00321334">
          <w:pgSz w:w="11906" w:h="16838"/>
          <w:pgMar w:top="568" w:right="1440" w:bottom="1440" w:left="1440" w:header="708" w:footer="708" w:gutter="0"/>
          <w:cols w:space="708"/>
          <w:docGrid w:linePitch="360"/>
        </w:sectPr>
      </w:pPr>
    </w:p>
    <w:p w14:paraId="18593050" w14:textId="56DE1A89" w:rsidR="003A000F" w:rsidRDefault="00683CED" w:rsidP="0029073D">
      <w:pPr>
        <w:pStyle w:val="Heading1"/>
      </w:pPr>
      <w:bookmarkStart w:id="1" w:name="_Toc224693116"/>
      <w:r>
        <w:lastRenderedPageBreak/>
        <w:t>Element 1: Poster</w:t>
      </w:r>
      <w:bookmarkEnd w:id="1"/>
      <w:r w:rsidR="002F727E">
        <w:rPr>
          <w:noProof/>
        </w:rPr>
        <w:drawing>
          <wp:inline distT="0" distB="0" distL="0" distR="0" wp14:anchorId="0B77F4C8" wp14:editId="128462B3">
            <wp:extent cx="9587148" cy="5656521"/>
            <wp:effectExtent l="0" t="0" r="0" b="1905"/>
            <wp:docPr id="12372310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31065"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9603812" cy="5666353"/>
                    </a:xfrm>
                    <a:prstGeom prst="rect">
                      <a:avLst/>
                    </a:prstGeom>
                  </pic:spPr>
                </pic:pic>
              </a:graphicData>
            </a:graphic>
          </wp:inline>
        </w:drawing>
      </w:r>
    </w:p>
    <w:p w14:paraId="5AFFC33B" w14:textId="23CA07A0" w:rsidR="00683CED" w:rsidRDefault="00683CED">
      <w:pPr>
        <w:sectPr w:rsidR="00683CED" w:rsidSect="0029073D">
          <w:pgSz w:w="16838" w:h="11906" w:orient="landscape"/>
          <w:pgMar w:top="426" w:right="678" w:bottom="851" w:left="709" w:header="708" w:footer="708" w:gutter="0"/>
          <w:cols w:space="708"/>
          <w:docGrid w:linePitch="360"/>
        </w:sectPr>
      </w:pPr>
    </w:p>
    <w:p w14:paraId="0E662C2F" w14:textId="77777777" w:rsidR="00321334" w:rsidRDefault="00321334" w:rsidP="002C5BD7">
      <w:pPr>
        <w:pStyle w:val="Heading1"/>
        <w:spacing w:line="360" w:lineRule="auto"/>
        <w:rPr>
          <w:rFonts w:ascii="Arial" w:hAnsi="Arial" w:cs="Arial"/>
          <w:sz w:val="22"/>
          <w:szCs w:val="22"/>
        </w:rPr>
      </w:pPr>
      <w:bookmarkStart w:id="2" w:name="_Toc224693117"/>
      <w:r w:rsidRPr="002C5BD7">
        <w:rPr>
          <w:rFonts w:ascii="Arial" w:hAnsi="Arial" w:cs="Arial"/>
          <w:sz w:val="22"/>
          <w:szCs w:val="22"/>
        </w:rPr>
        <w:lastRenderedPageBreak/>
        <w:t>Element 2: Essay – Pharmacy Services</w:t>
      </w:r>
      <w:bookmarkEnd w:id="2"/>
    </w:p>
    <w:p w14:paraId="730C6F4E" w14:textId="7CB4AAEA" w:rsidR="00A100F3" w:rsidRDefault="00A100F3" w:rsidP="00A100F3">
      <w:pPr>
        <w:spacing w:line="360" w:lineRule="auto"/>
        <w:rPr>
          <w:rFonts w:ascii="Arial" w:hAnsi="Arial" w:cs="Arial"/>
          <w:lang w:eastAsia="en-US"/>
        </w:rPr>
      </w:pPr>
      <w:r w:rsidRPr="00A100F3">
        <w:rPr>
          <w:rFonts w:ascii="Arial" w:hAnsi="Arial" w:cs="Arial"/>
          <w:lang w:eastAsia="en-US"/>
        </w:rPr>
        <w:t xml:space="preserve">Pharmacy services are </w:t>
      </w:r>
      <w:r>
        <w:rPr>
          <w:rFonts w:ascii="Arial" w:hAnsi="Arial" w:cs="Arial"/>
          <w:lang w:eastAsia="en-US"/>
        </w:rPr>
        <w:t xml:space="preserve">a </w:t>
      </w:r>
      <w:r w:rsidRPr="00A100F3">
        <w:rPr>
          <w:rFonts w:ascii="Arial" w:hAnsi="Arial" w:cs="Arial"/>
          <w:lang w:eastAsia="en-US"/>
        </w:rPr>
        <w:t>very important part of primary care in England. They give people access to medicines, treatment and health advice in their local community. Community pharmacies have been connected to the NHS since it began in 1948. At that time</w:t>
      </w:r>
      <w:r>
        <w:rPr>
          <w:rFonts w:ascii="Arial" w:hAnsi="Arial" w:cs="Arial"/>
          <w:lang w:eastAsia="en-US"/>
        </w:rPr>
        <w:t>, free prescriptions made it easier for people to obtain medicines, which increased the amount of work community pharmacists</w:t>
      </w:r>
      <w:r w:rsidRPr="00A100F3">
        <w:rPr>
          <w:rFonts w:ascii="Arial" w:hAnsi="Arial" w:cs="Arial"/>
          <w:lang w:eastAsia="en-US"/>
        </w:rPr>
        <w:t xml:space="preserve"> </w:t>
      </w:r>
      <w:r>
        <w:rPr>
          <w:rFonts w:ascii="Arial" w:hAnsi="Arial" w:cs="Arial"/>
          <w:lang w:eastAsia="en-US"/>
        </w:rPr>
        <w:t xml:space="preserve">did. </w:t>
      </w:r>
      <w:r w:rsidRPr="00A100F3">
        <w:rPr>
          <w:rFonts w:ascii="Arial" w:hAnsi="Arial" w:cs="Arial"/>
          <w:lang w:eastAsia="en-US"/>
        </w:rPr>
        <w:t xml:space="preserve">In the early years, pharmacist where mainly responsible for preparing and dispensing medicines. However, </w:t>
      </w:r>
      <w:r>
        <w:rPr>
          <w:rFonts w:ascii="Arial" w:hAnsi="Arial" w:cs="Arial"/>
          <w:lang w:eastAsia="en-US"/>
        </w:rPr>
        <w:t>over time</w:t>
      </w:r>
      <w:r w:rsidRPr="00A100F3">
        <w:rPr>
          <w:rFonts w:ascii="Arial" w:hAnsi="Arial" w:cs="Arial"/>
          <w:lang w:eastAsia="en-US"/>
        </w:rPr>
        <w:t>, their role shifted to focus more on patient care and safety</w:t>
      </w:r>
      <w:r>
        <w:rPr>
          <w:rFonts w:ascii="Arial" w:hAnsi="Arial" w:cs="Arial"/>
          <w:lang w:eastAsia="en-US"/>
        </w:rPr>
        <w:t xml:space="preserve"> (Connelly, 2018).</w:t>
      </w:r>
    </w:p>
    <w:p w14:paraId="03938706" w14:textId="40D9ABAC" w:rsidR="00A100F3" w:rsidRDefault="00A100F3" w:rsidP="00A100F3">
      <w:pPr>
        <w:spacing w:line="360" w:lineRule="auto"/>
        <w:rPr>
          <w:rFonts w:ascii="Arial" w:hAnsi="Arial" w:cs="Arial"/>
          <w:lang w:eastAsia="en-US"/>
        </w:rPr>
      </w:pPr>
      <w:r w:rsidRPr="00A100F3">
        <w:rPr>
          <w:rFonts w:ascii="Arial" w:hAnsi="Arial" w:cs="Arial"/>
          <w:lang w:eastAsia="en-US"/>
        </w:rPr>
        <w:t xml:space="preserve">The development of pharmacy services reflects the growth of the </w:t>
      </w:r>
      <w:r>
        <w:rPr>
          <w:rFonts w:ascii="Arial" w:hAnsi="Arial" w:cs="Arial"/>
          <w:lang w:eastAsia="en-US"/>
        </w:rPr>
        <w:t>NHS</w:t>
      </w:r>
      <w:r w:rsidRPr="00A100F3">
        <w:rPr>
          <w:rFonts w:ascii="Arial" w:hAnsi="Arial" w:cs="Arial"/>
          <w:lang w:eastAsia="en-US"/>
        </w:rPr>
        <w:t xml:space="preserve"> and the increasing use of medicines in modern healthcare.</w:t>
      </w:r>
      <w:r>
        <w:rPr>
          <w:rFonts w:ascii="Arial" w:hAnsi="Arial" w:cs="Arial"/>
          <w:lang w:eastAsia="en-US"/>
        </w:rPr>
        <w:t xml:space="preserve"> </w:t>
      </w:r>
      <w:r w:rsidRPr="00A100F3">
        <w:rPr>
          <w:rFonts w:ascii="Arial" w:hAnsi="Arial" w:cs="Arial"/>
          <w:lang w:eastAsia="en-US"/>
        </w:rPr>
        <w:t>As the health service expanded, pharmacies became one of the easiest places for people to access care. This evaluation can inspire the audience by showing how pharmacy roles have expanded from dispensing medicines to advising patients, checking the safety of medicines, and supporting understanding of treatments. Today</w:t>
      </w:r>
      <w:r w:rsidR="0029073D">
        <w:rPr>
          <w:rFonts w:ascii="Arial" w:hAnsi="Arial" w:cs="Arial"/>
          <w:lang w:eastAsia="en-US"/>
        </w:rPr>
        <w:t xml:space="preserve">, pharmacy services in England work under the community pharmacy contract table framework, which demonstrates that community pharmacy is now a </w:t>
      </w:r>
      <w:r w:rsidRPr="00A100F3">
        <w:rPr>
          <w:rFonts w:ascii="Arial" w:hAnsi="Arial" w:cs="Arial"/>
          <w:lang w:eastAsia="en-US"/>
        </w:rPr>
        <w:t>structured and recognised part of NHS care</w:t>
      </w:r>
      <w:r>
        <w:rPr>
          <w:rFonts w:ascii="Arial" w:hAnsi="Arial" w:cs="Arial"/>
          <w:lang w:eastAsia="en-US"/>
        </w:rPr>
        <w:t xml:space="preserve"> (</w:t>
      </w:r>
      <w:r w:rsidRPr="00A100F3">
        <w:rPr>
          <w:rFonts w:ascii="Arial" w:hAnsi="Arial" w:cs="Arial"/>
          <w:lang w:eastAsia="en-US"/>
        </w:rPr>
        <w:t>NHS England</w:t>
      </w:r>
      <w:r>
        <w:rPr>
          <w:rFonts w:ascii="Arial" w:hAnsi="Arial" w:cs="Arial"/>
          <w:lang w:eastAsia="en-US"/>
        </w:rPr>
        <w:t>,</w:t>
      </w:r>
      <w:r w:rsidRPr="00A100F3">
        <w:rPr>
          <w:rFonts w:ascii="Arial" w:hAnsi="Arial" w:cs="Arial"/>
          <w:lang w:eastAsia="en-US"/>
        </w:rPr>
        <w:t xml:space="preserve"> 2025a</w:t>
      </w:r>
      <w:r>
        <w:rPr>
          <w:rFonts w:ascii="Arial" w:hAnsi="Arial" w:cs="Arial"/>
          <w:lang w:eastAsia="en-US"/>
        </w:rPr>
        <w:t>).</w:t>
      </w:r>
    </w:p>
    <w:p w14:paraId="503871AA" w14:textId="76BBB003" w:rsidR="00A100F3" w:rsidRPr="00A100F3" w:rsidRDefault="00A100F3" w:rsidP="00A100F3">
      <w:pPr>
        <w:spacing w:line="360" w:lineRule="auto"/>
        <w:rPr>
          <w:rFonts w:ascii="Arial" w:hAnsi="Arial" w:cs="Arial"/>
          <w:lang w:eastAsia="en-US"/>
        </w:rPr>
      </w:pPr>
      <w:r w:rsidRPr="00A100F3">
        <w:rPr>
          <w:rFonts w:ascii="Arial" w:hAnsi="Arial" w:cs="Arial"/>
          <w:lang w:eastAsia="en-US"/>
        </w:rPr>
        <w:t xml:space="preserve">Today, pharmacy services do much more than many people think. In addition to dispensing prescriptions, pharmacies support public health and offer a wide range of services. The </w:t>
      </w:r>
      <w:r w:rsidR="0029073D">
        <w:rPr>
          <w:rFonts w:ascii="Arial" w:hAnsi="Arial" w:cs="Arial"/>
          <w:lang w:eastAsia="en-US"/>
        </w:rPr>
        <w:t>King's</w:t>
      </w:r>
      <w:r w:rsidRPr="00A100F3">
        <w:rPr>
          <w:rFonts w:ascii="Arial" w:hAnsi="Arial" w:cs="Arial"/>
          <w:lang w:eastAsia="en-US"/>
        </w:rPr>
        <w:t xml:space="preserve"> </w:t>
      </w:r>
      <w:r>
        <w:rPr>
          <w:rFonts w:ascii="Arial" w:hAnsi="Arial" w:cs="Arial"/>
          <w:lang w:eastAsia="en-US"/>
        </w:rPr>
        <w:t>F</w:t>
      </w:r>
      <w:r w:rsidRPr="00A100F3">
        <w:rPr>
          <w:rFonts w:ascii="Arial" w:hAnsi="Arial" w:cs="Arial"/>
          <w:lang w:eastAsia="en-US"/>
        </w:rPr>
        <w:t xml:space="preserve">und explains that community pharmacy is one of the four main parts of primary care in England. Many pharmacies now provide blood pressure </w:t>
      </w:r>
      <w:r w:rsidR="0029073D">
        <w:rPr>
          <w:rFonts w:ascii="Arial" w:hAnsi="Arial" w:cs="Arial"/>
          <w:lang w:eastAsia="en-US"/>
        </w:rPr>
        <w:t>checks</w:t>
      </w:r>
      <w:r w:rsidRPr="00A100F3">
        <w:rPr>
          <w:rFonts w:ascii="Arial" w:hAnsi="Arial" w:cs="Arial"/>
          <w:lang w:eastAsia="en-US"/>
        </w:rPr>
        <w:t>, contraception, vaccinations</w:t>
      </w:r>
      <w:r>
        <w:rPr>
          <w:rFonts w:ascii="Arial" w:hAnsi="Arial" w:cs="Arial"/>
          <w:lang w:eastAsia="en-US"/>
        </w:rPr>
        <w:t xml:space="preserve">, </w:t>
      </w:r>
      <w:r w:rsidRPr="00A100F3">
        <w:rPr>
          <w:rFonts w:ascii="Arial" w:hAnsi="Arial" w:cs="Arial"/>
          <w:lang w:eastAsia="en-US"/>
        </w:rPr>
        <w:t>urgent repeat medicines, support for minor illnesses and referrals to order NHS services</w:t>
      </w:r>
      <w:r>
        <w:rPr>
          <w:rFonts w:ascii="Arial" w:hAnsi="Arial" w:cs="Arial"/>
          <w:lang w:eastAsia="en-US"/>
        </w:rPr>
        <w:t xml:space="preserve"> (The King’s Fund, 2025). </w:t>
      </w:r>
      <w:r w:rsidRPr="00A100F3">
        <w:rPr>
          <w:rFonts w:ascii="Arial" w:hAnsi="Arial" w:cs="Arial"/>
          <w:lang w:eastAsia="en-US"/>
        </w:rPr>
        <w:t xml:space="preserve">Pharmacy 1st is a good </w:t>
      </w:r>
      <w:r w:rsidR="0029073D">
        <w:rPr>
          <w:rFonts w:ascii="Arial" w:hAnsi="Arial" w:cs="Arial"/>
          <w:lang w:eastAsia="en-US"/>
        </w:rPr>
        <w:t>explanation after the modern row. NHS England states that this service builds on the Community Pharmacist Consultation Service, which began</w:t>
      </w:r>
      <w:r w:rsidRPr="00A100F3">
        <w:rPr>
          <w:rFonts w:ascii="Arial" w:hAnsi="Arial" w:cs="Arial"/>
          <w:lang w:eastAsia="en-US"/>
        </w:rPr>
        <w:t xml:space="preserve"> in October 2019. Since 31 January 2024, community pharmacies have been able to manage 7 common conditions through clear clinical pathways. This helps patients get treatment more quickly without always needing </w:t>
      </w:r>
      <w:r w:rsidR="0029073D">
        <w:rPr>
          <w:rFonts w:ascii="Arial" w:hAnsi="Arial" w:cs="Arial"/>
          <w:lang w:eastAsia="en-US"/>
        </w:rPr>
        <w:t>a</w:t>
      </w:r>
      <w:r w:rsidRPr="00A100F3">
        <w:rPr>
          <w:rFonts w:ascii="Arial" w:hAnsi="Arial" w:cs="Arial"/>
          <w:lang w:eastAsia="en-US"/>
        </w:rPr>
        <w:t xml:space="preserve"> GP appointment</w:t>
      </w:r>
      <w:r>
        <w:rPr>
          <w:rFonts w:ascii="Arial" w:hAnsi="Arial" w:cs="Arial"/>
          <w:lang w:eastAsia="en-US"/>
        </w:rPr>
        <w:t xml:space="preserve"> (</w:t>
      </w:r>
      <w:r w:rsidRPr="00A100F3">
        <w:rPr>
          <w:rFonts w:ascii="Arial" w:hAnsi="Arial" w:cs="Arial"/>
          <w:lang w:eastAsia="en-US"/>
        </w:rPr>
        <w:t>NHS England</w:t>
      </w:r>
      <w:r>
        <w:rPr>
          <w:rFonts w:ascii="Arial" w:hAnsi="Arial" w:cs="Arial"/>
          <w:lang w:eastAsia="en-US"/>
        </w:rPr>
        <w:t xml:space="preserve">, </w:t>
      </w:r>
      <w:r w:rsidRPr="00A100F3">
        <w:rPr>
          <w:rFonts w:ascii="Arial" w:hAnsi="Arial" w:cs="Arial"/>
          <w:lang w:eastAsia="en-US"/>
        </w:rPr>
        <w:t>2025</w:t>
      </w:r>
      <w:r>
        <w:rPr>
          <w:rFonts w:ascii="Arial" w:hAnsi="Arial" w:cs="Arial"/>
          <w:lang w:eastAsia="en-US"/>
        </w:rPr>
        <w:t>b).</w:t>
      </w:r>
    </w:p>
    <w:p w14:paraId="16855684" w14:textId="622A07AF" w:rsidR="00A100F3" w:rsidRPr="00A100F3" w:rsidRDefault="00A100F3" w:rsidP="00642F7D">
      <w:pPr>
        <w:spacing w:line="360" w:lineRule="auto"/>
        <w:rPr>
          <w:rFonts w:ascii="Arial" w:hAnsi="Arial" w:cs="Arial"/>
          <w:lang w:eastAsia="en-US"/>
        </w:rPr>
      </w:pPr>
      <w:r w:rsidRPr="00A100F3">
        <w:rPr>
          <w:rFonts w:ascii="Arial" w:hAnsi="Arial" w:cs="Arial"/>
          <w:lang w:eastAsia="en-US"/>
        </w:rPr>
        <w:t xml:space="preserve">One of the key strengths </w:t>
      </w:r>
      <w:r w:rsidR="0029073D">
        <w:rPr>
          <w:rFonts w:ascii="Arial" w:hAnsi="Arial" w:cs="Arial"/>
          <w:lang w:eastAsia="en-US"/>
        </w:rPr>
        <w:t>of</w:t>
      </w:r>
      <w:r w:rsidRPr="00A100F3">
        <w:rPr>
          <w:rFonts w:ascii="Arial" w:hAnsi="Arial" w:cs="Arial"/>
          <w:lang w:eastAsia="en-US"/>
        </w:rPr>
        <w:t xml:space="preserve"> pharmacy services is their accessibility, which can reassure the audience about the convenience of local health care options. Pharmacies </w:t>
      </w:r>
      <w:proofErr w:type="gramStart"/>
      <w:r w:rsidRPr="00A100F3">
        <w:rPr>
          <w:rFonts w:ascii="Arial" w:hAnsi="Arial" w:cs="Arial"/>
          <w:lang w:eastAsia="en-US"/>
        </w:rPr>
        <w:t>are located in</w:t>
      </w:r>
      <w:proofErr w:type="gramEnd"/>
      <w:r w:rsidRPr="00A100F3">
        <w:rPr>
          <w:rFonts w:ascii="Arial" w:hAnsi="Arial" w:cs="Arial"/>
          <w:lang w:eastAsia="en-US"/>
        </w:rPr>
        <w:t xml:space="preserve"> local areas, making them easier to reach than many other health services. According to the </w:t>
      </w:r>
      <w:r w:rsidR="0029073D">
        <w:rPr>
          <w:rFonts w:ascii="Arial" w:hAnsi="Arial" w:cs="Arial"/>
          <w:lang w:eastAsia="en-US"/>
        </w:rPr>
        <w:t>King's Fund, around 90% of people in England live within a 20-minute walk of a pharmacy, although access is lower in</w:t>
      </w:r>
      <w:r w:rsidRPr="00A100F3">
        <w:rPr>
          <w:rFonts w:ascii="Arial" w:hAnsi="Arial" w:cs="Arial"/>
          <w:lang w:eastAsia="en-US"/>
        </w:rPr>
        <w:t xml:space="preserve"> some areas</w:t>
      </w:r>
      <w:r>
        <w:rPr>
          <w:rFonts w:ascii="Arial" w:hAnsi="Arial" w:cs="Arial"/>
          <w:lang w:eastAsia="en-US"/>
        </w:rPr>
        <w:t xml:space="preserve"> (The King’s Fund, 2025).</w:t>
      </w:r>
      <w:r w:rsidRPr="00A100F3">
        <w:rPr>
          <w:rFonts w:ascii="Arial" w:hAnsi="Arial" w:cs="Arial"/>
          <w:lang w:eastAsia="en-US"/>
        </w:rPr>
        <w:t xml:space="preserve"> This </w:t>
      </w:r>
      <w:r w:rsidR="0029073D">
        <w:rPr>
          <w:rFonts w:ascii="Arial" w:hAnsi="Arial" w:cs="Arial"/>
          <w:lang w:eastAsia="en-US"/>
        </w:rPr>
        <w:t>proximity</w:t>
      </w:r>
      <w:r w:rsidRPr="00A100F3">
        <w:rPr>
          <w:rFonts w:ascii="Arial" w:hAnsi="Arial" w:cs="Arial"/>
          <w:lang w:eastAsia="en-US"/>
        </w:rPr>
        <w:t xml:space="preserve"> allows many people to get help quickly and close to home, fostering trust in community healthcare. Pharmacy services also reduce pressure on GP</w:t>
      </w:r>
      <w:r>
        <w:rPr>
          <w:rFonts w:ascii="Arial" w:hAnsi="Arial" w:cs="Arial"/>
          <w:lang w:eastAsia="en-US"/>
        </w:rPr>
        <w:t>s</w:t>
      </w:r>
      <w:r w:rsidRPr="00A100F3">
        <w:rPr>
          <w:rFonts w:ascii="Arial" w:hAnsi="Arial" w:cs="Arial"/>
          <w:lang w:eastAsia="en-US"/>
        </w:rPr>
        <w:t xml:space="preserve"> and hospitals by addressing common health problems and </w:t>
      </w:r>
      <w:r w:rsidR="0029073D">
        <w:rPr>
          <w:rFonts w:ascii="Arial" w:hAnsi="Arial" w:cs="Arial"/>
          <w:lang w:eastAsia="en-US"/>
        </w:rPr>
        <w:t>medication-related</w:t>
      </w:r>
      <w:r w:rsidRPr="00A100F3">
        <w:rPr>
          <w:rFonts w:ascii="Arial" w:hAnsi="Arial" w:cs="Arial"/>
          <w:lang w:eastAsia="en-US"/>
        </w:rPr>
        <w:t xml:space="preserve"> questions in the community. This improves the speed of care and makes the NHS more efficient.</w:t>
      </w:r>
      <w:r>
        <w:rPr>
          <w:rFonts w:ascii="Arial" w:hAnsi="Arial" w:cs="Arial"/>
          <w:lang w:eastAsia="en-US"/>
        </w:rPr>
        <w:t xml:space="preserve"> </w:t>
      </w:r>
    </w:p>
    <w:p w14:paraId="18E39E26" w14:textId="78ED4471" w:rsidR="00A100F3" w:rsidRDefault="00A100F3" w:rsidP="00642F7D">
      <w:pPr>
        <w:spacing w:line="360" w:lineRule="auto"/>
        <w:rPr>
          <w:rFonts w:ascii="Arial" w:hAnsi="Arial" w:cs="Arial"/>
          <w:lang w:eastAsia="en-US"/>
        </w:rPr>
      </w:pPr>
      <w:r w:rsidRPr="00A100F3">
        <w:rPr>
          <w:rFonts w:ascii="Arial" w:hAnsi="Arial" w:cs="Arial"/>
          <w:lang w:eastAsia="en-US"/>
        </w:rPr>
        <w:lastRenderedPageBreak/>
        <w:t>However, there are also some challenges. Although pharmacies are being asked to provide more services, the sector still faces problems such as funding pressure</w:t>
      </w:r>
      <w:r w:rsidR="0029073D">
        <w:rPr>
          <w:rFonts w:ascii="Arial" w:hAnsi="Arial" w:cs="Arial"/>
          <w:lang w:eastAsia="en-US"/>
        </w:rPr>
        <w:t>, workforce shortages and some pharmacy closures</w:t>
      </w:r>
      <w:r w:rsidRPr="00A100F3">
        <w:rPr>
          <w:rFonts w:ascii="Arial" w:hAnsi="Arial" w:cs="Arial"/>
          <w:lang w:eastAsia="en-US"/>
        </w:rPr>
        <w:t xml:space="preserve">. These issues can affect the amount of support pharmacies can provide in the future. There is also an </w:t>
      </w:r>
      <w:r w:rsidR="0029073D">
        <w:rPr>
          <w:rFonts w:ascii="Arial" w:hAnsi="Arial" w:cs="Arial"/>
          <w:lang w:eastAsia="en-US"/>
        </w:rPr>
        <w:t>inequality issue, because people living in rural areas may not have the same level of access as those in towns and cities (The King's</w:t>
      </w:r>
      <w:r>
        <w:rPr>
          <w:rFonts w:ascii="Arial" w:hAnsi="Arial" w:cs="Arial"/>
          <w:lang w:eastAsia="en-US"/>
        </w:rPr>
        <w:t xml:space="preserve"> Fund, 2025).</w:t>
      </w:r>
    </w:p>
    <w:p w14:paraId="5D06C511" w14:textId="0997ADC2" w:rsidR="0029073D" w:rsidRDefault="0029073D" w:rsidP="0029073D">
      <w:pPr>
        <w:spacing w:line="360" w:lineRule="auto"/>
        <w:ind w:right="-22"/>
        <w:rPr>
          <w:rFonts w:ascii="Arial" w:hAnsi="Arial" w:cs="Arial"/>
          <w:lang w:eastAsia="en-US"/>
        </w:rPr>
      </w:pPr>
      <w:r w:rsidRPr="0029073D">
        <w:rPr>
          <w:rFonts w:ascii="Arial" w:hAnsi="Arial" w:cs="Arial"/>
          <w:lang w:eastAsia="en-US"/>
        </w:rPr>
        <w:t xml:space="preserve">Overall, pharmacy services are very important in improving the quality of life of service users. They help people get medicines safely, manage </w:t>
      </w:r>
      <w:r>
        <w:rPr>
          <w:rFonts w:ascii="Arial" w:hAnsi="Arial" w:cs="Arial"/>
          <w:lang w:eastAsia="en-US"/>
        </w:rPr>
        <w:t>long-term</w:t>
      </w:r>
      <w:r w:rsidRPr="0029073D">
        <w:rPr>
          <w:rFonts w:ascii="Arial" w:hAnsi="Arial" w:cs="Arial"/>
          <w:lang w:eastAsia="en-US"/>
        </w:rPr>
        <w:t xml:space="preserve"> conditions, receive advice quickly and prevent small health problems from becoming more serious. For many people, the local pharmacy is the easiest and fastest way to get NHHS support. The history of pharmacy services shows a clear move from simply supplying medicines to providing </w:t>
      </w:r>
      <w:r>
        <w:rPr>
          <w:rFonts w:ascii="Arial" w:hAnsi="Arial" w:cs="Arial"/>
          <w:lang w:eastAsia="en-US"/>
        </w:rPr>
        <w:t>person-centred</w:t>
      </w:r>
      <w:r w:rsidRPr="0029073D">
        <w:rPr>
          <w:rFonts w:ascii="Arial" w:hAnsi="Arial" w:cs="Arial"/>
          <w:lang w:eastAsia="en-US"/>
        </w:rPr>
        <w:t xml:space="preserve"> care. Today</w:t>
      </w:r>
      <w:r>
        <w:rPr>
          <w:rFonts w:ascii="Arial" w:hAnsi="Arial" w:cs="Arial"/>
          <w:lang w:eastAsia="en-US"/>
        </w:rPr>
        <w:t>,</w:t>
      </w:r>
      <w:r w:rsidRPr="0029073D">
        <w:rPr>
          <w:rFonts w:ascii="Arial" w:hAnsi="Arial" w:cs="Arial"/>
          <w:lang w:eastAsia="en-US"/>
        </w:rPr>
        <w:t xml:space="preserve"> pharmacy services are essential, but their future success will depend on continued support, funding and enough trained staff.</w:t>
      </w:r>
    </w:p>
    <w:p w14:paraId="2810F17D" w14:textId="77777777" w:rsidR="0029073D" w:rsidRDefault="0029073D">
      <w:pPr>
        <w:rPr>
          <w:rFonts w:ascii="Arial" w:hAnsi="Arial" w:cs="Arial"/>
          <w:lang w:eastAsia="en-US"/>
        </w:rPr>
      </w:pPr>
      <w:r>
        <w:rPr>
          <w:rFonts w:ascii="Arial" w:hAnsi="Arial" w:cs="Arial"/>
          <w:lang w:eastAsia="en-US"/>
        </w:rPr>
        <w:br w:type="page"/>
      </w:r>
    </w:p>
    <w:p w14:paraId="480E058C" w14:textId="1D0741D6" w:rsidR="00321334" w:rsidRPr="00642F7D" w:rsidRDefault="00321334" w:rsidP="00642F7D">
      <w:pPr>
        <w:pStyle w:val="Heading1"/>
      </w:pPr>
      <w:bookmarkStart w:id="3" w:name="_Toc224693118"/>
      <w:r w:rsidRPr="00642F7D">
        <w:lastRenderedPageBreak/>
        <w:t>References</w:t>
      </w:r>
      <w:bookmarkEnd w:id="3"/>
    </w:p>
    <w:p w14:paraId="24F09E12" w14:textId="77777777" w:rsidR="00EC2B3C" w:rsidRPr="00EC2B3C" w:rsidRDefault="00EC2B3C" w:rsidP="00642F7D">
      <w:pPr>
        <w:spacing w:after="60" w:line="360" w:lineRule="auto"/>
        <w:rPr>
          <w:rFonts w:ascii="Arial" w:hAnsi="Arial" w:cs="Arial"/>
        </w:rPr>
      </w:pPr>
      <w:r w:rsidRPr="00EC2B3C">
        <w:rPr>
          <w:rFonts w:ascii="Arial" w:hAnsi="Arial" w:cs="Arial"/>
        </w:rPr>
        <w:t xml:space="preserve">Connelly, D. (2018) ‘NHS70: major moments in pharmacy 1948–2018’, </w:t>
      </w:r>
      <w:r w:rsidRPr="00EC2B3C">
        <w:rPr>
          <w:rFonts w:ascii="Arial" w:hAnsi="Arial" w:cs="Arial"/>
          <w:i/>
          <w:iCs/>
        </w:rPr>
        <w:t>The Pharmaceutical Journal</w:t>
      </w:r>
      <w:r w:rsidRPr="00EC2B3C">
        <w:rPr>
          <w:rFonts w:ascii="Arial" w:hAnsi="Arial" w:cs="Arial"/>
        </w:rPr>
        <w:t xml:space="preserve">, 22 June. Available at: </w:t>
      </w:r>
      <w:hyperlink r:id="rId13" w:tgtFrame="_new" w:history="1">
        <w:r w:rsidRPr="00EC2B3C">
          <w:rPr>
            <w:rStyle w:val="Hyperlink"/>
            <w:rFonts w:ascii="Arial" w:hAnsi="Arial" w:cs="Arial"/>
          </w:rPr>
          <w:t>https://pharmaceutical-journal.com/article/infographics/nhs70-major-moments-in-pharmacy-1948-2018</w:t>
        </w:r>
      </w:hyperlink>
      <w:r w:rsidRPr="00EC2B3C">
        <w:rPr>
          <w:rFonts w:ascii="Arial" w:hAnsi="Arial" w:cs="Arial"/>
        </w:rPr>
        <w:t xml:space="preserve"> (Accessed: 18 March 2026). </w:t>
      </w:r>
    </w:p>
    <w:p w14:paraId="3DECDEE6" w14:textId="77777777" w:rsidR="00EC2B3C" w:rsidRPr="00EC2B3C" w:rsidRDefault="00EC2B3C" w:rsidP="00642F7D">
      <w:pPr>
        <w:spacing w:after="60" w:line="360" w:lineRule="auto"/>
        <w:rPr>
          <w:rFonts w:ascii="Arial" w:hAnsi="Arial" w:cs="Arial"/>
        </w:rPr>
      </w:pPr>
      <w:r w:rsidRPr="00EC2B3C">
        <w:rPr>
          <w:rFonts w:ascii="Arial" w:hAnsi="Arial" w:cs="Arial"/>
        </w:rPr>
        <w:t xml:space="preserve">NHS England (2025a) </w:t>
      </w:r>
      <w:r w:rsidRPr="00EC2B3C">
        <w:rPr>
          <w:rFonts w:ascii="Arial" w:hAnsi="Arial" w:cs="Arial"/>
          <w:i/>
          <w:iCs/>
        </w:rPr>
        <w:t>Community Pharmacy Contractual Framework 2019–2024</w:t>
      </w:r>
      <w:r w:rsidRPr="00EC2B3C">
        <w:rPr>
          <w:rFonts w:ascii="Arial" w:hAnsi="Arial" w:cs="Arial"/>
        </w:rPr>
        <w:t xml:space="preserve">. Available at: </w:t>
      </w:r>
      <w:hyperlink r:id="rId14" w:tgtFrame="_new" w:history="1">
        <w:r w:rsidRPr="00EC2B3C">
          <w:rPr>
            <w:rStyle w:val="Hyperlink"/>
            <w:rFonts w:ascii="Arial" w:hAnsi="Arial" w:cs="Arial"/>
          </w:rPr>
          <w:t>https://www.england.nhs.uk/primary-care/pharmacy/community-pharmacy-contractual-framework/</w:t>
        </w:r>
      </w:hyperlink>
      <w:r w:rsidRPr="00EC2B3C">
        <w:rPr>
          <w:rFonts w:ascii="Arial" w:hAnsi="Arial" w:cs="Arial"/>
        </w:rPr>
        <w:t xml:space="preserve"> (Accessed: 18 March 2026). </w:t>
      </w:r>
    </w:p>
    <w:p w14:paraId="432FE689" w14:textId="77777777" w:rsidR="00EC2B3C" w:rsidRPr="00EC2B3C" w:rsidRDefault="00EC2B3C" w:rsidP="00642F7D">
      <w:pPr>
        <w:spacing w:after="60" w:line="360" w:lineRule="auto"/>
        <w:rPr>
          <w:rFonts w:ascii="Arial" w:hAnsi="Arial" w:cs="Arial"/>
        </w:rPr>
      </w:pPr>
      <w:r w:rsidRPr="00EC2B3C">
        <w:rPr>
          <w:rFonts w:ascii="Arial" w:hAnsi="Arial" w:cs="Arial"/>
        </w:rPr>
        <w:t xml:space="preserve">NHS England (2025b) </w:t>
      </w:r>
      <w:r w:rsidRPr="00EC2B3C">
        <w:rPr>
          <w:rFonts w:ascii="Arial" w:hAnsi="Arial" w:cs="Arial"/>
          <w:i/>
          <w:iCs/>
        </w:rPr>
        <w:t>Pharmacy First</w:t>
      </w:r>
      <w:r w:rsidRPr="00EC2B3C">
        <w:rPr>
          <w:rFonts w:ascii="Arial" w:hAnsi="Arial" w:cs="Arial"/>
        </w:rPr>
        <w:t xml:space="preserve">. Available at: </w:t>
      </w:r>
      <w:hyperlink r:id="rId15" w:tgtFrame="_new" w:history="1">
        <w:r w:rsidRPr="00EC2B3C">
          <w:rPr>
            <w:rStyle w:val="Hyperlink"/>
            <w:rFonts w:ascii="Arial" w:hAnsi="Arial" w:cs="Arial"/>
          </w:rPr>
          <w:t>https://www.england.nhs.uk/primary-care/pharmacy/pharmacy-services/pharmacy-first/</w:t>
        </w:r>
      </w:hyperlink>
      <w:r w:rsidRPr="00EC2B3C">
        <w:rPr>
          <w:rFonts w:ascii="Arial" w:hAnsi="Arial" w:cs="Arial"/>
        </w:rPr>
        <w:t xml:space="preserve"> (Accessed: 18 March 2026). </w:t>
      </w:r>
    </w:p>
    <w:p w14:paraId="0BB4882D" w14:textId="77777777" w:rsidR="00681A3D" w:rsidRDefault="00EC2B3C" w:rsidP="00642F7D">
      <w:pPr>
        <w:spacing w:after="60" w:line="360" w:lineRule="auto"/>
        <w:rPr>
          <w:rFonts w:ascii="Arial" w:hAnsi="Arial" w:cs="Arial"/>
        </w:rPr>
      </w:pPr>
      <w:r w:rsidRPr="00EC2B3C">
        <w:rPr>
          <w:rFonts w:ascii="Arial" w:hAnsi="Arial" w:cs="Arial"/>
        </w:rPr>
        <w:t xml:space="preserve">The King’s Fund (2025) </w:t>
      </w:r>
      <w:r w:rsidRPr="00EC2B3C">
        <w:rPr>
          <w:rFonts w:ascii="Arial" w:hAnsi="Arial" w:cs="Arial"/>
          <w:i/>
          <w:iCs/>
        </w:rPr>
        <w:t>Community pharmacy explained</w:t>
      </w:r>
      <w:r w:rsidRPr="00EC2B3C">
        <w:rPr>
          <w:rFonts w:ascii="Arial" w:hAnsi="Arial" w:cs="Arial"/>
        </w:rPr>
        <w:t xml:space="preserve">. Available at: </w:t>
      </w:r>
      <w:hyperlink r:id="rId16" w:tgtFrame="_new" w:history="1">
        <w:r w:rsidRPr="00EC2B3C">
          <w:rPr>
            <w:rStyle w:val="Hyperlink"/>
            <w:rFonts w:ascii="Arial" w:hAnsi="Arial" w:cs="Arial"/>
          </w:rPr>
          <w:t>https://www.kingsfund.org.uk/insight-and-analysis/long-reads/community-pharmacy-explained</w:t>
        </w:r>
      </w:hyperlink>
      <w:r w:rsidRPr="00EC2B3C">
        <w:rPr>
          <w:rFonts w:ascii="Arial" w:hAnsi="Arial" w:cs="Arial"/>
        </w:rPr>
        <w:t xml:space="preserve"> (Accessed: 18 March 2026). </w:t>
      </w:r>
    </w:p>
    <w:p w14:paraId="74375B8E" w14:textId="22567FEB" w:rsidR="00EC2B3C" w:rsidRPr="00681A3D" w:rsidRDefault="00EC2B3C" w:rsidP="00681A3D">
      <w:pPr>
        <w:rPr>
          <w:rFonts w:ascii="Arial" w:hAnsi="Arial" w:cs="Arial"/>
        </w:rPr>
      </w:pPr>
      <w:r w:rsidRPr="00EC2B3C">
        <w:rPr>
          <w:rFonts w:ascii="Arial" w:hAnsi="Arial" w:cs="Arial"/>
          <w:vanish/>
        </w:rPr>
        <w:t>Top of FormBottom of Form</w:t>
      </w:r>
    </w:p>
    <w:sectPr w:rsidR="00EC2B3C" w:rsidRPr="00681A3D" w:rsidSect="0029073D">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FA5A8" w14:textId="77777777" w:rsidR="00AD75B1" w:rsidRDefault="00AD75B1" w:rsidP="00BE6BE0">
      <w:pPr>
        <w:spacing w:after="0" w:line="240" w:lineRule="auto"/>
      </w:pPr>
      <w:r>
        <w:separator/>
      </w:r>
    </w:p>
  </w:endnote>
  <w:endnote w:type="continuationSeparator" w:id="0">
    <w:p w14:paraId="439088C1" w14:textId="77777777" w:rsidR="00AD75B1" w:rsidRDefault="00AD75B1"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901CC" w14:textId="77777777" w:rsidR="00AD75B1" w:rsidRDefault="00AD75B1" w:rsidP="00BE6BE0">
      <w:pPr>
        <w:spacing w:after="0" w:line="240" w:lineRule="auto"/>
      </w:pPr>
      <w:r>
        <w:separator/>
      </w:r>
    </w:p>
  </w:footnote>
  <w:footnote w:type="continuationSeparator" w:id="0">
    <w:p w14:paraId="6518CC27" w14:textId="77777777" w:rsidR="00AD75B1" w:rsidRDefault="00AD75B1"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78D43952" w:rsidR="00BE6BE0" w:rsidRDefault="00BE6BE0" w:rsidP="00BE6BE0">
    <w:pPr>
      <w:pStyle w:val="Header"/>
      <w:ind w:left="115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1F61B5"/>
    <w:rsid w:val="00247B23"/>
    <w:rsid w:val="00275303"/>
    <w:rsid w:val="002767BF"/>
    <w:rsid w:val="0029073D"/>
    <w:rsid w:val="002C5BD7"/>
    <w:rsid w:val="002C7065"/>
    <w:rsid w:val="002F727E"/>
    <w:rsid w:val="003160B5"/>
    <w:rsid w:val="00321334"/>
    <w:rsid w:val="00377CA1"/>
    <w:rsid w:val="003A000F"/>
    <w:rsid w:val="003A3528"/>
    <w:rsid w:val="00426F09"/>
    <w:rsid w:val="00467FFC"/>
    <w:rsid w:val="005A3AAB"/>
    <w:rsid w:val="0063627A"/>
    <w:rsid w:val="00642F7D"/>
    <w:rsid w:val="00681A3D"/>
    <w:rsid w:val="00683CED"/>
    <w:rsid w:val="006A40CB"/>
    <w:rsid w:val="006A6816"/>
    <w:rsid w:val="007C7D44"/>
    <w:rsid w:val="00804A7F"/>
    <w:rsid w:val="00833470"/>
    <w:rsid w:val="00925D5E"/>
    <w:rsid w:val="009E257B"/>
    <w:rsid w:val="00A100F3"/>
    <w:rsid w:val="00A468B0"/>
    <w:rsid w:val="00A6165E"/>
    <w:rsid w:val="00A82690"/>
    <w:rsid w:val="00AD75B1"/>
    <w:rsid w:val="00B642EF"/>
    <w:rsid w:val="00BD1822"/>
    <w:rsid w:val="00BE6BE0"/>
    <w:rsid w:val="00C5673A"/>
    <w:rsid w:val="00C83A82"/>
    <w:rsid w:val="00CA2308"/>
    <w:rsid w:val="00CB719D"/>
    <w:rsid w:val="00D016EB"/>
    <w:rsid w:val="00D33EA9"/>
    <w:rsid w:val="00D57C1E"/>
    <w:rsid w:val="00DB41FB"/>
    <w:rsid w:val="00E52AE6"/>
    <w:rsid w:val="00E60CAC"/>
    <w:rsid w:val="00EC2B3C"/>
    <w:rsid w:val="00ED0D33"/>
    <w:rsid w:val="00EF3E35"/>
    <w:rsid w:val="00F10559"/>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334"/>
    <w:pPr>
      <w:keepNext/>
      <w:keepLines/>
      <w:spacing w:before="480" w:after="0" w:line="276" w:lineRule="auto"/>
      <w:outlineLvl w:val="0"/>
    </w:pPr>
    <w:rPr>
      <w:rFonts w:asciiTheme="majorHAnsi" w:eastAsiaTheme="majorEastAsia" w:hAnsiTheme="majorHAnsi" w:cstheme="majorBidi"/>
      <w:b/>
      <w:bCs/>
      <w:color w:val="203756"/>
      <w:sz w:val="32"/>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customStyle="1" w:styleId="Heading1Char">
    <w:name w:val="Heading 1 Char"/>
    <w:basedOn w:val="DefaultParagraphFont"/>
    <w:link w:val="Heading1"/>
    <w:uiPriority w:val="9"/>
    <w:rsid w:val="00321334"/>
    <w:rPr>
      <w:rFonts w:asciiTheme="majorHAnsi" w:eastAsiaTheme="majorEastAsia" w:hAnsiTheme="majorHAnsi" w:cstheme="majorBidi"/>
      <w:b/>
      <w:bCs/>
      <w:color w:val="203756"/>
      <w:sz w:val="32"/>
      <w:szCs w:val="28"/>
      <w:lang w:val="en-US" w:eastAsia="en-US"/>
    </w:rPr>
  </w:style>
  <w:style w:type="character" w:styleId="Hyperlink">
    <w:name w:val="Hyperlink"/>
    <w:basedOn w:val="DefaultParagraphFont"/>
    <w:uiPriority w:val="99"/>
    <w:unhideWhenUsed/>
    <w:rsid w:val="00321334"/>
    <w:rPr>
      <w:color w:val="0563C1" w:themeColor="hyperlink"/>
      <w:u w:val="single"/>
    </w:rPr>
  </w:style>
  <w:style w:type="character" w:styleId="UnresolvedMention">
    <w:name w:val="Unresolved Mention"/>
    <w:basedOn w:val="DefaultParagraphFont"/>
    <w:uiPriority w:val="99"/>
    <w:semiHidden/>
    <w:unhideWhenUsed/>
    <w:rsid w:val="00321334"/>
    <w:rPr>
      <w:color w:val="605E5C"/>
      <w:shd w:val="clear" w:color="auto" w:fill="E1DFDD"/>
    </w:rPr>
  </w:style>
  <w:style w:type="paragraph" w:styleId="TOCHeading">
    <w:name w:val="TOC Heading"/>
    <w:basedOn w:val="Heading1"/>
    <w:next w:val="Normal"/>
    <w:uiPriority w:val="39"/>
    <w:unhideWhenUsed/>
    <w:qFormat/>
    <w:rsid w:val="002F727E"/>
    <w:pPr>
      <w:spacing w:before="240" w:line="259" w:lineRule="auto"/>
      <w:outlineLvl w:val="9"/>
    </w:pPr>
    <w:rPr>
      <w:b w:val="0"/>
      <w:bCs w:val="0"/>
      <w:color w:val="2F5496" w:themeColor="accent1" w:themeShade="BF"/>
      <w:szCs w:val="32"/>
      <w:lang w:val="en-GB" w:eastAsia="en-GB"/>
    </w:rPr>
  </w:style>
  <w:style w:type="paragraph" w:styleId="TOC1">
    <w:name w:val="toc 1"/>
    <w:basedOn w:val="Normal"/>
    <w:next w:val="Normal"/>
    <w:autoRedefine/>
    <w:uiPriority w:val="39"/>
    <w:unhideWhenUsed/>
    <w:rsid w:val="002F727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pharmaceutical-journal.com/article/infographics/nhs70-major-moments-in-pharmacy-1948-2018?utm_source=chatgp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sv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kingsfund.org.uk/insight-and-analysis/long-reads/community-pharmacy-explained?utm_source=chatgpt.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england.nhs.uk/primary-care/pharmacy/pharmacy-services/pharmacy-first/?utm_source=chatgpt.com"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england.nhs.uk/primary-care/pharmacy/community-pharmacy-contractual-framework/?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890</Words>
  <Characters>5078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Sandeer Bhullar</cp:lastModifiedBy>
  <cp:revision>2</cp:revision>
  <dcterms:created xsi:type="dcterms:W3CDTF">2026-03-19T23:46:00Z</dcterms:created>
  <dcterms:modified xsi:type="dcterms:W3CDTF">2026-03-19T23:46:00Z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3d6b81cd-0bad-42cd-862a-ac982932b17f</vt:lpwstr>
  </property>
</Properties>
</file>